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CE5E7BB-F403-453A-ABE5-4C02D91DAF56" style="width:450.4pt;height:383.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Subtitle"/>
        <w:rPr>
          <w:noProof/>
        </w:rPr>
      </w:pPr>
    </w:p>
    <w:tbl>
      <w:tblPr>
        <w:tblStyle w:val="Listtable"/>
        <w:tblW w:w="0" w:type="auto"/>
        <w:tblLook w:val="0000" w:firstRow="0" w:lastRow="0" w:firstColumn="0" w:lastColumn="0" w:noHBand="0" w:noVBand="0"/>
      </w:tblPr>
      <w:tblGrid>
        <w:gridCol w:w="1083"/>
        <w:gridCol w:w="605"/>
        <w:gridCol w:w="4676"/>
        <w:gridCol w:w="840"/>
        <w:gridCol w:w="1111"/>
        <w:gridCol w:w="878"/>
      </w:tblGrid>
      <w:tr>
        <w:trPr>
          <w:cantSplit/>
          <w:tblHeader/>
        </w:trPr>
        <w:tc>
          <w:tcPr>
            <w:tcW w:w="0" w:type="auto"/>
            <w:tcBorders>
              <w:bottom w:val="single" w:sz="2" w:space="0" w:color="auto"/>
            </w:tcBorders>
            <w:vAlign w:val="center"/>
          </w:tcPr>
          <w:p>
            <w:pPr>
              <w:pStyle w:val="Paragraph"/>
              <w:jc w:val="center"/>
              <w:rPr>
                <w:noProof/>
              </w:rPr>
            </w:pPr>
            <w:r>
              <w:rPr>
                <w:noProof/>
              </w:rPr>
              <w:t>Code NC</w:t>
            </w:r>
          </w:p>
        </w:tc>
        <w:tc>
          <w:tcPr>
            <w:tcW w:w="0" w:type="auto"/>
            <w:tcBorders>
              <w:left w:val="single" w:sz="2" w:space="0" w:color="auto"/>
              <w:bottom w:val="single" w:sz="2" w:space="0" w:color="auto"/>
            </w:tcBorders>
            <w:vAlign w:val="center"/>
          </w:tcPr>
          <w:p>
            <w:pPr>
              <w:pStyle w:val="Paragraph"/>
              <w:jc w:val="center"/>
              <w:rPr>
                <w:noProof/>
              </w:rPr>
            </w:pPr>
            <w:r>
              <w:rPr>
                <w:noProof/>
              </w:rPr>
              <w:t>TARIC</w:t>
            </w:r>
          </w:p>
        </w:tc>
        <w:tc>
          <w:tcPr>
            <w:tcW w:w="0" w:type="auto"/>
            <w:tcBorders>
              <w:left w:val="single" w:sz="2" w:space="0" w:color="auto"/>
              <w:bottom w:val="single" w:sz="2" w:space="0" w:color="auto"/>
            </w:tcBorders>
            <w:vAlign w:val="center"/>
          </w:tcPr>
          <w:p>
            <w:pPr>
              <w:pStyle w:val="Paragraph"/>
              <w:jc w:val="center"/>
              <w:rPr>
                <w:noProof/>
              </w:rPr>
            </w:pPr>
            <w:r>
              <w:rPr>
                <w:noProof/>
              </w:rPr>
              <w:t>Désignation des marchandises</w:t>
            </w:r>
          </w:p>
        </w:tc>
        <w:tc>
          <w:tcPr>
            <w:tcW w:w="0" w:type="auto"/>
            <w:tcBorders>
              <w:left w:val="single" w:sz="2" w:space="0" w:color="auto"/>
              <w:bottom w:val="single" w:sz="2" w:space="0" w:color="auto"/>
            </w:tcBorders>
            <w:vAlign w:val="center"/>
          </w:tcPr>
          <w:p>
            <w:pPr>
              <w:pStyle w:val="Paragraph"/>
              <w:jc w:val="center"/>
              <w:rPr>
                <w:noProof/>
              </w:rPr>
            </w:pPr>
            <w:r>
              <w:rPr>
                <w:noProof/>
              </w:rPr>
              <w:t>Taux des droits autonomes</w:t>
            </w:r>
          </w:p>
        </w:tc>
        <w:tc>
          <w:tcPr>
            <w:tcW w:w="0" w:type="auto"/>
            <w:tcBorders>
              <w:left w:val="single" w:sz="2" w:space="0" w:color="auto"/>
              <w:bottom w:val="single" w:sz="2" w:space="0" w:color="auto"/>
            </w:tcBorders>
            <w:vAlign w:val="center"/>
          </w:tcPr>
          <w:p>
            <w:pPr>
              <w:pStyle w:val="Paragraph"/>
              <w:jc w:val="center"/>
              <w:rPr>
                <w:noProof/>
              </w:rPr>
            </w:pPr>
            <w:r>
              <w:rPr>
                <w:noProof/>
              </w:rPr>
              <w:t>Unité supplémentaire</w:t>
            </w:r>
          </w:p>
        </w:tc>
        <w:tc>
          <w:tcPr>
            <w:tcW w:w="0" w:type="auto"/>
            <w:tcBorders>
              <w:left w:val="single" w:sz="2" w:space="0" w:color="auto"/>
              <w:bottom w:val="single" w:sz="2" w:space="0" w:color="auto"/>
            </w:tcBorders>
            <w:vAlign w:val="center"/>
          </w:tcPr>
          <w:p>
            <w:pPr>
              <w:pStyle w:val="Paragraph"/>
              <w:jc w:val="center"/>
              <w:rPr>
                <w:noProof/>
                <w:lang w:val="fr-FR"/>
              </w:rPr>
            </w:pPr>
            <w:r>
              <w:rPr>
                <w:noProof/>
                <w:lang w:val="fr-FR"/>
              </w:rPr>
              <w:t>Date prévue de l’examen obligatoire</w:t>
            </w:r>
          </w:p>
        </w:tc>
      </w:tr>
      <w:tr>
        <w:tc>
          <w:tcPr>
            <w:tcW w:w="0" w:type="auto"/>
          </w:tcPr>
          <w:p>
            <w:pPr>
              <w:pStyle w:val="Paragraph"/>
              <w:rPr>
                <w:noProof/>
              </w:rPr>
            </w:pPr>
            <w:r>
              <w:rPr>
                <w:noProof/>
              </w:rPr>
              <w:t>ex 0709 59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Chanterelles, à l'état frais ou réfrigéré, destinées à subir un traitement autre que le simple reconditionnement pour la vente au détail</w:t>
            </w:r>
          </w:p>
          <w:p>
            <w:pPr>
              <w:pStyle w:val="Paragraph"/>
              <w:rPr>
                <w:noProof/>
              </w:rPr>
            </w:pPr>
            <w:r>
              <w:rPr>
                <w:noProof/>
                <w:lang w:val="fr-FR"/>
              </w:rPr>
              <w:t> </w:t>
            </w:r>
            <w:r>
              <w:rPr>
                <w:rStyle w:val="FootnoteReference"/>
                <w:noProof/>
              </w:rPr>
              <w:t>(1)(2)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0710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 xml:space="preserve">Pois en cosses de l’espèce </w:t>
            </w:r>
            <w:r>
              <w:rPr>
                <w:i/>
                <w:iCs/>
                <w:noProof/>
                <w:lang w:val="fr-FR"/>
              </w:rPr>
              <w:t>Pisum sativum</w:t>
            </w:r>
            <w:r>
              <w:rPr>
                <w:noProof/>
                <w:lang w:val="fr-FR"/>
              </w:rPr>
              <w:t xml:space="preserve"> de la variété </w:t>
            </w:r>
            <w:r>
              <w:rPr>
                <w:i/>
                <w:iCs/>
                <w:noProof/>
                <w:lang w:val="fr-FR"/>
              </w:rPr>
              <w:t>Hortense axiphium</w:t>
            </w:r>
            <w:r>
              <w:rPr>
                <w:noProof/>
                <w:lang w:val="fr-FR"/>
              </w:rPr>
              <w:t>, congelés, d’une épaisseur totale n’excédant pas 6 mm, destinés à être utilisés, dans leurs cosses, dans la fabrication de plats préparés</w:t>
            </w:r>
          </w:p>
          <w:p>
            <w:pPr>
              <w:pStyle w:val="Paragraph"/>
              <w:rPr>
                <w:noProof/>
              </w:rPr>
            </w:pPr>
            <w:r>
              <w:rPr>
                <w:noProof/>
                <w:lang w:val="fr-FR"/>
              </w:rPr>
              <w:t> </w:t>
            </w:r>
            <w:r>
              <w:rPr>
                <w:rStyle w:val="FootnoteReference"/>
                <w:noProof/>
              </w:rPr>
              <w:t>(1)(2)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0710 80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FR"/>
              </w:rPr>
            </w:pPr>
            <w:r>
              <w:rPr>
                <w:noProof/>
                <w:lang w:val="fr-FR"/>
              </w:rPr>
              <w:t>Pousses de bambous, congelées, non conditionnées pour la vente au détail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0711 59 00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fr-FR"/>
              </w:rPr>
            </w:pPr>
            <w:r>
              <w:rPr>
                <w:noProof/>
                <w:lang w:val="fr-FR"/>
              </w:rPr>
              <w:t xml:space="preserve">Champignons, à l’exception des champignons des genres </w:t>
            </w:r>
            <w:r>
              <w:rPr>
                <w:i/>
                <w:iCs/>
                <w:noProof/>
                <w:lang w:val="fr-FR"/>
              </w:rPr>
              <w:t>Agaricus, Calocybe, Clitocybe, Lepista, Leucoagaricus, Leucopaxillus, Lyophyllum</w:t>
            </w:r>
            <w:r>
              <w:rPr>
                <w:noProof/>
                <w:lang w:val="fr-FR"/>
              </w:rPr>
              <w:t xml:space="preserve"> et </w:t>
            </w:r>
            <w:r>
              <w:rPr>
                <w:i/>
                <w:iCs/>
                <w:noProof/>
                <w:lang w:val="fr-FR"/>
              </w:rPr>
              <w:t>Tricholoma</w:t>
            </w:r>
            <w:r>
              <w:rPr>
                <w:noProof/>
                <w:lang w:val="fr-FR"/>
              </w:rPr>
              <w:t>, conservés provisoirement dans de l’eau salée, soufrée ou additionnée d’autres substances servant à assurer provisoirement leur conservation, mais impropres à l’alimentation en l’état, destinés à l’industrie des conserves alimentaires</w:t>
            </w:r>
          </w:p>
          <w:p>
            <w:pPr>
              <w:pStyle w:val="Paragraph"/>
              <w:rPr>
                <w:noProof/>
                <w:lang w:val="fr-FR"/>
              </w:rPr>
            </w:pPr>
            <w:r>
              <w:rPr>
                <w:noProof/>
                <w:lang w:val="fr-FR"/>
              </w:rPr>
              <w:t> </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0712 32 00</w:t>
            </w:r>
          </w:p>
          <w:p>
            <w:pPr>
              <w:pStyle w:val="Paragraph"/>
              <w:rPr>
                <w:noProof/>
              </w:rPr>
            </w:pPr>
            <w:r>
              <w:rPr>
                <w:noProof/>
              </w:rPr>
              <w:t>ex 0712 33 00</w:t>
            </w:r>
          </w:p>
          <w:p>
            <w:pPr>
              <w:pStyle w:val="Paragraph"/>
              <w:rPr>
                <w:noProof/>
              </w:rPr>
            </w:pPr>
            <w:r>
              <w:rPr>
                <w:noProof/>
              </w:rPr>
              <w:t>ex 0712 39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31</w:t>
            </w:r>
          </w:p>
        </w:tc>
        <w:tc>
          <w:tcPr>
            <w:tcW w:w="0" w:type="auto"/>
            <w:vMerge w:val="restart"/>
            <w:tcBorders>
              <w:left w:val="single" w:sz="2" w:space="0" w:color="auto"/>
            </w:tcBorders>
          </w:tcPr>
          <w:p>
            <w:pPr>
              <w:pStyle w:val="Paragraph"/>
              <w:rPr>
                <w:noProof/>
                <w:lang w:val="fr-FR"/>
              </w:rPr>
            </w:pPr>
            <w:r>
              <w:rPr>
                <w:noProof/>
                <w:lang w:val="fr-FR"/>
              </w:rPr>
              <w:t xml:space="preserve">Champignons, à l’exception des champignons du genre </w:t>
            </w:r>
            <w:r>
              <w:rPr>
                <w:i/>
                <w:iCs/>
                <w:noProof/>
                <w:lang w:val="fr-FR"/>
              </w:rPr>
              <w:t>Agaricus</w:t>
            </w:r>
            <w:r>
              <w:rPr>
                <w:noProof/>
                <w:lang w:val="fr-FR"/>
              </w:rPr>
              <w:t>, desséchés, présentés entiers, en tranches ou en morceaux identifiables, destinés à subir un traitement autre que le simple reconditionnement pour la vente au détail</w:t>
            </w:r>
          </w:p>
          <w:p>
            <w:pPr>
              <w:pStyle w:val="Paragraph"/>
              <w:rPr>
                <w:noProof/>
              </w:rPr>
            </w:pPr>
            <w:r>
              <w:rPr>
                <w:noProof/>
                <w:lang w:val="fr-FR"/>
              </w:rPr>
              <w:t> </w:t>
            </w:r>
            <w:r>
              <w:rPr>
                <w:rStyle w:val="FootnoteReference"/>
                <w:noProof/>
              </w:rPr>
              <w:t>(1)(2)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0804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FR"/>
              </w:rPr>
            </w:pPr>
            <w:r>
              <w:rPr>
                <w:noProof/>
                <w:lang w:val="fr-FR"/>
              </w:rPr>
              <w:t>Dattes, fraîches ou sèches destinées à la fabrication (à l’exclusion du reconditionnement) des produits des industries alimentaires ou des boissons</w:t>
            </w:r>
          </w:p>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0811 90 50</w:t>
            </w:r>
          </w:p>
          <w:p>
            <w:pPr>
              <w:pStyle w:val="Paragraph"/>
              <w:rPr>
                <w:noProof/>
              </w:rPr>
            </w:pPr>
            <w:r>
              <w:rPr>
                <w:noProof/>
              </w:rPr>
              <w:t>0811 90 70</w:t>
            </w:r>
          </w:p>
          <w:p>
            <w:pPr>
              <w:pStyle w:val="Paragraph"/>
              <w:rPr>
                <w:noProof/>
              </w:rPr>
            </w:pPr>
            <w:r>
              <w:rPr>
                <w:noProof/>
              </w:rPr>
              <w:t>ex 0811 90 95</w:t>
            </w:r>
          </w:p>
        </w:tc>
        <w:tc>
          <w:tcPr>
            <w:tcW w:w="0" w:type="auto"/>
            <w:tcBorders>
              <w:left w:val="single" w:sz="2" w:space="0" w:color="auto"/>
              <w:bottom w:val="nil"/>
            </w:tcBorders>
          </w:tcPr>
          <w:p>
            <w:pPr>
              <w:pStyle w:val="Paragraph"/>
              <w:rPr>
                <w:noProof/>
              </w:rPr>
            </w:pPr>
          </w:p>
          <w:p>
            <w:pPr>
              <w:pStyle w:val="Paragraph"/>
              <w:rPr>
                <w:noProof/>
              </w:rPr>
            </w:pPr>
          </w:p>
          <w:p>
            <w:pPr>
              <w:pStyle w:val="Paragraph"/>
              <w:jc w:val="center"/>
              <w:rPr>
                <w:noProof/>
              </w:rPr>
            </w:pPr>
            <w:r>
              <w:rPr>
                <w:noProof/>
              </w:rPr>
              <w:t>70</w:t>
            </w:r>
          </w:p>
        </w:tc>
        <w:tc>
          <w:tcPr>
            <w:tcW w:w="0" w:type="auto"/>
            <w:vMerge w:val="restart"/>
            <w:tcBorders>
              <w:left w:val="single" w:sz="2" w:space="0" w:color="auto"/>
            </w:tcBorders>
          </w:tcPr>
          <w:p>
            <w:pPr>
              <w:pStyle w:val="Paragraph"/>
              <w:rPr>
                <w:noProof/>
                <w:lang w:val="fr-FR"/>
              </w:rPr>
            </w:pPr>
            <w:r>
              <w:rPr>
                <w:noProof/>
                <w:lang w:val="fr-FR"/>
              </w:rPr>
              <w:t xml:space="preserve">Fruits du genre </w:t>
            </w:r>
            <w:r>
              <w:rPr>
                <w:i/>
                <w:iCs/>
                <w:noProof/>
                <w:lang w:val="fr-FR"/>
              </w:rPr>
              <w:t>Vaccinium</w:t>
            </w:r>
            <w:r>
              <w:rPr>
                <w:noProof/>
                <w:lang w:val="fr-FR"/>
              </w:rPr>
              <w:t>, non cuits ou cuits à l’eau ou à la vapeur, congelés, sans addition de sucre ou d’autres édulcorants</w:t>
            </w:r>
          </w:p>
          <w:p>
            <w:pPr>
              <w:pStyle w:val="Paragraph"/>
              <w:rPr>
                <w:noProof/>
                <w:lang w:val="fr-FR"/>
              </w:rPr>
            </w:pP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0811 90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Mûres de Boysen (boysenberries), congelées, sans addition de sucre, non conditionnées pour la vente au détail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0811 90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Ananas (</w:t>
            </w:r>
            <w:r>
              <w:rPr>
                <w:i/>
                <w:iCs/>
                <w:noProof/>
              </w:rPr>
              <w:t>Ananas comosus</w:t>
            </w:r>
            <w:r>
              <w:rPr>
                <w:noProof/>
              </w:rPr>
              <w:t>), en morceaux, congelé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0811 90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FR"/>
              </w:rPr>
            </w:pPr>
            <w:r>
              <w:rPr>
                <w:noProof/>
                <w:lang w:val="fr-FR"/>
              </w:rPr>
              <w:t>Fruits de l’églantier, non cuits ou cuits à l’eau ou à la vapeur, congelés, sans addition de sucre ou d’autres édulcorants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1511 90 19</w:t>
            </w:r>
          </w:p>
          <w:p>
            <w:pPr>
              <w:pStyle w:val="Paragraph"/>
              <w:rPr>
                <w:noProof/>
              </w:rPr>
            </w:pPr>
            <w:r>
              <w:rPr>
                <w:noProof/>
              </w:rPr>
              <w:t>ex 1511 90 91</w:t>
            </w:r>
          </w:p>
          <w:p>
            <w:pPr>
              <w:pStyle w:val="Paragraph"/>
              <w:rPr>
                <w:noProof/>
              </w:rPr>
            </w:pPr>
            <w:r>
              <w:rPr>
                <w:noProof/>
              </w:rPr>
              <w:t>ex 1513 11 10</w:t>
            </w:r>
          </w:p>
          <w:p>
            <w:pPr>
              <w:pStyle w:val="Paragraph"/>
              <w:rPr>
                <w:noProof/>
              </w:rPr>
            </w:pPr>
            <w:r>
              <w:rPr>
                <w:noProof/>
              </w:rPr>
              <w:t>ex 1513 19 30</w:t>
            </w:r>
          </w:p>
          <w:p>
            <w:pPr>
              <w:pStyle w:val="Paragraph"/>
              <w:rPr>
                <w:noProof/>
              </w:rPr>
            </w:pPr>
            <w:r>
              <w:rPr>
                <w:noProof/>
              </w:rPr>
              <w:t>ex 1513 21 10</w:t>
            </w:r>
          </w:p>
          <w:p>
            <w:pPr>
              <w:pStyle w:val="Paragraph"/>
              <w:rPr>
                <w:noProof/>
              </w:rPr>
            </w:pPr>
            <w:r>
              <w:rPr>
                <w:noProof/>
              </w:rPr>
              <w:t>ex 1513 29 30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FR"/>
              </w:rPr>
            </w:pPr>
            <w:r>
              <w:rPr>
                <w:noProof/>
                <w:lang w:val="fr-FR"/>
              </w:rPr>
              <w:t>Huile de palme, huile de coco (huile de coprah), huile de palmiste, destinées à la fabrication: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d’acides gras monocarboxyliques industriels de la sous-position 3823 19 10,</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d’esters méthyliques d’acides gras des positions 2915 ou 2916,</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d’alcools gras des sous-positions 2905 17 et 2905 19 et 3823 70 destinés à la fabrication de détergents, de cosmétiques ou de produits pharmaceutiques,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d’alcools gras de la sous-position 2905 16, purs ou en mélange, destinés à la fabrication de détergents, de cosmétiques ou de produits pharmaceutiques,</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d'acide stéarique de la sous-position 3823 11 00,</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 produits de la position 3401 ou</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d’acides gras d’une grande pureté de la position 2915</w:t>
                  </w:r>
                </w:p>
              </w:tc>
            </w:tr>
          </w:tbl>
          <w:p>
            <w:pPr>
              <w:pStyle w:val="Paragraph"/>
              <w:rPr>
                <w:noProof/>
              </w:rPr>
            </w:pPr>
            <w:r>
              <w:rPr>
                <w:noProof/>
                <w:lang w:val="fr-FR"/>
              </w:rPr>
              <w:t> </w:t>
            </w:r>
            <w:r>
              <w:rPr>
                <w:rStyle w:val="FootnoteReference"/>
                <w:noProof/>
              </w:rPr>
              <w:t>(2)</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t>ex 1512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Huile de carthame raffinée (CAS RN 8001-23-8), destinée à la fabrication: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d’acide linoléique conjugué de la position 3823 ou</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d’ester éthylique ou méthylique d'acide linoléique de la position 2916</w:t>
                  </w:r>
                </w:p>
              </w:tc>
            </w:tr>
          </w:tbl>
          <w:p>
            <w:pPr>
              <w:pStyle w:val="Paragraph"/>
              <w:rPr>
                <w:noProof/>
              </w:rPr>
            </w:pPr>
            <w:r>
              <w:rPr>
                <w:noProof/>
                <w:lang w:val="fr-FR"/>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1515 90 99</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fr-FR"/>
              </w:rPr>
            </w:pPr>
            <w:r>
              <w:rPr>
                <w:noProof/>
                <w:lang w:val="fr-FR"/>
              </w:rPr>
              <w:t>Huile végétale, raffinée, contenant en poids 35 % ou plus mais pas plus de 50 % d’acide arachidonique ou 35 % ou plus mais pas plus de 50 % d’acide docosahexaénoïque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1516 20 96</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FR"/>
              </w:rPr>
            </w:pPr>
            <w:r>
              <w:rPr>
                <w:noProof/>
                <w:lang w:val="fr-FR"/>
              </w:rPr>
              <w:t>Huile de jojoba, hydrogénée et interestérifiée, n’ayant subi aucune autre modification chimique ni aucun processus de texturation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1517 90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Huile végétale raffinée contenant en poids 25 % ou plus, mais pas plus de 50 %, d’acide arachidonique ou 12 % ou plus, mais pas plus de 65 %, d’acide docosahexaénoïque et normalisée avec de l’huile de tournesol à teneur élevée en acide oléique (HOSO – High oleic sunflower oil)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1901 90 99</w:t>
            </w:r>
          </w:p>
          <w:p>
            <w:pPr>
              <w:pStyle w:val="Paragraph"/>
              <w:rPr>
                <w:noProof/>
              </w:rPr>
            </w:pPr>
            <w:r>
              <w:rPr>
                <w:noProof/>
              </w:rPr>
              <w:t>ex 2106 90 98</w:t>
            </w:r>
          </w:p>
        </w:tc>
        <w:tc>
          <w:tcPr>
            <w:tcW w:w="0" w:type="auto"/>
            <w:tcBorders>
              <w:left w:val="single" w:sz="2" w:space="0" w:color="auto"/>
              <w:bottom w:val="nil"/>
            </w:tcBorders>
          </w:tcPr>
          <w:p>
            <w:pPr>
              <w:pStyle w:val="Paragraph"/>
              <w:jc w:val="center"/>
              <w:rPr>
                <w:noProof/>
              </w:rPr>
            </w:pPr>
            <w:r>
              <w:rPr>
                <w:noProof/>
              </w:rPr>
              <w:t>39</w:t>
            </w:r>
          </w:p>
          <w:p>
            <w:pPr>
              <w:pStyle w:val="Paragraph"/>
              <w:jc w:val="center"/>
              <w:rPr>
                <w:noProof/>
              </w:rPr>
            </w:pPr>
            <w:r>
              <w:rPr>
                <w:noProof/>
              </w:rPr>
              <w:t>45</w:t>
            </w:r>
          </w:p>
        </w:tc>
        <w:tc>
          <w:tcPr>
            <w:tcW w:w="0" w:type="auto"/>
            <w:vMerge w:val="restart"/>
            <w:tcBorders>
              <w:left w:val="single" w:sz="2" w:space="0" w:color="auto"/>
            </w:tcBorders>
          </w:tcPr>
          <w:p>
            <w:pPr>
              <w:pStyle w:val="Paragraph"/>
              <w:rPr>
                <w:noProof/>
                <w:lang w:val="fr-FR"/>
              </w:rPr>
            </w:pPr>
            <w:r>
              <w:rPr>
                <w:noProof/>
                <w:lang w:val="fr-FR"/>
              </w:rPr>
              <w:t>Préparation sous forme de poudre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FR"/>
                    </w:rPr>
                  </w:pPr>
                  <w:r>
                    <w:rPr>
                      <w:noProof/>
                      <w:lang w:val="fr-FR"/>
                    </w:rPr>
                    <w:t>15 % ou plus mais pas plus de 35 % de maltodextrine de blé,</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15 % ou plus mais pas plus de 35 % de lactosérum,</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10 % ou plus mais pas plus de 30 % d'huile de tournesol raffinée, décolorée, désodorisée et non hydrogénée,</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10 % ou plus mais pas plus de 30 % de fromage fondu affiné séché par atomisation,</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5 % ou plus mais pas plus de 15 % de babeurre, et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0,1 % ou plus mais pas plus de 10 % de caséinate de sodium, de phosphate disodique et d'acide lactique</w:t>
                  </w:r>
                </w:p>
              </w:tc>
            </w:tr>
          </w:tbl>
          <w:p>
            <w:pPr>
              <w:pStyle w:val="Paragraph"/>
              <w:rPr>
                <w:noProof/>
                <w:lang w:val="fr-FR"/>
              </w:rPr>
            </w:pPr>
          </w:p>
          <w:p>
            <w:pPr>
              <w:pStyle w:val="Paragraph"/>
              <w:rPr>
                <w:noProof/>
                <w:lang w:val="fr-FR"/>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1902 30 10</w:t>
            </w:r>
          </w:p>
          <w:p>
            <w:pPr>
              <w:pStyle w:val="Paragraph"/>
              <w:rPr>
                <w:noProof/>
              </w:rPr>
            </w:pPr>
            <w:r>
              <w:rPr>
                <w:noProof/>
              </w:rPr>
              <w:t>ex 1903 00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rPr>
            </w:pPr>
            <w:r>
              <w:rPr>
                <w:noProof/>
                <w:lang w:val="fr-FR"/>
              </w:rPr>
              <w:t>Nouilles transparentes, coupées en morceaux, à base de haricots (</w:t>
            </w:r>
            <w:r>
              <w:rPr>
                <w:i/>
                <w:iCs/>
                <w:noProof/>
                <w:lang w:val="fr-FR"/>
              </w:rPr>
              <w:t>Vigna radiata</w:t>
            </w:r>
            <w:r>
              <w:rPr>
                <w:noProof/>
                <w:lang w:val="fr-FR"/>
              </w:rPr>
              <w:t xml:space="preserve"> (L.) </w:t>
            </w:r>
            <w:r>
              <w:rPr>
                <w:noProof/>
              </w:rPr>
              <w:t>Wilczek), non conditionnées pour la vente au détail</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ex 2005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FR"/>
              </w:rPr>
            </w:pPr>
            <w:r>
              <w:rPr>
                <w:noProof/>
                <w:lang w:val="fr-FR"/>
              </w:rPr>
              <w:t>Pousses de bambous, préparées ou conservées, en emballages immédiats d’un contenu net excédant 5 kg</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p>
            <w:pPr>
              <w:pStyle w:val="Paragraph"/>
              <w:rPr>
                <w:noProof/>
              </w:rPr>
            </w:pPr>
            <w:r>
              <w:rPr>
                <w:noProof/>
              </w:rPr>
              <w:t>ex 2007 99 93</w:t>
            </w:r>
          </w:p>
        </w:tc>
        <w:tc>
          <w:tcPr>
            <w:tcW w:w="0" w:type="auto"/>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93</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FR"/>
              </w:rPr>
            </w:pPr>
            <w:r>
              <w:rPr>
                <w:noProof/>
                <w:lang w:val="fr-FR"/>
              </w:rPr>
              <w:t>Purée concentrée de mangue, obtenue par cuisson:</w:t>
            </w:r>
          </w:p>
          <w:tbl>
            <w:tblPr>
              <w:tblStyle w:val="Listdash"/>
              <w:tblW w:w="0" w:type="auto"/>
              <w:tblLook w:val="0000" w:firstRow="0" w:lastRow="0" w:firstColumn="0" w:lastColumn="0" w:noHBand="0" w:noVBand="0"/>
            </w:tblPr>
            <w:tblGrid>
              <w:gridCol w:w="220"/>
              <w:gridCol w:w="3522"/>
            </w:tblGrid>
            <w:tr>
              <w:tc>
                <w:tcPr>
                  <w:tcW w:w="0" w:type="auto"/>
                </w:tcPr>
                <w:p>
                  <w:pPr>
                    <w:pStyle w:val="Paragraph"/>
                    <w:rPr>
                      <w:noProof/>
                    </w:rPr>
                  </w:pPr>
                  <w:r>
                    <w:rPr>
                      <w:noProof/>
                    </w:rPr>
                    <w:t>—</w:t>
                  </w:r>
                </w:p>
              </w:tc>
              <w:tc>
                <w:tcPr>
                  <w:tcW w:w="0" w:type="auto"/>
                </w:tcPr>
                <w:p>
                  <w:pPr>
                    <w:pStyle w:val="Paragraph"/>
                    <w:rPr>
                      <w:noProof/>
                    </w:rPr>
                  </w:pPr>
                  <w:r>
                    <w:rPr>
                      <w:noProof/>
                    </w:rPr>
                    <w:t xml:space="preserve">du genre </w:t>
                  </w:r>
                  <w:r>
                    <w:rPr>
                      <w:i/>
                      <w:iCs/>
                      <w:noProof/>
                    </w:rPr>
                    <w:t xml:space="preserve">Mangifera </w:t>
                  </w:r>
                  <w:r>
                    <w:rPr>
                      <w:noProof/>
                    </w:rPr>
                    <w:t>spp</w:t>
                  </w:r>
                  <w:r>
                    <w:rPr>
                      <w:i/>
                      <w:iCs/>
                      <w:noProof/>
                    </w:rPr>
                    <w: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teneur en sucres, en poids, n’excédant pas 30 %</w:t>
                  </w:r>
                </w:p>
              </w:tc>
            </w:tr>
          </w:tbl>
          <w:p>
            <w:pPr>
              <w:pStyle w:val="Paragraph"/>
              <w:rPr>
                <w:noProof/>
                <w:lang w:val="fr-FR"/>
              </w:rPr>
            </w:pPr>
            <w:r>
              <w:rPr>
                <w:noProof/>
                <w:lang w:val="fr-FR"/>
              </w:rPr>
              <w:t>destinée à la fabrication de produits de l’industrie agroalimentaire</w:t>
            </w:r>
          </w:p>
          <w:p>
            <w:pPr>
              <w:pStyle w:val="Paragraph"/>
              <w:rPr>
                <w:noProof/>
              </w:rPr>
            </w:pPr>
            <w:r>
              <w:rPr>
                <w:noProof/>
                <w:lang w:val="fr-FR"/>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6 % </w:t>
            </w:r>
            <w:r>
              <w:rPr>
                <w:rStyle w:val="FootnoteReference"/>
                <w:noProof/>
              </w:rPr>
              <w:t>(3)</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84</w:t>
            </w:r>
          </w:p>
          <w:p>
            <w:pPr>
              <w:pStyle w:val="Paragraph"/>
              <w:jc w:val="center"/>
              <w:rPr>
                <w:noProof/>
              </w:rPr>
            </w:pPr>
            <w:r>
              <w:rPr>
                <w:noProof/>
              </w:rPr>
              <w:t>94</w:t>
            </w:r>
          </w:p>
        </w:tc>
        <w:tc>
          <w:tcPr>
            <w:tcW w:w="0" w:type="auto"/>
            <w:vMerge w:val="restart"/>
            <w:tcBorders>
              <w:left w:val="single" w:sz="2" w:space="0" w:color="auto"/>
            </w:tcBorders>
          </w:tcPr>
          <w:p>
            <w:pPr>
              <w:pStyle w:val="Paragraph"/>
              <w:rPr>
                <w:noProof/>
                <w:lang w:val="fr-FR"/>
              </w:rPr>
            </w:pPr>
            <w:r>
              <w:rPr>
                <w:noProof/>
                <w:lang w:val="fr-FR"/>
              </w:rPr>
              <w:t>Purée concentrée de papaye, obtenue par cuisson: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 xml:space="preserve">du genre </w:t>
                  </w:r>
                  <w:r>
                    <w:rPr>
                      <w:i/>
                      <w:iCs/>
                      <w:noProof/>
                    </w:rPr>
                    <w:t>Carica spp.</w:t>
                  </w:r>
                  <w:r>
                    <w:rPr>
                      <w:noProof/>
                    </w:rPr>
                    <w:t>,</w:t>
                  </w:r>
                </w:p>
              </w:tc>
            </w:tr>
            <w:tr>
              <w:tc>
                <w:tcPr>
                  <w:tcW w:w="0" w:type="auto"/>
                </w:tcPr>
                <w:p>
                  <w:pPr>
                    <w:pStyle w:val="Paragraph"/>
                    <w:rPr>
                      <w:noProof/>
                    </w:rPr>
                  </w:pPr>
                  <w:r>
                    <w:rPr>
                      <w:noProof/>
                    </w:rPr>
                    <w:t>—</w:t>
                  </w:r>
                </w:p>
              </w:tc>
              <w:tc>
                <w:tcPr>
                  <w:tcW w:w="0" w:type="auto"/>
                </w:tcPr>
                <w:p>
                  <w:pPr>
                    <w:pStyle w:val="Paragraph"/>
                    <w:rPr>
                      <w:noProof/>
                      <w:lang w:val="fr-FR"/>
                    </w:rPr>
                  </w:pPr>
                  <w:r>
                    <w:rPr>
                      <w:noProof/>
                      <w:lang w:val="fr-FR"/>
                    </w:rPr>
                    <w:t>d’une teneur en sucres, en poids, de 13 % ou plus mais n’excédant pas 30 %</w:t>
                  </w:r>
                </w:p>
              </w:tc>
            </w:tr>
          </w:tbl>
          <w:p>
            <w:pPr>
              <w:pStyle w:val="Paragraph"/>
              <w:rPr>
                <w:noProof/>
                <w:lang w:val="fr-FR"/>
              </w:rPr>
            </w:pPr>
            <w:r>
              <w:rPr>
                <w:noProof/>
                <w:lang w:val="fr-FR"/>
              </w:rPr>
              <w:t>destinée à la fabrication de produits de l'industrie agroalimentaire</w:t>
            </w:r>
          </w:p>
          <w:p>
            <w:pPr>
              <w:pStyle w:val="Paragraph"/>
              <w:rPr>
                <w:noProof/>
              </w:rPr>
            </w:pPr>
            <w:r>
              <w:rPr>
                <w:noProof/>
                <w:lang w:val="fr-FR"/>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7.8 % </w:t>
            </w:r>
            <w:r>
              <w:rPr>
                <w:rStyle w:val="FootnoteReference"/>
                <w:noProof/>
              </w:rPr>
              <w:t>(3)</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noProof/>
              </w:rPr>
              <w:t>ex 2007 99 50</w:t>
            </w:r>
          </w:p>
          <w:p>
            <w:pPr>
              <w:pStyle w:val="Paragraph"/>
              <w:rPr>
                <w:noProof/>
              </w:rPr>
            </w:pPr>
            <w:r>
              <w:rPr>
                <w:noProof/>
              </w:rPr>
              <w:t>ex 2007 99 50</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95</w:t>
            </w:r>
          </w:p>
        </w:tc>
        <w:tc>
          <w:tcPr>
            <w:tcW w:w="0" w:type="auto"/>
            <w:vMerge w:val="restart"/>
            <w:tcBorders>
              <w:left w:val="single" w:sz="2" w:space="0" w:color="auto"/>
            </w:tcBorders>
          </w:tcPr>
          <w:p>
            <w:pPr>
              <w:pStyle w:val="Paragraph"/>
              <w:rPr>
                <w:noProof/>
                <w:lang w:val="fr-FR"/>
              </w:rPr>
            </w:pPr>
            <w:r>
              <w:rPr>
                <w:noProof/>
                <w:lang w:val="fr-FR"/>
              </w:rPr>
              <w:t>Purée concentrée de goyave, obtenue par cuisson: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 xml:space="preserve">du genre </w:t>
                  </w:r>
                  <w:r>
                    <w:rPr>
                      <w:i/>
                      <w:iCs/>
                      <w:noProof/>
                    </w:rPr>
                    <w:t>Psidium spp.</w:t>
                  </w:r>
                  <w:r>
                    <w:rPr>
                      <w:noProof/>
                    </w:rPr>
                    <w: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teneur en sucres, en poids, de 13 % ou plus mais n’excédant pas 30 %</w:t>
                  </w:r>
                </w:p>
              </w:tc>
            </w:tr>
          </w:tbl>
          <w:p>
            <w:pPr>
              <w:pStyle w:val="Paragraph"/>
              <w:rPr>
                <w:noProof/>
                <w:lang w:val="fr-BE"/>
              </w:rPr>
            </w:pPr>
            <w:r>
              <w:rPr>
                <w:noProof/>
                <w:lang w:val="fr-BE"/>
              </w:rPr>
              <w:t>destinée à la fabrication de produits de l'industrie agroalimentaire</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6 % </w:t>
            </w:r>
            <w:r>
              <w:rPr>
                <w:rStyle w:val="FootnoteReference"/>
                <w:noProof/>
              </w:rPr>
              <w:t>(3)</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noProof/>
              </w:rPr>
              <w:t>ex 2008 93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Canneberges séchées sucrées destinées à la fabrication de produits agroalimentaires transformés, le conditionnement ne pouvant constituer à lui seul une transformation</w:t>
            </w:r>
          </w:p>
          <w:p>
            <w:pPr>
              <w:pStyle w:val="Paragraph"/>
              <w:rPr>
                <w:noProof/>
              </w:rPr>
            </w:pPr>
            <w:r>
              <w:rPr>
                <w:noProof/>
                <w:lang w:val="fr-BE"/>
              </w:rPr>
              <w:t> </w:t>
            </w:r>
            <w:r>
              <w:rPr>
                <w:rStyle w:val="FootnoteReference"/>
                <w:noProof/>
              </w:rPr>
              <w:t>(4)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2008 99 48</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Purée de mangue: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non obtenue à partir de concentré,</w:t>
                  </w:r>
                </w:p>
              </w:tc>
            </w:tr>
            <w:tr>
              <w:tc>
                <w:tcPr>
                  <w:tcW w:w="0" w:type="auto"/>
                </w:tcPr>
                <w:p>
                  <w:pPr>
                    <w:pStyle w:val="Paragraph"/>
                    <w:rPr>
                      <w:noProof/>
                    </w:rPr>
                  </w:pPr>
                  <w:r>
                    <w:rPr>
                      <w:noProof/>
                    </w:rPr>
                    <w:t>—</w:t>
                  </w:r>
                </w:p>
              </w:tc>
              <w:tc>
                <w:tcPr>
                  <w:tcW w:w="0" w:type="auto"/>
                </w:tcPr>
                <w:p>
                  <w:pPr>
                    <w:pStyle w:val="Paragraph"/>
                    <w:rPr>
                      <w:noProof/>
                    </w:rPr>
                  </w:pPr>
                  <w:r>
                    <w:rPr>
                      <w:noProof/>
                    </w:rPr>
                    <w:t>du genre Mangifera,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Brix supérieure ou égale à 14 mais n’excédant pas 20,</w:t>
                  </w:r>
                </w:p>
              </w:tc>
            </w:tr>
          </w:tbl>
          <w:p>
            <w:pPr>
              <w:pStyle w:val="Paragraph"/>
              <w:rPr>
                <w:noProof/>
                <w:lang w:val="fr-BE"/>
              </w:rPr>
            </w:pPr>
            <w:r>
              <w:rPr>
                <w:noProof/>
                <w:lang w:val="fr-BE"/>
              </w:rPr>
              <w:t>destinée à la fabrication de produits de l’industrie des boissons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6 %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2008 99 49</w:t>
            </w:r>
          </w:p>
          <w:p>
            <w:pPr>
              <w:pStyle w:val="Paragraph"/>
              <w:rPr>
                <w:noProof/>
              </w:rPr>
            </w:pPr>
            <w:r>
              <w:rPr>
                <w:noProof/>
              </w:rPr>
              <w:t>ex 2008 99 99</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Purée de mûres de Boysen (boysenberries) épépinées, sans addition d’alcool, avec ou sans addition de sucre</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2008 99 49</w:t>
            </w:r>
          </w:p>
          <w:p>
            <w:pPr>
              <w:pStyle w:val="Paragraph"/>
              <w:rPr>
                <w:noProof/>
              </w:rPr>
            </w:pPr>
            <w:r>
              <w:rPr>
                <w:noProof/>
              </w:rPr>
              <w:t>ex 2008 99 99</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11</w:t>
            </w:r>
          </w:p>
        </w:tc>
        <w:tc>
          <w:tcPr>
            <w:tcW w:w="0" w:type="auto"/>
            <w:vMerge w:val="restart"/>
            <w:tcBorders>
              <w:left w:val="single" w:sz="2" w:space="0" w:color="auto"/>
            </w:tcBorders>
          </w:tcPr>
          <w:p>
            <w:pPr>
              <w:pStyle w:val="Paragraph"/>
              <w:rPr>
                <w:noProof/>
                <w:lang w:val="fr-BE"/>
              </w:rPr>
            </w:pPr>
            <w:r>
              <w:rPr>
                <w:noProof/>
                <w:lang w:val="fr-BE"/>
              </w:rPr>
              <w:t>Feuilles de vignes blanchies du genre Karakishmish, en saumure,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6 % de concentration de sel,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entre 0,1 % et 1,4 % d’acidité exprimée en acide citrique monohydraté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 benzoate de sodium ou non, mais pas plus de 2 000 mg/kg, conformément au CODEX STAN 192-1995</w:t>
                  </w:r>
                </w:p>
              </w:tc>
            </w:tr>
          </w:tbl>
          <w:p>
            <w:pPr>
              <w:pStyle w:val="Paragraph"/>
              <w:rPr>
                <w:noProof/>
                <w:lang w:val="fr-BE"/>
              </w:rPr>
            </w:pPr>
            <w:r>
              <w:rPr>
                <w:noProof/>
                <w:lang w:val="fr-BE"/>
              </w:rPr>
              <w:t>destinées à la fabrication de feuilles de vigne farcies avec du riz</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noProof/>
              </w:rPr>
              <w:t>ex 2008 99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Châtaignes d’eau chinoises (</w:t>
            </w:r>
            <w:r>
              <w:rPr>
                <w:i/>
                <w:iCs/>
                <w:noProof/>
                <w:lang w:val="fr-BE"/>
              </w:rPr>
              <w:t>Eleocharis dulcis</w:t>
            </w:r>
            <w:r>
              <w:rPr>
                <w:noProof/>
                <w:lang w:val="fr-BE"/>
              </w:rPr>
              <w:t xml:space="preserve"> ou </w:t>
            </w:r>
            <w:r>
              <w:rPr>
                <w:i/>
                <w:iCs/>
                <w:noProof/>
                <w:lang w:val="fr-BE"/>
              </w:rPr>
              <w:t>Eleocharis tuberosa</w:t>
            </w:r>
            <w:r>
              <w:rPr>
                <w:noProof/>
                <w:lang w:val="fr-BE"/>
              </w:rPr>
              <w:t>) pelées, lavées, blanchies, réfrigérées et surgelées individuellement, servant à la fabrication de produits de l'industrie alimentaire destinés à subir un traitement autre que le simple reconditionnement</w:t>
            </w:r>
          </w:p>
          <w:p>
            <w:pPr>
              <w:pStyle w:val="Paragraph"/>
              <w:rPr>
                <w:noProof/>
              </w:rPr>
            </w:pPr>
            <w:r>
              <w:rPr>
                <w:noProof/>
                <w:lang w:val="fr-BE"/>
              </w:rPr>
              <w:t> </w:t>
            </w:r>
            <w:r>
              <w:rPr>
                <w:rStyle w:val="FootnoteReference"/>
                <w:noProof/>
              </w:rPr>
              <w:t>(1)(2)</w:t>
            </w:r>
          </w:p>
        </w:tc>
        <w:tc>
          <w:tcPr>
            <w:tcW w:w="0" w:type="auto"/>
            <w:tcBorders>
              <w:left w:val="single" w:sz="2" w:space="0" w:color="auto"/>
            </w:tcBorders>
          </w:tcPr>
          <w:p>
            <w:pPr>
              <w:pStyle w:val="Paragraph"/>
              <w:rPr>
                <w:noProof/>
              </w:rPr>
            </w:pPr>
            <w:r>
              <w:rPr>
                <w:noProof/>
              </w:rPr>
              <w:t>0 % </w:t>
            </w:r>
            <w:r>
              <w:rPr>
                <w:rStyle w:val="FootnoteReference"/>
                <w:noProof/>
              </w:rPr>
              <w:t>(3)</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2009 41 92</w:t>
            </w:r>
          </w:p>
          <w:p>
            <w:pPr>
              <w:pStyle w:val="Paragraph"/>
              <w:rPr>
                <w:noProof/>
              </w:rPr>
            </w:pPr>
            <w:r>
              <w:rPr>
                <w:noProof/>
              </w:rPr>
              <w:t>ex 2009 41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70</w:t>
            </w:r>
          </w:p>
        </w:tc>
        <w:tc>
          <w:tcPr>
            <w:tcW w:w="0" w:type="auto"/>
            <w:vMerge w:val="restart"/>
            <w:tcBorders>
              <w:left w:val="single" w:sz="2" w:space="0" w:color="auto"/>
            </w:tcBorders>
          </w:tcPr>
          <w:p>
            <w:pPr>
              <w:pStyle w:val="Paragraph"/>
              <w:rPr>
                <w:noProof/>
              </w:rPr>
            </w:pPr>
            <w:r>
              <w:rPr>
                <w:noProof/>
              </w:rPr>
              <w:t>Jus d’ananas: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non obtenu à partir de concentré,</w:t>
                  </w:r>
                </w:p>
              </w:tc>
            </w:tr>
            <w:tr>
              <w:tc>
                <w:tcPr>
                  <w:tcW w:w="0" w:type="auto"/>
                </w:tcPr>
                <w:p>
                  <w:pPr>
                    <w:pStyle w:val="Paragraph"/>
                    <w:rPr>
                      <w:noProof/>
                    </w:rPr>
                  </w:pPr>
                  <w:r>
                    <w:rPr>
                      <w:noProof/>
                    </w:rPr>
                    <w:t>—</w:t>
                  </w:r>
                </w:p>
              </w:tc>
              <w:tc>
                <w:tcPr>
                  <w:tcW w:w="0" w:type="auto"/>
                </w:tcPr>
                <w:p>
                  <w:pPr>
                    <w:pStyle w:val="Paragraph"/>
                    <w:rPr>
                      <w:noProof/>
                    </w:rPr>
                  </w:pPr>
                  <w:r>
                    <w:rPr>
                      <w:noProof/>
                    </w:rPr>
                    <w:t xml:space="preserve">du genre </w:t>
                  </w:r>
                  <w:r>
                    <w:rPr>
                      <w:i/>
                      <w:iCs/>
                      <w:noProof/>
                    </w:rPr>
                    <w:t>Ananas</w:t>
                  </w:r>
                  <w:r>
                    <w:rPr>
                      <w:noProof/>
                    </w:rPr>
                    <w: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Brix supérieure ou égale à 11 mais n’excédant pas 16,</w:t>
                  </w:r>
                </w:p>
              </w:tc>
            </w:tr>
          </w:tbl>
          <w:p>
            <w:pPr>
              <w:pStyle w:val="Paragraph"/>
              <w:rPr>
                <w:noProof/>
                <w:lang w:val="fr-BE"/>
              </w:rPr>
            </w:pPr>
            <w:r>
              <w:rPr>
                <w:noProof/>
                <w:lang w:val="fr-BE"/>
              </w:rPr>
              <w:t>destiné à la fabrication de produits de l’industrie des boissons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8 %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2009 49 30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Jus d’ananas, autre qu’en poudre:</w:t>
            </w:r>
          </w:p>
          <w:tbl>
            <w:tblPr>
              <w:tblStyle w:val="Listdash"/>
              <w:tblW w:w="0" w:type="auto"/>
              <w:tblLook w:val="0000" w:firstRow="0" w:lastRow="0" w:firstColumn="0" w:lastColumn="0" w:noHBand="0" w:noVBand="0"/>
            </w:tblPr>
            <w:tblGrid>
              <w:gridCol w:w="220"/>
              <w:gridCol w:w="381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Brix supérieure à 20 mais n’excédant pas 67,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supérieure à 30 EUR par 100 kg de poids net,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contenant des sucres d’addition</w:t>
                  </w:r>
                </w:p>
              </w:tc>
            </w:tr>
          </w:tbl>
          <w:p>
            <w:pPr>
              <w:pStyle w:val="Paragraph"/>
              <w:rPr>
                <w:noProof/>
                <w:lang w:val="fr-BE"/>
              </w:rPr>
            </w:pPr>
            <w:r>
              <w:rPr>
                <w:noProof/>
                <w:lang w:val="fr-BE"/>
              </w:rPr>
              <w:t>destiné à la fabrication de produits de l’industrie agroalimentaire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2009 81 31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Concentré de jus de canneberges: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Brix supérieure ou égale à 40 mais n’excédant pas 66,</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 emballages immédiats d’un contenu de 50 litres ou plus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2009 89 73</w:t>
            </w:r>
          </w:p>
          <w:p>
            <w:pPr>
              <w:pStyle w:val="Paragraph"/>
              <w:rPr>
                <w:noProof/>
              </w:rPr>
            </w:pPr>
            <w:r>
              <w:rPr>
                <w:noProof/>
              </w:rPr>
              <w:t>ex 2009 89 73</w:t>
            </w:r>
          </w:p>
        </w:tc>
        <w:tc>
          <w:tcPr>
            <w:tcW w:w="0" w:type="auto"/>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13</w:t>
            </w:r>
          </w:p>
        </w:tc>
        <w:tc>
          <w:tcPr>
            <w:tcW w:w="0" w:type="auto"/>
            <w:vMerge w:val="restart"/>
            <w:tcBorders>
              <w:left w:val="single" w:sz="2" w:space="0" w:color="auto"/>
            </w:tcBorders>
          </w:tcPr>
          <w:p>
            <w:pPr>
              <w:pStyle w:val="Paragraph"/>
              <w:rPr>
                <w:noProof/>
                <w:lang w:val="fr-BE"/>
              </w:rPr>
            </w:pPr>
            <w:r>
              <w:rPr>
                <w:noProof/>
                <w:lang w:val="fr-BE"/>
              </w:rPr>
              <w:t>Jus de fruits de la passion et concentré de jus de fruits de la passion, même congelés: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Brix supérieure ou égale à 13,7 mais n’excédant pas 55,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excédant 30€ par 100kg poids net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 emballages immédiats d'un contenu de 50 litres ou plus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contenant des sucres d'addition</w:t>
                  </w:r>
                </w:p>
              </w:tc>
            </w:tr>
          </w:tbl>
          <w:p>
            <w:pPr>
              <w:pStyle w:val="Paragraph"/>
              <w:rPr>
                <w:noProof/>
                <w:lang w:val="fr-BE"/>
              </w:rPr>
            </w:pPr>
            <w:r>
              <w:rPr>
                <w:noProof/>
                <w:lang w:val="fr-BE"/>
              </w:rPr>
              <w:t>destinés à la fabrication de produits de l’industrie agroalimentaire</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2009 89 79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Jus de mûre de boysen congelé (boysenberry) concentré, d’une valeur Brix de 61 ou plus, n’excédant pas 67, en emballages immédiats d’un contenu égal ou supérieur à 50 litres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2009 89 79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Jus concentré d'acérola congelé:</w:t>
            </w:r>
          </w:p>
          <w:tbl>
            <w:tblPr>
              <w:tblStyle w:val="Listdash"/>
              <w:tblW w:w="0" w:type="auto"/>
              <w:tblLook w:val="0000" w:firstRow="0" w:lastRow="0" w:firstColumn="0" w:lastColumn="0" w:noHBand="0" w:noVBand="0"/>
            </w:tblPr>
            <w:tblGrid>
              <w:gridCol w:w="220"/>
              <w:gridCol w:w="3815"/>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Brix supérieure à 48 mais n’excédant pas 67,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 emballages immédiats d’un contenu de 50 litres ou plus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2009 89 79</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Jus de baies d’açaï concentré: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 xml:space="preserve">de l’espèce </w:t>
                  </w:r>
                  <w:r>
                    <w:rPr>
                      <w:i/>
                      <w:iCs/>
                      <w:noProof/>
                    </w:rPr>
                    <w:t>Euterpe oleracea,</w:t>
                  </w:r>
                </w:p>
              </w:tc>
            </w:tr>
            <w:tr>
              <w:tc>
                <w:tcPr>
                  <w:tcW w:w="0" w:type="auto"/>
                </w:tcPr>
                <w:p>
                  <w:pPr>
                    <w:pStyle w:val="Paragraph"/>
                    <w:rPr>
                      <w:noProof/>
                    </w:rPr>
                  </w:pPr>
                  <w:r>
                    <w:rPr>
                      <w:noProof/>
                    </w:rPr>
                    <w:t>—</w:t>
                  </w:r>
                </w:p>
              </w:tc>
              <w:tc>
                <w:tcPr>
                  <w:tcW w:w="0" w:type="auto"/>
                </w:tcPr>
                <w:p>
                  <w:pPr>
                    <w:pStyle w:val="Paragraph"/>
                    <w:rPr>
                      <w:noProof/>
                    </w:rPr>
                  </w:pPr>
                  <w:r>
                    <w:rPr>
                      <w:noProof/>
                    </w:rPr>
                    <w:t>congelé,</w:t>
                  </w:r>
                </w:p>
              </w:tc>
            </w:tr>
            <w:tr>
              <w:tc>
                <w:tcPr>
                  <w:tcW w:w="0" w:type="auto"/>
                </w:tcPr>
                <w:p>
                  <w:pPr>
                    <w:pStyle w:val="Paragraph"/>
                    <w:rPr>
                      <w:noProof/>
                    </w:rPr>
                  </w:pPr>
                  <w:r>
                    <w:rPr>
                      <w:noProof/>
                    </w:rPr>
                    <w:t>—</w:t>
                  </w:r>
                </w:p>
              </w:tc>
              <w:tc>
                <w:tcPr>
                  <w:tcW w:w="0" w:type="auto"/>
                </w:tcPr>
                <w:p>
                  <w:pPr>
                    <w:pStyle w:val="Paragraph"/>
                    <w:rPr>
                      <w:noProof/>
                    </w:rPr>
                  </w:pPr>
                  <w:r>
                    <w:rPr>
                      <w:noProof/>
                    </w:rPr>
                    <w:t>non sucré,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ne se présentant pas sous forme de poudre,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Brix supérieure ou égale à 23 mais n’excédant pas 32,</w:t>
                  </w:r>
                </w:p>
              </w:tc>
            </w:tr>
          </w:tbl>
          <w:p>
            <w:pPr>
              <w:pStyle w:val="Paragraph"/>
              <w:rPr>
                <w:noProof/>
                <w:lang w:val="fr-BE"/>
              </w:rPr>
            </w:pPr>
            <w:r>
              <w:rPr>
                <w:noProof/>
                <w:lang w:val="fr-BE"/>
              </w:rPr>
              <w:t>en emballages immmédiats d’un contenu de 10kg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2009 89 97</w:t>
            </w:r>
          </w:p>
          <w:p>
            <w:pPr>
              <w:pStyle w:val="Paragraph"/>
              <w:rPr>
                <w:noProof/>
              </w:rPr>
            </w:pPr>
            <w:r>
              <w:rPr>
                <w:noProof/>
              </w:rPr>
              <w:t>ex 2009 89 97</w:t>
            </w:r>
          </w:p>
        </w:tc>
        <w:tc>
          <w:tcPr>
            <w:tcW w:w="0" w:type="auto"/>
            <w:tcBorders>
              <w:left w:val="single" w:sz="2" w:space="0" w:color="auto"/>
              <w:bottom w:val="nil"/>
            </w:tcBorders>
          </w:tcPr>
          <w:p>
            <w:pPr>
              <w:pStyle w:val="Paragraph"/>
              <w:jc w:val="center"/>
              <w:rPr>
                <w:noProof/>
              </w:rPr>
            </w:pPr>
            <w:r>
              <w:rPr>
                <w:noProof/>
              </w:rPr>
              <w:t>21</w:t>
            </w:r>
          </w:p>
          <w:p>
            <w:pPr>
              <w:pStyle w:val="Paragraph"/>
              <w:jc w:val="center"/>
              <w:rPr>
                <w:noProof/>
              </w:rPr>
            </w:pPr>
            <w:r>
              <w:rPr>
                <w:noProof/>
              </w:rPr>
              <w:t>29</w:t>
            </w:r>
          </w:p>
        </w:tc>
        <w:tc>
          <w:tcPr>
            <w:tcW w:w="0" w:type="auto"/>
            <w:vMerge w:val="restart"/>
            <w:tcBorders>
              <w:left w:val="single" w:sz="2" w:space="0" w:color="auto"/>
            </w:tcBorders>
          </w:tcPr>
          <w:p>
            <w:pPr>
              <w:pStyle w:val="Paragraph"/>
              <w:rPr>
                <w:noProof/>
                <w:lang w:val="fr-BE"/>
              </w:rPr>
            </w:pPr>
            <w:r>
              <w:rPr>
                <w:noProof/>
                <w:lang w:val="fr-BE"/>
              </w:rPr>
              <w:t>Jus de fruits de la passion et concentré de jus de fruits de la passion, même congelés: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Brix supérieure ou égale à 10 mais n’excédant pas 13,7,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valeur excédant 30 € par 100 kg poids net,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 emballages immédiats d'un contenu de 50 litres ou plus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ne contenant pas de sucres d'addition</w:t>
                  </w:r>
                </w:p>
              </w:tc>
            </w:tr>
          </w:tbl>
          <w:p>
            <w:pPr>
              <w:pStyle w:val="Paragraph"/>
              <w:rPr>
                <w:noProof/>
                <w:lang w:val="fr-BE"/>
              </w:rPr>
            </w:pPr>
            <w:r>
              <w:rPr>
                <w:noProof/>
                <w:lang w:val="fr-BE"/>
              </w:rPr>
              <w:t>destinés à la fabrication de produits de l’industrie agroalimentaire</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2009 89 99</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rPr>
            </w:pPr>
            <w:r>
              <w:rPr>
                <w:noProof/>
              </w:rPr>
              <w:t>Eau de coco</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non fermentée,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sans addition d’alcool ou de sucre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 emballages immédiats d’un contenu égal ou supérieur à 20 litres</w:t>
                  </w:r>
                </w:p>
              </w:tc>
            </w:tr>
          </w:tbl>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2106 10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Concentré de protéines de soja dont la teneur en poids en protéines, calculée sur la base du poids sec, est de 65 % ou plus, mais ne dépasse pas 90 %, à l'état de poudre ou sous forme texturée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2106 10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Préparation à base d'isolat de protéines de soja, contenant en poids 6,6 % ou plus de phosphate de calcium, mais pas plus de 8,6 %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2106 90 92</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370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30 % mais pas plus de 35 % d’extrait de réglisse,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65 % mais pas plus de 70 % tricapryline,</w:t>
                  </w:r>
                </w:p>
              </w:tc>
            </w:tr>
          </w:tbl>
          <w:p>
            <w:pPr>
              <w:pStyle w:val="Paragraph"/>
              <w:rPr>
                <w:noProof/>
                <w:lang w:val="fr-BE"/>
              </w:rPr>
            </w:pPr>
            <w:r>
              <w:rPr>
                <w:noProof/>
                <w:lang w:val="fr-BE"/>
              </w:rPr>
              <w:t>normalisée en poids à 3 % ou plus mais pas plus de 4 % de glabridine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2106 90 92</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Hydrolysat de protéines de caséine constitué: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en poids de 20 % ou plus mais pas plus de 70 % d'acides aminés libres,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peptones dont plus de 90 % en poids présentent une masse moléculaire n'excédant pas 2 000 Da</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2106 90 98</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Préparation, présentant une teneur en humidité de 1 % ou plus mais n'excédant pas 4 %, et contenant en poids:</w:t>
            </w:r>
          </w:p>
          <w:tbl>
            <w:tblPr>
              <w:tblStyle w:val="Listdash"/>
              <w:tblW w:w="0" w:type="auto"/>
              <w:tblLook w:val="0000" w:firstRow="0" w:lastRow="0" w:firstColumn="0" w:lastColumn="0" w:noHBand="0" w:noVBand="0"/>
            </w:tblPr>
            <w:tblGrid>
              <w:gridCol w:w="220"/>
              <w:gridCol w:w="408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15 % ou plus mais pas plus de 35 % de babeurre,</w:t>
                  </w:r>
                </w:p>
              </w:tc>
            </w:tr>
            <w:tr>
              <w:tc>
                <w:tcPr>
                  <w:tcW w:w="0" w:type="auto"/>
                </w:tcPr>
                <w:p>
                  <w:pPr>
                    <w:pStyle w:val="Paragraph"/>
                    <w:rPr>
                      <w:noProof/>
                    </w:rPr>
                  </w:pPr>
                  <w:r>
                    <w:rPr>
                      <w:noProof/>
                    </w:rPr>
                    <w:t>—</w:t>
                  </w:r>
                </w:p>
              </w:tc>
              <w:tc>
                <w:tcPr>
                  <w:tcW w:w="0" w:type="auto"/>
                </w:tcPr>
                <w:p>
                  <w:pPr>
                    <w:pStyle w:val="Paragraph"/>
                    <w:rPr>
                      <w:noProof/>
                    </w:rPr>
                  </w:pPr>
                  <w:r>
                    <w:rPr>
                      <w:noProof/>
                    </w:rPr>
                    <w:t>20 % (±10 %) de lactose,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20 % (±10 %) de concentré de protéines de lactosérum,</w:t>
                  </w:r>
                </w:p>
              </w:tc>
            </w:tr>
            <w:tr>
              <w:tc>
                <w:tcPr>
                  <w:tcW w:w="0" w:type="auto"/>
                </w:tcPr>
                <w:p>
                  <w:pPr>
                    <w:pStyle w:val="Paragraph"/>
                    <w:rPr>
                      <w:noProof/>
                    </w:rPr>
                  </w:pPr>
                  <w:r>
                    <w:rPr>
                      <w:noProof/>
                    </w:rPr>
                    <w:t>—</w:t>
                  </w:r>
                </w:p>
              </w:tc>
              <w:tc>
                <w:tcPr>
                  <w:tcW w:w="0" w:type="auto"/>
                </w:tcPr>
                <w:p>
                  <w:pPr>
                    <w:pStyle w:val="Paragraph"/>
                    <w:rPr>
                      <w:noProof/>
                    </w:rPr>
                  </w:pPr>
                  <w:r>
                    <w:rPr>
                      <w:noProof/>
                    </w:rPr>
                    <w:t>15 % (±10 %) de fromage cheddar,</w:t>
                  </w:r>
                </w:p>
              </w:tc>
            </w:tr>
            <w:tr>
              <w:tc>
                <w:tcPr>
                  <w:tcW w:w="0" w:type="auto"/>
                </w:tcPr>
                <w:p>
                  <w:pPr>
                    <w:pStyle w:val="Paragraph"/>
                    <w:rPr>
                      <w:noProof/>
                    </w:rPr>
                  </w:pPr>
                  <w:r>
                    <w:rPr>
                      <w:noProof/>
                    </w:rPr>
                    <w:t>—</w:t>
                  </w:r>
                </w:p>
              </w:tc>
              <w:tc>
                <w:tcPr>
                  <w:tcW w:w="0" w:type="auto"/>
                </w:tcPr>
                <w:p>
                  <w:pPr>
                    <w:pStyle w:val="Paragraph"/>
                    <w:rPr>
                      <w:noProof/>
                    </w:rPr>
                  </w:pPr>
                  <w:r>
                    <w:rPr>
                      <w:noProof/>
                    </w:rPr>
                    <w:t>3 % (±2 %) de sel,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0,1 % ou plus mais pas plus de 10 % d’acide lactique E270,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0,1 % ou plus mais pas plus de 10 % de gomme arabique E414</w:t>
                  </w:r>
                </w:p>
              </w:tc>
            </w:tr>
          </w:tbl>
          <w:p>
            <w:pPr>
              <w:pStyle w:val="Paragraph"/>
              <w:rPr>
                <w:noProof/>
                <w:lang w:val="fr-BE"/>
              </w:rPr>
            </w:pPr>
            <w:r>
              <w:rPr>
                <w:noProof/>
                <w:lang w:val="fr-BE"/>
              </w:rPr>
              <w:t>destinée à la fabrication de produits de l’industrie agroalimentaire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2519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Magnésie électrofondue d’une pureté en poids égale ou supérieure à 94 %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2707 50 00</w:t>
            </w:r>
          </w:p>
          <w:p>
            <w:pPr>
              <w:pStyle w:val="Paragraph"/>
              <w:rPr>
                <w:noProof/>
              </w:rPr>
            </w:pPr>
            <w:r>
              <w:rPr>
                <w:noProof/>
              </w:rPr>
              <w:t>ex 2707 99 80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Mélange d'isomères de xylénol et d'éthylphénol, présentant une teneur totale en xylénol supérieure ou égale en poids à 62 % mais pas plus de 95 %</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2707 99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Huiles lourdes et moyennes, dont la teneur aromatique excède la teneur non aromatique, destinées à être utilisées en tant que produits d’alimentation des raffineries devant subir un des traitements spécifiques définis dans la note complémentaire 5 du chapitre 27.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2710 19 81</w:t>
            </w:r>
          </w:p>
          <w:p>
            <w:pPr>
              <w:pStyle w:val="Paragraph"/>
              <w:rPr>
                <w:noProof/>
              </w:rPr>
            </w:pPr>
            <w:r>
              <w:rPr>
                <w:noProof/>
              </w:rPr>
              <w:t>ex 2710 19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Huile de base hydro-isomérisée par catalyse et déparaffinée constituée d'hydrocarbures hydrogénés hautement isoparaffiniques, contenant:</w:t>
            </w:r>
          </w:p>
          <w:tbl>
            <w:tblPr>
              <w:tblStyle w:val="Listdash"/>
              <w:tblW w:w="0" w:type="auto"/>
              <w:tblLook w:val="0000" w:firstRow="0" w:lastRow="0" w:firstColumn="0" w:lastColumn="0" w:noHBand="0" w:noVBand="0"/>
            </w:tblPr>
            <w:tblGrid>
              <w:gridCol w:w="220"/>
              <w:gridCol w:w="3215"/>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90 %, en poids, de composés saturés,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maximum 0,03 %, en poids, de soufre,</w:t>
                  </w:r>
                </w:p>
              </w:tc>
            </w:tr>
          </w:tbl>
          <w:p>
            <w:pPr>
              <w:pStyle w:val="Paragraph"/>
              <w:rPr>
                <w:noProof/>
                <w:lang w:val="fr-BE"/>
              </w:rPr>
            </w:pPr>
            <w:r>
              <w:rPr>
                <w:noProof/>
                <w:lang w:val="fr-BE"/>
              </w:rPr>
              <w:t>présentant un indice de viscosité supérieur ou égal 80</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2710 19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Huile de base déparaffinée catalytique, synthétisée à partir d'hydrocarbures gazeux et soumise ensuite à un procédé de conversion de la paraffine lourde, constituée de: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 mg/kg de soufre;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99 % en poids d’hydrocarbures saturés;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75 % en poids d'hydrocarbures n-paraffiniques et isoparaffiniques présentant une chaîne carbonée de 18 ou plus, mais n’excédant pas 50;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ayant une viscosité cinématique à 40°C de plus de 6,5 mm²/s,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ayant une viscosité cinématique à 40°C de plus de 11 mm²/s et un indice de viscosité d'au moins 120</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2712 90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Mélange de 1-alcènes (alpha-oléfines) (CAS RN 131459-42-2) contenant en poids 80 % ou plus de 1-alcènes dont la chaîne carbonée compte 24 atomes de carbone ou d’avantage, mais pas plus de 64 contenant, en poids, 72 % de 1-alcènes comportant plus de 28 atomes de carbone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2804 50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Tellure (CAS RN 13494-80-9) d’une pureté en poids de 99,99 % ou plus, mais pas plus de 99,999 %, sur la base des impuretés métalliques mesurées par une analyse de spectroscopie à plasma à couplage inductif (ICP)</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2804 70 00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Phosphore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2805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Calcium d’une pureté de 98 % en poids ou plus, sous forme de poudre ou de fil plein (CAS RN 7440-70-2)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2805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Lithium (métal) (CAS RN 7439-93-2) de pureté égale ou supérieure à 98,8 %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2805 30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Alliage de cérium et d’autres métaux des terres rares, contenant en poids 47 % ou plus de cérium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2805 30 20</w:t>
            </w:r>
          </w:p>
          <w:p>
            <w:pPr>
              <w:pStyle w:val="Paragraph"/>
              <w:rPr>
                <w:noProof/>
              </w:rPr>
            </w:pPr>
            <w:r>
              <w:rPr>
                <w:noProof/>
              </w:rPr>
              <w:t>2805 30 30</w:t>
            </w:r>
          </w:p>
          <w:p>
            <w:pPr>
              <w:pStyle w:val="Paragraph"/>
              <w:rPr>
                <w:noProof/>
              </w:rPr>
            </w:pPr>
            <w:r>
              <w:rPr>
                <w:noProof/>
              </w:rPr>
              <w:t>2805 30 40</w:t>
            </w:r>
          </w:p>
        </w:tc>
        <w:tc>
          <w:tcPr>
            <w:tcW w:w="0" w:type="auto"/>
            <w:tcBorders>
              <w:left w:val="single" w:sz="2" w:space="0" w:color="auto"/>
              <w:bottom w:val="nil"/>
            </w:tcBorders>
          </w:tcPr>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lang w:val="fr-BE"/>
              </w:rPr>
            </w:pPr>
            <w:r>
              <w:rPr>
                <w:noProof/>
                <w:lang w:val="fr-BE"/>
              </w:rPr>
              <w:t>Métaux des terres rares, scandium et yttrium, d’une pureté minimale de 95 % en poids</w:t>
            </w: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2811 19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Acide sulfamidique (CAS RN 5329-14-6)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2811 19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Iodure d’hydrogène (CAS RN 10034-85-2)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2811 22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Dioxyde de silicium (CAS RN 7631-86-9) sous forme de poudre, destiné à être utilisé dans la fabrication de colonnes de chromatographie liquide à haute performance (HPLC) et de cartouches de préparation d’échantillon</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2811 22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Dioxyde de silicium amorphe, calciné (CAS RN 60676-86-0),</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sous forme de poudre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pureté égale ou supérieure à 99,0 %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granulométrie médiane de 0,7 µm ou plus, mais n’excédant pas 2,1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lequel 70 % des particules ont un diamètre n'excédant pas 3 µm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2811 22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Poudre de dioxyde de silicium calciné amorphe</w:t>
            </w:r>
          </w:p>
          <w:tbl>
            <w:tblPr>
              <w:tblStyle w:val="Listdash"/>
              <w:tblW w:w="0" w:type="auto"/>
              <w:tblLook w:val="0000" w:firstRow="0" w:lastRow="0" w:firstColumn="0" w:lastColumn="0" w:noHBand="0" w:noVBand="0"/>
            </w:tblPr>
            <w:tblGrid>
              <w:gridCol w:w="220"/>
              <w:gridCol w:w="324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granulométrie n'excédant pas 20 µm,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 type utilisé dans la fabrication de polyéthylène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2811 29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Dioxyde de tellure (CAS RN 7446-07-3)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2812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Trifluorure d’azote (CAS RN 7783-54-2)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2816 40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Hydroxyde de baryum (CAS RN 17194-00-2)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2818 10 91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Corindon fritté, présentant une structure microcristalline, composé d'oxyde d'aluminium (CAS RN 1344-28-1), d'aluminate de magnésium (CAS RN 12068-51-8) et d'aluminates d'yttrium, de lanthane et de néodyme, des terres rares, contenant en poids (exprimé en oxyde):</w:t>
            </w:r>
          </w:p>
          <w:tbl>
            <w:tblPr>
              <w:tblStyle w:val="Listdash"/>
              <w:tblW w:w="0" w:type="auto"/>
              <w:tblLook w:val="0000" w:firstRow="0" w:lastRow="0" w:firstColumn="0" w:lastColumn="0" w:noHBand="0" w:noVBand="0"/>
            </w:tblPr>
            <w:tblGrid>
              <w:gridCol w:w="220"/>
              <w:gridCol w:w="382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94 % ou plus, mais moins de 98,5 % d'oxyde d'aluminium,</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2 % (± 1,5 %) d'oxyde de magnésium,</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1 % (± 0,6 %) d'oxyde d'yttrium,</w:t>
                  </w:r>
                </w:p>
              </w:tc>
            </w:tr>
          </w:tbl>
          <w:p>
            <w:pPr>
              <w:pStyle w:val="Paragraph"/>
              <w:rPr>
                <w:noProof/>
                <w:lang w:val="fr-BE"/>
              </w:rPr>
            </w:pPr>
            <w:r>
              <w:rPr>
                <w:noProof/>
                <w:lang w:val="fr-BE"/>
              </w:rPr>
              <w:t>et</w:t>
            </w:r>
          </w:p>
          <w:tbl>
            <w:tblPr>
              <w:tblStyle w:val="Listdash"/>
              <w:tblW w:w="0" w:type="auto"/>
              <w:tblLook w:val="0000" w:firstRow="0" w:lastRow="0" w:firstColumn="0" w:lastColumn="0" w:noHBand="0" w:noVBand="0"/>
            </w:tblPr>
            <w:tblGrid>
              <w:gridCol w:w="220"/>
              <w:gridCol w:w="4098"/>
            </w:tblGrid>
            <w:tr>
              <w:tc>
                <w:tcPr>
                  <w:tcW w:w="0" w:type="auto"/>
                </w:tcPr>
                <w:p>
                  <w:pPr>
                    <w:pStyle w:val="Paragraph"/>
                    <w:rPr>
                      <w:noProof/>
                    </w:rPr>
                  </w:pPr>
                  <w:r>
                    <w:rPr>
                      <w:noProof/>
                    </w:rPr>
                    <w:t>—</w:t>
                  </w:r>
                </w:p>
              </w:tc>
              <w:tc>
                <w:tcPr>
                  <w:tcW w:w="0" w:type="auto"/>
                </w:tcPr>
                <w:p>
                  <w:pPr>
                    <w:pStyle w:val="Paragraph"/>
                    <w:rPr>
                      <w:noProof/>
                    </w:rPr>
                  </w:pPr>
                  <w:r>
                    <w:rPr>
                      <w:noProof/>
                    </w:rPr>
                    <w:t>soit 2 % (± 1,2 %) d'oxyde de lanthane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2 % (± 1,2 %) d'oxyde de lanthane et d'oxyde de néodyme,</w:t>
                  </w:r>
                </w:p>
              </w:tc>
            </w:tr>
          </w:tbl>
          <w:p>
            <w:pPr>
              <w:pStyle w:val="Paragraph"/>
              <w:rPr>
                <w:noProof/>
                <w:lang w:val="fr-BE"/>
              </w:rPr>
            </w:pPr>
            <w:r>
              <w:rPr>
                <w:noProof/>
                <w:lang w:val="fr-BE"/>
              </w:rPr>
              <w:t>et constitué pour moins de 50 % de son poids total de particules d’une taille supérieure à 10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2818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Alumine activée possédant une surface spécifique au moins égale à 350 m</w:t>
            </w:r>
            <w:r>
              <w:rPr>
                <w:noProof/>
                <w:vertAlign w:val="superscript"/>
                <w:lang w:val="fr-BE"/>
              </w:rPr>
              <w:t>2</w:t>
            </w:r>
            <w:r>
              <w:rPr>
                <w:noProof/>
                <w:lang w:val="fr-BE"/>
              </w:rPr>
              <w:t>/g</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2818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Hydroxyde d'aluminium (CAS RN 21645-51-2)</w:t>
            </w:r>
          </w:p>
          <w:tbl>
            <w:tblPr>
              <w:tblStyle w:val="Listdash"/>
              <w:tblW w:w="0" w:type="auto"/>
              <w:tblLook w:val="0000" w:firstRow="0" w:lastRow="0" w:firstColumn="0" w:lastColumn="0" w:noHBand="0" w:noVBand="0"/>
            </w:tblPr>
            <w:tblGrid>
              <w:gridCol w:w="220"/>
              <w:gridCol w:w="4249"/>
            </w:tblGrid>
            <w:tr>
              <w:tc>
                <w:tcPr>
                  <w:tcW w:w="0" w:type="auto"/>
                </w:tcPr>
                <w:p>
                  <w:pPr>
                    <w:pStyle w:val="Paragraph"/>
                    <w:rPr>
                      <w:noProof/>
                    </w:rPr>
                  </w:pPr>
                  <w:r>
                    <w:rPr>
                      <w:noProof/>
                    </w:rPr>
                    <w:t>—</w:t>
                  </w:r>
                </w:p>
              </w:tc>
              <w:tc>
                <w:tcPr>
                  <w:tcW w:w="0" w:type="auto"/>
                </w:tcPr>
                <w:p>
                  <w:pPr>
                    <w:pStyle w:val="Paragraph"/>
                    <w:rPr>
                      <w:noProof/>
                    </w:rPr>
                  </w:pPr>
                  <w:r>
                    <w:rPr>
                      <w:noProof/>
                    </w:rPr>
                    <w:t>sous forme de poudre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pureté égale ou supérieure à 99,5 %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ayant un point de décomposition égal ou supérieur à 263°C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taille de grains de 4 µm (± 1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teneur totale en Na</w:t>
                  </w:r>
                  <w:r>
                    <w:rPr>
                      <w:noProof/>
                      <w:vertAlign w:val="subscript"/>
                      <w:lang w:val="fr-BE"/>
                    </w:rPr>
                    <w:t>2</w:t>
                  </w:r>
                  <w:r>
                    <w:rPr>
                      <w:noProof/>
                      <w:lang w:val="fr-BE"/>
                    </w:rPr>
                    <w:t>O inférieure ou égale à 0,06 % du poids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2818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Hydroxyde-oxyde d’aluminium sous forme de boehmite ou de pseudo-boehmite (CAS RN 1318-23-6)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2819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Trioxyde de dichrome (CAS RN 1308-38-9) destiné à la métallurgie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2823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Dioxyde de titane (CAS RN 13463-67-7):</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pureté égale ou supérieure à 99,9 %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granulométrie moyenne égale ou supérieure à 0,7 µm, mais n'excédant pas 2,1 µm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2825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Chlorure d'hydroxylammonium (CAS RN 5470-11-1)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2825 30 00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Oxydes et hydroxydes de vanadium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2825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Oxyde de cuivre (I ou II) contenant en poids 78 % ou plus de cuivre et pas plus de 0,03 % de chlorure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2825 50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Oxyde de cuivre (II) (CAS RN 1317-38-0) dont la taille des particules n'excède pas 100nm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2825 60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Dioxyde de zirconium (CAS RN 1314-23-4)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2825 70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Trioxyde de molybdène (CAS RN 1313-27-5)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2825 70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Acide molybdique (CAS RN 7782-91-4)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2826 19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Hexafluorure de tungstène (CAS RN  7783-82-6)  d’une pureté en poids de 99,9 %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2826 90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Hexafluorophosphate(1-) de lithium (CAS RN 21324-40-3)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2826 90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Difluorophosphate de lithium (CAS RN 24389-25-1)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2827 39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Monochlorure de cuivre (CAS RN 7758-89-6) d’une pureté en poids de 96 % ou plus mais n’excédant pas 99 %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2827 39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Pentachlorure d’antimoine (CAS RN 7647-18-9) d’une pureté en poids de 99 %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2827 39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Chlorure de baryum dihydraté (CAS RN  10326-27-9)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2827 49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Oxydichlorure de zirconium hydraté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2827 60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Iodure de sodium (CAS RN 7681-82-5)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2830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Tétrasulfure de disodium, contenant en poids 38 % ou moins de sodium calculé sur produit sec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2833 29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Monohydrate de sulfate de manganèse (CAS RN 10034-96-5)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2833 29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Sulfate de zirconium (CAS RN 14644-61-2)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2835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Hypophosphite de sodium, monohydrate (CAS RN 10039-56-2)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2835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Hypophosphite de sodium  (CAS RN 7681-53-0)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2835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Phosphinate d'aluminium (CAS RN 7784-22-7)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2836 91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Carbonate de lithium, contenant une ou plusieurs des impuretés suivantes aux concentrations indiquées:</w:t>
            </w:r>
          </w:p>
          <w:tbl>
            <w:tblPr>
              <w:tblStyle w:val="Listdash"/>
              <w:tblW w:w="0" w:type="auto"/>
              <w:tblLook w:val="0000" w:firstRow="0" w:lastRow="0" w:firstColumn="0" w:lastColumn="0" w:noHBand="0" w:noVBand="0"/>
            </w:tblPr>
            <w:tblGrid>
              <w:gridCol w:w="220"/>
              <w:gridCol w:w="2358"/>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2 mg/kg ou plus d’arsenic,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200 mg/kg ou plus de calcium,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200 mg/kg ou plus de chlorures,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20 mg/kg ou plus de fer,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150 mg/kg ou plus de magnésium,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20 mg/kg ou plus de métaux lourds,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300 mg/kg ou plus de potassium,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300 mg/kg ou plus de sodium,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200 mg/kg ou plus de sulfates,</w:t>
                  </w:r>
                </w:p>
              </w:tc>
            </w:tr>
          </w:tbl>
          <w:p>
            <w:pPr>
              <w:pStyle w:val="Paragraph"/>
              <w:rPr>
                <w:noProof/>
                <w:lang w:val="fr-BE"/>
              </w:rPr>
            </w:pPr>
            <w:r>
              <w:rPr>
                <w:noProof/>
                <w:lang w:val="fr-BE"/>
              </w:rPr>
              <w:t>mesurées d’après les méthodes spécifiées dans la Pharmacopée européenne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2836 99 17</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Carbonate basique de zirconium (IV) (CAS RN 57219-64-4 ou 37356-18-6) d'une pureté de 96 % en poids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2837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Cyanure de cuivre (CAS RN 544-92-3)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2837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Hexacyanoferrate (II) de tétrasodium (CAS RN 13601-19-9)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2839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Disilicate de disodium (CAS RN 13870-28-5)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2839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Silicate de calcium (CAS RN 1344-95-2)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2840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Borate de zinc (CAS RN 12767-90-7)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2841 50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Dichromate de potassium (CAS RN 7778-50-9)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2841 70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Tetraoxomolybdate(2-) de diammonium ( CAS RN 13106-76-8)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2841 70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Tridécaoxotétramolybdate(2-) de diammonium (CAS RN 12207-64-6)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2841 70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Heptamolybdate d’hexaammonium, anhydre (CAS RN 12027-67-7) ou sous la forme de tétrahydrate (CAS RN 12054-85-2)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2841 70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Dimolybdate de diammonium (CAS RN 27546-07-2)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2841 80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Tungstate de diammonium (paratungstate d’ammonium) (CAS RN 11120-25-5)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2841 90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Métavanadate de potassium (CAS RN 13769-43-2)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2841 90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Dioxyde de cobalt (III) et de lithium (CAS RN 12190-79-3) ayant une teneur en cobalt d’au moins 59 %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2841 90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Oxyde de potassium et de titane (CAS RN 12056-51-8) sous forme de poudre, d'une pureté minimale de 99 %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2842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Poudre de zéolithe bêta synthétique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2842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Poudre de zéolithe synthétique de type chabazite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2842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Aluminosilicate (CAS RN 1318-02-1) à structure zéolite d’aluminophosphate-18 destiné à la fabrication de préparations catalytiques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2842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Fluorphlogopite (CAS RN 12003-38-2)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2842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Sélénate de sodium (CAS RN 13410-01-0)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2842 90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 xml:space="preserve">Dodécachlorure d’aluminium et de trititane (CAS RN 12003-13-3)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2845 10 00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Eau lourde (oxyde de deutérium) (</w:t>
            </w:r>
            <w:r>
              <w:rPr>
                <w:i/>
                <w:iCs/>
                <w:noProof/>
                <w:lang w:val="fr-BE"/>
              </w:rPr>
              <w:t>Euratom</w:t>
            </w:r>
            <w:r>
              <w:rPr>
                <w:noProof/>
                <w:lang w:val="fr-BE"/>
              </w:rPr>
              <w:t>) (CAS RN 7789-20-0)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2845 90 10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Deutérium et composés du deutérium; hydrogène et ses composés, enrichis en deutérium; mélanges et solutions contenant ces produits (</w:t>
            </w:r>
            <w:r>
              <w:rPr>
                <w:i/>
                <w:iCs/>
                <w:noProof/>
                <w:lang w:val="fr-BE"/>
              </w:rPr>
              <w:t>Euratom</w:t>
            </w:r>
            <w:r>
              <w:rPr>
                <w:noProof/>
                <w:lang w:val="fr-BE"/>
              </w:rPr>
              <w: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2845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Hélium-3 (CAS RN 14762-55-1)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2845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Eau enrichie à 95 % ou plus en poids en oxygène 18 (CAS RN 14314-42-2)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2845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w:t>
            </w:r>
            <w:r>
              <w:rPr>
                <w:noProof/>
                <w:vertAlign w:val="superscript"/>
                <w:lang w:val="fr-BE"/>
              </w:rPr>
              <w:t>13</w:t>
            </w:r>
            <w:r>
              <w:rPr>
                <w:noProof/>
                <w:lang w:val="fr-BE"/>
              </w:rPr>
              <w:t>C)Monoxyde de carbone (CAS RN 1641-69-6)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2846 10 00</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53</w:t>
            </w:r>
          </w:p>
        </w:tc>
        <w:tc>
          <w:tcPr>
            <w:tcW w:w="0" w:type="auto"/>
            <w:vMerge w:val="restart"/>
            <w:tcBorders>
              <w:left w:val="single" w:sz="2" w:space="0" w:color="auto"/>
            </w:tcBorders>
          </w:tcPr>
          <w:p>
            <w:pPr>
              <w:pStyle w:val="Paragraph"/>
              <w:rPr>
                <w:noProof/>
                <w:lang w:val="fr-BE"/>
              </w:rPr>
            </w:pPr>
            <w:r>
              <w:rPr>
                <w:noProof/>
                <w:lang w:val="fr-BE"/>
              </w:rPr>
              <w:t>Concentré de terres rares contenant en poids 60 % ou plus mais pas plus de 95 % d’oxydes de terres rares et pas plus de 1 % chacun d’oxyde de zirconium, d’oxyde d’aluminium ou d’oxyde de fer, et ayant une perte par calcination de 5 % ou plus en poids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ex 2846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Tricarbonate de dicérium (CAS RN  537-01-9) , même hydraté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2846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Carbonate de cérium et de lanthane, même hydraté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2846 90 10</w:t>
            </w:r>
          </w:p>
          <w:p>
            <w:pPr>
              <w:pStyle w:val="Paragraph"/>
              <w:rPr>
                <w:noProof/>
              </w:rPr>
            </w:pPr>
            <w:r>
              <w:rPr>
                <w:noProof/>
              </w:rPr>
              <w:t>2846 90 20</w:t>
            </w:r>
          </w:p>
          <w:p>
            <w:pPr>
              <w:pStyle w:val="Paragraph"/>
              <w:rPr>
                <w:noProof/>
              </w:rPr>
            </w:pPr>
            <w:r>
              <w:rPr>
                <w:noProof/>
              </w:rPr>
              <w:t>2846 90 30</w:t>
            </w:r>
          </w:p>
          <w:p>
            <w:pPr>
              <w:pStyle w:val="Paragraph"/>
              <w:rPr>
                <w:noProof/>
              </w:rPr>
            </w:pPr>
            <w:r>
              <w:rPr>
                <w:noProof/>
              </w:rPr>
              <w:t>2846 90 90</w:t>
            </w:r>
          </w:p>
        </w:tc>
        <w:tc>
          <w:tcPr>
            <w:tcW w:w="0" w:type="auto"/>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lang w:val="fr-BE"/>
              </w:rPr>
            </w:pPr>
            <w:r>
              <w:rPr>
                <w:noProof/>
                <w:lang w:val="fr-BE"/>
              </w:rPr>
              <w:t>Composés, inorganiques ou organiques, des métaux des terres rares, de l’yttrium ou du scandium ou des mélanges de ces métaux, autres que ceux de la sous-position 2846 10 00</w:t>
            </w:r>
          </w:p>
          <w:p>
            <w:pPr>
              <w:pStyle w:val="Paragraph"/>
              <w:rPr>
                <w:noProof/>
                <w:lang w:val="fr-BE"/>
              </w:rPr>
            </w:pP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2850 00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Silane (CAS RN 7803-62-5)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2850 00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Arsine (CAS RN 7784-42-1)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Nitrure de titane (CAS RN  25583-20-4) , sous la forme de particules de taille inférieure ou égale à 250 nm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Tétrahydrure de germanium (CAS RN 7782-65-2)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2850 00 20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Disilane (CAS RN 1590-87-0)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2850 00 20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Nitrure de bore cubique (CAS RN 10043-11-5)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2850 00 60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Azoture de sodium (CAS RN 26628-22-8)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2853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Phosphine (CAS RN 7803-51-2)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2903 39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5-Bromopent-1-ène (CAS RN 1119-51-3)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2903 39 21</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Difluorométhane (CAS RN 75-10-5)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2903 39 24</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Pentafluoroéthane (CAS RN 354-33-6)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2903 39 26</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Matière de base du 1,1,1,2-tétrafluoroéthane pour production de qualité pharmaceutique répondant aux spécifications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R134 (1,1,2,2-tétrafluoroéthane) 600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R143a (1,1,1-trifluoroéthane) 5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 125 (pentafluoréthane) 2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R 124 (1-chloro-1,2,2,2-tétrafluoroéthane) 100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R114 (1,2-dichlorotétrafluoroéthane) 30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R114a (1,1-dichlorotétrafluoroéthane) 50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R133a (1-chloro-2,2,2-trifluoroéthane) 250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R 22 (chlorodifluorométhane) 2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R115 (chloropentafluoroéthane) 2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R12 (dichlorodifluorométhane) 2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 40 (chlorure de méthyle) 20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R245cb (1,1,1,2,2-pentafluoropropane) 20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R12B1 (chlorodifluorobromométhane) 20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R32 (difluorométhane) 20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R31 (chlorofluorométhane) 15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R152a (1,1-difluoroéthane) 10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1131 (1-chloro-2 fluoroéthylène) 20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1122 (1-chloro-2,2-difluoroéthylène) 20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1234yf (2,3,3,3-tétrafluoropropène) 3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1243zf (3,3,3 trifluoropropène) 3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1122a (1-chloro-1,2-difluoroéthylène) 3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1234yf+1122a+1243zf (2,3,3,3-tétrafluoropropène+1-chloro-1,2-difluoroéthylène + 3,3,3-trifluoropropène) 4,5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toute substance chimique individuelle non spécifiée par ailleurs/inconnue 3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total des composés de substances chimiques inconnues &amp; non spécifiées par ailleurs 10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eau 10 ppm en poids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acidité: 0,1 ppm en poids au maximum</w:t>
                  </w:r>
                </w:p>
              </w:tc>
            </w:tr>
            <w:tr>
              <w:tc>
                <w:tcPr>
                  <w:tcW w:w="0" w:type="auto"/>
                </w:tcPr>
                <w:p>
                  <w:pPr>
                    <w:pStyle w:val="Paragraph"/>
                    <w:rPr>
                      <w:noProof/>
                    </w:rPr>
                  </w:pPr>
                  <w:r>
                    <w:rPr>
                      <w:noProof/>
                    </w:rPr>
                    <w:t>—</w:t>
                  </w:r>
                </w:p>
              </w:tc>
              <w:tc>
                <w:tcPr>
                  <w:tcW w:w="0" w:type="auto"/>
                </w:tcPr>
                <w:p>
                  <w:pPr>
                    <w:pStyle w:val="Paragraph"/>
                    <w:rPr>
                      <w:noProof/>
                    </w:rPr>
                  </w:pPr>
                  <w:r>
                    <w:rPr>
                      <w:noProof/>
                    </w:rPr>
                    <w:t>halogénures: non détectés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substances à haut point d'ébullition: 0,01 % en volume au maximum</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inodore (absence d'odeur désagréable)</w:t>
                  </w:r>
                </w:p>
              </w:tc>
            </w:tr>
          </w:tbl>
          <w:p>
            <w:pPr>
              <w:pStyle w:val="Paragraph"/>
              <w:rPr>
                <w:noProof/>
                <w:lang w:val="fr-BE"/>
              </w:rPr>
            </w:pPr>
            <w:r>
              <w:rPr>
                <w:noProof/>
                <w:lang w:val="fr-BE"/>
              </w:rPr>
              <w:t>Pour purification plus poussée permettant d'obtenir du HFC 134a produit selon les BPF (bonnes pratiques de fabrication) de qualité pour inhalation destiné à être utilisé comme agent propulseur d’aérosols médicaux dont le contenu est absorbé par la bouche ou les cavités nasales, et/ou par les voies respiratoires (CAS RN  811-97-2)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2903 39 27</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1,1,1,3,3-Pentafluoropropane (CAS RN 460-73-1)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2903 39 28</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Tétrafluorure de carbone (tétrafluorométhane) (CAS RN 75-73-0)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2903 39 28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Perfluoroéthane (CAS RN 76-16-4)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2903 39 29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1H-Perfluorohexane (CAS RN 355-37-3)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2903 39 31</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2,3,3,3-Tétrafluoroprop-1-ène (2,3,3,3-tétrafluoropropane) (CAS RN 754-12-1)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2903 39 35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i/>
                <w:iCs/>
                <w:noProof/>
                <w:lang w:val="fr-BE"/>
              </w:rPr>
              <w:t>Trans</w:t>
            </w:r>
            <w:r>
              <w:rPr>
                <w:noProof/>
                <w:lang w:val="fr-BE"/>
              </w:rPr>
              <w:t>-1,3,3,3-tétrafluorprop-1-ène (</w:t>
            </w:r>
            <w:r>
              <w:rPr>
                <w:i/>
                <w:iCs/>
                <w:noProof/>
                <w:lang w:val="fr-BE"/>
              </w:rPr>
              <w:t>Trans</w:t>
            </w:r>
            <w:r>
              <w:rPr>
                <w:noProof/>
                <w:lang w:val="fr-BE"/>
              </w:rPr>
              <w:t>-1,3,3,3-tétrafluoropropane) (CAS RN 29118-24-9)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2903 39 39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Perfluoro(4-méthyl-2-pentène) (CAS RN 84650-68-0)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2903 39 39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(Perfluorobutyl)éthylène (CAS RN 19430-93-4)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2903 39 39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Hexafluoropropène (CAS RN 116-15-4)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2903 39 39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1,1,2,3,4,4-hexafluorobuta-1,3-diène (CAS RN 685-63-2)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2903 74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2-Chloro-1,1-difluoroéthane (CAS RN 338-65-8)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2903 77 60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1,1,1-Trichlorotrifluoroéthane (CAS RN 354-58-5)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2903 77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Chlorotrifluoroéthylène (CAS RN 79-38-9)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2903 78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Octafluoro-1,4-diiodobutane (CAS RN 375-50-8)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2903 79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Trans-1-chloro-3,3,3-trifluoropropène (CAS RN 102687-65-0)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2903 89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1,6,7,8,9,14,15,16,17,17,18,18-Dodécachloropentacyclo [12.2.1.1</w:t>
            </w:r>
            <w:r>
              <w:rPr>
                <w:noProof/>
                <w:vertAlign w:val="superscript"/>
              </w:rPr>
              <w:t>6,9</w:t>
            </w:r>
            <w:r>
              <w:rPr>
                <w:noProof/>
              </w:rPr>
              <w:t>.0</w:t>
            </w:r>
            <w:r>
              <w:rPr>
                <w:noProof/>
                <w:vertAlign w:val="superscript"/>
              </w:rPr>
              <w:t>2,13</w:t>
            </w:r>
            <w:r>
              <w:rPr>
                <w:noProof/>
              </w:rPr>
              <w:t>.0</w:t>
            </w:r>
            <w:r>
              <w:rPr>
                <w:noProof/>
                <w:vertAlign w:val="superscript"/>
              </w:rPr>
              <w:t>5,10</w:t>
            </w:r>
            <w:r>
              <w:rPr>
                <w:noProof/>
              </w:rPr>
              <w:t>]octadéca-7,15-diène (CAS RN 13560-89-9)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2903 89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Hexabromocyclododécane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2903 89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Chlorocyclopentane (CAS RN 930-28-9)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2903 89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Octafluorocyclobutane (CAS RN 115-25-3)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2903 99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4-Bromo-2-chloro-1-fluorobenzène (CAS RN 60811-21-4)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1,2-Bis(pentabromophényl)éthane (CAS RN 84852-53-9)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2,6-Dichlorotoluène, d’une pureté en poids de 99 % ou plus et contenant:</w:t>
            </w:r>
          </w:p>
          <w:tbl>
            <w:tblPr>
              <w:tblStyle w:val="Listdash"/>
              <w:tblW w:w="0" w:type="auto"/>
              <w:tblLook w:val="0000" w:firstRow="0" w:lastRow="0" w:firstColumn="0" w:lastColumn="0" w:noHBand="0" w:noVBand="0"/>
            </w:tblPr>
            <w:tblGrid>
              <w:gridCol w:w="220"/>
              <w:gridCol w:w="359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0,001 mg/kg ou moins de tétrachlorodibenzodioxinnes,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0,001 mg/kg ou moins de tétrachlorodibenzofurannes,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0,2 mg/kg ou moins de tétrachlorobiphényles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Fluorobenzène (CAS RN 462-06-6)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2903 99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1,1'-méthylènebis (4-fluorobenzène) (CAS RN  457-68-1)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2903 99 80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3-Chloro-alpha,alpha,alpha-trifluorotoluène (CAS RN 98-15-7)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2903 99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1-Bromo-3,4,5-trifluorobenzène (CAS RN 138526-69-9)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2904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i/>
                <w:iCs/>
                <w:noProof/>
              </w:rPr>
              <w:t>p</w:t>
            </w:r>
            <w:r>
              <w:rPr>
                <w:noProof/>
              </w:rPr>
              <w:t>-Styrènesulfonate de sodium (CAS RN 2695-37-6)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2904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2-Méthylprop-2-ène-1-sulfonate de sodium (CAS RN 1561-92-8)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2904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Nitrométhane (CAS RN 75-52-5)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2904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Nitroéthane (CAS RN 79-24-3)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2904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1-Nitropropane (CAS RN 108-03-2)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2904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2-Nitropropane (CAS RN 79-46-9)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2904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Trichloronitrométhane (CAS RN 76-06-2)  , destiné à la fabrication de produits de la sous-position 3808 92</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2904 99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1-Chloro-2,4-dinitrobenzène (CAS RN 97-00-7)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2904 99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Chlorure de difluorométhanesulfonyle (CAS RN 1512-30-7)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2904 99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Chlorure de tosyle (CAS RN 98-59-9)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2904 99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1-Fluoro-4-nitrobenzène (CAS RN 350-46-9)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2904 99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Chlorure de 4-chlorobenzènesulfonyle (CAS RN 98-60-2)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Chlorure de 2-nitrobenzènesulfonyle (CAS RN 1694-92-4)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2904 99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Chlorure d'éthanesulfonyle (CAS RN 594-44-5)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2904 99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Acide 4,4'-dinitrostilbene-2,2'-disulfonique (CAS RN 128-42-7)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2904 99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1-Chloro-4-nitrobenzène (CAS RN 100-00-5)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2904 99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1-Chloro-2-nitrobenzène (CAS RN 88-73-3)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2905 11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Méthanol (CAS RN 67-56-1), d'une pureté en poids de 99,85 %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2905 11 00</w:t>
            </w:r>
          </w:p>
          <w:p>
            <w:pPr>
              <w:pStyle w:val="Paragraph"/>
              <w:rPr>
                <w:noProof/>
              </w:rPr>
            </w:pPr>
            <w:r>
              <w:rPr>
                <w:noProof/>
              </w:rPr>
              <w:t>ex 2905 19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35</w:t>
            </w:r>
          </w:p>
        </w:tc>
        <w:tc>
          <w:tcPr>
            <w:tcW w:w="0" w:type="auto"/>
            <w:vMerge w:val="restart"/>
            <w:tcBorders>
              <w:left w:val="single" w:sz="2" w:space="0" w:color="auto"/>
            </w:tcBorders>
          </w:tcPr>
          <w:p>
            <w:pPr>
              <w:pStyle w:val="Paragraph"/>
              <w:rPr>
                <w:noProof/>
                <w:lang w:val="fr-BE"/>
              </w:rPr>
            </w:pPr>
            <w:r>
              <w:rPr>
                <w:noProof/>
                <w:lang w:val="fr-BE"/>
              </w:rPr>
              <w:t>Méthanesulfonate de méthyle (CAS RN 66-27-3)</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2905 19 00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fr-BE"/>
              </w:rPr>
            </w:pPr>
            <w:r>
              <w:rPr>
                <w:noProof/>
                <w:lang w:val="fr-BE"/>
              </w:rPr>
              <w:t>Tert-butanolate de potassium (CAS RN 865-47-4), même sous forme de solution dans le tétrahydrofuranne conformément à la note 1 e) du chapitre 29 de la NC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2905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Titanate de butyle monohydrate, homopolymère (CAS RN 162303-51-7)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2905 19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Tétra 2-éthylhexyltitanate (CAS RN 1070-10-6)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2905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2,6-Diméthylheptane-4-ol (CAS RN 108-82-7)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2,6-Diméthylheptane-2-ol (CAS RN 13254-34-7)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Tétrabutanolate de titane (CAS RN 5593-70-4)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2905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Tétraisopropoxyde de titane (CAS RN 546-68-9)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2905 19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Ethanolate de titane (CAS RN 3087-36-3)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2905 22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Linalol (CAS RN 78-70-6), d’une teneur en linalol (3R) — (−) (CAS RN 126-91-0) égale ou supérieure à 90,7 %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2905 22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3,7-diméthyl-oct-6-ène-1-ol (CAS RN 106-22-9)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2905 29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(3Z)-3-Hexén-1-ol (CAS RN 928-96-1)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Propane-1,3-diol (CAS RN 504-63-2)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Butane-1,2-diol (CAS RN 584-03-2)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2,4,7,9-Tétraméthyl-4,7-décanediol (CAS RN 17913-76-7)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2905 39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Décane-1,10-diol (CAS RN 112-47-0)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2905 39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2-Méthyl-2-propylpropane-1,3-diol (CAS RN 78-26-2)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2905 49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Éthylidynetriméthanol (CAS RN 77-85-0)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2905 59 98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2,2,2-Trifluoroéthanol (CAS RN 75-89-8)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2906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Cyclohex-1,4-ylènediméthanol (CAS RN 105-08-8)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2906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4,4’-Isopropylidènedicyclohexanol (CAS RN 80-04-6)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2906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w:t>
            </w:r>
            <w:r>
              <w:rPr>
                <w:i/>
                <w:iCs/>
                <w:noProof/>
              </w:rPr>
              <w:t>tert</w:t>
            </w:r>
            <w:r>
              <w:rPr>
                <w:noProof/>
              </w:rPr>
              <w:t>-Butylcyclohexanol (CAS RN 98-52-2)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2906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1-Hydroxyméthyl-4-méthyl-2,3,5,6-tétrafluorobenzène (CAS RN 79538-03-7)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2906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2-Phényléthanol (CAS RN 60-12-8)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2906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2-Bromo-5-iodo-benzèneméthanol (CAS RN 946525-30-0)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2906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alpha,alpha'-Dihydroxy-1,3-diisopropylbenzene (CAS RN 1999-85-5)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2907 12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Mélange de méta-crésol (CAS RN 108-39-4) et de para-crésol (CAS RN 106-44-5) d’une pureté supérieure ou égale à 99 pour cent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2907 12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p-Crésol (CAS RN 106-44-5)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2907 15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2-Naphtol (CAS RN 135-19-3)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2907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2,6-Xylénol (CAS RN 576-26-1)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2907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Biphényle-4-ol (CAS RN 92-69-3)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2907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Résorcinol (CAS RN 108-46-3)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2907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6,6'-Di-tert-butyl-4,4'-butylidènedi-m-crésol (CAS RN 85-60-9)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2907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4,4'-(3,3,5-Triméthylcyclohexylidène)diphénol (CAS RN 129188-99-4)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Alcool 4-hydroxybenzylique (CAS RN 623-05-2)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2907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4,4',4"-Éthylidynetriphénol (CAS RN 27955-94-8)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2-Méthylhydroquinone (CAS RN 95-71-6)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2907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6,6',6"-Tricyclohexyl-4,4',4"-butane-1,1,3-triyltri(</w:t>
            </w:r>
            <w:r>
              <w:rPr>
                <w:i/>
                <w:iCs/>
                <w:noProof/>
              </w:rPr>
              <w:t>m</w:t>
            </w:r>
            <w:r>
              <w:rPr>
                <w:noProof/>
              </w:rPr>
              <w:t>-crésol) (CAS RN 111850-25-0)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2907 29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2,2'-Methylenebis(6-cyclohexyl-p-cresol) (CAS RN 4066-02-8)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2907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2,2’,2",6,6’,6"-Hexa-</w:t>
            </w:r>
            <w:r>
              <w:rPr>
                <w:i/>
                <w:iCs/>
                <w:noProof/>
              </w:rPr>
              <w:t>tert</w:t>
            </w:r>
            <w:r>
              <w:rPr>
                <w:noProof/>
              </w:rPr>
              <w:t>-butyl-</w:t>
            </w:r>
            <w:r>
              <w:rPr>
                <w:i/>
                <w:iCs/>
                <w:noProof/>
              </w:rPr>
              <w:t>α,α’,α"</w:t>
            </w:r>
            <w:r>
              <w:rPr>
                <w:noProof/>
              </w:rPr>
              <w:t>-(mésitylène-2,4,6-triyl)tri-</w:t>
            </w:r>
            <w:r>
              <w:rPr>
                <w:i/>
                <w:iCs/>
                <w:noProof/>
              </w:rPr>
              <w:t>p</w:t>
            </w:r>
            <w:r>
              <w:rPr>
                <w:noProof/>
              </w:rPr>
              <w:t>-crésol (CAS RN 1709-70-2)</w:t>
            </w:r>
          </w:p>
          <w:p>
            <w:pPr>
              <w:pStyle w:val="Paragraph"/>
              <w:rPr>
                <w:noProof/>
              </w:rPr>
            </w:pPr>
            <w:r>
              <w:rPr>
                <w:noProof/>
              </w:rPr>
              <w:t>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2907 29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 xml:space="preserve">4,4'-Biphényldiol (CAS RN 92-88-6)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2907 29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Phloroglucinole, même hydraté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2908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Pentafluorophénol (CAS RN 771-61-9)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2908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4,4'-(Perfluoroisopropylidène)diphénol (CAS RN 1478-61-1)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4-Chlorophénol (CAS RN 106-48-9)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3,4,5-Trifluorophénol (CAS RN 99627-05-1)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2908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4-Fluorophénol (CAS RN 371-41-5)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2909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Oxyde de bis(2-chloroéthyle) (CAS RN 111-44-4)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2909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Mélange d’isomères d’oxyde de nonafluorobutyle et de méthyle ou d’oxyde de nonafluorobutyle et d’éthyle, d’une pureté en poids de 99 %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2909 19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3-Éthoxy-perfluoro-2-méthylhexane (CAS RN 297730-93-9)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8-Méthoxycédrane (CAS RN 19870-74-7)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2909 30 38</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Oxyde de bis(pentabromophényle) (CAS RN 1163-19-5)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2909 30 38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1,1’-Propane-2,2-diylbis[3,5-dibromo-4-(2,3-dibromopropoxy)benzène] (CAS RN 21850-44-2)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30 38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1,1'-(1-Méthyléthylidène)bis[3,5-dibromo-4-(2,3-dibromo-2-méthylpropoxy)]-benzène (CAS RN 97416-84-7)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2909 30 38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4-Benzyloxybromobenzène (CAS RN 6793-92-6)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2-(phénylméthoxy)naphtalène (CAS RN 613-62-7)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{[(2,2-diméthylbut-3-yne-1-yl)oxy]méthyl}benzène (CAS RN 1092536-54-3)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1,2-Bis(3-méthylphénoxy)éthane (CAS RN 54914-85-1)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1,2-diphénoxyéthane (CAS RN 104-66-5), sous forme de poudre ou en dispersion aqueuse, contenant en poids 30 % ou plus mais pas plus de 60 % d’1,2-diphénoxyéthane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3,4,5-Triméthoxytoluène  (CAS RN 6443-69-2)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1-Chloro-2,5-diméthoxybenzène (CAS RN 2100-42-7)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1-Ethoxy-2,3-difluorobenzène (CAS RN 121219-07-6)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1-Butoxy-2,3-difluorobenzène (CAS RN 136239-66-2)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pt-PT"/>
              </w:rPr>
            </w:pPr>
            <w:r>
              <w:rPr>
                <w:i/>
                <w:iCs/>
                <w:noProof/>
                <w:lang w:val="pt-PT"/>
              </w:rPr>
              <w:t>O,O,O</w:t>
            </w:r>
            <w:r>
              <w:rPr>
                <w:noProof/>
                <w:lang w:val="pt-PT"/>
              </w:rPr>
              <w:t>-1,3,5-triméthylresorcinol (CAS RN 621-23-8)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Oxyfluorfène (ISO) (CAS RN 42874-03-3) d'une pureté d'au moins 97 %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49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1-Propoxypropan-2-ol (CAS RN 1569-01-3)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2909 50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4-(2-Méthoxyéthyl)phénol (CAS RN 56718-71-9)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2909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Ubiquinol(CAS RN 992-78-9)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2909 60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Péroxyde de bis(α,α-diméthylbenzyle) (CAS RN 80-43-3)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2909 60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3,6,9-Triéthyl- 3,6,9-triméthyl- 1,4,7-triperoxonane (CAS RN 24748-23-0) dissout dans des hydrocarbures isoparaffiniques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2910 90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1,2-Epoxycyclohexane (CAS RN 286-20-4)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2910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2,3-Époxypropane-1-ol (glycidol) (CAS RN 556-52-5)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2910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2,3-Époxypropylphényléther (CAS RN 122-60-1)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2910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Oxyde d’allyle et de glycidyle (CAS RN 106-92-3)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2911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Ethoxy-2,2-difluoroéthanol (CAS RN 148992-43-2)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2912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Undécanal (CAS RN 112-44-7)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2,6,6-Triméthylcyclohexecarbaldéhyde (mélange d’isomères alpha et beta) (CAS RN 52844-21-0)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Mélange d’isomères constitué: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à 85 (± 10) % en poids de 4-isobutyl-2-méthylbenzaldéhyde (CAS RN 73206-60-7),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à 15 (± 10) % en poids de 2-isobutyl-4-méthyllbenzaldéhyde (CAS RN 68102-28-3)</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Cinnamaldéhyde (CAS RN 104-55-2)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2912 29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4-Biphénylcarbaldéhyde (CAS RN 3218-36-8)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2912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4-Isobutylbenzaldéhyde (CAS RN 40150-98-9)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2912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4-tert-Butylbenzaldéhyde (CAS RN 939-97-9)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2912 29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4-isopropylbenzaldéhyde (CAS RN 122-03-2)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2912 49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3-Phénoxybenzaldéhyde (CAS RN 39515-51-0)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2912 49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4-Hydroxybenzaldéhyde (CAS RN 123-08-0)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2912 49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Salicylaldéhyde (CAS RN 90-02-8)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2912 49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3-Hydroxy-p-anisaldéhyde (CAS RN 621-59-0)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2912 49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2,6-dihydroxybenzaldéhyde (CAS RN 387-46-2)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2914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Heptane-2-one (CAS RN 110-43-0)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2914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3-Méthylbutanone (CAS RN 563-80-4)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2914 19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Pentane-2-one (CAS RN 107-87-9)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2914 19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Acétylacétonate de zinc (CAS RN 14024-63-6)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2914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Oestr-5(10)-ène-3,17-dione (CAS RN 3962-66-1)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2914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Cyclohexadéc-8-ènone (CAS RN 3100-36–5)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2914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2-Cyclohexén-1-one (CAS RN 930-68-7)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2914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(R)-</w:t>
            </w:r>
            <w:r>
              <w:rPr>
                <w:i/>
                <w:iCs/>
                <w:noProof/>
              </w:rPr>
              <w:t>p</w:t>
            </w:r>
            <w:r>
              <w:rPr>
                <w:noProof/>
              </w:rPr>
              <w:t>-Mentha-1(6),8-diène-2-one (CAS RN 6485-40-1)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2914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Camphre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2914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i/>
                <w:iCs/>
                <w:noProof/>
              </w:rPr>
              <w:t>trans</w:t>
            </w:r>
            <w:r>
              <w:rPr>
                <w:noProof/>
              </w:rPr>
              <w:t>-β-Damascone (CAS RN 23726-91-2)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2914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2-sec-butylcyclohexanone (CAS RN 14765-30-1)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2914 29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1-(cédr-8-én-9-yl)éthanone (CAS RN 32388-55-9)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2,6-Diméthyle-1-indanone (CAS RN 66309-83-9)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1,3-Diphénylpropane-1,3-dione (CAS RN 120-46-7)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Benzophénone (CAS RN 119-61-9)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2914 39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4-Phénylbenzophénone (CAS RN 2128-93-0)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2914 39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4-Méthylbenzophénone (CAS RN 134-84-9)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Benzile (CAS RN 134-81-6)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2914 39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4’-Méthylacétophénone (CAS RN 122-00-9)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3’-Hydroxyacétophénone (CAS RN 121-71-1)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2914 50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4'-Méthoxyacétophénone (CAS RN 100-06-1)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2914 50 00</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rPr>
            </w:pPr>
            <w:r>
              <w:rPr>
                <w:noProof/>
              </w:rPr>
              <w:t>2,7-Dihydroxy-9-fluorénone (CAS RN 42523-29-5)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4-(4-Hydroxyphényl)butane-2-one (CAS RN 5471-51-2)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3,4-Dihydroxybenzophénone (CAS RN 10425-11-3)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2,2-Diméthoxy-2-phénylacétophénone (CAS RN 24650-42-8)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3-Méthoxyacétophénone (CAS RN 586-37-8)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7-Hydroxy-3,4-dihydro-1(2H)-naphthalénone (CAS RN 22009-38-7)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2914 50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2’,6’-Dihydroxyacétophénone (CAS RN 699-83-2)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2914 50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4,4‘- Dihydroxybenzophénone (CAS RN 611-99-4)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2914 69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2-Ethylanthraquinone (CAS RN 84-51-5)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2914 69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2-Pentylanthraquinone (CAS RN 13936-21-5)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2914 69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1,4-Dihydroxyanthraquinone (CAS RN 81-64-1)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2914 69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p</w:t>
            </w:r>
            <w:r>
              <w:rPr>
                <w:noProof/>
              </w:rPr>
              <w:t>-Benzoquinone (CAS RN 106-51-4)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2914 69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Masse de réaction composée de 2-(1,2-diméthylpropyl)anthraquinone (CAS RN 68892-28-4) et de 2-(1,1-diméthylpropyl)anthraquinone (CAS RN 32588-54-8)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2914 79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1-(4-Méthylphényl)-4,4,4-trifluorobutane-1,3-dione (CAS RN 720-94-5)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2914 79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2,4'-Difluorobenzophénone (CAS RN 342-25-6)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2914 79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1- (7-Bromo- 9,9-difluoro- 9H-fluoren- 2-yl) — 2-chloroéthanone (CAS RN 1378387-81-5)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5-Méthoxy-4'-trifluorométhyl valérophénone (CAS RN 61718-80-7)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1-[4-(Benzyloxy)phényl]-2-bromopropan-1-one (CAS RN 35081-45-9)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Perfluoro(2-méthylpentane-3-one) (CAS RN 756-13-8)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3’-Chloropropiophénone (CAS RN 34841-35-5)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2914 79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4’-</w:t>
            </w:r>
            <w:r>
              <w:rPr>
                <w:i/>
                <w:iCs/>
                <w:noProof/>
              </w:rPr>
              <w:t>tert</w:t>
            </w:r>
            <w:r>
              <w:rPr>
                <w:noProof/>
              </w:rPr>
              <w:t>-Butyl-2’,6’-diméthyl-3’,5’-dinitroacétophénone (CAS RN 81-14-1)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2914 79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1,4'-bis(4-fluorobenzoyl)benzène (CAS RN 68418-51-9)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2914 79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4-Chloro-4’-hydroxybenzophénone (CAS RN 42019-78-3)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2914 79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4,4’-Difluorobenzophénone (CAS RN 345-92-6)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2914 79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Tétrachloro-p-benzoquinone (CAS RN 118-75-2)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2915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Solution aqueuse contenant en poids 60 % ou plus mais pas plus de 84 % de formiate de césium (CAS RN 3495-36-1)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Acétate de (3Z)-3-hexén-1-yle (CAS RN 3681-71-8)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2915 39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Acétate de 2-méthylcyclohéxyle (CAS RN 5726-19-2)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Acétate de 4-tert-butylcyclohexyle (CAS RN 32210-23-4)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2915 39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 xml:space="preserve">Acétate de </w:t>
            </w:r>
            <w:r>
              <w:rPr>
                <w:i/>
                <w:iCs/>
                <w:noProof/>
                <w:lang w:val="fr-BE"/>
              </w:rPr>
              <w:t>tert</w:t>
            </w:r>
            <w:r>
              <w:rPr>
                <w:noProof/>
                <w:lang w:val="fr-BE"/>
              </w:rPr>
              <w:t>-butyle (CAS RN 540-88-5)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Acétate de 3-acétylphényle (CAS RN 2454-35-5)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Acétate de dodec-8-ényle (CAS RN 28079-04-1)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Acétate de dodéca-7,9-diényle (CAS RN 54364-62-4)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Acétate de dodec-9-ényle (CAS RN 16974-11-1)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Acétate d’isobornyle (CAS RN 125-12-2)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2915 39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Acétate de 1-phényléthyle (CAS RN 93-92-5)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2915 39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Acétate de 2-</w:t>
            </w:r>
            <w:r>
              <w:rPr>
                <w:i/>
                <w:iCs/>
                <w:noProof/>
                <w:lang w:val="fr-BE"/>
              </w:rPr>
              <w:t>tert</w:t>
            </w:r>
            <w:r>
              <w:rPr>
                <w:noProof/>
                <w:lang w:val="fr-BE"/>
              </w:rPr>
              <w:t>-butylcyclohexyle (CAS RN 88-41-5)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2915 60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Butyrate d'éthyle (CAS RN 105-54-4)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2915 70 40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Palmitate de méthyle (CAS RN 112-39-0)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2915 90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Laurate de méthyle (CAS RN 111-82-0)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(R)-2-fluoropropionate de méthyle (CAS RN 146805-74-5)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2915 90 70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Octanoate de méthyle (CAS RN 111-11-5), décanoate de méthyle (CAS RN 110-42-9) ou myristate de méthyle (CAS RN 124-10-7)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Chlorure de 3,3-diméthylbutyryle (CAS RN 7065-46-5)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2915 90 70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Chlorure de 2,2-diméthylbutyryle (CAS RN 5856-77-9)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Orthoformiate de triméthyle (CAS RN 149-73-5)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Heptanoate d’allyle (CAS RN 142-19-8)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2915 90 70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 Orthoformiate de triéthyle (CAS RN 122-51-0)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6-8 Dichlorooctanoate d`éthyle (CAS RN 1070-64-0)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Acide 2-éthyl-2-méthyl butanoïque (CAS RN 19889-37-3)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2915 90 70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Difluoroacétate d’éthyle (CAS RN 454-31-9)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2916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Acrylate de 2-</w:t>
            </w:r>
            <w:r>
              <w:rPr>
                <w:i/>
                <w:iCs/>
                <w:noProof/>
              </w:rPr>
              <w:t>tert</w:t>
            </w:r>
            <w:r>
              <w:rPr>
                <w:noProof/>
              </w:rPr>
              <w:t>-butyl-6-(3-</w:t>
            </w:r>
            <w:r>
              <w:rPr>
                <w:i/>
                <w:iCs/>
                <w:noProof/>
              </w:rPr>
              <w:t>tert</w:t>
            </w:r>
            <w:r>
              <w:rPr>
                <w:noProof/>
              </w:rPr>
              <w:t>-butyl-2-hydroxy-5-méthylbenzyl)-4-méthylphényle (CAS RN 61167-58-6)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2916 12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Acrylate de 2,4-di-</w:t>
            </w:r>
            <w:r>
              <w:rPr>
                <w:i/>
                <w:iCs/>
                <w:noProof/>
              </w:rPr>
              <w:t>tert</w:t>
            </w:r>
            <w:r>
              <w:rPr>
                <w:noProof/>
              </w:rPr>
              <w:t>-pentyl-6-[1-(3,5-di-</w:t>
            </w:r>
            <w:r>
              <w:rPr>
                <w:i/>
                <w:iCs/>
                <w:noProof/>
              </w:rPr>
              <w:t>tert</w:t>
            </w:r>
            <w:r>
              <w:rPr>
                <w:noProof/>
              </w:rPr>
              <w:t>-pentyl-2-hydroxyphényl)éthyl]phényle (CAS RN 123968-25-2)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2916 12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2-(2-Vinyloxyéthoxy) acrylate d’éthyle (CAS RN 86273-46-3)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2916 13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Diméthacrylate de zinc, sous forme de poudre (CAS RN 13189-00-9)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2916 13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Poudre de mono méthacrylate de zinc (CAS RN 63451-47-8) même ne contenant pas plus de 17 % en poids d'impuretés provenant du processus de production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2916 14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Méthacrylate de 2,3-époxypropyle (CAS RN 106-91-2)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2916 14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Méthacrylate d’éthyle (CAS RN 97-63-2)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2916 19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3,3-Diméthylpent-4-énoate de méthyle (CAS RN 63721-05-1)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2916 19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Acide sorbique (CAS RN 110-44-1) destiné à être utilisé dans la fabrication d'aliments pour animaux</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2916 19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2-Fluoroacrylate de méthyle (CAS RN 2343-89-7)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2916 20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Transfluthrine (ISO) (CAS RN 118712-89-3)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Mélange des isomères (1S,2R,6R,7R)- et (1R,2R,6R,7S)- du tricyclo[5.2.1.0 2,6 ]décane-2-carboxylate d’éthyle (CAS RN 80657-64-3 et 80623-07-0)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2916 20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2,2-Diméthyl-3-(2-méthylpropényl)cyclopropanecarboxylate d’éthyle (CAS RN 97-41-6)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2916 20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Acide 3-cyclohexylpropionique (CAS RN 701-97-3)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2916 20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Chlorure de cyclopropanecarbonyle (CAS RN 4023-34-1)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2916 31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Benzoate de benzyle (CAS RN 120-51-4)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Acide 3,5-dinitrobenzoïque (CAS RN 99-34-3)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Acide 2-chloro-5-nitrobenzoïque (CAS RN 2516-96-3)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Acide 2,4-dichlorophénylacétique (CAS RN 19719-28-9)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2916 39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Chlorure de 3,5-dichlorobenzoyle (CAS RN 2905-62-6)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Chlorure de (2,4,6-triméthylphényl)acétyle(CAS RN 52629-46-6)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Chlorure de l`acide 2-méthyl-3-(4-fluorophényl) propionique (CAS RN 1017183-70-8)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Chlorure de 2,4,6-triméthylbenzoyle (CAS RN 938-18-1)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4'-(bromométhyl)biphényl-2-carboxylate de méthyle (CAS RN 114772-38-2)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2916 39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4-</w:t>
            </w:r>
            <w:r>
              <w:rPr>
                <w:i/>
                <w:iCs/>
                <w:noProof/>
                <w:lang w:val="fr-BE"/>
              </w:rPr>
              <w:t>tert</w:t>
            </w:r>
            <w:r>
              <w:rPr>
                <w:noProof/>
                <w:lang w:val="fr-BE"/>
              </w:rPr>
              <w:t>-Butylbenzoate de méthyle (CAS RN 26537-19-9)</w:t>
            </w:r>
          </w:p>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lang w:val="fr-BE"/>
              </w:rPr>
            </w:pPr>
            <w:r>
              <w:rPr>
                <w:noProof/>
                <w:lang w:val="fr-BE"/>
              </w:rPr>
              <w:t>Chlorure de 4-bromo-2,6-difluorobenzoyle (CAS RN 497181-19-8)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2916 39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lang w:val="fr-BE"/>
              </w:rPr>
            </w:pPr>
            <w:r>
              <w:rPr>
                <w:noProof/>
                <w:lang w:val="fr-BE"/>
              </w:rPr>
              <w:t>Chlorure de 3-fluorobenzoyle (CAS RN 1711-07-5)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2916 39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Chlorure de 3,5-diméthylbenzoyle (CAS RN 6613-44-1)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pt-PT"/>
              </w:rPr>
            </w:pPr>
            <w:r>
              <w:rPr>
                <w:noProof/>
                <w:lang w:val="pt-PT"/>
              </w:rPr>
              <w:t>Acide 3-chloro-2-fluorobenzoïque (CAS RN 161957-55-7)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Acide 5-iodo-2-methylbenzoique (CAS RN 54811-38-0)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4-</w:t>
            </w:r>
            <w:r>
              <w:rPr>
                <w:i/>
                <w:iCs/>
                <w:noProof/>
              </w:rPr>
              <w:t>terc</w:t>
            </w:r>
            <w:r>
              <w:rPr>
                <w:noProof/>
              </w:rPr>
              <w:t>-Butilbenzoesav (CAS RN 98-73-7 )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rPr>
            </w:pPr>
            <w:r>
              <w:rPr>
                <w:noProof/>
              </w:rPr>
              <w:t>Acide 2-phénylbutyrique (CAS RN  90-27-7)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2916 39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Ibuprofène (DCI) (CAS RN 15687-27-1)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fr-BE"/>
              </w:rPr>
            </w:pPr>
            <w:r>
              <w:rPr>
                <w:noProof/>
                <w:lang w:val="fr-BE"/>
              </w:rPr>
              <w:t>Chlorure de (2,4-dichlorophényl)acétyle (CAS RN 53056-20-5)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Acide </w:t>
            </w:r>
            <w:r>
              <w:rPr>
                <w:i/>
                <w:iCs/>
                <w:noProof/>
              </w:rPr>
              <w:t>m</w:t>
            </w:r>
            <w:r>
              <w:rPr>
                <w:noProof/>
              </w:rPr>
              <w:t>-toluique (CAS RN 99-04-7)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Acide (2,4,5-trifluorophényl)acétique (CAS RN 209995-38-0)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2917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Oxalate de bis(</w:t>
            </w:r>
            <w:r>
              <w:rPr>
                <w:i/>
                <w:iCs/>
                <w:noProof/>
                <w:lang w:val="fr-BE"/>
              </w:rPr>
              <w:t>p</w:t>
            </w:r>
            <w:r>
              <w:rPr>
                <w:noProof/>
                <w:lang w:val="fr-BE"/>
              </w:rPr>
              <w:t>-méthylbenzyle) (CAS RN 18241-31-1)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2917 11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Oxalate de cobalt (CAS RN 814-89-1)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2917 12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Adipate de bis(3,4 époxycyclohexylméthyle) (CAS RN 3130-19-6)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2917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Malonate de diméthyle (CAS RN 108-59-8)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2917 19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Malonate de diéthyle (CAS RN 105-53-3)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2917 19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But-2-ynedioate de diméthyle (CAS RN 762-42-5)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2917 19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Brassylate d’éthylène (CAS RN 105-95-3)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2917 19 80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Méthylmalonate de diéthyle (CAS RN 609-08-5)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2917 19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Acide tétradécanedioique (CAS RN 821-38-5)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2917 19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Acide itaconique (CAS RN 97-65-4)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2917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Anhydride 1,4,5,6,7,7-hexachloro-8,9,10-trinorborn-5-ène-2,3-dicarboxylique (CAS RN 115-27-5)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2917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Anhydride 3-méthyl-1,2,3,6-tétrahydrophtalique, (CAS RN 5333-84-6)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2917 34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Phtalate de diallyle (CAS RN 131-17-9)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Dibutyl-1,4-benzènedicarboxylate (CAS RN 1962-75-0)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Anhydride naphtalène-1,8-dicarboxylique (CAS RN 81-84-5)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Dianhydride benzène-1,2:4,5-tétracarboxylique (CAS RN 89-32-7)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2-Nitrotéréphthalate de 1-méthyle (CAS RN 35092-89-8)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2917 39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2-Nitrotéréphtalate de diméthyle (CAS RN 5292-45-5)</w:t>
            </w:r>
          </w:p>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1,8-Monoanhydride d’acide 1,4,5,8-naphtalènetétracarboxylique (CAS RN 52671-72-4)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2917 39 95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Dianhydride pérylène-3,4,9,10-tétracarboxylique (CAS RN 128-69-8)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2918 16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Digluconate de calcium monohydraté (CAS RN 66905-23-5) destiné à la fabrication de lactogluconate de calcium (CAS RN 11116-97-5)</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19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Acide cholique (CAS RN 81-25-4)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19 30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Acide 3-α,12-α-dihydroxy-5-β-cholane-24-oïque (acide désoxycholique) (CAS RN 83-44-3)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2918 19 98</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Acide L-malique (CAS RN 97-67-6)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2918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Acides monohydroxynaphtoïques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3,4,5-Trihydroxybenzoate de propyle (CAS RN 121-79-9)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2918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Bis[3-(3,5-di-</w:t>
            </w:r>
            <w:r>
              <w:rPr>
                <w:i/>
                <w:iCs/>
                <w:noProof/>
              </w:rPr>
              <w:t>tert</w:t>
            </w:r>
            <w:r>
              <w:rPr>
                <w:noProof/>
              </w:rPr>
              <w:t>-butyl-4-hydroxyphényl)propionate] d’hexaméthylèn (CAS RN 35074-77-2)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Esters méthyliques, éthyliques, propyliques ou butyliques de l’acide 4-hydroxybenzoïque ou leurs sels de sodium (CAS RN 35285-68-8, 99-76-3, 5026-62-0, 94-26-8, 94-13-3, 35285-69-9, 120-47-8, 36457-20-2 or 4247-02-3)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2918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Acide 3,5-diiodosalicylique (CAS RN 133-91-5)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Acide 2-fluoro-5-formylbenzoïque (CAS RN 550363-85-4)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2918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2-benzoylbenzoate de méthyle (CAS RN 606-28-0)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Acétoacétate d'éthyle (CAS RN 141-97-9)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Acide 4-oxovalérique (CAS RN 123-76-2)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Acide 2-[4-chloro-3-(chlorosulfonyle) benzoyl] benzoïque (CAS RN 68592-12-1)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30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Benzoylformiate de méthyle (CAS RN 15206-55-0)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2918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3,4-Epoxycyclohexanecarboxylate de 3,4-époxycyclohexylméthyle (CAS RN 2386-87-0)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fr-BE"/>
              </w:rPr>
            </w:pPr>
            <w:r>
              <w:rPr>
                <w:noProof/>
                <w:lang w:val="fr-BE"/>
              </w:rPr>
              <w:t>Chlorure de 3-méthoxy-2-méthylbenzoyle (CAS RN 24487-91-0)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2,3-Epoxy-3-phénylbutyrate d'éthyle (CAS RN 77-83-8)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2-Hydroxy-2-(4-phénoxyphényl)propanoated'éthyle (CAS RN 132584-17-9)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3-Méthoxyacrylate de méthyle (CAS RN 5788-17-0)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Acide 1,8-dihydroxyanthraquinone-3-carboxylique (CAS RN 478-43-3)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2918 99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3-Methoxy-2-(2-chlorométhylphényl)-acrylate de méthyle (CAS RN 117428-51-0)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3-Ethoxypropionate d'éthyle (CAS RN 763-69-9)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2918 99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2-(4-Hydroxyphénoxy)propionate de méthyle (CAS RN 96562-58-2)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Acide p-anisique (CAS RN 100-09-4)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rPr>
            </w:pPr>
            <w:r>
              <w:rPr>
                <w:noProof/>
              </w:rPr>
              <w:t>Diclofop-méthyl (ISO) (CAS RN 51338-27-3)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2918 99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 xml:space="preserve">Acide </w:t>
            </w:r>
            <w:r>
              <w:rPr>
                <w:i/>
                <w:iCs/>
                <w:noProof/>
                <w:lang w:val="fr-BE"/>
              </w:rPr>
              <w:t>trans</w:t>
            </w:r>
            <w:r>
              <w:rPr>
                <w:noProof/>
                <w:lang w:val="fr-BE"/>
              </w:rPr>
              <w:t>-4-hydroxy-3-méthoxycinnamique (CAS RN 1135-24-6)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Diméthylacétate de 4-méthylcatéchol (CAS RN 52589-39-6)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2918 99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3,4,5-Triméthoxybenzoate de méthyle (CAS RN 1916-07-0)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Stéaryl glycyrrhétinate (CAS RN 13832-70-7)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2918 99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Acide 3,4,5-triméthoxybenzoïque (CAS RN 118-41-2)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Acide acétique, difluoro[1,1,2,2-tétrafluoro-2-(pentafluoroéthoxy)éthoxy]-, sel d’ammonium (CAS RN 908020-52-0)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Acétate de Prop-2-ényl 2-(3-méthylbutoxy) (CAS RN 67634-00-8)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Acide 3,4-diméthoxybenzoïque (CAS RN 93-07-2)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Sodium 5-[2-chloro-4-(trifluorométhyle)phénoxy]-2-nitrobenzoate (CAS RN 62476-59-9)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2918 99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Trinexapac-Éthyl (ISO) (CAS RN 95266-40-3) d'une pureté en poids de 96 %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2919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Sel monosodique du phosphate de 2,2’-méthylènebis(4,6-di-</w:t>
            </w:r>
            <w:r>
              <w:rPr>
                <w:i/>
                <w:iCs/>
                <w:noProof/>
                <w:lang w:val="fr-BE"/>
              </w:rPr>
              <w:t>tert</w:t>
            </w:r>
            <w:r>
              <w:rPr>
                <w:noProof/>
                <w:lang w:val="fr-BE"/>
              </w:rPr>
              <w:t>-butylphényle) (CAS RN 85209-91-2)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2919 90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Benzène-1,3-diyltétraphényl bis(phosphate) (CAS RN 57583-54-7)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2919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Hydroxybis[2,2’-méthylènebis(4,6-di-</w:t>
            </w:r>
            <w:r>
              <w:rPr>
                <w:i/>
                <w:iCs/>
                <w:noProof/>
              </w:rPr>
              <w:t>tert</w:t>
            </w:r>
            <w:r>
              <w:rPr>
                <w:noProof/>
              </w:rPr>
              <w:t>-butylphényl)phosphate] d’aluminium (CAS RN 151841-65-5)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2919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Tri-n-hexylphosphate (CAS RN 2528-39-4)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Phosphate de triéthyle (CAS RN 78-40-0)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2919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(1-Méthyléthylidène)di-4, 1-phénylènetétraphényl diphosphate (CAS RN 5945-33-5)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2919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Phosphate de tris(2-butoxyéthyle) (CAS RN 78-51-3)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2920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Fenitrothion (ISO) (CAS RN 122-14-5)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2920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Tolclofos-méthyl (ISO) (CAS RN 57018-04-9)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2920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2,2'-Oxybis(5,5-diméthyl-1,3,2-dioxaphosphorinane)-2,2'-disulfure (CAS RN 4090-51-1)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2920 23 00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Phosphite de triméthyle (CAS RN 121-45-9)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2920 24 00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Phosphite de triéthyle (CAS RN 122-52-1)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2920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i/>
                <w:iCs/>
                <w:noProof/>
              </w:rPr>
              <w:t>O,O´</w:t>
            </w:r>
            <w:r>
              <w:rPr>
                <w:noProof/>
              </w:rPr>
              <w:t>-Dioctadecylbis(phosphite) de pentaérythritol (CAS RN 3806-34-6)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2920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Acide phosphoreux,3,3',5,5'-tétrakis(1,1,-diméthyléthyl)-6,6'-diméthyl[1,1'-biphényl]-2,2'-diyl tétra-1-ester de napthalényle (CAS RN 198979-98-5)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2920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Phosphite de tris(méthylphényle) (CAS RN 25586-42-9)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2920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2,2’-[[3,3’,5,5’-Tétrakis(1,1-diméthyléthyl)[1,1’-biphényl]-2,2’-diyl]bis(oxy)bis[biphényl-1,3,2-dioxaphosphépine], (CAS RN 138776-88-2)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2920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Diphosphite de bis(2,4-dicumylphényl) pentaérythritol (CAS RN 154862-43-8)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2920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Fosetyl-aluminium (CAS RN 39148-24-8)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2920 29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Fosétyl-sodium (CAS RN 39148-16-8) sous forme de solution aqueuse contenant 35 % ou plus mais pas plus de 45 % en poids de fosétyl-sodium, utilisé dans la fabrication de pesticides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2920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Sulfate de diéthyle (CAS RN 64-67-5)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2920 90 10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Carbonate d'éthyle et de méthyle (CAS RN 623-53-0)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2920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Dicarbonate de diallyle et de 2,2’-oxydiéthyle (CAS RN 142-22-3)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2920 90 10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Carbonate de diéthyle (CAS RN 105-58-8)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2920 90 10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Carbonate de vinylène (CAS RN 872-36-6)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2920 90 10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Carbonate de diméthyle (CAS RN 616-38-6)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2920 90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Dicarbonate de di-</w:t>
            </w:r>
            <w:r>
              <w:rPr>
                <w:i/>
                <w:iCs/>
                <w:noProof/>
                <w:lang w:val="fr-BE"/>
              </w:rPr>
              <w:t>tert</w:t>
            </w:r>
            <w:r>
              <w:rPr>
                <w:noProof/>
                <w:lang w:val="fr-BE"/>
              </w:rPr>
              <w:t>-butyle (CAS RN 24424-99-5)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Carbonate de 2,4-di-</w:t>
            </w:r>
            <w:r>
              <w:rPr>
                <w:i/>
                <w:iCs/>
                <w:noProof/>
                <w:lang w:val="fr-BE"/>
              </w:rPr>
              <w:t>tert</w:t>
            </w:r>
            <w:r>
              <w:rPr>
                <w:noProof/>
                <w:lang w:val="fr-BE"/>
              </w:rPr>
              <w:t>-butyl-5-nitrophényle et de méthyle (CAS RN  873055-55-1)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2920 90 10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Sulfate de sodium et de 2-[2-[2-(tridécyloxy)ethoxy]ethoxy]éthyle (CAS RN 25446-78-0) sous forme de pâte liquide à une concentration égale ou supérieure à 62 % en poids dans l’eau, mais n'excédant pas 65 %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2920 90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2-Isopropoxy-4,4,5,5-tétraméthyl-1,3,2-dioxaborolane (CAS RN 61676-62-8)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2920 90 70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Bis(neopentylglycolato)diborone (CAS RN 201733-56-4)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2920 90 70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it-IT"/>
              </w:rPr>
            </w:pPr>
            <w:r>
              <w:rPr>
                <w:noProof/>
                <w:lang w:val="it-IT"/>
              </w:rPr>
              <w:t>Bis(pinacolato)dibore (CAS RN 73183-34-3)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2921 13 00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Chlorhydrate de chlorure de 2-(</w:t>
            </w:r>
            <w:r>
              <w:rPr>
                <w:i/>
                <w:iCs/>
                <w:noProof/>
                <w:lang w:val="fr-BE"/>
              </w:rPr>
              <w:t>N,N</w:t>
            </w:r>
            <w:r>
              <w:rPr>
                <w:noProof/>
                <w:lang w:val="fr-BE"/>
              </w:rPr>
              <w:t>-Diéthylamino)éthyle (CAS RN 869-24-9)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noProof/>
              </w:rPr>
              <w:t>ex 2921 19 50</w:t>
            </w:r>
          </w:p>
          <w:p>
            <w:pPr>
              <w:pStyle w:val="Paragraph"/>
              <w:rPr>
                <w:noProof/>
              </w:rPr>
            </w:pPr>
            <w:r>
              <w:rPr>
                <w:noProof/>
              </w:rPr>
              <w:t>ex 2929 90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rPr>
            </w:pPr>
            <w:r>
              <w:rPr>
                <w:noProof/>
              </w:rPr>
              <w:t>Diéthylamino-triéthoxysilane (CAS RN 35077-00-0)</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2921 19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Éthyl(2-méthylallyl)amine (CAS RN 18328-90-0)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2921 19 99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Diméthyl(tétradécyl)amine (CAS RN 112-75-4), contenant en poids 3 % ou moins d'autres diméthylalkylamines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2921 19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Allylamine (CAS RN 107-11-9)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Chlorhydrate de 2-chloro-</w:t>
            </w:r>
            <w:r>
              <w:rPr>
                <w:i/>
                <w:iCs/>
                <w:noProof/>
              </w:rPr>
              <w:t>N</w:t>
            </w:r>
            <w:r>
              <w:rPr>
                <w:noProof/>
              </w:rPr>
              <w:t>-(2-chloroéthyl)éthanamine (CAS RN 821-48-7)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Trichloro(</w:t>
            </w:r>
            <w:r>
              <w:rPr>
                <w:i/>
                <w:iCs/>
                <w:noProof/>
              </w:rPr>
              <w:t>N,N</w:t>
            </w:r>
            <w:r>
              <w:rPr>
                <w:noProof/>
              </w:rPr>
              <w:t>-diméthyloctylamine)bore (1:1) (CAS RN 34762-90-8)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2921 19 99</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Taurine (CAS RN 107-35-7) additionnée de 0,5 % d'agent antiagglomérant, à savoir le dioxyde de silicium (CAS RN 112926-00-8)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2921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Tris[3-(diméthylamino)propyl]amine (CAS RN 33329-35-0)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2921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Bis[3-(diméthylamino)propyl]méthylamine (CAS RN 3855-32-1)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Décaméthylènediamine (CAS RN 646-25-3)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i/>
                <w:iCs/>
                <w:noProof/>
              </w:rPr>
              <w:t>N</w:t>
            </w:r>
            <w:r>
              <w:rPr>
                <w:noProof/>
              </w:rPr>
              <w:t>’-[3-(Diméthylamino)propyl]-</w:t>
            </w:r>
            <w:r>
              <w:rPr>
                <w:i/>
                <w:iCs/>
                <w:noProof/>
              </w:rPr>
              <w:t>N,N</w:t>
            </w:r>
            <w:r>
              <w:rPr>
                <w:noProof/>
              </w:rPr>
              <w:t>-diméthylpropane-1,3-diamine, (CAS RN 6711-48-4)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2921 30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Sel de cyclohexylamine de 2-(4-(cyclopropanecarbonyl)phényl)-2-acide méthylpropanoïque (CAS RN 1690344-90-1)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30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1,3-Cyclohexanedimethanamine (CAS RN 2579-20-6)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30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Cyclopropylamine (CAS RN 765-30-0)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2921 42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Acide 4-amino-3-nitrobenzènesulfonique (CAS RN 616-84-2)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2921 42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Hydrogéno-2-aminobenzène-1,4-disulfonate de sodium (CAS RN 24605-36-5)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2-Fluoroaniline (CAS RN 348-54-9)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2921 42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2-Nitroaniline (CAS RN 88-74-4)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Sulphanilate de sodium (CAS RN 515-74-2), également sous la forme de ses monohydrates et dihydrates (CAS RN 12333-70-0 ou 6106-22-5)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2921 42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2,4,5-Trichloroaniline (CAS RN 636-30-6)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2921 42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Acide 3-aminobenzènesulfonique (CAS RN 121-47-1)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Acide 2-aminobenzène-1,4-disulfonique (CAS RN 98-44-2)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2921 42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4-Chloro-2-nitroaniline (CAS RN 89-63-4)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2921 42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3,5-Dichloroaniline (CAS RN 626-43-7)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2,5-Dichloroaniline (CAS RN 95-82-9)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i/>
                <w:iCs/>
                <w:noProof/>
              </w:rPr>
              <w:t>N</w:t>
            </w:r>
            <w:r>
              <w:rPr>
                <w:noProof/>
              </w:rPr>
              <w:t>-Méthylaniline (CAS RN 100-61-8)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2921 42 00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fr-BE"/>
              </w:rPr>
            </w:pPr>
            <w:r>
              <w:rPr>
                <w:noProof/>
                <w:lang w:val="fr-BE"/>
              </w:rPr>
              <w:t>Acide 3,4-dichloroaniline-6-sulfonique (CAS RN 6331-96-0)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2921 43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Acide 4-amino-6-chlorotoluène-3-sulfonique (CAS RN 88-51-7)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2921 43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3-Nitro-</w:t>
            </w:r>
            <w:r>
              <w:rPr>
                <w:i/>
                <w:iCs/>
                <w:noProof/>
              </w:rPr>
              <w:t>p</w:t>
            </w:r>
            <w:r>
              <w:rPr>
                <w:noProof/>
              </w:rPr>
              <w:t>-toluidine (CAS RN 119-32-4)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2921 43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Acide 4-aminotoluène-3-sulfonique (CAS RN 88-44-8)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4-Aminobenzotrifluorure (CAS RN 455-14-1)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43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3-Aminobenzotrifluorure (CAS RN 98-16-8)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2921 44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Diphénylamine (CAS RN 122-39-4)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2921 45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Acide 2-aminonaphthalène-1,5-disulfonique (CAS RN117-62-4) ou l'un de ses sels de sodium (n°CAS 19532-03-7) ou (CAS RN 62203-79-6)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2921 45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Acide 7-aminonaphtalène-1,3,6-trisulfonique (CAS RN 118-03-6)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2921 45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 Naphthylamine (CAS RN 134-32-7)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2921 45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Acide 8-aminonaphtalène-2-sulfonique (CAS RN 119-28-8)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2921 49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Pendiméthaline (ISO) (CAS RN 40487-42-1)</w:t>
            </w:r>
          </w:p>
        </w:tc>
        <w:tc>
          <w:tcPr>
            <w:tcW w:w="0" w:type="auto"/>
            <w:tcBorders>
              <w:left w:val="single" w:sz="2" w:space="0" w:color="auto"/>
            </w:tcBorders>
          </w:tcPr>
          <w:p>
            <w:pPr>
              <w:pStyle w:val="Paragraph"/>
              <w:rPr>
                <w:noProof/>
              </w:rPr>
            </w:pPr>
            <w:r>
              <w:rPr>
                <w:noProof/>
              </w:rPr>
              <w:t>3.5 %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2921 49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N</w:t>
            </w:r>
            <w:r>
              <w:rPr>
                <w:noProof/>
              </w:rPr>
              <w:t>-1-Naphtylaniline (CAS RN 90-30-2)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2,6-Diisopropylaniline (CAS RN 24544-04-5)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2921 49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4-Heptafluoroisopropyl-2-méthylaniline (CAS RN 238098-26-5)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2921 51 19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Sulfate de 2-méthyl-</w:t>
            </w:r>
            <w:r>
              <w:rPr>
                <w:i/>
                <w:iCs/>
                <w:noProof/>
                <w:lang w:val="fr-BE"/>
              </w:rPr>
              <w:t>p</w:t>
            </w:r>
            <w:r>
              <w:rPr>
                <w:noProof/>
                <w:lang w:val="fr-BE"/>
              </w:rPr>
              <w:t>-phénylènediamine (CAS RN 615-50-9)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i/>
                <w:iCs/>
                <w:noProof/>
              </w:rPr>
              <w:t>p</w:t>
            </w:r>
            <w:r>
              <w:rPr>
                <w:noProof/>
              </w:rPr>
              <w:t>-Phénylènediamine (CAS RN 106-50-3)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 xml:space="preserve">Dérivés monochlorés et dichlorés de </w:t>
            </w:r>
            <w:r>
              <w:rPr>
                <w:i/>
                <w:iCs/>
                <w:noProof/>
                <w:lang w:val="fr-BE"/>
              </w:rPr>
              <w:t>p-</w:t>
            </w:r>
            <w:r>
              <w:rPr>
                <w:noProof/>
                <w:lang w:val="fr-BE"/>
              </w:rPr>
              <w:t xml:space="preserve">phénylènediamine et de </w:t>
            </w:r>
            <w:r>
              <w:rPr>
                <w:i/>
                <w:iCs/>
                <w:noProof/>
                <w:lang w:val="fr-BE"/>
              </w:rPr>
              <w:t>p-</w:t>
            </w:r>
            <w:r>
              <w:rPr>
                <w:noProof/>
                <w:lang w:val="fr-BE"/>
              </w:rPr>
              <w:t>diaminotoluène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2921 51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Acide 2,4-diaminobenzènesulfonique (CAS RN 88-63-1)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2921 51 19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4-Bromo- 1,2-diaminobenzène (CAS RN 1575-37-7)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2921 59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Mélange d'isomères de 3,5-diéthyltoluènediamine (CAS RN 68479-98-1, CAS RN 75389-89-8)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Dichlorhydrate de 3,3’-dichlorobenzidine (CAS RN 612-83-9)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2921 59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Acide 4,4’-diaminostilbène-2,2’-disulfonique (CAS RN 81-11-8)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Dichlorhydrate de (2R, 5R)-1,6-diphénylhexane-2,5-diamine (CAS RN 1247119-31-8)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2921 59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Tris-(4-aminophényl)-méthane (CAS RN 548-61-8)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Chlorhydrate de 2-(2-méthoxyphénoxy)éthylamine (CAS RN 64464-07-9)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i/>
                <w:iCs/>
                <w:noProof/>
              </w:rPr>
              <w:t>N,N,N’,N’</w:t>
            </w:r>
            <w:r>
              <w:rPr>
                <w:noProof/>
              </w:rPr>
              <w:t>-Tétraméthyl-2,2’-oxybis(éthylamine) (CAS RN 3033-62-3)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19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2-[2-(Diméthylamino)éthoxy]éthanol (CAS RN 1704-62-7)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(R) -1- ((4-amino-2-bromo-5-fluorophényl) amino) -3- (benzyloxy) propane-2-ol 4-méthylbenzènesulfonate (CAS RN 1294504-64-5)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2-Méthoxyméthyl-p-phénylènediamine (CAS RN 337906-36-2)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2-(2-Méthoxyphénoxy)éthylamine (CAS RN 1836-62-0)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i/>
                <w:iCs/>
                <w:noProof/>
              </w:rPr>
              <w:t>N,N,N’</w:t>
            </w:r>
            <w:r>
              <w:rPr>
                <w:noProof/>
              </w:rPr>
              <w:t>-Triméthyle-</w:t>
            </w:r>
            <w:r>
              <w:rPr>
                <w:i/>
                <w:iCs/>
                <w:noProof/>
              </w:rPr>
              <w:t>N’</w:t>
            </w:r>
            <w:r>
              <w:rPr>
                <w:noProof/>
              </w:rPr>
              <w:t>-(2-hydroxy-éthyle) 2,2’-oxybis (éthylamine), (CAS RN 83016-70-0)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i/>
                <w:iCs/>
                <w:noProof/>
              </w:rPr>
              <w:t>trans</w:t>
            </w:r>
            <w:r>
              <w:rPr>
                <w:noProof/>
              </w:rPr>
              <w:t>-4-Aminocyclohexanol (CAS RN 27489-62-9)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2-Ethoxyéthylamine (CAS RN 110-76-9)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i/>
                <w:iCs/>
                <w:noProof/>
                <w:lang w:val="fr-BE"/>
              </w:rPr>
              <w:t>N</w:t>
            </w:r>
            <w:r>
              <w:rPr>
                <w:noProof/>
                <w:lang w:val="fr-BE"/>
              </w:rPr>
              <w:t>-[2-[2-(Diméthylamino)éthoxy]éthyl]-</w:t>
            </w:r>
            <w:r>
              <w:rPr>
                <w:i/>
                <w:iCs/>
                <w:noProof/>
                <w:lang w:val="fr-BE"/>
              </w:rPr>
              <w:t>N</w:t>
            </w:r>
            <w:r>
              <w:rPr>
                <w:noProof/>
                <w:lang w:val="fr-BE"/>
              </w:rPr>
              <w:t>-méthyl-1,3-propanediamine (CAS RN 189253-72-3)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2922 19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(1S,4R)-cis-4-Amino-2-cyclopentène-1-méthanol-D-tartrate (CAS RN 229177-52-0)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Acide 2-amino-5-naphthol-1,7-disulfonique(CAS RN 6535-70-2)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Acide 6-amino-4-hydroxynaphtalène-2-sulfonique (CAS RN 90-51-7)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2922 21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Acide 7-amino-4-hydroxynaphtalène-2-sulfonique (CAS RN 87-02-5)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Hydrogéno-4-amino-5-hydroxynaphtalène-2,7-disulfonate de sodium (CAS RN 5460-09-3)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2922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Acide 4-amino-5-hydroxynaphthalène-2,7-disulfonique d'une pureté minimale de 80 % en poids (CAS RN 90-20-0)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3-Aminophénol (CAS RN 591-27-5)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pt-PT"/>
              </w:rPr>
            </w:pPr>
            <w:r>
              <w:rPr>
                <w:noProof/>
                <w:lang w:val="pt-PT"/>
              </w:rPr>
              <w:t>5-Amino-</w:t>
            </w:r>
            <w:r>
              <w:rPr>
                <w:i/>
                <w:iCs/>
                <w:noProof/>
                <w:lang w:val="pt-PT"/>
              </w:rPr>
              <w:t>o</w:t>
            </w:r>
            <w:r>
              <w:rPr>
                <w:noProof/>
                <w:lang w:val="pt-PT"/>
              </w:rPr>
              <w:t>-crésol (CAS RN 2835-95-2)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1,2-Bis(2-aminophénoxy)éthane (CAS RN 52411-34-4)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4-Hydroxy-6-[(3- acide sulfophényl)amino]naphtalène-2- sulfonique (CAS RN 25251-42-7)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2922 29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Anisidines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fr-BE"/>
              </w:rPr>
            </w:pPr>
            <w:r>
              <w:rPr>
                <w:noProof/>
                <w:lang w:val="fr-BE"/>
              </w:rPr>
              <w:t>Aclonifène (ISO) (CAS RN 74070-46-5) d’une pureté en poids de 97 %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4-Trifluorométhoxyaniline (CAS RN 461-82-5)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2922 29 00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rPr>
            </w:pPr>
            <w:r>
              <w:rPr>
                <w:noProof/>
              </w:rPr>
              <w:t>4-Chloro-2,5-diméthoxyaniline (CAS RN 6358-64-1)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4-Nitro-</w:t>
            </w:r>
            <w:r>
              <w:rPr>
                <w:i/>
                <w:iCs/>
                <w:noProof/>
              </w:rPr>
              <w:t>o</w:t>
            </w:r>
            <w:r>
              <w:rPr>
                <w:noProof/>
              </w:rPr>
              <w:t>-anisidine (CAS RN 97-52-9)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fr-BE"/>
              </w:rPr>
            </w:pPr>
            <w:r>
              <w:rPr>
                <w:noProof/>
                <w:lang w:val="fr-BE"/>
              </w:rPr>
              <w:t>Thiophosphate de tris (4-aminophényle) (CAS RN 52664-35-4)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2922 29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4-(2-Aminoéthyl)phénol (CAS RN 51-67-2)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2922 29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3-Diéthylaminophénol (CAS RN 91-68-9)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29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4-Benzyloxyaniline, chlorhydrate (CAS RN 51388-20-6)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39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Acide 1-amino-4-bromo-9,10-dioxoanthracène-2-sulfonique et ses sels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39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2-amino-3,5-dibromobenzaldéhyde (CAS RN 50910-55-9)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2922 39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2-Amino-5-chlorobenzophénone (CAS RN 719-59-5)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39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Chlorhydrate de 3-(diméthylamino)-1-(1-naphthalényl)-1-propanone (CAS RN 5409-58-5)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39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5-Chloro- 2-(méthylamino)benzophénone(CAS RN 1022-13-5)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2922 43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Acide anthranilique (CAS RN 118-92-3)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49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Aspartate d’ornithine (DCIM) (CAS RN 3230-94-2)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Acide 3-amino-4-chlorobenzoïque (CAS RN 2840-28-0)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Diméthyl 2-aminobenzène-1,4-dicarboxylate (CAS RN 5372-81-6)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Solution aqueuse contenant 40 % en poids ou plus de méthylaminoacétate de sodium (CAS RN 4316-73-8)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Acide 2- (3-amino-4-chlorobenzoyl) benzoïque (CAS RN 118-04-7)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2922 49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Norvaline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Glycine (CAS RN 56-40-6)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D-(-)-Dihydrophénylglycine (CAS RN 26774-88-9)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Maléate de (E)-éthyl 4-(diméthylamino)but-2-énoate (CUS 0138070-7)</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4-Diméthylaminobenzoate d’éthyle (CAS RN 10287-53-3)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Aminomalonate de diéthyle, chlorhydrate (CAS RN 13433-00-6)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2922 49 85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4-Diméthylaminobenzoate de 2-éthylhexyle (CAS RN 21245-02-3)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49 85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Chlorhydrate d'ester isopropylique de L-alanine (CAS RN 62062-65-1)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2922 49 85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Acide 12-aminododécanoïque (CAS RN 693-57-2)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2922 50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Chlorhydrate d’acide 2-(2-(2-aminoéthoxy)éthoxy) acétique (CAS RN 134979-01-4)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2922 50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3,5- Diiodothyronine (CAS RN 1041-01-6)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2922 50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Chlorhydrate de 1-[2-amino-1-(4-méthoxyphényl)-éthyl]-cyclohexanol (CAS RN 130198-05-9)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2922 50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Chlorhydrate d'acide (2S) -2-amino-3- (3,4-diméthoxyphényl) -2-méthylpropanoïque (CAS RN 5486-79-3)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2922 50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Acétate de 2-(1-hydroxycyclohexyl)-2-(4-méthoxyphényl)éthylammonium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2923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Tétrahydrate de chlorure calcique de phosphorylcholine (CAS RN 72556-74-2)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2923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Hydroxyde de tétraméthylammonium sous la forme d’une solution aqueuse contenant 25 % (± 0,5 %) en poids d’hydroxyde de tétraméthylammonium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Hydrogénophthalate de tétraméthylammonium (CAS RN 79723-02-7)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2923 90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Molybdate de tétrakis(diméthylditétradécylammonium), (CAS RN  117342-25-3)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Bromure de tétrabutylammonium (CAS RN 1643-19-2)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2923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Hydroxyde de tétrapropylammonium, sous forme de solution aqueuse contenant:</w:t>
            </w:r>
          </w:p>
          <w:tbl>
            <w:tblPr>
              <w:tblStyle w:val="Listdash"/>
              <w:tblW w:w="0" w:type="auto"/>
              <w:tblLook w:val="0000" w:firstRow="0" w:lastRow="0" w:firstColumn="0" w:lastColumn="0" w:noHBand="0" w:noVBand="0"/>
            </w:tblPr>
            <w:tblGrid>
              <w:gridCol w:w="220"/>
              <w:gridCol w:w="4059"/>
            </w:tblGrid>
            <w:tr>
              <w:tc>
                <w:tcPr>
                  <w:tcW w:w="0" w:type="auto"/>
                </w:tcPr>
                <w:p>
                  <w:pPr>
                    <w:pStyle w:val="Paragraph"/>
                    <w:rPr>
                      <w:noProof/>
                    </w:rPr>
                  </w:pPr>
                  <w:r>
                    <w:rPr>
                      <w:noProof/>
                    </w:rPr>
                    <w:t>—</w:t>
                  </w:r>
                </w:p>
              </w:tc>
              <w:tc>
                <w:tcPr>
                  <w:tcW w:w="0" w:type="auto"/>
                </w:tcPr>
                <w:p>
                  <w:pPr>
                    <w:pStyle w:val="Paragraph"/>
                    <w:rPr>
                      <w:noProof/>
                    </w:rPr>
                  </w:pPr>
                  <w:r>
                    <w:rPr>
                      <w:noProof/>
                    </w:rPr>
                    <w:t>40 % (± 2 %) en poids d’hydroxyde de tétrapropylammonium,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0,3 % en poids ou moins de carbonate,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0,1 % en poids ou moins de tripropylamine,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500 mg/kg ou moins de bromure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25 mg/kg ou moins de potassium et de sodium pris ensemble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Hydroxyde de tétraéthylammonium, sous forme de solution aqueuse contenant:  </w:t>
            </w:r>
          </w:p>
          <w:tbl>
            <w:tblPr>
              <w:tblStyle w:val="Listdash"/>
              <w:tblW w:w="0" w:type="auto"/>
              <w:tblLook w:val="0000" w:firstRow="0" w:lastRow="0" w:firstColumn="0" w:lastColumn="0" w:noHBand="0" w:noVBand="0"/>
            </w:tblPr>
            <w:tblGrid>
              <w:gridCol w:w="220"/>
              <w:gridCol w:w="4081"/>
            </w:tblGrid>
            <w:tr>
              <w:tc>
                <w:tcPr>
                  <w:tcW w:w="0" w:type="auto"/>
                </w:tcPr>
                <w:p>
                  <w:pPr>
                    <w:pStyle w:val="Paragraph"/>
                    <w:rPr>
                      <w:noProof/>
                    </w:rPr>
                  </w:pPr>
                  <w:r>
                    <w:rPr>
                      <w:noProof/>
                    </w:rPr>
                    <w:t>—</w:t>
                  </w:r>
                </w:p>
              </w:tc>
              <w:tc>
                <w:tcPr>
                  <w:tcW w:w="0" w:type="auto"/>
                </w:tcPr>
                <w:p>
                  <w:pPr>
                    <w:pStyle w:val="Paragraph"/>
                    <w:rPr>
                      <w:noProof/>
                    </w:rPr>
                  </w:pPr>
                  <w:r>
                    <w:rPr>
                      <w:noProof/>
                    </w:rPr>
                    <w:t>35 % (± 0,5 %) en poids d’hydroxyde de tétraéthylammonium,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1 000 mg/kg de chlorure,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2 mg/kg de fer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10 mg/kg de potassium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2923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Chlorure de diallyldiméthylammonium (CAS RN 7398-69-8), sous forme de solution aqueuse contenant en poids 63 % ou plus mais pas plus de 67 % de chlorure de diallyldiméthylammonium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2923 90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pt-PT"/>
              </w:rPr>
            </w:pPr>
            <w:r>
              <w:rPr>
                <w:noProof/>
                <w:lang w:val="pt-PT"/>
              </w:rPr>
              <w:t>Chlorure de N,N,N-triméthylanilinium (CAS RN 138-24-9)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Acide 2-acrylamido-2-méthylpropanesulfonique (CAS RN 15214-89-8) ou son sel de sodium (CAS RN 5165-97-9), ou son sel d'ammonium(CAS RN 58374-69-9)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Chlorure de N-éthyl-N-méthyl-carbamoyle (CAS RN 42252-34-6)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Acide (R)-(-)-3-(carbamoylméthyl)-5-méthylhexanoïque  (CAS RN 181289-33-8)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Isobutylidènediurée (CAS RN 6104-30-9)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2924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2-Acétamido-3-chloropropionate de méthyle (CAS RN 87333-22-0)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Acétamide (CAS RN 60-35-5)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3-Chloro-</w:t>
            </w:r>
            <w:r>
              <w:rPr>
                <w:i/>
                <w:iCs/>
                <w:noProof/>
              </w:rPr>
              <w:t>N</w:t>
            </w:r>
            <w:r>
              <w:rPr>
                <w:noProof/>
              </w:rPr>
              <w:t>-méthoxy-</w:t>
            </w:r>
            <w:r>
              <w:rPr>
                <w:i/>
                <w:iCs/>
                <w:noProof/>
              </w:rPr>
              <w:t>N</w:t>
            </w:r>
            <w:r>
              <w:rPr>
                <w:noProof/>
              </w:rPr>
              <w:t>-méthylpropanamide (CAS RN 1062512-53-1)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2924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Acrylamide (CAS RN 79-06-1)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Butylcarbamate de 2-propynyle (CAS RN 76114-73-3)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i/>
                <w:iCs/>
                <w:noProof/>
                <w:lang w:val="fr-BE"/>
              </w:rPr>
              <w:t>N,N</w:t>
            </w:r>
            <w:r>
              <w:rPr>
                <w:noProof/>
                <w:lang w:val="fr-BE"/>
              </w:rPr>
              <w:t>-Diméthylacrylamide (CAS RN 2680-03-7)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2924 19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2,2,2-Trifluoroacétamide (CAS RN 354-38-1)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2924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Carbamate de méthyle (CAS RN 598-55-0)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2924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Tétrabutylurée (CAS RN 4559-86-8)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2924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Acide 4,4’-dihydroxy-7,7’-uréylènedi(naphtalène-2-sulfonique) et ses sels de sodium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2924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Chlorhydrate de(3-aminophényl)urée (CAS RN 59690-88-9)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2924 25 00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Alachlore (ISO), (CAS RN 15972-60-8)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Acide 4-(acétylamino)-amino-2-benzènesulfonique(CAS RN 88-64-2)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Acétochlore (ISO), (CAS RN 34256-82-1)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2- (Trifluorométhyl)benzamide (CAS RN 360-64-5)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Acide 2-[[2-(benzyloxycarbonylamino)acétyl]amino]propionique (CAS RN 3079-63-8)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2-Chloro-</w:t>
            </w:r>
            <w:r>
              <w:rPr>
                <w:i/>
                <w:iCs/>
                <w:noProof/>
              </w:rPr>
              <w:t>N</w:t>
            </w:r>
            <w:r>
              <w:rPr>
                <w:noProof/>
              </w:rPr>
              <w:t>-(2-éthyl-6-méthylphényl)-</w:t>
            </w:r>
            <w:r>
              <w:rPr>
                <w:i/>
                <w:iCs/>
                <w:noProof/>
              </w:rPr>
              <w:t>N</w:t>
            </w:r>
            <w:r>
              <w:rPr>
                <w:noProof/>
              </w:rPr>
              <w:t>-(propan-2-yloxyméthyl)acétamide (CAS RN  86763-47-5)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Bénalaxyl-M (ISO) (CAS RN 98243-83-5)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2-Bromo-4-fluoracétanilide (CAS RN 1009-22-9)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4-(4-méthyl-3-nitrobenzoylamino)phénylsulfonate de sodium (CAS RN 84029-45-8)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N- (4-Amino- 2-éthoxyphényl) acétamide (CAS RN 848655-78-7)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Béflubutamide (ISO)  (CAS RN 113614-08-7)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N,N’-1,4-Phénylènebis[3-oxobutyramide], (CAS RN 24731-73-5)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Propoxur (ISO) (CAS RN 114-26-1)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Sel d'isopropylamine de n-benzyloxycarbonyl-l-tert-leucine (CAS RN 1621085-33-3)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4-Amino-</w:t>
            </w:r>
            <w:r>
              <w:rPr>
                <w:i/>
                <w:iCs/>
                <w:noProof/>
              </w:rPr>
              <w:t>N</w:t>
            </w:r>
            <w:r>
              <w:rPr>
                <w:noProof/>
              </w:rPr>
              <w:t>-[4-(aminocarbonyl)phényl]benzamide (CAS RN 74441-06-8)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N,N’-(2,5-Diméthyl-1,4-phénylène)bis[3-oxobutyramide] (CAS RN 24304-50-5)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N,N’-(2-Chloro-5-méthyl-1,4-phénylène)bis[3-oxobutyramide], (CAS RN 41131-65-1)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rPr>
            </w:pPr>
            <w:r>
              <w:rPr>
                <w:noProof/>
              </w:rPr>
              <w:t>(</w:t>
            </w:r>
            <w:r>
              <w:rPr>
                <w:i/>
                <w:iCs/>
                <w:noProof/>
              </w:rPr>
              <w:t>S</w:t>
            </w:r>
            <w:r>
              <w:rPr>
                <w:noProof/>
              </w:rPr>
              <w:t>)-2-(((1</w:t>
            </w:r>
            <w:r>
              <w:rPr>
                <w:i/>
                <w:iCs/>
                <w:noProof/>
              </w:rPr>
              <w:t>R</w:t>
            </w:r>
            <w:r>
              <w:rPr>
                <w:noProof/>
              </w:rPr>
              <w:t>,2</w:t>
            </w:r>
            <w:r>
              <w:rPr>
                <w:i/>
                <w:iCs/>
                <w:noProof/>
              </w:rPr>
              <w:t>R</w:t>
            </w:r>
            <w:r>
              <w:rPr>
                <w:noProof/>
              </w:rPr>
              <w:t>)-2-allylcyclopropoxy)carbonylamino)-3,3-diméthylbutanoate de (</w:t>
            </w:r>
            <w:r>
              <w:rPr>
                <w:i/>
                <w:iCs/>
                <w:noProof/>
              </w:rPr>
              <w:t>S</w:t>
            </w:r>
            <w:r>
              <w:rPr>
                <w:noProof/>
              </w:rPr>
              <w:t>)-1-phényléthanamine (CUS 0143288-8)</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62</w:t>
            </w:r>
          </w:p>
        </w:tc>
        <w:tc>
          <w:tcPr>
            <w:tcW w:w="0" w:type="auto"/>
            <w:tcBorders>
              <w:left w:val="single" w:sz="2" w:space="0" w:color="auto"/>
            </w:tcBorders>
          </w:tcPr>
          <w:p>
            <w:pPr>
              <w:pStyle w:val="Paragraph"/>
              <w:rPr>
                <w:noProof/>
              </w:rPr>
            </w:pPr>
            <w:r>
              <w:rPr>
                <w:noProof/>
              </w:rPr>
              <w:t>2-Chlorobenzamide (CAS RN 609-66-5)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i/>
                <w:iCs/>
                <w:noProof/>
              </w:rPr>
              <w:t>N</w:t>
            </w:r>
            <w:r>
              <w:rPr>
                <w:noProof/>
              </w:rPr>
              <w:t>-Éthyl-2-(isopropyl)-5-méthylcyclohexanecarboxamide(CAS RN 39711-79-0)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lang w:val="es-ES"/>
              </w:rPr>
            </w:pPr>
            <w:r>
              <w:rPr>
                <w:noProof/>
                <w:lang w:val="es-ES"/>
              </w:rPr>
              <w:t>N-(3',4'-dichloro-5-fluoro[1,1’-biphényl]-2-yl)-acétamide (CAS RN 877179-03-8)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Napropamide (ISO) (CAS RN 15299-99-7)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3-Amino-</w:t>
            </w:r>
            <w:r>
              <w:rPr>
                <w:i/>
                <w:iCs/>
                <w:noProof/>
                <w:lang w:val="fr-BE"/>
              </w:rPr>
              <w:t>p</w:t>
            </w:r>
            <w:r>
              <w:rPr>
                <w:noProof/>
                <w:lang w:val="fr-BE"/>
              </w:rPr>
              <w:t>-anisanilide (CAS RN 120-35-4)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i/>
                <w:iCs/>
                <w:noProof/>
              </w:rPr>
              <w:t>p</w:t>
            </w:r>
            <w:r>
              <w:rPr>
                <w:noProof/>
              </w:rPr>
              <w:t>-Aminobenzamide (CAS RN 2835-68-9)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fr-BE"/>
              </w:rPr>
            </w:pPr>
            <w:r>
              <w:rPr>
                <w:noProof/>
                <w:lang w:val="fr-BE"/>
              </w:rPr>
              <w:t>Anthranilamide (CAS RN 88-68-6) d’une pureté en poids de 99,5 %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5’-Chloro-3-hydroxy-2’-méthyl-2-naphtanilide (CAS RN 135-63-7)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Flutolanil (ISO) (CAS RN 66332-96-5)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3-Hydroxy-2’-methoxy-2-naphtanilide (CAS RN 135-62-6)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3-Hydroxy-2-naphtanilide (CAS RN 92-77-3)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3-Hydroxy-2'-methyl-2-naphtanilide (CAS RN 135-61-5)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2’-Ethoxy-3-hydroxy-2-naphtanilide (CAS RN 92-74-0)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2924 29 70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lang w:val="fr-BE"/>
              </w:rPr>
            </w:pPr>
            <w:r>
              <w:rPr>
                <w:noProof/>
                <w:lang w:val="fr-BE"/>
              </w:rPr>
              <w:t>Monoamide d’acide 1,1-cyclohexanediacétique (CAS RN 99189-60-3)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2925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Saccharine et son sel de sodium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2925 19 95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i/>
                <w:iCs/>
                <w:noProof/>
              </w:rPr>
              <w:t>N</w:t>
            </w:r>
            <w:r>
              <w:rPr>
                <w:noProof/>
              </w:rPr>
              <w:t>-Phénylmaléimide (CAS RN 941-69-5)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2925 19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4,5,6,7-Tétrahydroisoindole-1,3-dione (CAS RN 4720-86-9)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2925 19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i/>
                <w:iCs/>
                <w:noProof/>
                <w:lang w:val="fr-BE"/>
              </w:rPr>
              <w:t>N,N'</w:t>
            </w:r>
            <w:r>
              <w:rPr>
                <w:noProof/>
                <w:lang w:val="fr-BE"/>
              </w:rPr>
              <w:t>-(</w:t>
            </w:r>
            <w:r>
              <w:rPr>
                <w:i/>
                <w:iCs/>
                <w:noProof/>
                <w:lang w:val="fr-BE"/>
              </w:rPr>
              <w:t>m</w:t>
            </w:r>
            <w:r>
              <w:rPr>
                <w:noProof/>
                <w:lang w:val="fr-BE"/>
              </w:rPr>
              <w:t>-Phénylène)dimaléimide (CAS RN 3006-93-7)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2925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Dicyclohexylcarbodiimide (CAS RN 538-75-0)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2925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Chlorhydrate de N-[3-(diméthylamino)propyl]-N'-éthylcarbodiimide (CAS RN 25952-53-8)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2925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Sulfamate de guanidine (CAS RN 50979-18-5)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lang w:val="fr-BE"/>
              </w:rPr>
            </w:pPr>
            <w:r>
              <w:rPr>
                <w:noProof/>
                <w:lang w:val="fr-BE"/>
              </w:rPr>
              <w:t>Cyfluthrine (ISO) (CAS RN 68359-37-5) d'une pureté en poids de 95 %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alpha-Bromo-o-toluonitrile (CAS RN 22115-41-9)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Acidecyanoacétique (CAS RN 372-09-8)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Cyclohexylidène(phényl)acétonitrile (CAS RN 10461-98-0)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fr-BE"/>
              </w:rPr>
            </w:pPr>
            <w:r>
              <w:rPr>
                <w:noProof/>
                <w:lang w:val="fr-BE"/>
              </w:rPr>
              <w:t>Ester méthylique d'acide 4-cyano-2-nitrobenzoïque (CAS RN 52449-76-0)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fr-BE"/>
              </w:rPr>
            </w:pPr>
            <w:r>
              <w:rPr>
                <w:noProof/>
                <w:lang w:val="fr-BE"/>
              </w:rPr>
              <w:t>Cyperméthrine (ISO) et ses stéréo-isomères (CAS RN 52315-07-8), d'une pureté de 90 % en poids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Fluméthrine (ISO) (CAS RN 69770-45-2)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2-(4-Amino-2-chloro-5-méthylphényl)-2-(4-chlorophényl) acétonitrile (CAS RN 61437-85-2)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w:t>
            </w:r>
            <w:r>
              <w:rPr>
                <w:i/>
                <w:iCs/>
                <w:noProof/>
              </w:rPr>
              <w:t>m</w:t>
            </w:r>
            <w:r>
              <w:rPr>
                <w:noProof/>
              </w:rPr>
              <w:t>-Benzoylphényl)propiononitrile (CAS RN 42872-30-0)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4-Bromo-2-chlorobenzonitrile (CAS RN 154607-01-9)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rPr>
            </w:pPr>
            <w:r>
              <w:rPr>
                <w:noProof/>
              </w:rPr>
              <w:t>Acétonitrile (CAS RN 75-05-8)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Acrinathrine (ISO) (CAS RN 101007-06-1)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2,2-Dibromo-3-nitrilpropionamide (CAS RN 10222-01-2)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Cyhalofop-butyl (ISO) (CAS RN 122008-85-9)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4,5-Dichloro-3,6-dioxocyclohexa-1,4-diène-1,2-dicarbonitrile (CAS RN 84-58-2)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Deltaméthrine (ISO) (CAS RN 52918-63-5)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4-Cyano-2-méthoxybenzaldéhyde (CAS RN 21962-45-8)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Acide 2-(4-cyanophénylamino) acétique (CAS RN 42288-26-6)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Esters alkyles ou alkoxyalkyles de l’acide cyanoacétique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lang w:val="fr-BE"/>
              </w:rPr>
            </w:pPr>
            <w:r>
              <w:rPr>
                <w:noProof/>
                <w:lang w:val="fr-BE"/>
              </w:rPr>
              <w:t xml:space="preserve">Acide </w:t>
            </w:r>
            <w:r>
              <w:rPr>
                <w:i/>
                <w:iCs/>
                <w:noProof/>
                <w:lang w:val="fr-BE"/>
              </w:rPr>
              <w:t>m</w:t>
            </w:r>
            <w:r>
              <w:rPr>
                <w:noProof/>
                <w:lang w:val="fr-BE"/>
              </w:rPr>
              <w:t>-(1-cyanoéthyl)benzoïque (CAS RN 5537-71-3)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lang w:val="fr-BE"/>
              </w:rPr>
            </w:pPr>
            <w:r>
              <w:rPr>
                <w:noProof/>
                <w:lang w:val="fr-BE"/>
              </w:rPr>
              <w:t>Esfenvalérate (CAS RN 66230-04-4) d’une pureté en poids de 83 % ou plus, en mélange avec ses isomères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Méthacrylonitrile (CAS RN 126-98-7)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Chlorothalonil (ISO) (CAS RN 1897-45-6)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2-Cyano-2-éthyl-3-méthylhexanoate d’éthyle (CAS RN 100453-11-0)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2-Cyano-2-phénylbutyrate d’éthyle (CAS RN 718-71-8)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Ethylènediaminetétraacétonitrile (CAS RN 5766-67-6)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2926 90 70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Butyronitrile (CAS RN 109-74-0)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2927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Dichlorhydrate de 2,2'-diméthyl-2,2'-azodipropionamidine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2927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Hydrogénosulfate de 4-anilino-2-méthoxybenzènediazonium (CAS RN 36305-05-2)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2,2’-azobis (4-méthoxy-2,4-diméthylvaléronitrile) (CAS RN 15545-97-8)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2927 00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Acide 4’-aminoazobenzène-4-sulfonique (CAS RN 104-23-4)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C,C'-Azodi(formamide) (CAS RN 123-77-3) sous la forme de poudre jaune, dont la température de décomposition est de 180°C ou plus mais n'excède pas 220°C, utilisé comme agent moussant dans la fabrication de résines thermoplastiques, d'élastomères et de mousse de polyéthylène réticulée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2927 00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Acide 4,4’-dicyano-4,4’-azodivalérique (CAS RN 2638-94-0)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2927 00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Acide 4-[(2,5-dichlorophényl)azo-3-hydroxy-2-naphtoïque (CAS RN 51867-77-7)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3,3´-Bis(3,5-di-</w:t>
            </w:r>
            <w:r>
              <w:rPr>
                <w:i/>
                <w:iCs/>
                <w:noProof/>
              </w:rPr>
              <w:t>tert</w:t>
            </w:r>
            <w:r>
              <w:rPr>
                <w:noProof/>
              </w:rPr>
              <w:t>-butyl-4-hydroxyphényl)-</w:t>
            </w:r>
            <w:r>
              <w:rPr>
                <w:i/>
                <w:iCs/>
                <w:noProof/>
              </w:rPr>
              <w:t>N,N´</w:t>
            </w:r>
            <w:r>
              <w:rPr>
                <w:noProof/>
              </w:rPr>
              <w:t>-bipropionamide (CAS RN 32687-78-8)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Cymoxanil (ISO) (CAS RN 57966-95-7)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fr-BE"/>
              </w:rPr>
            </w:pPr>
            <w:r>
              <w:rPr>
                <w:noProof/>
                <w:lang w:val="fr-BE"/>
              </w:rPr>
              <w:t>Acétone oxime (CAS RN 127-06-0) d’une pureté d’au moins 99,0 %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Métobromuron (ISO) (CAS RN 3060-89-7) d’une pureté en poids de 98 %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Acétaldéhyde-oxime (CAS RN 107-29-9) en solution aqueuse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Pentan-2-one oxime (CAS RN 623-40-5)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i/>
                <w:iCs/>
                <w:noProof/>
              </w:rPr>
              <w:t>N</w:t>
            </w:r>
            <w:r>
              <w:rPr>
                <w:noProof/>
              </w:rPr>
              <w:t>-Isopropylhydroxylamine (CAS RN 5080-22-8)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Chlorhydrate de 4-chlorophénylehydrazine (CAS RN 1073-70-7)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i/>
                <w:iCs/>
                <w:noProof/>
                <w:lang w:val="fr-BE"/>
              </w:rPr>
              <w:t>O</w:t>
            </w:r>
            <w:r>
              <w:rPr>
                <w:noProof/>
                <w:lang w:val="fr-BE"/>
              </w:rPr>
              <w:t>-Ethylhydroxylamine, sous forme de solution aqueuse (CAS RN 624-86-2)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Tébufenozide (ISO) (CAS RN 112410-23-8)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Solution aqueuse contenant, en poids, plus de 33,5 % mais pas plus de 36,5 % de sel disodique de l'acide 2,2’- (hydroxyimino) biséthane sulfonique (CAS RN 133986-51-3)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Hydrogénocarbonate d'aminoguanidinium (CAS RN 2582-30-1)</w:t>
            </w:r>
          </w:p>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Chlorhydrate de 2-amino-3-(4-hydroxyphenyl) propanal semicarbazone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Butanone oxime (CAS RN 96-29-7)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Métaflumizone (ISO) (CAS RN 139968-49-3)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2928 00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Cyflufénamid (ISO) (CAS RN 180409-60-3)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2928 00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Daminozide (ISO) d’une pureté de 99 % ou plus (CAS RN 1596-84-5)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Diisocyanate de 3,3’-diméthylbiphényle-4,4’-diyle (CAS RN 91-97-4)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Isocyanate de butyle (CAS RN 111-36-4)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2929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 xml:space="preserve">Isocyanate de </w:t>
            </w:r>
            <w:r>
              <w:rPr>
                <w:i/>
                <w:iCs/>
                <w:noProof/>
              </w:rPr>
              <w:t>m</w:t>
            </w:r>
            <w:r>
              <w:rPr>
                <w:noProof/>
              </w:rPr>
              <w:t>-isopropényl-</w:t>
            </w:r>
            <w:r>
              <w:rPr>
                <w:i/>
                <w:iCs/>
                <w:noProof/>
              </w:rPr>
              <w:t>α,α</w:t>
            </w:r>
            <w:r>
              <w:rPr>
                <w:noProof/>
              </w:rPr>
              <w:t>-diméthylbenzyle (CAS RN 2094-99-7)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2929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 xml:space="preserve">Diisocyanate de </w:t>
            </w:r>
            <w:r>
              <w:rPr>
                <w:i/>
                <w:iCs/>
                <w:noProof/>
                <w:lang w:val="fr-BE"/>
              </w:rPr>
              <w:t>m</w:t>
            </w:r>
            <w:r>
              <w:rPr>
                <w:noProof/>
                <w:lang w:val="fr-BE"/>
              </w:rPr>
              <w:t>-phénylènediisopropylidène (CAS RN 2778-42-9)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2,5 (et 2,6)-Bis(isocyanatométhyl)bicyclo[2.2.1]heptane (CAS RN 74091-64-8)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2929 10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Mélange d’isomères de diisocyanate de triméthylhexaméthylène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2929 10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1,3-Bis(isocyanatométhyl)benzène (CAS RN 3634-83-1)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2930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Prosulfocarb (ISO) (CAS RN 52888-80-9)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2930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2-Isopropyléthylthiocarbamate (CAS RN 141-98-0)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2,3-Bis((2-mercaptoéthyl)thio)-1-propanethiol (CAS RN 131538-00-6)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lang w:val="fr-BE"/>
              </w:rPr>
            </w:pPr>
            <w:r>
              <w:rPr>
                <w:noProof/>
                <w:lang w:val="fr-BE"/>
              </w:rPr>
              <w:t>4,4'-Sulfonyldiphénol (CAS RN 80-09-1), utilisé dans la fabrication de polyarylsulfones ou de polyaryléthersulfones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Mercaptamine, chlorhydrate (CAS RN 156-57-0)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Éthoprophos (ISO) (CAS RN 13194-48-4)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3-(Dimethoxymethylsilyl)-1-propanthiol (CAS RN 31001-77-1)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Hydrogénosulfate de 2-[(3-aminophényl)sulfonyl]éthyle (CAS RN 2494-88-4)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N-(2-méthylsulfinyl-1,1-diméthyl-éthyle)-N'-{2-méthyl-4-[1,2,2,2-tétrafluoro-1-(trifluorométhyl)éthyle]phényl}phthalamide (CAS RN 371771-07-2)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[2,2’-Thio-bis(4-</w:t>
            </w:r>
            <w:r>
              <w:rPr>
                <w:i/>
                <w:iCs/>
                <w:noProof/>
              </w:rPr>
              <w:t>tert</w:t>
            </w:r>
            <w:r>
              <w:rPr>
                <w:noProof/>
              </w:rPr>
              <w:t>-octylphénolato)]-n-butylamine nickel (CAS RN 14516-71-3)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lang w:val="fr-BE"/>
              </w:rPr>
            </w:pPr>
            <w:r>
              <w:rPr>
                <w:noProof/>
                <w:lang w:val="fr-BE"/>
              </w:rPr>
              <w:t>Tembotrione (ISO) (CAS RN 335104-84-2) d’une pureté en poids de 94,5 %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[[(Méthoxycarbonyl)amino](méthylthio)méthylène]carbamate de méthyle (CAS RN 34840-23-8)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Thiophanate-méthyl (ISO), (CAS RN 23564-05-8)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lang w:val="fr-BE"/>
              </w:rPr>
            </w:pPr>
            <w:r>
              <w:rPr>
                <w:noProof/>
                <w:lang w:val="fr-BE"/>
              </w:rPr>
              <w:t>Folpet (ISO) (CAS RN 133-07-3) d’une pureté en poids de 97,5 %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Hydrogénosulfate de 2-((4-amino-3-méthoxyphényl)sulfonyl)éthyle (CAS RN 26672-22-0)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4-(4-Isopropoxyphénylsulfonyl)phénol (CAS RN 95235-30-6)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Acide 2-amino-5-{[2-(sulfooxy)éthyl]sulfonyl}benzènesulfonique(CAS RN 42986-22-1)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Glutathion (CAS RN 70-18-8)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Acide 3,3´-thiodipropionique (CAS RN 111-17-1)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fr-BE"/>
              </w:rPr>
            </w:pPr>
            <w:r>
              <w:rPr>
                <w:noProof/>
                <w:lang w:val="fr-BE"/>
              </w:rPr>
              <w:t>Iodure de triméthylsulfoxonium (CAS RN 1774-47-6)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Hydrogénosulfate de 2-[(</w:t>
            </w:r>
            <w:r>
              <w:rPr>
                <w:i/>
                <w:iCs/>
                <w:noProof/>
              </w:rPr>
              <w:t>p</w:t>
            </w:r>
            <w:r>
              <w:rPr>
                <w:noProof/>
              </w:rPr>
              <w:t>-aminophényl)sulfonyl]éthyle (CAS RN 2494-89-5)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Bis(4-chlorophényl)sulfone (CAS RN 80-07-9)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Thiourée (CAS RN 62-56-6)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fr-BE"/>
              </w:rPr>
            </w:pPr>
            <w:r>
              <w:rPr>
                <w:noProof/>
                <w:lang w:val="fr-BE"/>
              </w:rPr>
              <w:t>(Méthylthio)acétate de méthyle (CAS RN 16630-66-3)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Sulfure de méthylhényle (CAS RN 100-68-5)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lang w:val="fr-BE"/>
              </w:rPr>
            </w:pPr>
            <w:r>
              <w:rPr>
                <w:noProof/>
                <w:lang w:val="fr-BE"/>
              </w:rPr>
              <w:t>Sulfure de méthyle et de 3-chloro-2-méthylphényle (CAS RN 82961-52-2)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Tétrakis(3-mercaptopropionate) de pentaérythritol (CAS RN 7575-23-7)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68</w:t>
            </w:r>
          </w:p>
        </w:tc>
        <w:tc>
          <w:tcPr>
            <w:tcW w:w="0" w:type="auto"/>
            <w:tcBorders>
              <w:left w:val="single" w:sz="2" w:space="0" w:color="auto"/>
            </w:tcBorders>
          </w:tcPr>
          <w:p>
            <w:pPr>
              <w:pStyle w:val="Paragraph"/>
              <w:rPr>
                <w:noProof/>
              </w:rPr>
            </w:pPr>
            <w:r>
              <w:rPr>
                <w:noProof/>
              </w:rPr>
              <w:t>Clethodim (ISO) (CAS RN 99129-21-2)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fr-BE"/>
              </w:rPr>
            </w:pPr>
            <w:r>
              <w:rPr>
                <w:noProof/>
                <w:lang w:val="fr-BE"/>
              </w:rPr>
              <w:t>4-[4-(2-Propényloxy)phénylsulfonyl]phénol (CAS RN 97042-18-7)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78</w:t>
            </w:r>
          </w:p>
        </w:tc>
        <w:tc>
          <w:tcPr>
            <w:tcW w:w="0" w:type="auto"/>
            <w:tcBorders>
              <w:left w:val="single" w:sz="2" w:space="0" w:color="auto"/>
            </w:tcBorders>
          </w:tcPr>
          <w:p>
            <w:pPr>
              <w:pStyle w:val="Paragraph"/>
              <w:rPr>
                <w:noProof/>
              </w:rPr>
            </w:pPr>
            <w:r>
              <w:rPr>
                <w:noProof/>
              </w:rPr>
              <w:t>4-Mercaptométhyl-3,6-dithia-1,8-octanedithiol (CAS RN 131538-00-6)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2930 90 98</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Captane (ISO) (CAS RN 133-06-2)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Hexaméthylène-1,6-bisthiosulfate de disodium dihydrate (CAS RN 5719-73-3)</w:t>
            </w:r>
          </w:p>
        </w:tc>
        <w:tc>
          <w:tcPr>
            <w:tcW w:w="0" w:type="auto"/>
            <w:tcBorders>
              <w:left w:val="single" w:sz="2" w:space="0" w:color="auto"/>
            </w:tcBorders>
          </w:tcPr>
          <w:p>
            <w:pPr>
              <w:pStyle w:val="Paragraph"/>
              <w:rPr>
                <w:noProof/>
              </w:rPr>
            </w:pPr>
            <w:r>
              <w:rPr>
                <w:noProof/>
              </w:rPr>
              <w:t>3 %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2-Méthyl-1-(méthylthio)-2-propanamine (CAS RN 36567-04-1)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lang w:val="pt-PT"/>
              </w:rPr>
            </w:pPr>
            <w:r>
              <w:rPr>
                <w:noProof/>
                <w:lang w:val="pt-PT"/>
              </w:rPr>
              <w:t>Sel de sodium ou de potassium de dithiocarbonates de O-éthyle, de O-isopropyle, de O-butyle, de O-isobutyle ou de O-pentyle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rPr>
            </w:pPr>
            <w:r>
              <w:rPr>
                <w:noProof/>
              </w:rPr>
              <w:t>1-Hydrazino-3-(méthylthio)propan-2-ol (CAS RN 14359-97-8)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i/>
                <w:iCs/>
                <w:noProof/>
              </w:rPr>
              <w:t>N</w:t>
            </w:r>
            <w:r>
              <w:rPr>
                <w:noProof/>
              </w:rPr>
              <w:t>-(cyclohexylthio)phthalimide (CAS RN 17796-82-6)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2930 90 98</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rPr>
            </w:pPr>
            <w:r>
              <w:rPr>
                <w:noProof/>
              </w:rPr>
              <w:t>Diphénylsulfone (CAS RN 127-63-9)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2931 39 90</w:t>
            </w:r>
          </w:p>
        </w:tc>
        <w:tc>
          <w:tcPr>
            <w:tcW w:w="0" w:type="auto"/>
            <w:tcBorders>
              <w:left w:val="single" w:sz="2" w:space="0" w:color="auto"/>
            </w:tcBorders>
          </w:tcPr>
          <w:p>
            <w:pPr>
              <w:pStyle w:val="Paragraph"/>
              <w:jc w:val="center"/>
              <w:rPr>
                <w:noProof/>
              </w:rPr>
            </w:pPr>
            <w:r>
              <w:rPr>
                <w:noProof/>
              </w:rPr>
              <w:t>08</w:t>
            </w:r>
          </w:p>
        </w:tc>
        <w:tc>
          <w:tcPr>
            <w:tcW w:w="0" w:type="auto"/>
            <w:tcBorders>
              <w:left w:val="single" w:sz="2" w:space="0" w:color="auto"/>
            </w:tcBorders>
          </w:tcPr>
          <w:p>
            <w:pPr>
              <w:pStyle w:val="Paragraph"/>
              <w:rPr>
                <w:noProof/>
                <w:lang w:val="fr-BE"/>
              </w:rPr>
            </w:pPr>
            <w:r>
              <w:rPr>
                <w:noProof/>
                <w:lang w:val="fr-BE"/>
              </w:rPr>
              <w:t>Diisobutyldithiophosphinate de sodium (CAS RN 13360-78-6) en solution aqueuse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2931 39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fr-BE"/>
              </w:rPr>
            </w:pPr>
            <w:r>
              <w:rPr>
                <w:noProof/>
                <w:lang w:val="fr-BE"/>
              </w:rPr>
              <w:t>Oxyde de trioctylphosphine (CAS RN 78-50-2)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Di-tert-butylphosphane (CAS RN 819-19-2)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2931 39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Acide (Z)-prop-1-én-1-ylphosphonique (CAS RN 25383-06-6)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2931 39 90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lang w:val="fr-BE"/>
              </w:rPr>
            </w:pPr>
            <w:r>
              <w:rPr>
                <w:noProof/>
                <w:lang w:val="fr-BE"/>
              </w:rPr>
              <w:t xml:space="preserve">Acide </w:t>
            </w:r>
            <w:r>
              <w:rPr>
                <w:i/>
                <w:iCs/>
                <w:noProof/>
                <w:lang w:val="fr-BE"/>
              </w:rPr>
              <w:t>N</w:t>
            </w:r>
            <w:r>
              <w:rPr>
                <w:noProof/>
                <w:lang w:val="fr-BE"/>
              </w:rPr>
              <w:t>-(phosphonométhyl)iminodiacétique (CAS RN 5994-61-6)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Acide bis(2,4,4-triméthylpentyl)phosphinique (CAS RN 83411-71-6)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Éthyl phényl(2,4,6-triméthylbenzoyl)phosphinate (CAS RN 84434-11-7)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2931 39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Chlorure de tétrakis(hydroxyméthyl)phosphonium (CAS RN 124-64-1)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Oxyde de diphényl(2,4,6-triméthylbenzoyl)phosphine (CAS RN 75980-60-8)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2931 39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lang w:val="fr-BE"/>
              </w:rPr>
            </w:pPr>
            <w:r>
              <w:rPr>
                <w:noProof/>
                <w:lang w:val="fr-BE"/>
              </w:rPr>
              <w:t>Acétate de tétrabutylphosphonium, sous forme de solution aqueuse (CAS RN 30345-49-4)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2931 39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Acide propionique de 3-(hydroxyphénylphosphinoyle) (CAS RN 14657-64-8)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2931 39 90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fr-BE"/>
              </w:rPr>
            </w:pPr>
            <w:r>
              <w:rPr>
                <w:noProof/>
                <w:lang w:val="fr-BE"/>
              </w:rPr>
              <w:t>Phosphonoacétate de triméthyle (CAS RN 5927-18-4)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03</w:t>
            </w:r>
          </w:p>
        </w:tc>
        <w:tc>
          <w:tcPr>
            <w:tcW w:w="0" w:type="auto"/>
            <w:tcBorders>
              <w:left w:val="single" w:sz="2" w:space="0" w:color="auto"/>
            </w:tcBorders>
          </w:tcPr>
          <w:p>
            <w:pPr>
              <w:pStyle w:val="Paragraph"/>
              <w:rPr>
                <w:noProof/>
                <w:lang w:val="fr-BE"/>
              </w:rPr>
            </w:pPr>
            <w:r>
              <w:rPr>
                <w:noProof/>
                <w:lang w:val="fr-BE"/>
              </w:rPr>
              <w:t>Butyléthylmagnésium (CAS RN 62202-86-2), sous forme de solution dans l’heptane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05</w:t>
            </w:r>
          </w:p>
        </w:tc>
        <w:tc>
          <w:tcPr>
            <w:tcW w:w="0" w:type="auto"/>
            <w:tcBorders>
              <w:left w:val="single" w:sz="2" w:space="0" w:color="auto"/>
            </w:tcBorders>
          </w:tcPr>
          <w:p>
            <w:pPr>
              <w:pStyle w:val="Paragraph"/>
              <w:rPr>
                <w:noProof/>
                <w:lang w:val="fr-BE"/>
              </w:rPr>
            </w:pPr>
            <w:r>
              <w:rPr>
                <w:noProof/>
                <w:lang w:val="fr-BE"/>
              </w:rPr>
              <w:t>Diéthylméthoxyborane (CAS RN 7397-46-8), même sous forme de solution dans le tétrahydrofuranne conformément à la note 1e) du chapitre29 de la NC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Acide (3-fluoro-5-isobutoxyphényl)boronique (CAS RN 850589-57-0)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Tricarbonylméthylcyclopentadiényl manganèse  (CAS RN 12108-13-3)  contenant en poids pas plus de 4,9 % de tricarbonylcyclopentadiényl manganèse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fr-BE"/>
              </w:rPr>
            </w:pPr>
            <w:r>
              <w:rPr>
                <w:noProof/>
                <w:lang w:val="fr-BE"/>
              </w:rPr>
              <w:t>Méthyl Tris (2-pentanoneoxime) silane (CAS RN 37859-55-5)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Ferrocène (CAS RN 102-54-5)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Diméthyl[diméthylsilyldiindényl]hafnium (CAS RN 220492-55-7)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 xml:space="preserve">Tétrakis(pentafluorophényl)borate de </w:t>
            </w:r>
            <w:r>
              <w:rPr>
                <w:i/>
                <w:iCs/>
                <w:noProof/>
              </w:rPr>
              <w:t>N,N</w:t>
            </w:r>
            <w:r>
              <w:rPr>
                <w:noProof/>
              </w:rPr>
              <w:t>-diméthylanilinium (CAS RN 118612-00-3)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Triméthylsilane (CAS RN 993-07-7)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Triméthylborane (CAS RN 593-90-8)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Acide 4-chloro-2-fluoro-3-méthoxyphénylboronique (CAS RN 944129-07-1)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Chloroéthényldiméthylsilane (CAS RN 1719-58-0)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Hexafluorophosphate de bis(4-tert-butylphényl)iodonium (CAS RN 61358-25-6)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fr-BE"/>
              </w:rPr>
            </w:pPr>
            <w:r>
              <w:rPr>
                <w:noProof/>
                <w:lang w:val="fr-BE"/>
              </w:rPr>
              <w:t>Dioléate de diméthyl étain (CAS RN 3865-34-7)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2931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Acide (4-propylphényl)boronique (CAS RN 134150-01-9)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2932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Alcool tétrahydrofurfurylique (CAS RN 97-99-4)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2932 13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 xml:space="preserve"> 2-Furylméthanol (CAS RN 98-00-0)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2932 14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1,6-Dichloro-1,6-didésoxy-</w:t>
            </w:r>
            <w:r>
              <w:rPr>
                <w:i/>
                <w:iCs/>
                <w:noProof/>
              </w:rPr>
              <w:t>β</w:t>
            </w:r>
            <w:r>
              <w:rPr>
                <w:noProof/>
              </w:rPr>
              <w:t>-D-fructofuranosyl-4-chloro-4 désoxy-</w:t>
            </w:r>
            <w:r>
              <w:rPr>
                <w:i/>
                <w:iCs/>
                <w:noProof/>
              </w:rPr>
              <w:t>α</w:t>
            </w:r>
            <w:r>
              <w:rPr>
                <w:noProof/>
              </w:rPr>
              <w:t>-D-galactopyranoside (CAS RN 56038-13-2)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Tétrahydrofuranne-borane (CAS RN 14011-65-6)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Furanne (CAS RN 110-00-9) d’une pureté en poids de 99 %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2,2 di(tétrahydrofuryl)propane (CAS RN 89686-69-1)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Furfurylamine (CAS RN 617-89-0)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2932 19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Tétrahydro-2-méthylfuranne (CAS RN 96-47-9)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2932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Diacétate de 5-nitrofurfurylidène (CAS RN 92-55-7)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2932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2’-Anilino-6’-[éthyl(isopentyl)amino]-3’-méthylspiro[isobenzofuranne-1(3</w:t>
            </w:r>
            <w:r>
              <w:rPr>
                <w:i/>
                <w:iCs/>
                <w:noProof/>
              </w:rPr>
              <w:t>H</w:t>
            </w:r>
            <w:r>
              <w:rPr>
                <w:noProof/>
              </w:rPr>
              <w:t>),9’-xanthène]-3-one (CAS RN 70516-41-5)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Coumarine (CAS RN 91-64-5)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w:t>
            </w:r>
            <w:r>
              <w:rPr>
                <w:i/>
                <w:iCs/>
                <w:noProof/>
              </w:rPr>
              <w:t>S</w:t>
            </w:r>
            <w:r>
              <w:rPr>
                <w:noProof/>
              </w:rPr>
              <w:t>)-(−)-α-Amino-γ-butyrolactone bromhydrate (CAS RN 15295-77-9)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2932 20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2,2-Diméthyl-1,3-dioxanne-4,6-dione  (CAS RN 2033-24-1)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L-Lactide (CAS RN 4511-42-6) ou D-Lactide (CAS RN 13076-17-0) ou Dilactide (CAS RN 95-96-5)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2932 20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6-Diméthylamino-3,3-bis(4-diméthylaminophényl)phtalide (CAS RN 1552-42-7)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6’-(Diéthylamino)-3’-méthyl-2’-(phénylamino)-spiro[isobenzofuranne-1(3</w:t>
            </w:r>
            <w:r>
              <w:rPr>
                <w:i/>
                <w:iCs/>
                <w:noProof/>
              </w:rPr>
              <w:t>H</w:t>
            </w:r>
            <w:r>
              <w:rPr>
                <w:noProof/>
              </w:rPr>
              <w:t>),9’-[9</w:t>
            </w:r>
            <w:r>
              <w:rPr>
                <w:i/>
                <w:iCs/>
                <w:noProof/>
              </w:rPr>
              <w:t>H</w:t>
            </w:r>
            <w:r>
              <w:rPr>
                <w:noProof/>
              </w:rPr>
              <w:t>]xanthène]-3-one (CAS RN 29512-49-0)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4-(méthoxycarbonyl)-5-oxo-2,5-dihydrofuran-3-olate de sodium (CAS RN 1134960-41-0)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2932 20 90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rPr>
            </w:pPr>
            <w:r>
              <w:rPr>
                <w:noProof/>
              </w:rPr>
              <w:t>6’-(Dibutylamino)-3’-méthyl-2’-(phénylamino)-spiro[isobenzofuranne-1(3</w:t>
            </w:r>
            <w:r>
              <w:rPr>
                <w:i/>
                <w:iCs/>
                <w:noProof/>
              </w:rPr>
              <w:t>H</w:t>
            </w:r>
            <w:r>
              <w:rPr>
                <w:noProof/>
              </w:rPr>
              <w:t>),9’-[9</w:t>
            </w:r>
            <w:r>
              <w:rPr>
                <w:i/>
                <w:iCs/>
                <w:noProof/>
              </w:rPr>
              <w:t>H</w:t>
            </w:r>
            <w:r>
              <w:rPr>
                <w:noProof/>
              </w:rPr>
              <w:t>]xanthène]-3-one (CAS RN 89331-94-2)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2932 20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Acide gibbérellique, d’une pureté minimale en poids de 88 % (CAS RN 77-06-5)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2932 20 90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rPr>
            </w:pPr>
            <w:r>
              <w:rPr>
                <w:noProof/>
              </w:rPr>
              <w:t>Décahydro-3a,6,6,9a-tétraméthylnaphth [2,1-b] furan-2 (1H)-one (CAS RN 564-20-5)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Bendiocarbe (ISO) (CAS RN 22781-23-3)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(4-Chloro-3-(4-éthoxybenzyl)phényl)((3aS,5R,6S,6aS)-6-hydroxy-2,2-diméthyltétrahydrofuro[2,3-d][1 ,3]dioxol-5-yl)-méthanone (CAS RN 1103738-30-2)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1,3,4,6,7,8-Hexahydro-4,6,6,7,8,8-hexaméthylindéno[5,6-c]pyranne (CAS RN 1222-05-5)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4- [4-Bromo-3- ((tétrahydro-2H-pyran-2-yloxy) méthyl) phénoxy) benzonitrile (CAS RN 943311-78-2)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2-Méthyl-1,3-dioxolanne-2-acétate d’éthyle (CAS RN 6413-10-1)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2-éthyl-3-hydroxy-4-pyran-4-one (CAS RN 4940-11-8)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Acide 1-(2,2-difluorobenzo[d][1,3]dioxol-5-yl) cyclopropanecarboxylique (CAS RN 862574-88-7)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3-Hydroxy-2-méthyl-4-pyrone (CAS RN 118-71-8)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fr-BE"/>
              </w:rPr>
            </w:pPr>
            <w:r>
              <w:rPr>
                <w:noProof/>
                <w:lang w:val="fr-BE"/>
              </w:rPr>
              <w:t>Éthofumesate (ISO) (CAS RN 26225-79-6)  d'une pureté en poids de 97 %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2-Butylbenzofuranne (CAS RN 4265-27-4)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7-Méthyl-3,4-dihydro-2</w:t>
            </w:r>
            <w:r>
              <w:rPr>
                <w:i/>
                <w:iCs/>
                <w:noProof/>
              </w:rPr>
              <w:t>H</w:t>
            </w:r>
            <w:r>
              <w:rPr>
                <w:noProof/>
              </w:rPr>
              <w:t>-1,5-benzodioxépine-3-one (CAS RN 28940-11-6)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1,3-Dihydro-1,3-diméthoxyisobenzofurane (CAS RN 24388-70-3)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Acide 6-fluoro-3,4-dihydro-2H-1-benzopyrane-2-carboxylique (CAS RN 99199-60-7)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4,4-diméthyl-3,5,8-trioxabicyclo[5,1,0]octane (CAS RN 57280-22-5)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1,3:2,4-</w:t>
            </w:r>
            <w:r>
              <w:rPr>
                <w:i/>
                <w:iCs/>
                <w:noProof/>
              </w:rPr>
              <w:t>bis-O</w:t>
            </w:r>
            <w:r>
              <w:rPr>
                <w:noProof/>
              </w:rPr>
              <w:t>-Benzylidène-</w:t>
            </w:r>
            <w:r>
              <w:rPr>
                <w:i/>
                <w:iCs/>
                <w:noProof/>
              </w:rPr>
              <w:t>D</w:t>
            </w:r>
            <w:r>
              <w:rPr>
                <w:noProof/>
              </w:rPr>
              <w:t>-glucitol (CAS RN 32647-67-9)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3-(3,4-Méthylènedioxyphényl)-2-méthylpropanal (CAS RN 1205-17-0)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1,3:2,4-</w:t>
            </w:r>
            <w:r>
              <w:rPr>
                <w:i/>
                <w:iCs/>
                <w:noProof/>
              </w:rPr>
              <w:t>bis-O</w:t>
            </w:r>
            <w:r>
              <w:rPr>
                <w:noProof/>
              </w:rPr>
              <w:t>-(4-Méthylbenzylidène)-</w:t>
            </w:r>
            <w:r>
              <w:rPr>
                <w:i/>
                <w:iCs/>
                <w:noProof/>
              </w:rPr>
              <w:t>D</w:t>
            </w:r>
            <w:r>
              <w:rPr>
                <w:noProof/>
              </w:rPr>
              <w:t>-glucitol (CAS RN 81541-12-0)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2932 99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1,3:2,4-Bis-O-(3,4-diméthylbenzylidène)-D-glucitol (CAS RN 135861-56-2)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Pyrasulfotole (ISO) (CAS RN 365400-11-9)  d'une pureté en poids de 96 %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Acide 3-difluoromethyl-1-methyl-1H-pyrazole-4-carboxyliqu (CAS RN 176969-34-9)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3-Méthyl-1-</w:t>
            </w:r>
            <w:r>
              <w:rPr>
                <w:i/>
                <w:iCs/>
                <w:noProof/>
              </w:rPr>
              <w:t>p</w:t>
            </w:r>
            <w:r>
              <w:rPr>
                <w:noProof/>
              </w:rPr>
              <w:t>-tolyl-5-pyrazolone (CAS RN 86-92-0)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1,3-Diméthyle-5-fluoro-1H-pyrazol-4-fluorure de carbonyle (CAS RN 191614-02-5)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19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Edaravone (DCI) (CAS RN 89-25-8)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5-Amino-1-[2,6-dichloro-4-(trifluorométhyl)phényl]-1H-pyrazole-3-carbonitrile (CAS RN 120068-79-3)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Fenpyroximate (ISO) (CAS RN 134098-61-6)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5-méthyl-1-(naphthalèn-2-yl)-1,2-dihydro-3H-pyrazole-3-one (CAS RN 1192140-15-0)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Pyraflufen-éthyl (ISO) (CAS RN 129630-19-9)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19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Sulfate de 4,5-diamino-1-(2-hydroxyéthyl)-pyrazole (CAS RN 155601-30-2)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Acide 3-(4,5-dihydro-3-méthyle-5-oxo-1</w:t>
            </w:r>
            <w:r>
              <w:rPr>
                <w:i/>
                <w:iCs/>
                <w:noProof/>
              </w:rPr>
              <w:t>H</w:t>
            </w:r>
            <w:r>
              <w:rPr>
                <w:noProof/>
              </w:rPr>
              <w:t>-pyrazole-1-yl)benzènesulfonique (CAS RN 119-17-5)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Iprodione (ISO) (CAS RN 36734-19-7) d'une pureté en poids de 97 %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1-Bromo-3-chloro-5,5-diméthylhydantoïne (CAS RN 16079-88-2)/ (CAS RN 32718-18-6)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Chlorhydrate de-1-aminohydantoïne (CAS RN 2827-56-7)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DL-</w:t>
            </w:r>
            <w:r>
              <w:rPr>
                <w:i/>
                <w:iCs/>
                <w:noProof/>
              </w:rPr>
              <w:t>p</w:t>
            </w:r>
            <w:r>
              <w:rPr>
                <w:noProof/>
              </w:rPr>
              <w:t>-Hydroxyphénylhydantoïne (CAS RN 2420-17-9)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21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5,5-Diméthylhydantoïne (CAS RN 77-71-4)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29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4-(1-Hydroxy-1-méthyléthyl)-2-propylimidazole-5-carboxylate d'éthyle (CAS RN 144689-93-0)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29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2-(2-Chlorophényl)-1-[2-(2-chlorophényl)-4,5-diphényl-2H-imidazol-2-yl]-4,5-diphényl-1H-imidazole (CAS RN 7189-82-4)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29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Prochloraze (ISO) (CAS RN 67747-09-5)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Triflumizole (ISO) (CAS RN 68694-11-1)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29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Prochloraz – chlorure de cuivre (ISO) (CAS RN 156065-03-1)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29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1,3-Diméthylimidazolidine-2-one (CAS RN 80-73-9)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Fénamidone (ISO) (CAS RN 161326-34-7)  d'une pureté en poids de 97 %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1-Cyano-2-méthyl-1-[2-(5-méthylimidazole-4-ylméthylthio)éthyl]isothiourée (CAS RN 52378-40-2)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(S)-2-(5-bromo-1H-imidazol-2-yl)pyrrolidine-1-carboxylate de tert-butyle (CAS RN 1007882-59-8)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Cyazofamide (ISO) (CAS RN 120116-88-3)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Dichlorhydrate de 2,2'-azobis[2-(2-imidazolin-2-yl)propane (CAS RN 27776-21-2)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Imazalil (ISO) (CAS RN 35554-44-0)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2933 39 50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Ester méthylique de fluroxypyr (ISO) (CAS RN 69184-17-4)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Chlorhydrate de 2-aminopyridine-4-ol (CAS RN 1187932-09-7)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rPr>
            </w:pPr>
            <w:r>
              <w:rPr>
                <w:noProof/>
              </w:rPr>
              <w:t>Chlorhydrate de 2-(chlorométhyl)-4-(3-méthoxypropoxy)-3-méthylpyridine (CAS RN 153259-31-5)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2,3-Dichloropyridine (CAS RN 2402-77-9)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(1S, 3S, 4R)-2-[(1R)-1-phényléthyle]-2-azabicyclo [2.2.1] hept-5-ène-3-carboxylate de méthyle (CAS RN 130194-96-6)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Chlorhydrate de N,4-diméthyl-1-(phénylméthyl)-3-pipéridinamide (2 :1) (CAS RN 1228879-37-5)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Dichlorhydrate de (2S,5R)-5-[(benzyloxy)amino]piperidine-2-carboxylate de méthyle (CAS RN 1501976-34-6)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3,5-Diméthylpyridine (CAS RN 591-22-0)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lang w:val="fr-BE"/>
              </w:rPr>
            </w:pPr>
            <w:r>
              <w:rPr>
                <w:noProof/>
                <w:lang w:val="fr-BE"/>
              </w:rPr>
              <w:t>Nicotinate de méthyle (DCIM) (CAS RN 93-60-7)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Poudre de pyrithione de cuivre (CAS RN 14915-37-8)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Boscalide (ISO) (CAS RN 188425-85-6)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rPr>
            </w:pPr>
            <w:r>
              <w:rPr>
                <w:noProof/>
              </w:rPr>
              <w:t>Acide isonicotinique (CAS RN 55-22-1)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2-Chloro-3-cyanopyridine (CAS RN 6602-54-6)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rPr>
            </w:pPr>
            <w:r>
              <w:rPr>
                <w:noProof/>
              </w:rPr>
              <w:t>Chlorohydrate de 2-chlorométhyl-4-méthoxy-3,5-diméthylpyridine (CAS RN 86604-75-3)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Imazethapyr (ISO) (CAS RN 81335-77-5)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rPr>
            </w:pPr>
            <w:r>
              <w:rPr>
                <w:noProof/>
              </w:rPr>
              <w:t>Dichlorhydrate de 2-[4-(hydrazinylméthyl)phényl]pyridine (CAS RN  1802485-62-6)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BE"/>
              </w:rPr>
            </w:pPr>
            <w:r>
              <w:rPr>
                <w:noProof/>
                <w:lang w:val="fr-BE"/>
              </w:rPr>
              <w:t>Acide pyridine-2,6-dicarboxylique (CAS RN 499-83-2)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Propionate d'éthyle-3-[(3-amino-4-méthylamino-benzoyl)-pyridin-2-yl-amino] (CAS RN 212322-56-0)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29</w:t>
            </w:r>
          </w:p>
        </w:tc>
        <w:tc>
          <w:tcPr>
            <w:tcW w:w="0" w:type="auto"/>
            <w:tcBorders>
              <w:left w:val="single" w:sz="2" w:space="0" w:color="auto"/>
            </w:tcBorders>
          </w:tcPr>
          <w:p>
            <w:pPr>
              <w:pStyle w:val="Paragraph"/>
              <w:rPr>
                <w:noProof/>
              </w:rPr>
            </w:pPr>
            <w:r>
              <w:rPr>
                <w:noProof/>
              </w:rPr>
              <w:t>3,5-Dichloro-2-cyanopyridine (CAS RN 85331-33-5)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rPr>
            </w:pPr>
            <w:r>
              <w:rPr>
                <w:noProof/>
              </w:rPr>
              <w:t>Chlorhydrate de 2-(chlorométhyl)-3-méthyl-4-(2,2,2-trifluoroéthoxy)pyridine (CAS RN 127337-60-4)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rPr>
            </w:pPr>
            <w:r>
              <w:rPr>
                <w:noProof/>
              </w:rPr>
              <w:t>Chlorhydrate de 2-chlorométhyl-3,4-diméthoxypyridinium (CAS RN 72830-09-2)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5-(3-chlorophényl)-3-méthoxypyridine-2-carbonitrile (CAS RN 1415226-39-9)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rPr>
            </w:pPr>
            <w:r>
              <w:rPr>
                <w:noProof/>
              </w:rPr>
              <w:t>3-Chloro-(5-trifluorméthyl)-2-pyridin-acétonitrile (CAS RN 157764-10-8)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Aminopyralide (ISO) (CAS RN 150114-71-9)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rPr>
            </w:pPr>
            <w:r>
              <w:rPr>
                <w:noProof/>
              </w:rPr>
              <w:t>1-[2-[5-Méthyl-3-(trifluorométhyl)-1H-pyrazol-1-yl]acétyl]piperidine-4-carbothioamide (CAS RN 1003319-95-6)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fr-BE"/>
              </w:rPr>
            </w:pPr>
            <w:r>
              <w:rPr>
                <w:noProof/>
                <w:lang w:val="fr-BE"/>
              </w:rPr>
              <w:t>Solution aqueuse de 1-oxyde de pyridine-2-thiol, sel de sodium (CAS RN 3811-73-2)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rPr>
            </w:pPr>
            <w:r>
              <w:rPr>
                <w:noProof/>
              </w:rPr>
              <w:t>(2-Chloro-3-pyridinyl)méthanol (CAS RN 42330-59-6)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rPr>
            </w:pPr>
            <w:r>
              <w:rPr>
                <w:noProof/>
              </w:rPr>
              <w:t>2,6-Dichloronicotinamide (CAS RN 62068-78-4)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Acide 2-chloro-6- (3-fluoro-5-isobutoxyphenyl) nicotinique (CAS RN 1897387-01-7)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5-Difluorométhoxy-2-[[(3,4-diméthoxy-2-pyridyl)méthyl]thio]-1</w:t>
            </w:r>
            <w:r>
              <w:rPr>
                <w:i/>
                <w:iCs/>
                <w:noProof/>
              </w:rPr>
              <w:t>H</w:t>
            </w:r>
            <w:r>
              <w:rPr>
                <w:noProof/>
              </w:rPr>
              <w:t>-benzimidazole (CAS RN 102625-64-9)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lang w:val="fr-BE"/>
              </w:rPr>
            </w:pPr>
            <w:r>
              <w:rPr>
                <w:noProof/>
                <w:lang w:val="fr-BE"/>
              </w:rPr>
              <w:t>Fluopicolide (ISO) (CAS RN 239110-15-7) d’une pureté en poids de 97 %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w:t>
            </w:r>
            <w:r>
              <w:rPr>
                <w:i/>
                <w:iCs/>
                <w:noProof/>
              </w:rPr>
              <w:t>trans</w:t>
            </w:r>
            <w:r>
              <w:rPr>
                <w:noProof/>
              </w:rPr>
              <w:t>-4-(4’-Fluorophényl)-3-hydroxyméthyl-</w:t>
            </w:r>
            <w:r>
              <w:rPr>
                <w:i/>
                <w:iCs/>
                <w:noProof/>
              </w:rPr>
              <w:t>N</w:t>
            </w:r>
            <w:r>
              <w:rPr>
                <w:noProof/>
              </w:rPr>
              <w:t>-méthylpipéridine (CAS RN 105812-81-5)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Flonicamide (ISO) (CAS RN 158062-67-0)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rPr>
            </w:pPr>
            <w:r>
              <w:rPr>
                <w:noProof/>
              </w:rPr>
              <w:t>2,5-dichloro-4,6-diméthylnicotinonitrile (CAS RN 91591-63-8)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it-IT"/>
              </w:rPr>
            </w:pPr>
            <w:r>
              <w:rPr>
                <w:noProof/>
                <w:lang w:val="it-IT"/>
              </w:rPr>
              <w:t>6-Chloro-3-nitropyridine-2-ylamine (CAS RN 27048-04-0)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3-Bromopyridine (CAS RN 626-55-1)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rPr>
            </w:pPr>
            <w:r>
              <w:rPr>
                <w:noProof/>
              </w:rPr>
              <w:t>2-Amino-4-méthylpyridine (CAS RN 695-34-1)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Pyriproxyfène (ISO) (CAS RN 95737-68-1) d’une pureté en poids de 97 %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 xml:space="preserve">3-(6-Amino-3-méthyl pyridin-2-yl)benzoate de </w:t>
            </w:r>
            <w:r>
              <w:rPr>
                <w:i/>
                <w:iCs/>
                <w:noProof/>
              </w:rPr>
              <w:t>tert</w:t>
            </w:r>
            <w:r>
              <w:rPr>
                <w:noProof/>
              </w:rPr>
              <w:t>-butyle (CAS RN 1083057-14-0)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2-Fluoro-6-(trifluorométhyl)pyridine (CAS RN 94239-04-0)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Acetamiprid (ISO) (CAS RN 135410-20-7)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rPr>
            </w:pPr>
            <w:r>
              <w:rPr>
                <w:noProof/>
              </w:rPr>
              <w:t>(1R,3S,4S)-3-(6-bromo-1H-benzo[d]imidazol-2-yl)-2-azabicyclo[2.2.1]heptane-2-carboxylate de tert-butyle(CAS RN 1256387-74-2)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2,3-Dichloro-5-trifluorométhylpyridine (CAS RN 69045-84-7)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rPr>
            </w:pPr>
            <w:r>
              <w:rPr>
                <w:noProof/>
              </w:rPr>
              <w:t>5,6-Diméthoxy-2-[(4-pipéridinyle)méthyl]indan-1-one (CAS RN 120014-30-4)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39 99</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Imazamox (ISO) (CAS RN 114311-32-9)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2-Chloro-5-chlorométhylpyridine (CAS RN 70258-18-3)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49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Quinmerac (ISO) (CAS RN 90717-03-6)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49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Acide 3-hydroxy-2-méthylquinoléine-4-carboxylique (CAS RN 117-57-7)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4-Oxo-1,4-dihydroquinoline-3-carboxylate d'éthyle (CAS RN 52980-28-6)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4,7-Dichloroquinoléine (CAS RN 86-98-6)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49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Acide 1-cyclopropyl-6,7,8-trifluoro-1,4-dihydro-4-oxo-3-quinoléinecarboxylique (CAS RN 94695-52-0)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2933 49 10</w:t>
            </w:r>
          </w:p>
          <w:p>
            <w:pPr>
              <w:pStyle w:val="Paragraph"/>
              <w:rPr>
                <w:noProof/>
              </w:rPr>
            </w:pPr>
            <w:r>
              <w:rPr>
                <w:noProof/>
              </w:rPr>
              <w:t>ex 2933 49 90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65</w:t>
            </w:r>
          </w:p>
        </w:tc>
        <w:tc>
          <w:tcPr>
            <w:tcW w:w="0" w:type="auto"/>
            <w:vMerge w:val="restart"/>
            <w:tcBorders>
              <w:left w:val="single" w:sz="2" w:space="0" w:color="auto"/>
            </w:tcBorders>
          </w:tcPr>
          <w:p>
            <w:pPr>
              <w:pStyle w:val="Paragraph"/>
              <w:rPr>
                <w:noProof/>
              </w:rPr>
            </w:pPr>
            <w:r>
              <w:rPr>
                <w:noProof/>
              </w:rPr>
              <w:t>Roxadustat (DCI) (CAS RN 808118-40-3)</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2933 49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pt-PT"/>
              </w:rPr>
            </w:pPr>
            <w:r>
              <w:rPr>
                <w:noProof/>
                <w:lang w:val="pt-PT"/>
              </w:rPr>
              <w:t>Cloquintocet-mexyl (ISO) (CAS RN 99607-70-2)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49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Quinoléine (CAS RN 91-22-5)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49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[1-(4-Benzyloxy-benzyl)-2-cyclobutylméthyl-octahydro-isoquinoléine-4a,8a-diol (CUS 0141126-3)</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49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Isoquinoléine (CAS RN 119-65-3)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49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6,7-Diméthoxy-3,4- dihydroisoquinoline chlorhydrate (CAS RN 20232-39-7)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49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Quinoléine-8-ol (CAS RN 148-24-3)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52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Malonylurée (acide barbiturique) (CAS RN 67-52-7)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6-Amino- 1,3-diméthyluracile (CAS RN 6642-31-5)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2-DIÉTHYLAMINO-6-HYDROXY-4-MÉTHYLPYRIMIDINE (CAS RN 42487-72-9)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Phosphate de sitagliptine monohydraté (CAS RN 654671-77-9)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N,N'-(4,6-dichloropyrimidine-2,5-diyl)diformamide (CAS RN 116477-30-6)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1-Méthyl-3-phénylpipérazine (CAS RN 5271-27-2)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2,4-Diamino-6-chloropyrimidine (CAS RN 156-83-2)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N-(2-oxo-1,2-dihydropyrimidin-4-yl)benzamide (CAS RN 26661-13-2)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rPr>
            </w:pPr>
            <w:r>
              <w:rPr>
                <w:noProof/>
              </w:rPr>
              <w:t>6-chloro-1,3-diméthyl-2,4(1H,3H)-pyrimidinedione (CAS RN 6972-27-6)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6-Chloro-3-méthyluracile  (CAS RN 4318-56-3)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rPr>
            </w:pPr>
            <w:r>
              <w:rPr>
                <w:noProof/>
              </w:rPr>
              <w:t>Cyclopropyl(1-pipérazinyl)méthanone, chlorhydrate (1:1) (CAS RN 1021298-67-8)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rPr>
            </w:pPr>
            <w:r>
              <w:rPr>
                <w:noProof/>
              </w:rPr>
              <w:t>5-fluoro-4-hydrazino-2-méthoxypyrimidine (CAS RN 166524-64-7)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BE"/>
              </w:rPr>
            </w:pPr>
            <w:r>
              <w:rPr>
                <w:noProof/>
                <w:lang w:val="fr-BE"/>
              </w:rPr>
              <w:t>2-[(2-amino-6-oxo-1,6-dihydro-9H-purin-9-yl)méthoxy]-3-hydroxypropylacétate (CAS RN 88110-89-8)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Mepanipyrim (ISO) (CAS RN 110235-47-7)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4,6-Dichloro-5-fluoropyrimidine (CAS RN 213265-83-9)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6-Iodo-3-propyl-2-thioxo-2,3-dihydroquinazolin-4(1H)-one (CAS RN 200938-58-5)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Acide 2-(4-(2-hydroxyéthyl)pipérazine-1-yl)éthanesulfonique (CAS RN 7365-45-9)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1-[3-(Hydroxyméthyl)pyridin-2-yl]-4-méthyl-2-phénylpipérazine (CAS RN 61337-89-1)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6-Méthyl- 2-oxoperhydropyrimidine- 4-ylurée (CAS RN 1129-42-6) d’une pureté égale ou supérieure à 94 %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2-(2-Pipérazin-1-yléthoxy)éthanol (CAS RN 13349-82-1)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5-Fluoro-2-méthoxypyrimidine-4(3H)-one (CAS RN 1480-96-2)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fr-BE"/>
              </w:rPr>
            </w:pPr>
            <w:r>
              <w:rPr>
                <w:noProof/>
                <w:lang w:val="fr-BE"/>
              </w:rPr>
              <w:t>5,7-Diméthoxy-[1,2,4]triazolo[1,5-</w:t>
            </w:r>
            <w:r>
              <w:rPr>
                <w:i/>
                <w:iCs/>
                <w:noProof/>
                <w:lang w:val="fr-BE"/>
              </w:rPr>
              <w:t>a</w:t>
            </w:r>
            <w:r>
              <w:rPr>
                <w:noProof/>
                <w:lang w:val="fr-BE"/>
              </w:rPr>
              <w:t>]pyrimidin-2-amine (CAS RN 13223-43-3)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2,6-Dichloro-4,8-dipipéridinopyrimido[5,4-</w:t>
            </w:r>
            <w:r>
              <w:rPr>
                <w:i/>
                <w:iCs/>
                <w:noProof/>
              </w:rPr>
              <w:t>d</w:t>
            </w:r>
            <w:r>
              <w:rPr>
                <w:noProof/>
              </w:rPr>
              <w:t>]pyrimidine (CAS RN 7139-02-8)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Bis(tétrafluoroborate) de 1-chlorométhyl-4-fluoro-1,4-diazoniabicyclo[2.2.2]octane (CAS RN 140681-55-6)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59 95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i/>
                <w:iCs/>
                <w:noProof/>
              </w:rPr>
              <w:t>N</w:t>
            </w:r>
            <w:r>
              <w:rPr>
                <w:noProof/>
              </w:rPr>
              <w:t>-(4-Ethyl-2,3-dioxopipérazine-1-ylcarbonyl)-D-2-phénylglycine (CAS RN 63422-71-9)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Chlorhydrate de (2R,3S/2S,3R)-3-(6-chloro-5-fluoro pyrimidin-4-yl)-2-(2,4-difluorophényl)-1-(1H-1,2,4-triazol-1-yl)butan-2-ol, (CAS RN 188416-20-8)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Chlorhydrate de 3-(trifluorométhyl)-5,6,7,8-tétrahydro[1,2,4]triazolo[4,3-a]pyrazine  (1:1) (CAS RN 762240-92-6)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5-Bromo-2,4-dichloropyrimidine (CAS RN 36082-50-5)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59 95</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6-benzyladénine (CAS RN 1214-39-7)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fr-BE"/>
              </w:rPr>
            </w:pPr>
            <w:r>
              <w:rPr>
                <w:noProof/>
                <w:lang w:val="fr-BE"/>
              </w:rPr>
              <w:t>Métribuzine (ISO) (CAS RN 21087-64-9) d’une pureté en poids de 93 %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2-Chloro-4,6-diméthoxy-1,3,5-triazine (CAS RN 3140-73-6)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rPr>
            </w:pPr>
            <w:r>
              <w:rPr>
                <w:noProof/>
              </w:rPr>
              <w:t xml:space="preserve">Benzoguanamine (CAS RN  91-76-9)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Troclosène sodique (DCIM), (CAS RN 2893-78-9)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69 80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2-(4,6-Bis-(2,4-diméthylphényl)-1,3,5-triazin-2-yl)-5-(octyloxy)-phénol (CAS RN 2725-22-6)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Terbutryne (ISO) (CAS RN 886-50-0)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Acide cyanurique (CAS RN 108-80-5)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69 80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pt-PT"/>
              </w:rPr>
            </w:pPr>
            <w:r>
              <w:rPr>
                <w:noProof/>
                <w:lang w:val="pt-PT"/>
              </w:rPr>
              <w:t>1,3,5-Triazine-2,4,6(1H,3H,5H)-trithione, sel de trisodium (CAS RN 17766-26-6)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69 80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Métamitrone (ISO) (CAS RN 41394-05-2)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69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Tris(2-hydroxyéthyl)-1,3,5-triazinetrione (CAS RN 839-90-7)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i/>
                <w:iCs/>
                <w:noProof/>
              </w:rPr>
              <w:t>N-(tert</w:t>
            </w:r>
            <w:r>
              <w:rPr>
                <w:noProof/>
              </w:rPr>
              <w:t>-Butoxycarbonyl)-L-pyroglutamate d'éthyle (CAS RN 144978-12-1)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2-Oxo-6-indolinecarboxylate de méthyle (CAS RN 14192-26-8)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5-Vinyl-2-pyrrolidone (CAS RN 7529-16-0)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2933 79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1-Tert-butyl 2-méthyl(2S)-5-oxopyrrolidine-1,2-dicarboxylate (CAS RN 108963-96-8)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79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6-Bromo-3-méthyl-3H-dibenz[f,ij]isoquinoléine-2,7-dione (CAS RN 81-85-6)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3,3-Pentaméthylène-4-butyrolactame (CAS RN 64744-50-9)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79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Tartrate L-(+) de (</w:t>
            </w:r>
            <w:r>
              <w:rPr>
                <w:i/>
                <w:iCs/>
                <w:noProof/>
              </w:rPr>
              <w:t>S</w:t>
            </w:r>
            <w:r>
              <w:rPr>
                <w:noProof/>
              </w:rPr>
              <w:t>)-</w:t>
            </w:r>
            <w:r>
              <w:rPr>
                <w:i/>
                <w:iCs/>
                <w:noProof/>
              </w:rPr>
              <w:t>N</w:t>
            </w:r>
            <w:r>
              <w:rPr>
                <w:noProof/>
              </w:rPr>
              <w:t>-[(diéthylamino)méthyl]-alpha-éthyl-2-oxo-1-pyrrolidine acétamide, (CAS RN  754186-36-2)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rPr>
            </w:pPr>
            <w:r>
              <w:rPr>
                <w:noProof/>
              </w:rPr>
              <w:t>Fenbuconazole (ISO) (CAS RN 114369-43-6)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Myclobutanil (ISO) (CAS RN 88671-89-0)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5-Bifluormèthoxy-2-mercapto-1-H-benzimidazole (CAS RN 97963-62-7)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2-(2H-benzotriazol-2-yl)-4-méthyl-6-(2-méthylprop-2-èn-1-yl)phénol (CAS RN 98809-58-6)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2-(2</w:t>
            </w:r>
            <w:r>
              <w:rPr>
                <w:i/>
                <w:iCs/>
                <w:noProof/>
              </w:rPr>
              <w:t>H</w:t>
            </w:r>
            <w:r>
              <w:rPr>
                <w:noProof/>
              </w:rPr>
              <w:t>-Benzotriazole-2-yl)-4,6-di-</w:t>
            </w:r>
            <w:r>
              <w:rPr>
                <w:i/>
                <w:iCs/>
                <w:noProof/>
              </w:rPr>
              <w:t>tert</w:t>
            </w:r>
            <w:r>
              <w:rPr>
                <w:noProof/>
              </w:rPr>
              <w:t>-pentylphénol (CAS RN 25973-55-1)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fr-BE"/>
              </w:rPr>
            </w:pPr>
            <w:r>
              <w:rPr>
                <w:noProof/>
                <w:lang w:val="fr-BE"/>
              </w:rPr>
              <w:t>Pyridate (ISO) (CAS RN 55512-33-9) d’une pureté en poids de 90 %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fr-BE"/>
              </w:rPr>
            </w:pPr>
            <w:r>
              <w:rPr>
                <w:noProof/>
                <w:lang w:val="fr-BE"/>
              </w:rPr>
              <w:t>Carfentrazone-éthyl (ISO) (CAS RN 128639-02-1) d’une pureté en poids de 93 %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2-(2,4-Dichlorophényl)-3-(1H—1,2,4-triazol-1-yl)propan-1-ol (CAS RN 112281-82-0)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2-(2</w:t>
            </w:r>
            <w:r>
              <w:rPr>
                <w:i/>
                <w:iCs/>
                <w:noProof/>
              </w:rPr>
              <w:t>H</w:t>
            </w:r>
            <w:r>
              <w:rPr>
                <w:noProof/>
              </w:rPr>
              <w:t>-Benzotriazole-2-yl)-4,6-bis(1-méthyl-1-phényléthyl)phénol (CAS RN 70321-86-7)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Hexafluorophosphate(V) de 1-[bis(diméthylamino)méthylène]-1H-[1,2,3]triazolo[4,5-b]pyridinium 3-oxyde (CAS RN 148893-10-1)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Tébuconazole (ISO) (CAS RN 107534-96-3)  d'une pureté en poids de 95 %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lang w:val="pt-PT"/>
              </w:rPr>
            </w:pPr>
            <w:r>
              <w:rPr>
                <w:noProof/>
                <w:lang w:val="pt-PT"/>
              </w:rPr>
              <w:t>1,3-Dihydro-5,6-diamino-2</w:t>
            </w:r>
            <w:r>
              <w:rPr>
                <w:i/>
                <w:iCs/>
                <w:noProof/>
                <w:lang w:val="pt-PT"/>
              </w:rPr>
              <w:t>H</w:t>
            </w:r>
            <w:r>
              <w:rPr>
                <w:noProof/>
                <w:lang w:val="pt-PT"/>
              </w:rPr>
              <w:t>-benzimidazol-2-one (CAS RN 55621-49-3)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rPr>
            </w:pPr>
            <w:r>
              <w:rPr>
                <w:noProof/>
              </w:rPr>
              <w:t>(2</w:t>
            </w:r>
            <w:r>
              <w:rPr>
                <w:i/>
                <w:iCs/>
                <w:noProof/>
              </w:rPr>
              <w:t>S</w:t>
            </w:r>
            <w:r>
              <w:rPr>
                <w:noProof/>
              </w:rPr>
              <w:t>,3</w:t>
            </w:r>
            <w:r>
              <w:rPr>
                <w:i/>
                <w:iCs/>
                <w:noProof/>
              </w:rPr>
              <w:t>S</w:t>
            </w:r>
            <w:r>
              <w:rPr>
                <w:noProof/>
              </w:rPr>
              <w:t>,4</w:t>
            </w:r>
            <w:r>
              <w:rPr>
                <w:i/>
                <w:iCs/>
                <w:noProof/>
              </w:rPr>
              <w:t>R</w:t>
            </w:r>
            <w:r>
              <w:rPr>
                <w:noProof/>
              </w:rPr>
              <w:t>)-Méthyl 4-(3-(1,1-difluorobut-3-ényl)-7-méthoxyquinoxalin-2-yloxy)-3-éthylpyrrolidine-2-carboxylate 4-méthylbenzènesulfonate (CUS 0143289-9)</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5,6-Diméthylbenzimidazole (CAS RN 582-60-5)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29</w:t>
            </w:r>
          </w:p>
        </w:tc>
        <w:tc>
          <w:tcPr>
            <w:tcW w:w="0" w:type="auto"/>
            <w:tcBorders>
              <w:left w:val="single" w:sz="2" w:space="0" w:color="auto"/>
            </w:tcBorders>
          </w:tcPr>
          <w:p>
            <w:pPr>
              <w:pStyle w:val="Paragraph"/>
              <w:rPr>
                <w:noProof/>
              </w:rPr>
            </w:pPr>
            <w:r>
              <w:rPr>
                <w:noProof/>
              </w:rPr>
              <w:t>3-[3-(4-Fluorophényl)-1-(1-méthyléthyl)-1H-indol-2-yl]-(E)-2-propénal (CAS RN 93957-50-7)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Quizalofop-P-éthyle (ISO) (CAS RN 100646-51-3)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lang w:val="fr-BE"/>
              </w:rPr>
            </w:pPr>
            <w:r>
              <w:rPr>
                <w:noProof/>
                <w:lang w:val="fr-BE"/>
              </w:rPr>
              <w:t>Triadiménol (ISO) (CAS RN 55219-65-3) d’une pureté en poids de 97 %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Penconazole (ISO) (CAS RN 66246-88-6)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rPr>
            </w:pPr>
            <w:r>
              <w:rPr>
                <w:noProof/>
              </w:rPr>
              <w:t>2,4-Dihydro-5-méthoxy-4-méthyl-3</w:t>
            </w:r>
            <w:r>
              <w:rPr>
                <w:i/>
                <w:iCs/>
                <w:noProof/>
              </w:rPr>
              <w:t>H</w:t>
            </w:r>
            <w:r>
              <w:rPr>
                <w:noProof/>
              </w:rPr>
              <w:t>-1,2,4-triazol-3-one (CAS RN 135302-13-5)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rPr>
            </w:pPr>
            <w:r>
              <w:rPr>
                <w:noProof/>
              </w:rPr>
              <w:t>3-Chloro-2-(1,1-difluoro-3-buten-1-yl)-6-méthoxyquinoxaline (CAS RN 1799733-46-2)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8-Chloro-5,10-dihydro-11</w:t>
            </w:r>
            <w:r>
              <w:rPr>
                <w:i/>
                <w:iCs/>
                <w:noProof/>
              </w:rPr>
              <w:t>H</w:t>
            </w:r>
            <w:r>
              <w:rPr>
                <w:noProof/>
              </w:rPr>
              <w:t>-dibenzo [</w:t>
            </w:r>
            <w:r>
              <w:rPr>
                <w:i/>
                <w:iCs/>
                <w:noProof/>
              </w:rPr>
              <w:t>b,e</w:t>
            </w:r>
            <w:r>
              <w:rPr>
                <w:noProof/>
              </w:rPr>
              <w:t>] [1,4]diazépin-11-one (CAS RN 50892-62-1)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lang w:val="pt-PT"/>
              </w:rPr>
            </w:pPr>
            <w:r>
              <w:rPr>
                <w:noProof/>
                <w:lang w:val="pt-PT"/>
              </w:rPr>
              <w:t>(4a</w:t>
            </w:r>
            <w:r>
              <w:rPr>
                <w:i/>
                <w:iCs/>
                <w:noProof/>
                <w:lang w:val="pt-PT"/>
              </w:rPr>
              <w:t>S</w:t>
            </w:r>
            <w:r>
              <w:rPr>
                <w:noProof/>
                <w:lang w:val="pt-PT"/>
              </w:rPr>
              <w:t>,7a</w:t>
            </w:r>
            <w:r>
              <w:rPr>
                <w:i/>
                <w:iCs/>
                <w:noProof/>
                <w:lang w:val="pt-PT"/>
              </w:rPr>
              <w:t>S</w:t>
            </w:r>
            <w:r>
              <w:rPr>
                <w:noProof/>
                <w:lang w:val="pt-PT"/>
              </w:rPr>
              <w:t>)-Octahydro-1</w:t>
            </w:r>
            <w:r>
              <w:rPr>
                <w:i/>
                <w:iCs/>
                <w:noProof/>
                <w:lang w:val="pt-PT"/>
              </w:rPr>
              <w:t>H</w:t>
            </w:r>
            <w:r>
              <w:rPr>
                <w:noProof/>
                <w:lang w:val="pt-PT"/>
              </w:rPr>
              <w:t>-pyrrolo[3,4-b]pyridine (CAS RN 151213-40-0)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rPr>
            </w:pPr>
            <w:r>
              <w:rPr>
                <w:noProof/>
              </w:rPr>
              <w:t>Tétrafluoroborate d'</w:t>
            </w:r>
            <w:r>
              <w:rPr>
                <w:i/>
                <w:iCs/>
                <w:noProof/>
              </w:rPr>
              <w:t>o</w:t>
            </w:r>
            <w:r>
              <w:rPr>
                <w:noProof/>
              </w:rPr>
              <w:t>-(benzotriazol-1-yl)-</w:t>
            </w:r>
            <w:r>
              <w:rPr>
                <w:i/>
                <w:iCs/>
                <w:noProof/>
              </w:rPr>
              <w:t>N,N,N',N'</w:t>
            </w:r>
            <w:r>
              <w:rPr>
                <w:noProof/>
              </w:rPr>
              <w:t>-tétraméthyluronium (CAS RN 125700-67-6)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i/>
                <w:iCs/>
                <w:noProof/>
                <w:lang w:val="fr-BE"/>
              </w:rPr>
              <w:t>trans</w:t>
            </w:r>
            <w:r>
              <w:rPr>
                <w:noProof/>
                <w:lang w:val="fr-BE"/>
              </w:rPr>
              <w:t>-4-Hydroxy-L-proline (CAS RN 51-35-4)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5-(4’-bromométhyl-1,1-biphényl-2-yl)-1-triphénylméthyl-1H-tétrazole (CAS RN 124750-51-2)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lang w:val="fr-BE"/>
              </w:rPr>
            </w:pPr>
            <w:r>
              <w:rPr>
                <w:noProof/>
                <w:lang w:val="fr-BE"/>
              </w:rPr>
              <w:t>Chlorhydrate de (S)-2,2,4-triméthylpyrrolidine (CAS RN 1897428-40-8)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44</w:t>
            </w:r>
          </w:p>
        </w:tc>
        <w:tc>
          <w:tcPr>
            <w:tcW w:w="0" w:type="auto"/>
            <w:tcBorders>
              <w:left w:val="single" w:sz="2" w:space="0" w:color="auto"/>
            </w:tcBorders>
          </w:tcPr>
          <w:p>
            <w:pPr>
              <w:pStyle w:val="Paragraph"/>
              <w:rPr>
                <w:noProof/>
              </w:rPr>
            </w:pPr>
            <w:r>
              <w:rPr>
                <w:noProof/>
              </w:rPr>
              <w:t>(2S, 3S, 4R)-méthyl 3-éthyl-4-hydroxypyrrolidine-2-carboxylate 4-méthylbenzènesulfonate (CAS RN 1799733-43-9)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Hydrazide maléique (ISO) (CAS RN 123-33-1)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rPr>
            </w:pPr>
            <w:r>
              <w:rPr>
                <w:noProof/>
              </w:rPr>
              <w:t>Acide (S)-indoline-2-carboxylique (CAS RN 79815-20-6)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Paclobutrazol (ISO) (CAS RN 76738-62-0)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5-amino-6-méthyl-2-benzimidazolone (CAS RN 67014-36-2)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Metconazole (ISO) (CAS RN 125116-23-6)</w:t>
            </w:r>
          </w:p>
        </w:tc>
        <w:tc>
          <w:tcPr>
            <w:tcW w:w="0" w:type="auto"/>
            <w:tcBorders>
              <w:left w:val="single" w:sz="2" w:space="0" w:color="auto"/>
            </w:tcBorders>
          </w:tcPr>
          <w:p>
            <w:pPr>
              <w:pStyle w:val="Paragraph"/>
              <w:rPr>
                <w:noProof/>
              </w:rPr>
            </w:pPr>
            <w:r>
              <w:rPr>
                <w:noProof/>
              </w:rPr>
              <w:t>3.2 %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fr-BE"/>
              </w:rPr>
            </w:pPr>
            <w:r>
              <w:rPr>
                <w:noProof/>
                <w:lang w:val="fr-BE"/>
              </w:rPr>
              <w:t>Dibromure de diquat (ISO) (CAS RN 85-00-7) en solution aqueuse destiné à la fabrication d'herbicides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fr-BE"/>
              </w:rPr>
            </w:pPr>
            <w:r>
              <w:rPr>
                <w:noProof/>
                <w:lang w:val="fr-BE"/>
              </w:rPr>
              <w:t>Ester méthylique de N-Boc-trans-4-Hydroxy-L-proline (CAS RN 74844-91-0)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(S)-5-(tert-Butoxycarbonyl)-5-azaspiro[2.4]heptane-6-carboxylate de potassium (CUS0133723-1)</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rPr>
            </w:pPr>
            <w:r>
              <w:rPr>
                <w:noProof/>
              </w:rPr>
              <w:t>3-(Salycyloylamino)-1,2,4-triazole (CAS RN 36411-52-6)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Pyridaben (ISO) (CAS RN 96489-71-3)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56</w:t>
            </w:r>
          </w:p>
        </w:tc>
        <w:tc>
          <w:tcPr>
            <w:tcW w:w="0" w:type="auto"/>
            <w:tcBorders>
              <w:left w:val="single" w:sz="2" w:space="0" w:color="auto"/>
            </w:tcBorders>
          </w:tcPr>
          <w:p>
            <w:pPr>
              <w:pStyle w:val="Paragraph"/>
              <w:rPr>
                <w:noProof/>
              </w:rPr>
            </w:pPr>
            <w:r>
              <w:rPr>
                <w:noProof/>
              </w:rPr>
              <w:t>3,5-Diamino-6-chloropyrazine-2-carboxylate de méthyle (CAS RN 1458-01-1)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fr-BE"/>
              </w:rPr>
            </w:pPr>
            <w:r>
              <w:rPr>
                <w:noProof/>
                <w:lang w:val="fr-BE"/>
              </w:rPr>
              <w:t>2-(5-Méthoxyindole-3-yl)éthylamine (CAS RN 608-07-1)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rPr>
            </w:pPr>
            <w:r>
              <w:rPr>
                <w:noProof/>
              </w:rPr>
              <w:t>Ester éthylique de Candesartan (DCIM) (CAS RN 139481-58-6)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rPr>
            </w:pPr>
            <w:r>
              <w:rPr>
                <w:noProof/>
              </w:rPr>
              <w:t>10-Méthoxyiminostilbène (CAS RN 4698-11-7)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rPr>
            </w:pPr>
            <w:r>
              <w:rPr>
                <w:noProof/>
              </w:rPr>
              <w:t>1,4,7-triméthyl-1,4,7-triazacyclononane (CAS RN 96556-05-7)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Chlorohydrate d’imidazo [1,2-b] pyridazine (CAS RN 18087-70-2)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78</w:t>
            </w:r>
          </w:p>
        </w:tc>
        <w:tc>
          <w:tcPr>
            <w:tcW w:w="0" w:type="auto"/>
            <w:tcBorders>
              <w:left w:val="single" w:sz="2" w:space="0" w:color="auto"/>
            </w:tcBorders>
          </w:tcPr>
          <w:p>
            <w:pPr>
              <w:pStyle w:val="Paragraph"/>
              <w:rPr>
                <w:noProof/>
              </w:rPr>
            </w:pPr>
            <w:r>
              <w:rPr>
                <w:noProof/>
              </w:rPr>
              <w:t>Chlorohydrate de 3-amino-3-azabicylo (3.3.0) octane (CAS RN 58108-05-7)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rPr>
            </w:pPr>
            <w:r>
              <w:rPr>
                <w:noProof/>
              </w:rPr>
              <w:t>1,2,3-Benzotriazole (CAS RN 95-14-7)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Tolyltriazole (CAS RN 29385-43-1)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Carbendazine (ISO) (CAS RN 10605-21-7)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2934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Hexythiazox (ISO)  (CAS RN 78587-05-0)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Carbonate de 4-nitrophényle et de thiazol-5-ylméthyle (CAS RN 144163-97-3)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2934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2-(4-Méthylthiazole-5-yl)éthanol (CAS RN 137-00-8)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Oxalate de (S)-éthyle 2-(3-((2-isopropylthiazole-4-yl)méthyle)-3-méthylureido)-4-morpholinobutanoate (CAS RN 1247119-36-3)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(2-Isopropylthiazole-4-yl)-</w:t>
            </w:r>
            <w:r>
              <w:rPr>
                <w:i/>
                <w:iCs/>
                <w:noProof/>
              </w:rPr>
              <w:t>N</w:t>
            </w:r>
            <w:r>
              <w:rPr>
                <w:noProof/>
              </w:rPr>
              <w:t>-méthylméthanamine dichlorhydrate (CAS RN 1185167-55-8)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2-Cyanimino-1,3-thiazolidine (CAS RN 26364-65-8)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Fosthiazate (ISO) (CAS RN 98886-44-3)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10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3,4-Dichloro-5-carboxyisothiazole (CAS RN 18480-53-0)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Benthiavalicarbe-isopropyle (ISO) (CAS RN 177406-68-7)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Ester méthylique de l’acide 2-[[(Z)-[1-(2-amino-4-thiazolyl)-2-(2-benzothiazolylthio)-2-oxoéthylidène]amino]oxy]acétique (CAS RN 246035-38-1)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1,2-Benzisothiazole-3(2H)-one (Benzisothiazolinone (BIT)) (CAS RN 2634-33-5)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2934 20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S-(1,3-Benzothiazole-2-yl)-(Z)-2-(2-aminothiazole-4-yl)-2-(acétyloxyimino)thioacétate, (CAS RN 104797-47-9)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Benzothiazole-2-yl-(</w:t>
            </w:r>
            <w:r>
              <w:rPr>
                <w:i/>
                <w:iCs/>
                <w:noProof/>
              </w:rPr>
              <w:t>Z</w:t>
            </w:r>
            <w:r>
              <w:rPr>
                <w:noProof/>
              </w:rPr>
              <w:t>)-2-trityloxyimino-2-(2-aminothiazole-4-yl)-thioacétate (CAS RN 143183-03-3)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20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i/>
                <w:iCs/>
                <w:noProof/>
              </w:rPr>
              <w:t>N</w:t>
            </w:r>
            <w:r>
              <w:rPr>
                <w:noProof/>
              </w:rPr>
              <w:t>,</w:t>
            </w:r>
            <w:r>
              <w:rPr>
                <w:i/>
                <w:iCs/>
                <w:noProof/>
              </w:rPr>
              <w:t>N</w:t>
            </w:r>
            <w:r>
              <w:rPr>
                <w:noProof/>
              </w:rPr>
              <w:t>-Bis(1,3-benzothiazol-2-ylsulfanyl)-2-méthylpropan-2-amine (CAS RN 3741-80-8)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2-Méthylthiophénothiazine (CAS RN 7643-08-5)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Fluralaner (INN) (CAS RN 864731-61-3)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Dimétomorphe (ISO) (CAS RN 110488-70-5)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Carboxine (ISO) (CAS RN 5234-68-4)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Difénoconazole (ISO) (CAS RN 119446-68-3)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2-[4-(Dibenzo[b,f][1,4]thiazépin-11-yl)pipérazin-1-yl] éthanol (CAS RN 329216-67-3)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Thiophène (CAS RN 110-02-1)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Bromuconazole (ISO) d’une pureté en poids de 96 % ou plus (CAS RN 116255-48-2)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lang w:val="fr-BE"/>
              </w:rPr>
            </w:pPr>
            <w:r>
              <w:rPr>
                <w:noProof/>
                <w:lang w:val="fr-BE"/>
              </w:rPr>
              <w:t>Flufénacet (ISO) (CAS RN 142459-58-3)  d'une pureté en poids de 95 %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2,4-Diéthyl-9</w:t>
            </w:r>
            <w:r>
              <w:rPr>
                <w:i/>
                <w:iCs/>
                <w:noProof/>
              </w:rPr>
              <w:t>H</w:t>
            </w:r>
            <w:r>
              <w:rPr>
                <w:noProof/>
              </w:rPr>
              <w:t>-thioxanthèn-9-one (CAS RN 82799-44-8)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lang w:val="fr-BE"/>
              </w:rPr>
            </w:pPr>
            <w:r>
              <w:rPr>
                <w:noProof/>
                <w:lang w:val="fr-BE"/>
              </w:rPr>
              <w:t>4-oxyde de 4-méthylmorpholine en solution aqueuse (CAS RN 7529-22-8)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2-(4-Hydroxyphényle)-1-benzothiophène-6-ol (CAS RN 63676-22-2)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Dichlorhydrate de 11-(pipérazin-1-yl)-dibenzo[b,f][1,4]thiazépine  (CAS RN 111974-74-4)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Dibenzo[b,f][1,4]thiazépin-11(10H)-one (CAS RN 3159-07-7)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rPr>
            </w:pPr>
            <w:r>
              <w:rPr>
                <w:noProof/>
              </w:rPr>
              <w:t>Uridine 5’-diphospho-N- acétylgalactosamine disodique (CAS RN 91183-98-1)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lang w:val="fr-BE"/>
              </w:rPr>
            </w:pPr>
            <w:r>
              <w:rPr>
                <w:noProof/>
                <w:lang w:val="fr-BE"/>
              </w:rPr>
              <w:t>Uridine 5'-diphosphate trisodique de l'acide glucuronique (CAS RN 63700-19-6)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rPr>
            </w:pPr>
            <w:r>
              <w:rPr>
                <w:noProof/>
              </w:rPr>
              <w:t>7-[4-(Diéthylamino)-2-éthoxyphényl]-7-(1-éthyl-2-méthyl-1H-indol-3-yl)furo[3,4-b]pyridin-5(7H)-one (CAS RN 69898-40-4)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lang w:val="fr-BE"/>
              </w:rPr>
            </w:pPr>
            <w:r>
              <w:rPr>
                <w:noProof/>
                <w:lang w:val="fr-BE"/>
              </w:rPr>
              <w:t>Oxadiazon (ISO) (CAS RN 19666-30-9) d’une pureté en poids de 95 %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4-Propan-2-ylmorpholine (CAS RN 1004-14-4)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rPr>
            </w:pPr>
            <w:r>
              <w:rPr>
                <w:noProof/>
              </w:rPr>
              <w:t>4-(Oxiran-2-ylméthoxy)-9H-carbazole (CAS RN 51997-51-4)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11-[4-(2-Chloro-éthyl)-1-pipérazinyl]dibenzo(b,f) (1,4)thiazépine (CAS RN 352232-17-8)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1-(Morpholin-4-yl)prop-2-én-1-one (CAS RN 5117-12-4)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44</w:t>
            </w:r>
          </w:p>
        </w:tc>
        <w:tc>
          <w:tcPr>
            <w:tcW w:w="0" w:type="auto"/>
            <w:tcBorders>
              <w:left w:val="single" w:sz="2" w:space="0" w:color="auto"/>
            </w:tcBorders>
          </w:tcPr>
          <w:p>
            <w:pPr>
              <w:pStyle w:val="Paragraph"/>
              <w:rPr>
                <w:noProof/>
                <w:lang w:val="fr-BE"/>
              </w:rPr>
            </w:pPr>
            <w:r>
              <w:rPr>
                <w:noProof/>
                <w:lang w:val="fr-BE"/>
              </w:rPr>
              <w:t>Propiconazole (ISO) (CAS RN 60207-90-1) d’une pureté en poids de 92 %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rPr>
            </w:pPr>
            <w:r>
              <w:rPr>
                <w:noProof/>
              </w:rPr>
              <w:t>4-méthoxy-5-(3-morpholin-4-yl-propoxy)-2-nitro-benzonitrile (CAS RN 675126-26-8)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 xml:space="preserve">Thidiazuron (ISO) (CAS RN 51707-55-2) d’une pureté en poids de 98 % ou plus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Propane-2-ol -- 2-méthyle-4-(4-méthylpipérazine-1-yl)-10</w:t>
            </w:r>
            <w:r>
              <w:rPr>
                <w:i/>
                <w:iCs/>
                <w:noProof/>
              </w:rPr>
              <w:t>H</w:t>
            </w:r>
            <w:r>
              <w:rPr>
                <w:noProof/>
              </w:rPr>
              <w:t>-thiéno[2,3-b][1,5]benzodiazépine (1:2) dihydraté (CAS RN 864743-41-9)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49</w:t>
            </w:r>
          </w:p>
        </w:tc>
        <w:tc>
          <w:tcPr>
            <w:tcW w:w="0" w:type="auto"/>
            <w:tcBorders>
              <w:left w:val="single" w:sz="2" w:space="0" w:color="auto"/>
            </w:tcBorders>
          </w:tcPr>
          <w:p>
            <w:pPr>
              <w:pStyle w:val="Paragraph"/>
              <w:rPr>
                <w:noProof/>
                <w:lang w:val="fr-BE"/>
              </w:rPr>
            </w:pPr>
            <w:r>
              <w:rPr>
                <w:noProof/>
                <w:lang w:val="fr-BE"/>
              </w:rPr>
              <w:t>Cytidine 5' - (phosphate disodique) (CAS RN 6757-06-8)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Hexafluorophosphate de 10-[1,1’-biphényl]-4-yl-2-(1-méthyléthyl)-9-oxo-9</w:t>
            </w:r>
            <w:r>
              <w:rPr>
                <w:i/>
                <w:iCs/>
                <w:noProof/>
              </w:rPr>
              <w:t>H</w:t>
            </w:r>
            <w:r>
              <w:rPr>
                <w:noProof/>
              </w:rPr>
              <w:t>-thioxanthénylium, (CAS RN 591773-92-1)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rPr>
            </w:pPr>
            <w:r>
              <w:rPr>
                <w:noProof/>
              </w:rPr>
              <w:t>Epoxiconazole (ISO) (CAS RN 133855-98-8)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4-méthoxy-3-(3-morpholin-4-yl-propoxy)-benzonitrile (CAS RN 675126-28-0)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rPr>
            </w:pPr>
            <w:r>
              <w:rPr>
                <w:noProof/>
              </w:rPr>
              <w:t>2-benzyl-2-diméthylamino-4'-morpholinobutyrophénone (CAS RN 119313-12-1)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56</w:t>
            </w:r>
          </w:p>
        </w:tc>
        <w:tc>
          <w:tcPr>
            <w:tcW w:w="0" w:type="auto"/>
            <w:tcBorders>
              <w:left w:val="single" w:sz="2" w:space="0" w:color="auto"/>
            </w:tcBorders>
          </w:tcPr>
          <w:p>
            <w:pPr>
              <w:pStyle w:val="Paragraph"/>
              <w:rPr>
                <w:noProof/>
              </w:rPr>
            </w:pPr>
            <w:r>
              <w:rPr>
                <w:noProof/>
              </w:rPr>
              <w:t>1-[5-(2,6-Difluorophényl)-4,5-dihydro-1,2-oxazol-3-yl]éthanone (CAS RN 1173693-36-1)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pt-PT"/>
              </w:rPr>
            </w:pPr>
            <w:r>
              <w:rPr>
                <w:noProof/>
                <w:lang w:val="pt-PT"/>
              </w:rPr>
              <w:t>Acide (6R,7R)-7-amino-8-oxo-3-(1-propényl)-5-thia-1 azabicyclo [4.2.0]oct-2-ène-2carboxylique (7-APRA) (CAS RN 120709-09-3)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58</w:t>
            </w:r>
          </w:p>
        </w:tc>
        <w:tc>
          <w:tcPr>
            <w:tcW w:w="0" w:type="auto"/>
            <w:tcBorders>
              <w:left w:val="single" w:sz="2" w:space="0" w:color="auto"/>
            </w:tcBorders>
          </w:tcPr>
          <w:p>
            <w:pPr>
              <w:pStyle w:val="Paragraph"/>
              <w:rPr>
                <w:noProof/>
                <w:lang w:val="fr-BE"/>
              </w:rPr>
            </w:pPr>
            <w:r>
              <w:rPr>
                <w:noProof/>
                <w:lang w:val="fr-BE"/>
              </w:rPr>
              <w:t>Diméthénamide-P (ISO) (CAS RN 163515-14-8)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59</w:t>
            </w:r>
          </w:p>
        </w:tc>
        <w:tc>
          <w:tcPr>
            <w:tcW w:w="0" w:type="auto"/>
            <w:tcBorders>
              <w:left w:val="single" w:sz="2" w:space="0" w:color="auto"/>
            </w:tcBorders>
          </w:tcPr>
          <w:p>
            <w:pPr>
              <w:pStyle w:val="Paragraph"/>
              <w:rPr>
                <w:noProof/>
                <w:lang w:val="fr-BE"/>
              </w:rPr>
            </w:pPr>
            <w:r>
              <w:rPr>
                <w:noProof/>
                <w:lang w:val="fr-BE"/>
              </w:rPr>
              <w:t>Dolutégravir (DCI) (CAS RN 1051375-16-6) ou dolutégravir sodium (CAS RN 1051375-19-9)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Chlorhydrate de DL-homocystéine-thiolactone (CAS RN 6038-19-3)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lang w:val="fr-BE"/>
              </w:rPr>
            </w:pPr>
            <w:r>
              <w:rPr>
                <w:noProof/>
                <w:lang w:val="fr-BE"/>
              </w:rPr>
              <w:t>Acide alpha-lipoïque (CAS RN 1077-28-7)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62</w:t>
            </w:r>
          </w:p>
        </w:tc>
        <w:tc>
          <w:tcPr>
            <w:tcW w:w="0" w:type="auto"/>
            <w:tcBorders>
              <w:left w:val="single" w:sz="2" w:space="0" w:color="auto"/>
            </w:tcBorders>
          </w:tcPr>
          <w:p>
            <w:pPr>
              <w:pStyle w:val="Paragraph"/>
              <w:rPr>
                <w:noProof/>
              </w:rPr>
            </w:pPr>
            <w:r>
              <w:rPr>
                <w:noProof/>
              </w:rPr>
              <w:t>(2b,3a,5a,16b,17b)-2-(Morpholin-4-yl)-16-(pyrrolidin-1-yl)androstane-3,17-diol 17-acétate (CAS RN 119302-24-8)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(2b,3a,5a,16b,17b)-2-(Morpholin-4-yl)-16-(pyrrolidin-1-yl)androstane-3,17-diol (CAS RN 119302-20-4)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rPr>
            </w:pPr>
            <w:r>
              <w:rPr>
                <w:noProof/>
              </w:rPr>
              <w:t>2-Bromo-5-benzoylthiophène (CAS RN 31161-46-3)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66</w:t>
            </w:r>
          </w:p>
        </w:tc>
        <w:tc>
          <w:tcPr>
            <w:tcW w:w="0" w:type="auto"/>
            <w:tcBorders>
              <w:left w:val="single" w:sz="2" w:space="0" w:color="auto"/>
            </w:tcBorders>
          </w:tcPr>
          <w:p>
            <w:pPr>
              <w:pStyle w:val="Paragraph"/>
              <w:rPr>
                <w:noProof/>
                <w:lang w:val="fr-BE"/>
              </w:rPr>
            </w:pPr>
            <w:r>
              <w:rPr>
                <w:noProof/>
                <w:lang w:val="fr-BE"/>
              </w:rPr>
              <w:t>1,1-Dioxyde de tétrahydrothiophène (CAS RN 126-33-0)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rPr>
            </w:pPr>
            <w:r>
              <w:rPr>
                <w:noProof/>
              </w:rPr>
              <w:t>2-Isopropyl thioxanthone (CAS RN 5495-84-1)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(4</w:t>
            </w:r>
            <w:r>
              <w:rPr>
                <w:i/>
                <w:iCs/>
                <w:noProof/>
              </w:rPr>
              <w:t>R-cis</w:t>
            </w:r>
            <w:r>
              <w:rPr>
                <w:noProof/>
              </w:rPr>
              <w:t>)-1,1-Diméthyléthyl-6-[2[2-(4-fluorophényl)-5-(1-isopropyl)-3-phényl-4-[(phénylamino)carbonyl]-1</w:t>
            </w:r>
            <w:r>
              <w:rPr>
                <w:i/>
                <w:iCs/>
                <w:noProof/>
              </w:rPr>
              <w:t>H</w:t>
            </w:r>
            <w:r>
              <w:rPr>
                <w:noProof/>
              </w:rPr>
              <w:t>-pyrrol-1-yl]éthyl]-2,2-diméthyl-1,3-dioxane-4-acétate (CAS RN 125971-95-1)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2934 99 90</w:t>
            </w:r>
          </w:p>
          <w:p>
            <w:pPr>
              <w:pStyle w:val="Paragraph"/>
              <w:rPr>
                <w:noProof/>
              </w:rPr>
            </w:pPr>
            <w:r>
              <w:rPr>
                <w:noProof/>
              </w:rPr>
              <w:t>ex 3204 20 00</w:t>
            </w:r>
          </w:p>
        </w:tc>
        <w:tc>
          <w:tcPr>
            <w:tcW w:w="0" w:type="auto"/>
            <w:tcBorders>
              <w:left w:val="single" w:sz="2" w:space="0" w:color="auto"/>
              <w:bottom w:val="nil"/>
            </w:tcBorders>
          </w:tcPr>
          <w:p>
            <w:pPr>
              <w:pStyle w:val="Paragraph"/>
              <w:jc w:val="center"/>
              <w:rPr>
                <w:noProof/>
              </w:rPr>
            </w:pPr>
            <w:r>
              <w:rPr>
                <w:noProof/>
              </w:rPr>
              <w:t>76</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en-GB"/>
              </w:rPr>
            </w:pPr>
            <w:r>
              <w:rPr>
                <w:noProof/>
                <w:lang w:val="en-GB"/>
              </w:rPr>
              <w:t>2,5-Thiofènediylbis(5-</w:t>
            </w:r>
            <w:r>
              <w:rPr>
                <w:i/>
                <w:iCs/>
                <w:noProof/>
                <w:lang w:val="en-GB"/>
              </w:rPr>
              <w:t>tert</w:t>
            </w:r>
            <w:r>
              <w:rPr>
                <w:noProof/>
                <w:lang w:val="en-GB"/>
              </w:rPr>
              <w:t>-butyl-1,3-benzoxazole) (CAS RN 7128-64-5)</w:t>
            </w:r>
          </w:p>
          <w:p>
            <w:pPr>
              <w:pStyle w:val="Paragraph"/>
              <w:rPr>
                <w:noProof/>
                <w:lang w:val="en-GB"/>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2934 99 90</w:t>
            </w:r>
          </w:p>
        </w:tc>
        <w:tc>
          <w:tcPr>
            <w:tcW w:w="0" w:type="auto"/>
            <w:tcBorders>
              <w:left w:val="single" w:sz="2" w:space="0" w:color="auto"/>
            </w:tcBorders>
          </w:tcPr>
          <w:p>
            <w:pPr>
              <w:pStyle w:val="Paragraph"/>
              <w:jc w:val="center"/>
              <w:rPr>
                <w:noProof/>
              </w:rPr>
            </w:pPr>
            <w:r>
              <w:rPr>
                <w:noProof/>
              </w:rPr>
              <w:t>79</w:t>
            </w:r>
          </w:p>
        </w:tc>
        <w:tc>
          <w:tcPr>
            <w:tcW w:w="0" w:type="auto"/>
            <w:tcBorders>
              <w:left w:val="single" w:sz="2" w:space="0" w:color="auto"/>
            </w:tcBorders>
          </w:tcPr>
          <w:p>
            <w:pPr>
              <w:pStyle w:val="Paragraph"/>
              <w:rPr>
                <w:noProof/>
              </w:rPr>
            </w:pPr>
            <w:r>
              <w:rPr>
                <w:noProof/>
              </w:rPr>
              <w:t>Thiophène-2-éthanol (CAS RN 5402-55-1)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lang w:val="fr-BE"/>
              </w:rPr>
            </w:pPr>
            <w:r>
              <w:rPr>
                <w:noProof/>
                <w:lang w:val="fr-BE"/>
              </w:rPr>
              <w:t>Flumioxazine (ISO) (CAS RN 103361-09-7) d’une pureté en poids de 96 %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fr-BE"/>
              </w:rPr>
            </w:pPr>
            <w:r>
              <w:rPr>
                <w:noProof/>
                <w:lang w:val="fr-BE"/>
              </w:rPr>
              <w:t>Étoxazole (ISO) (CAS RN 153233-91-1) d’une pureté en poids de 94,8 %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Dithianon (ISO) (CAS RN 3347-22-6)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rPr>
            </w:pPr>
            <w:r>
              <w:rPr>
                <w:noProof/>
              </w:rPr>
              <w:t>2,2’-(1,4-Phénylène) bis(4H-3,1-benzoxazin-4-one) (CAS RN 18600-59-4)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Florasulam (ISO) (CAS RN 145701-23-1)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Flupyrsulfuron-méthyl-sodium (ISO) (CAS RN 144740-54-5)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Toluènesulfonamides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i/>
                <w:iCs/>
                <w:noProof/>
              </w:rPr>
              <w:t>N</w:t>
            </w:r>
            <w:r>
              <w:rPr>
                <w:noProof/>
              </w:rPr>
              <w:t>-[4-(2-Chloroacétyl)phényl]méthanesulfonamide (CAS RN 64488-52-4)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Triflusulfuron-méthyl (ISO) (CAS RN 126535-15-7)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(3R,5S,6E)-7-{4-(4-fluorophényl)-6-isopropyl-2-[méthyl(méthylsulfonyl)amino]pyrimidin-5-yl}-3,5-dihydroxyhept-6-énoate de méthyle, (CAS RN 147118-40-9)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N-fluorobenzènesulfonimide (CAS RN 133745-75-2)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6-Aminopyridine-2-sulfonamide (CAS RN 75903-58-1)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Chlorsulfuron (ISO) (CAS RN 64902-72-3)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 xml:space="preserve"> Vénétoclax (DCI) (CAS 1257044-40-8)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Pénoxsulame (ISO) (CAS RN 219714-96-2)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Oryzalin (ISO) (CAS RN 19044-88-3)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Rimsulfuron (ISO) (CAS RN 122931-48-0)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Halosulfuron-méthyl (ISO) (CAS RN 100784-20-1) d'une pureté en poids de 98 %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(3R,5S,6E)-7-[4-(4-Fluorophényle)-2-[méthyle(méthylsulfonyle)amino]-6-(propane-2-yl)pyrimidine-5-yl]-3,5-dihydroxyhept-6-acide énoïque -- 1-[(R)-(4-chlorophényle)(phényle)méthyle]pipérazine (1:1) (CAS RN 1235588-99-4)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4,4'-Oxydi(benzènesulfonohydrazide) (CAS RN 80-51-3)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rPr>
            </w:pPr>
            <w:r>
              <w:rPr>
                <w:noProof/>
              </w:rPr>
              <w:t>Chlorhydrate de (1</w:t>
            </w:r>
            <w:r>
              <w:rPr>
                <w:i/>
                <w:iCs/>
                <w:noProof/>
              </w:rPr>
              <w:t>R</w:t>
            </w:r>
            <w:r>
              <w:rPr>
                <w:noProof/>
              </w:rPr>
              <w:t>,2</w:t>
            </w:r>
            <w:r>
              <w:rPr>
                <w:i/>
                <w:iCs/>
                <w:noProof/>
              </w:rPr>
              <w:t>R</w:t>
            </w:r>
            <w:r>
              <w:rPr>
                <w:noProof/>
              </w:rPr>
              <w:t>)-1-amino-2-(difluorométhyl)-N-(1-méthylcyclopropylsulfonyl) cyclopropanecarboxamide (CUS 0143290-2)</w:t>
            </w:r>
          </w:p>
          <w:p>
            <w:pPr>
              <w:pStyle w:val="Paragraph"/>
              <w:rPr>
                <w:noProof/>
              </w:rPr>
            </w:pPr>
            <w:r>
              <w:rPr>
                <w:noProof/>
              </w:rPr>
              <w:t> </w:t>
            </w:r>
            <w:r>
              <w:rPr>
                <w:rStyle w:val="FootnoteReference"/>
                <w:noProof/>
              </w:rPr>
              <w:t>(5)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Acide 2,4-dichloro-5-sulfamoylbenzoïque (CAS RN 2736-23-4)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lang w:val="fr-BE"/>
              </w:rPr>
            </w:pPr>
            <w:r>
              <w:rPr>
                <w:noProof/>
                <w:lang w:val="fr-BE"/>
              </w:rPr>
              <w:t>Propoxycarbazone de sodium (ISO) (CAS RN 181274-15-7) d’une pureté en poids de 95 %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Thifensulfuron-méthyl (ISO) (CAS RN 79277-27-3)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56</w:t>
            </w:r>
          </w:p>
        </w:tc>
        <w:tc>
          <w:tcPr>
            <w:tcW w:w="0" w:type="auto"/>
            <w:tcBorders>
              <w:left w:val="single" w:sz="2" w:space="0" w:color="auto"/>
            </w:tcBorders>
          </w:tcPr>
          <w:p>
            <w:pPr>
              <w:pStyle w:val="Paragraph"/>
              <w:rPr>
                <w:noProof/>
              </w:rPr>
            </w:pPr>
            <w:r>
              <w:rPr>
                <w:noProof/>
              </w:rPr>
              <w:t>N-(p-Toluènesulfonyl)-N'-(3-(p-toluènesulfonyloxy)phényl)urée (CAS RN 232938-43-1)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N-{2-[(phénylcarbamoyl)amino]phényl}benzènesulfonamide (CAS RN 215917-77-4)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58</w:t>
            </w:r>
          </w:p>
        </w:tc>
        <w:tc>
          <w:tcPr>
            <w:tcW w:w="0" w:type="auto"/>
            <w:tcBorders>
              <w:left w:val="single" w:sz="2" w:space="0" w:color="auto"/>
            </w:tcBorders>
          </w:tcPr>
          <w:p>
            <w:pPr>
              <w:pStyle w:val="Paragraph"/>
              <w:rPr>
                <w:noProof/>
              </w:rPr>
            </w:pPr>
            <w:r>
              <w:rPr>
                <w:noProof/>
              </w:rPr>
              <w:t>1-Méthylcyclopropane-1-sulfonamide (CAS RN 669008-26-8)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59</w:t>
            </w:r>
          </w:p>
        </w:tc>
        <w:tc>
          <w:tcPr>
            <w:tcW w:w="0" w:type="auto"/>
            <w:tcBorders>
              <w:left w:val="single" w:sz="2" w:space="0" w:color="auto"/>
            </w:tcBorders>
          </w:tcPr>
          <w:p>
            <w:pPr>
              <w:pStyle w:val="Paragraph"/>
              <w:rPr>
                <w:noProof/>
                <w:lang w:val="fr-BE"/>
              </w:rPr>
            </w:pPr>
            <w:r>
              <w:rPr>
                <w:noProof/>
                <w:lang w:val="fr-BE"/>
              </w:rPr>
              <w:t>Flazasulfuron (ISO) (CAS RN 104040-78-0) d'une pureté en poids de 94 %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fr-BE"/>
              </w:rPr>
            </w:pPr>
            <w:r>
              <w:rPr>
                <w:noProof/>
                <w:lang w:val="fr-BE"/>
              </w:rPr>
              <w:t>Nicosulfuron (ISO), (CAS RN 111991-09-4) d’une teneur en poids de 91 % minimum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Tribenuron-méthyl (ISO) (CAS RN 101200-48-0)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fr-BE"/>
              </w:rPr>
            </w:pPr>
            <w:r>
              <w:rPr>
                <w:i/>
                <w:iCs/>
                <w:noProof/>
                <w:lang w:val="fr-BE"/>
              </w:rPr>
              <w:t>N</w:t>
            </w:r>
            <w:r>
              <w:rPr>
                <w:noProof/>
                <w:lang w:val="fr-BE"/>
              </w:rPr>
              <w:t>-(2-phénoxyphényl) méthane sulfonamide (CAS RN 51765-51-6)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pt-PT"/>
              </w:rPr>
            </w:pPr>
            <w:r>
              <w:rPr>
                <w:noProof/>
                <w:lang w:val="pt-PT"/>
              </w:rPr>
              <w:t>(2S)-2-Benzyle-</w:t>
            </w:r>
            <w:r>
              <w:rPr>
                <w:i/>
                <w:iCs/>
                <w:noProof/>
                <w:lang w:val="pt-PT"/>
              </w:rPr>
              <w:t>N,N</w:t>
            </w:r>
            <w:r>
              <w:rPr>
                <w:noProof/>
                <w:lang w:val="pt-PT"/>
              </w:rPr>
              <w:t>-diméthylaziridine-1-sulfonamide (CAS RN 902146-43-4)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Metsulfuron-méthyl (ISO) (CAS RN 74223-64-6)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Ester éthylique de l’acide [[4-[2-[[(3-éthyl-2,5-dihydro-4-méthyl-2-oxo-1</w:t>
            </w:r>
            <w:r>
              <w:rPr>
                <w:i/>
                <w:iCs/>
                <w:noProof/>
              </w:rPr>
              <w:t>H</w:t>
            </w:r>
            <w:r>
              <w:rPr>
                <w:noProof/>
              </w:rPr>
              <w:t>-pyrrol-1-yl)carbonyl]amino] éthyl]phényl]sulfonyl]-carbamique, (CAS RN 318515-70-7)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 xml:space="preserve">Chlorhydrate de </w:t>
            </w:r>
            <w:r>
              <w:rPr>
                <w:i/>
                <w:iCs/>
                <w:noProof/>
              </w:rPr>
              <w:t>N</w:t>
            </w:r>
            <w:r>
              <w:rPr>
                <w:noProof/>
              </w:rPr>
              <w:t>-[4-(isopropylaminoacétyl)phényl]méthanesulfonamide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2935 90 90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Sesquisulphate monohydrate de N-(2-(4-amino-N-éthyl-m-toluidino)éthyl)méthanesulfonamide(CAS RN25646-71-3)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3-(3-Bromo-6-fluoro-2-méthylindol-1-ylsulfonyl)-</w:t>
            </w:r>
            <w:r>
              <w:rPr>
                <w:i/>
                <w:iCs/>
                <w:noProof/>
              </w:rPr>
              <w:t>N,N</w:t>
            </w:r>
            <w:r>
              <w:rPr>
                <w:noProof/>
              </w:rPr>
              <w:t>-diméthyl-1,2,4-triazole-1-sulfonamide (CAS RN 348635-87-0)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2938 90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Glycyrrhizate d’ammonium (CAS RN 53956-04-0)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2938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Hesperidine (CAS RN 520-26-3)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2938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Beta-éthylvanilline-D-glucopyranoside (CAS RN 122397-96-0)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2938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Rébaudioside A (CAS RN 58543-16-1)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2938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Glycoside de stéviol purifié avec une teneur en rébaudioside M (CAS RN 1220616-44-3) d'au moins 80 % mais pas plus de 90 % en poids, destiné à être utilisé dans la fabrication de boissons non alcooliques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2940 00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D(+)-Tréhalose dihydraté (CAS RN6138-23-4)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2941 20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Sulfate de dihydrostreptomycine (CAS RN 5490-27-7)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2942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Triacétoxyborohydrure de sodium (CAS RN 56553-60-7)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3201 20 00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Extrait de mimosa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3201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Extraits tannants dérivés du gambier et des fruits du myrobalan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3201 90 90</w:t>
            </w:r>
          </w:p>
          <w:p>
            <w:pPr>
              <w:pStyle w:val="Paragraph"/>
              <w:rPr>
                <w:noProof/>
              </w:rPr>
            </w:pPr>
            <w:r>
              <w:rPr>
                <w:noProof/>
              </w:rPr>
              <w:t>ex 3202 90 00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Produit de réaction à base d'extraits d'Acacia mearnsii, de chlorure d'ammonium et de formaldéhyde (CAS RN 85029-52-3)</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rStyle w:val="FootnoteReference"/>
                <w:noProof/>
              </w:rPr>
              <w:t>*</w:t>
            </w:r>
            <w:r>
              <w:rPr>
                <w:noProof/>
              </w:rPr>
              <w:t>ex 3204 11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Colorant C.I. Disperse Blue 360 (CAS RN 70693-64-0) et préparations à base de ce colorant dont la teneur en colorant C.I. Disperse Blue 360 est supérieure ou égale à 99 %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Colorant C.I. Disperse Yellow 241 (CAS RN 83249-52-9) et préparations à base de ce colorant dont la teneur en colorant C.I. Disperse Yellow 241 est supérieure ou égale à 97 %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N-(2-chloroéthyl)-4-[(2,6-dichloro-4-nitrophenyl)azo]-N-éthyl-m-toluidine (CAS RN 63741-10-6)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Colorant C.I Disperse Yellow 232 (CAS RN 35773-43-4) et préparations à base de ce colorant dont la teneur en colorant C.I. Disperse Yellow 232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Colorant C.I. Disperse Red 60 (CAS RN 17418-58-5) et préparations à base de ce colorant dont la teneur en colorant C.I. Disperse Red 60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Préparation de colorants dispersés, contenant</w:t>
            </w:r>
          </w:p>
          <w:tbl>
            <w:tblPr>
              <w:tblStyle w:val="Listdash"/>
              <w:tblW w:w="0" w:type="auto"/>
              <w:tblLook w:val="0000" w:firstRow="0" w:lastRow="0" w:firstColumn="0" w:lastColumn="0" w:noHBand="0" w:noVBand="0"/>
            </w:tblPr>
            <w:tblGrid>
              <w:gridCol w:w="220"/>
              <w:gridCol w:w="3242"/>
            </w:tblGrid>
            <w:tr>
              <w:tc>
                <w:tcPr>
                  <w:tcW w:w="0" w:type="auto"/>
                </w:tcPr>
                <w:p>
                  <w:pPr>
                    <w:pStyle w:val="Paragraph"/>
                    <w:rPr>
                      <w:noProof/>
                    </w:rPr>
                  </w:pPr>
                  <w:r>
                    <w:rPr>
                      <w:noProof/>
                    </w:rPr>
                    <w:t>—</w:t>
                  </w:r>
                </w:p>
              </w:tc>
              <w:tc>
                <w:tcPr>
                  <w:tcW w:w="0" w:type="auto"/>
                </w:tcPr>
                <w:p>
                  <w:pPr>
                    <w:pStyle w:val="Paragraph"/>
                    <w:rPr>
                      <w:noProof/>
                    </w:rPr>
                  </w:pPr>
                  <w:r>
                    <w:rPr>
                      <w:noProof/>
                    </w:rPr>
                    <w:t>C.I. Disperse Orange 61 ou Disperse Orange 288,</w:t>
                  </w:r>
                </w:p>
              </w:tc>
            </w:tr>
            <w:tr>
              <w:tc>
                <w:tcPr>
                  <w:tcW w:w="0" w:type="auto"/>
                </w:tcPr>
                <w:p>
                  <w:pPr>
                    <w:pStyle w:val="Paragraph"/>
                    <w:rPr>
                      <w:noProof/>
                    </w:rPr>
                  </w:pPr>
                  <w:r>
                    <w:rPr>
                      <w:noProof/>
                    </w:rPr>
                    <w:t>—</w:t>
                  </w:r>
                </w:p>
              </w:tc>
              <w:tc>
                <w:tcPr>
                  <w:tcW w:w="0" w:type="auto"/>
                </w:tcPr>
                <w:p>
                  <w:pPr>
                    <w:pStyle w:val="Paragraph"/>
                    <w:rPr>
                      <w:noProof/>
                    </w:rPr>
                  </w:pPr>
                  <w:r>
                    <w:rPr>
                      <w:noProof/>
                    </w:rPr>
                    <w:t>C.I. Disperse Blue 291:1,</w:t>
                  </w:r>
                </w:p>
              </w:tc>
            </w:tr>
            <w:tr>
              <w:tc>
                <w:tcPr>
                  <w:tcW w:w="0" w:type="auto"/>
                </w:tcPr>
                <w:p>
                  <w:pPr>
                    <w:pStyle w:val="Paragraph"/>
                    <w:rPr>
                      <w:noProof/>
                    </w:rPr>
                  </w:pPr>
                  <w:r>
                    <w:rPr>
                      <w:noProof/>
                    </w:rPr>
                    <w:t>—</w:t>
                  </w:r>
                </w:p>
              </w:tc>
              <w:tc>
                <w:tcPr>
                  <w:tcW w:w="0" w:type="auto"/>
                </w:tcPr>
                <w:p>
                  <w:pPr>
                    <w:pStyle w:val="Paragraph"/>
                    <w:rPr>
                      <w:noProof/>
                    </w:rPr>
                  </w:pPr>
                  <w:r>
                    <w:rPr>
                      <w:noProof/>
                    </w:rPr>
                    <w:t>C.I. Disperse Violet 93:1,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C.I. Disperse Red 54</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Colorant C.I. Disperse Blue 72 (CAS RN 81-48-1) et préparations à base de ce colorant dont la teneur en colorant C.I. Disperse Blue 72 est supérieure ou égale à 95 %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Colorant C.I. Disperse Blue 359 (CAS RN 62570-50-7) et préparations à base de ce colorant dont la teneur en colorant C.I. Disperse Blue 359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Colorant C.I. Acid Blue 9 (CAS RN 2650-18-2) et préparations à base de ce colorant dont la teneur en colorant C.I. Acid Blue 9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Colorant C.I. Acid Brown 75 (CAS RN 8011-86-7) et préparations à base de ce colorant dont la teneur en colorant C.I. Acid Brown 75 est d'au moins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fr-BE"/>
              </w:rPr>
            </w:pPr>
            <w:r>
              <w:rPr>
                <w:noProof/>
                <w:lang w:val="fr-BE"/>
              </w:rPr>
              <w:t>Colorant C.I. Acid Brown 355 (CAS RN  84989-26-4 ou 60181-77-3) et préparations à base de ce colorant d'une teneur en colorant C.I. Acid Brown 355 égale ou supérieure à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Colorant C.I. Acid Black 210 (CAS RN 85223-29-6 or 99576-15-5) et préparations à base de ce colorant dont la teneur en colorant C.I. Acid Black 210 est d'au moins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BE"/>
              </w:rPr>
            </w:pPr>
            <w:r>
              <w:rPr>
                <w:noProof/>
                <w:lang w:val="fr-BE"/>
              </w:rPr>
              <w:t>Colorant C.I. Acid Brown 425 (CAS RN 75234-41-2 ou 119509-49-8) et préparations à base de ce colorant d'une teneur en colorant C.I. Acid Brown 425 égale ou supérieure à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Colorant C.I. Acid Black 234 (CAS RN 157577-99-6) et préparations à base de ce colorant dont la teneur en colorant C.I. Acid Black 234 est d'au moins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fr-BE"/>
              </w:rPr>
            </w:pPr>
            <w:r>
              <w:rPr>
                <w:noProof/>
                <w:lang w:val="fr-BE"/>
              </w:rPr>
              <w:t>Sel de sodium colorant C.I. Acid Black 210 (CAS RN 201792-73-6) et préparations à base de ce colorant d'une teneur en sel de sodium colorant C.I. Acid Black 210 égale ou supérieure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12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Préparation de colorants liquide contenant le colorant acide anionique C.I. Acid Blue 182 (CAS RN 12219-26-0)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Colorant C.I. Acid Blue 161/193 (CAS RN 12392-64-2) et préparations à base de ce colorant dont la teneur en colorant C.I.Acid Blue 161/193 est d'au moins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Colorant C.I. Acid Brown 58 (CAS RN  70210-34-3 ou 12269-87-3) et préparations à base de ce colorant d'une teneur en colorant C.I. Acid Brown 58 égale ou supérieure à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Colorant C.I. Acid Brown 165 (CAS RN 61724-14-9) et préparations à base de ce colorant dont la teneur en colorant C.I. Acid Brown 165 est d'au moins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lang w:val="fr-BE"/>
              </w:rPr>
            </w:pPr>
            <w:r>
              <w:rPr>
                <w:noProof/>
                <w:lang w:val="fr-BE"/>
              </w:rPr>
              <w:t>Colorant C.I. Acid Brown 282 (CAS RN  70236-60-1 ou 12219-65-7) et préparations à base de ce colorant d'une teneur en colorant C.I. Acid Brown 282 égale ou supérieure à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Colorant C.I. Acid Red 52 (CAS RN 3520-42-1) et préparations à base de ce colorant dont la teneur en colorant C.I. Acid Red 52 est supérieure ou égale à 97 %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Colorant C.I. Acid Brown 432 (CAS RN 119509-50-1) et préparations à base de ce colorant dont la teneur en colorant C.I. Acid Brown 432 est d'au moins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12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Colorant C.I. Acid blue 25 (n° CAS 6408-78-2) et préparations à base de ce pigment d'une teneur en colorant C.I. Acid blue 25 égale ou supérieure à 80 %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Colorant C.I. Basic Red 1 (CAS RN 989-38-8) et préparations à base de ce colorant dont la teneur en colorant C.I. Basic Red 1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Colorant C.I. Basic Blue 41 (CAS RN 12270-13-2) et préparations à base de ce colorant dont la teneur en C.I. Basic Blue 41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Colorant C.I. Basic Red 46 (CAS RN 12221-69-1) et préparations à base de ce colorant dont la teneur en C.I. Basic Red 46 est supérieure ou égale à 20 %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3204 13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Colorant C.I. Basic Blue 7 (CAS RN 2390-60-5) et préparations à base de ce colorant dont la teneur en colorant C.I. Basic Blue 7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Colorant C.I. Basic Yellow 28 (CAS RN 54060-92-3) et préparations à base de ce colorant dont la teneur en C.I. Basic Yellow 28 est supérieure ou égale à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Colorant C.I. Basic Violet 1 (CAS RN 603-47-4 ou CAS RN 8004-87-3) et préparations à base de ce colorant dont la teneur en colorant C.I. Basic Violet 1 est supérieure ou égale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Mélange de colorant C.I. Basic Blue 3 (CAS RN 33203-82-6) et de colorant C.I. Basic Blue 159 (CAS RN 105953-73-9)  dont la teneur en colorant Basic Blue est supérieure ou égale à 60 %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Colorant C.I. Basic Violet 11 (CAS RN 2390-63-8) et préparations à base de ce colorant dont la teneur en colorant C.I. Basic Violet 11 est supérieure ou égale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13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Colorant C.I. Basic Red 1:1 (CAS RN 3068-39-1) et préparations à base de ce colorant dont la teneur en colorant C.I. Basic Red 1:1 est supérieure ou égale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14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Colorant C.I. Direct Black 80 (CAS RN 8003-69-8)  et préparations à base de ce colorant dont la teneur en colorant C.I. Direct Black 80  est supérieure ou égale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14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Colorant C.I. Direct Blue 80 (CAS RN 12222-00-3) et préparations à base de ce colorant dont la teneur en colorant C.I. Direct Blue 80 est supérieure ou égale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14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 xml:space="preserve">Colorant C.I. Direct Red 23 (CAS RN 3441-14-3) et préparations à base de ce colorant dont la teneur en colorant C.I. Direct Red 23 est supérieure ou égale à 90 % en poids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14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Colorant C.I Direct Black 168, en poudre, destiné à la teinture du cuir (CAS RN 85631-88-5) et préparations à base de ce colorant d'une teneur en colorant C.I. Direct Black 168 égale ou supérieure à 75 % en poids, en poudre, destinées à la teinture du cuir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15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Colorant C.I. Vat Blue 4 (CAS RN 81-77-6) et préparations à base de ce colorant dont la teneur en colorant C.I. Vat Blue 4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3204 15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Colorant C.I. Vat Red 1 (CAS RN 2379-74-0)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3204 16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Préparations à base de colorant Reactive Black 5 (CAS RN 7095-24-8) dont la teneur en colorant Reactive Black 5 est comprise entre 60 et 75 % en poids et contenant un ou plusieurs des composés suivants: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en-GB"/>
                    </w:rPr>
                  </w:pPr>
                  <w:r>
                    <w:rPr>
                      <w:noProof/>
                      <w:lang w:val="en-GB"/>
                    </w:rPr>
                    <w:t>colorant Reactive Yellow 201 (CAS RN 7624-67-5),</w:t>
                  </w:r>
                </w:p>
              </w:tc>
            </w:tr>
            <w:tr>
              <w:tc>
                <w:tcPr>
                  <w:tcW w:w="0" w:type="auto"/>
                </w:tcPr>
                <w:p>
                  <w:pPr>
                    <w:pStyle w:val="Paragraph"/>
                    <w:rPr>
                      <w:noProof/>
                    </w:rPr>
                  </w:pPr>
                  <w:r>
                    <w:rPr>
                      <w:noProof/>
                    </w:rPr>
                    <w:t>—</w:t>
                  </w:r>
                </w:p>
              </w:tc>
              <w:tc>
                <w:tcPr>
                  <w:tcW w:w="0" w:type="auto"/>
                </w:tcPr>
                <w:p>
                  <w:pPr>
                    <w:pStyle w:val="Paragraph"/>
                    <w:rPr>
                      <w:noProof/>
                    </w:rPr>
                  </w:pPr>
                  <w:r>
                    <w:rPr>
                      <w:noProof/>
                    </w:rPr>
                    <w:t>Sel disodique de l’acide 4-amino-3-[[4-[[2-(sulfooxy)éthyl]sulfonyl]phényl]azo]-1-naphtalène-sulfonique (CAS RN 250688-43-8), ou</w:t>
                  </w:r>
                </w:p>
              </w:tc>
            </w:tr>
            <w:tr>
              <w:tc>
                <w:tcPr>
                  <w:tcW w:w="0" w:type="auto"/>
                </w:tcPr>
                <w:p>
                  <w:pPr>
                    <w:pStyle w:val="Paragraph"/>
                    <w:rPr>
                      <w:noProof/>
                    </w:rPr>
                  </w:pPr>
                  <w:r>
                    <w:rPr>
                      <w:noProof/>
                    </w:rPr>
                    <w:t>—</w:t>
                  </w:r>
                </w:p>
              </w:tc>
              <w:tc>
                <w:tcPr>
                  <w:tcW w:w="0" w:type="auto"/>
                </w:tcPr>
                <w:p>
                  <w:pPr>
                    <w:pStyle w:val="Paragraph"/>
                    <w:rPr>
                      <w:noProof/>
                    </w:rPr>
                  </w:pPr>
                  <w:r>
                    <w:rPr>
                      <w:noProof/>
                    </w:rPr>
                    <w:t>Sel de sodium de l’acide 3,5-diamino-4-[[4-[[2-(sulfooxy)éthyl]sulfonyl]phényl]azo]-2-[[2-sulfo-4-[[2-(sulfooxy)éthyl]sulfonyl] phényl]azo]benzoïque,(CAS RN 906532-68-1)</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16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 xml:space="preserve">Solution aqueuse à base de colorant C.I. Reactive Red 141 (CAS RN 61931-52-0)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teneur en colorant C.I. Reactive Red 141 est supérieure ou égale à 13 % en poids, et</w:t>
                  </w:r>
                </w:p>
              </w:tc>
            </w:tr>
            <w:tr>
              <w:tc>
                <w:tcPr>
                  <w:tcW w:w="0" w:type="auto"/>
                </w:tcPr>
                <w:p>
                  <w:pPr>
                    <w:pStyle w:val="Paragraph"/>
                    <w:rPr>
                      <w:noProof/>
                    </w:rPr>
                  </w:pPr>
                  <w:r>
                    <w:rPr>
                      <w:noProof/>
                    </w:rPr>
                    <w:t>—</w:t>
                  </w:r>
                </w:p>
              </w:tc>
              <w:tc>
                <w:tcPr>
                  <w:tcW w:w="0" w:type="auto"/>
                </w:tcPr>
                <w:p>
                  <w:pPr>
                    <w:pStyle w:val="Paragraph"/>
                    <w:rPr>
                      <w:noProof/>
                    </w:rPr>
                  </w:pPr>
                  <w:r>
                    <w:rPr>
                      <w:noProof/>
                    </w:rPr>
                    <w:t>contenant un conservateur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Colorant C.I. Pigment Yellow 81 (CAS RN 22094-93-5) et préparations à base de ce colorant dont la teneur en colorant C.I. Pigment Yellow 81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Colorant C.I. Pigment Green 7 (CAS RN 1328-53-6) et préparations à base de ce colorant dont la teneur en colorant C.I. Pigment Green 7 est supérieure ou égale à 40 %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fr-BE"/>
              </w:rPr>
            </w:pPr>
            <w:r>
              <w:rPr>
                <w:noProof/>
                <w:lang w:val="fr-BE"/>
              </w:rPr>
              <w:t>Colorant C.I. Pigment Red 49 :2 (CAS RN 1103-39-5) et préparations à base de ce pigment, dont la teneur en colorant C.I. Pigment Red 49 :2 est supérieure ou égale à 60 %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fr-BE"/>
              </w:rPr>
            </w:pPr>
            <w:r>
              <w:rPr>
                <w:noProof/>
                <w:lang w:val="fr-BE"/>
              </w:rPr>
              <w:t>Colorant C.I. Pigment red 12 (CAS RN 6410-32-8) et préparations à base de ce pigment avec une teneur en colorant C.I. Pigment red 12 d'au moins 35 %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fr-BE"/>
              </w:rPr>
            </w:pPr>
            <w:r>
              <w:rPr>
                <w:noProof/>
                <w:lang w:val="fr-BE"/>
              </w:rPr>
              <w:t>Colorant C.I. Pigment Orange 16 (CAS RN 6505-28-8) et préparations à base de ce colorant dont la teneur en colorant C.I. Pigment Orange 16 est d'au moins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lang w:val="fr-BE"/>
              </w:rPr>
            </w:pPr>
            <w:r>
              <w:rPr>
                <w:noProof/>
                <w:lang w:val="fr-BE"/>
              </w:rPr>
              <w:t>Colorant C.I. Pigment Red 48:2 (CAS RN 7023-61-2) et préparations à base de ce colorant dont la teneur en colorant C.I. Pigment Red 48:2 est d'au moins 85 %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Colorant C.I. Pigment Blue 15:3 (CAS RN 147-14-8) et préparations à base de ce colorant dont la teneur en colorant C.I. Pigment Blue 15:3 est supérieure ou égale à 35 %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lang w:val="fr-BE"/>
              </w:rPr>
            </w:pPr>
            <w:r>
              <w:rPr>
                <w:noProof/>
                <w:lang w:val="fr-BE"/>
              </w:rPr>
              <w:t>Colorant C.I. Pigment Blue 15:4 (CAS RN 147-14-8) et préparations à base de ce colorant dont la teneur en colorant C.I. Pigment Blue 15:4 est d'au moins 35 %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lang w:val="fr-BE"/>
              </w:rPr>
            </w:pPr>
            <w:r>
              <w:rPr>
                <w:noProof/>
                <w:lang w:val="fr-BE"/>
              </w:rPr>
              <w:t>Colorant C.I. Pigment Red 169 (CAS RN 12237-63-7) et préparations à base de ce colorant dont la teneur en colorant C.I. Pigment Red 169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Colorant C.I.Pigment brun 41 (CAS RN 211502-16-8 ou CAS RN 68516-75-6)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lang w:val="fr-BE"/>
              </w:rPr>
            </w:pPr>
            <w:r>
              <w:rPr>
                <w:noProof/>
                <w:lang w:val="fr-BE"/>
              </w:rPr>
              <w:t>Colorant C.I. Pigment Red 57:1 (CAS RN 5281-04-9) et préparations à base de ce colorant dont la teneur en colorant C.I. Pigment Red 57:1 est supérieure ou égale à 20 %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Colorant C.I. Pigment Yellow 14 (CAS RN 5468-75-7) et préparations à base de ce colorant dont la teneur en colorant C.I. Pigment Yellow 14 est supérieure ou égale à 25 %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lang w:val="fr-BE"/>
              </w:rPr>
            </w:pPr>
            <w:r>
              <w:rPr>
                <w:noProof/>
                <w:lang w:val="fr-BE"/>
              </w:rPr>
              <w:t>Colorant C.I Pigment Orange 13 (CAS RN 3520-72-7) et préparations à base de ce colorant d'une teneur en colorant C.I. Pigment Orange 13 de 80 % ou plus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29</w:t>
            </w:r>
          </w:p>
        </w:tc>
        <w:tc>
          <w:tcPr>
            <w:tcW w:w="0" w:type="auto"/>
            <w:tcBorders>
              <w:left w:val="single" w:sz="2" w:space="0" w:color="auto"/>
            </w:tcBorders>
          </w:tcPr>
          <w:p>
            <w:pPr>
              <w:pStyle w:val="Paragraph"/>
              <w:rPr>
                <w:noProof/>
                <w:lang w:val="fr-BE"/>
              </w:rPr>
            </w:pPr>
            <w:r>
              <w:rPr>
                <w:noProof/>
                <w:lang w:val="fr-BE"/>
              </w:rPr>
              <w:t>Colorant C.I. Pigment Red 268 (CAS RN 16403-84-2) et préparations à base de ce colorant dont la teneur en C.I. Pigment Red 268 est supérieure ou égale à 80 %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Colorant C.I. Pigment Blue 15:1 (CAS RN 147-14-8) et préparations à base de ce pigment avec une teneur en colorant C.I. Pigment Blue 15:1 égale ou supérieure à 35 %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Colorant C.I. Pigment Red 202 (CAS RN 3089-17-6) et préparations à base de ce colorant dont la teneur en colorant C.I. Pigment Red 202 est supérieure ou égale à 70 %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fr-BE"/>
              </w:rPr>
            </w:pPr>
            <w:r>
              <w:rPr>
                <w:noProof/>
                <w:lang w:val="fr-BE"/>
              </w:rPr>
              <w:t>Colorant C.I. Pigment Red 81:2 (CAS RN 75627-12-2) et préparations à base de ce colorant, contenant en poids 30 % ou plus de C.I. Pigment Red 81:2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Colorant C.I. Pigment Yellow 120 (CAS RN 29920-31-8) et préparations à base de ce colorant dont la teneur en colorant C.I. Pigment Yellow 120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Colorant C.I. Pigment Yellow 174 (CAS RN 78952-72-4), pigment à forte teneur en résine (disproportion de résine d'environ 35 %), d'une pureté en poids de 98 % ou plus, sous la forme de perles extrudées, dont la teneur en humidité  ne dépasse pas 1 % en poids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Colorant C.I. Pigment Red 53 (CAS RN 2092-56-0) et préparations à base de ce colorant dont la teneur en colorant C.I. Pigment Red 53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Colorant C.I. Pigment Orange 5 (CAS RN 3468-63-1) et préparations à base de ce colorant dont la teneur en colorant C.I. Pigment Orange 5 est supérieure ou égale à 80 %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Colorant C.I. Pigment Red 207 (CAS RN 71819-77-7) et préparations à base de ce colorant dont la teneur en colorant C.I. Pigment Red 207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Colorant C.I. Pigment Blue 61 (CAS RN 1324-76-1) et préparations à base de ce colorant dont la teneur en colorant C.I. Pigment Blue 61 est supérieure ou égale à 35 %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fr-BE"/>
              </w:rPr>
            </w:pPr>
            <w:r>
              <w:rPr>
                <w:noProof/>
                <w:lang w:val="fr-BE"/>
              </w:rPr>
              <w:t>Colorant C.I. Pigment Violet 3 (CAS RN 1325-82-2 ou CAS RN 101357-19-1) et préparations à base de ce colorant dont la teneur en colorant C.I. Pigment Violet 3 est supérieure ou égale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lang w:val="fr-BE"/>
              </w:rPr>
            </w:pPr>
            <w:r>
              <w:rPr>
                <w:noProof/>
                <w:lang w:val="fr-BE"/>
              </w:rPr>
              <w:t>Colorant C.I. Solvant violet 49 (CAS RN 205057-15-4)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lang w:val="fr-BE"/>
              </w:rPr>
            </w:pPr>
            <w:r>
              <w:rPr>
                <w:noProof/>
                <w:lang w:val="fr-BE"/>
              </w:rPr>
              <w:t>Colorant C.I. Sulphur Black 1 (CAS RN 1326-82-5) et préparations à base de ce colorant dont la teneur en colorant C.I. Sulphur Black 1 est d'au moins 75 %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lang w:val="fr-BE"/>
              </w:rPr>
            </w:pPr>
            <w:r>
              <w:rPr>
                <w:noProof/>
                <w:lang w:val="fr-BE"/>
              </w:rPr>
              <w:t>Préparation de colorant rouge, sous forme de pâte humide, contenant en poids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35 % ou plus mais pas plus de 40 % de dérivés méthyliques du 1-[[4-(phénylazo)phényl]azo]naphthalèn-2-ol (CAS RN 70879-65-1)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3 % de 1-(phénylazo)naphthalèn-2-ol (CAS RN 842-07-9)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3 % de  1-[(2-méthylphényl)azo]naphthalèn-2-ol (CAS RN 2646-17-5)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55 % ou plus mais pas plus de 65 % d’eau</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fr-BE"/>
              </w:rPr>
            </w:pPr>
            <w:r>
              <w:rPr>
                <w:noProof/>
                <w:lang w:val="fr-BE"/>
              </w:rPr>
              <w:t>Colorant C.I Solvent Yellow 133 (CAS RN 51202-86-9) et préparations à base de ce colorant d'une teneur en colorant C.I. Solvent Yellow 133 de 97 % ou plus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Colorant photochromique, 4-(3-(4-butoxyphényl)-6-méthoxy-3-(4-méthoxyphényl)-13,13-diméthyl-11-(trifluorométhyl)-3,13-dihydrobenzo[</w:t>
            </w:r>
            <w:r>
              <w:rPr>
                <w:i/>
                <w:iCs/>
                <w:noProof/>
              </w:rPr>
              <w:t>h</w:t>
            </w:r>
            <w:r>
              <w:rPr>
                <w:noProof/>
              </w:rPr>
              <w:t>]indéno[2,1-</w:t>
            </w:r>
            <w:r>
              <w:rPr>
                <w:i/>
                <w:iCs/>
                <w:noProof/>
              </w:rPr>
              <w:t>f</w:t>
            </w:r>
            <w:r>
              <w:rPr>
                <w:noProof/>
              </w:rPr>
              <w:t>]chromène-7-yl)morpholine (CAS RN 1021540-64-6)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3204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Colorant C.I. Solvent Red 49:2 (CAS RN 1103-39-5) et préparations à base de ce colorant dont la teneur en colorant C.I. Solvent Red 49:2 est supérieure ou égale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lang w:val="fr-BE"/>
              </w:rPr>
            </w:pPr>
            <w:r>
              <w:rPr>
                <w:noProof/>
                <w:lang w:val="fr-BE"/>
              </w:rPr>
              <w:t>Colorant C.I. Solvent Brown 53 (CAS RN 64696-98-6) et préparations à base de ce colorant dont la teneur en colorant C.I. Solvent Brown 53 est supérieure ou égale à 95 %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fr-BE"/>
              </w:rPr>
            </w:pPr>
            <w:r>
              <w:rPr>
                <w:noProof/>
                <w:lang w:val="fr-BE"/>
              </w:rPr>
              <w:t>Colorant C.I. Solvent Blue 104 (CAS RN 116-75-6) et préparations à base de ce colorant dont la teneur en colorant C.I. Solvent Blue 104 est supérieure ou égale à 97 %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fr-BE"/>
              </w:rPr>
            </w:pPr>
            <w:r>
              <w:rPr>
                <w:noProof/>
                <w:lang w:val="fr-BE"/>
              </w:rPr>
              <w:t>Colorant C.I. Solvent Yellow 98 (CAS RN 27870-92-4 ou CAS RN 12671-74-8) et préparations à base de ce colorant dont la teneur en colorant C.I. Solvent Yellow 98 est supérieure ou égale à 95 %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19 00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fr-BE"/>
              </w:rPr>
            </w:pPr>
            <w:r>
              <w:rPr>
                <w:noProof/>
                <w:lang w:val="fr-BE"/>
              </w:rPr>
              <w:t>Colorant C.I. Solvent Blue 67 (CAS RN 12226-78-7) et préparations à base de ce colorant dont la teneur en colorant C.I. Solvent Blue 67 est supérieure ou égale à 98 %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3204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Colorant C.I. Fluorescent Brightener 351 (CAS RN 27344-41-8) et préparations à base de ce colorant dont la teneur en colorant C.I. Fluorescent Brightener 351 est supérieure ou égale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3204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Colorant C.I Solvent Yellow 172 (également appelé C.I. Solvent Yellow 135) (CAS RN 68427-35-0) et préparations à base de celui-ci, d'une teneur en colorant C.I Solvent Yellow 172 (également appelé C.I. Solvent Yellow 135) de 90 % ou plus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Préparations de colorant C.I. Solvent Red 175 (CAS RN 68411-78-6) dans des distillats pétroliers, naphténiques légers hydro traités (CAS RN 64742-53-6), contenant 40 % ou plus mais pas plus de 60 % de C.I. Solvent Red 175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3205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Laques aluminiques préparées à partir de colorants, destinées à être utilisées dans la fabrication de pigments utilisés dans l’industrie pharmaceutique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3206 11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Dioxyde de titane enrobé de triisostéarate d’isopropoxytitane, contenant en poids 1,5 % ou plus mais pas plus de 2,5 % de triisostéarate d’isopropoxytitane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3206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Préparation contenant en poids de:</w:t>
            </w:r>
          </w:p>
          <w:tbl>
            <w:tblPr>
              <w:tblStyle w:val="Listdash"/>
              <w:tblW w:w="0" w:type="auto"/>
              <w:tblLook w:val="0000" w:firstRow="0" w:lastRow="0" w:firstColumn="0" w:lastColumn="0" w:noHBand="0" w:noVBand="0"/>
            </w:tblPr>
            <w:tblGrid>
              <w:gridCol w:w="220"/>
              <w:gridCol w:w="372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72 % (±2 %) de mica (CAS RN 12001-26-2)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28 % (±2 %) de dioxyde de titane (CAS RN 13463-67-7)</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3206 42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Lithopone (CAS RN 1345-05-7)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3206 49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Colorant C.I. Pigment Blue 27 (CAS RN 14038-43-8)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3206 49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Colorant C.I. Pigment Black 12 (CAS RN 68187-02-0) et préparations à base de ce colorant dont la teneur en colorant C.I. Pigment Black 12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3206 49 70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Colorant C.I. Pigment Blue 27 (CAS RN 25869-00-5) et préparations à base de ce colorant dont la teneur en C.I. Pigment Blue 27 est supérieure ou égale à 85 %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3206 50 00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Produits inorganiques des types utilisés comme luminophores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3207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Pâte d'impression d'une teneur de</w:t>
            </w:r>
          </w:p>
          <w:tbl>
            <w:tblPr>
              <w:tblStyle w:val="Listdash"/>
              <w:tblW w:w="0" w:type="auto"/>
              <w:tblLook w:val="0000" w:firstRow="0" w:lastRow="0" w:firstColumn="0" w:lastColumn="0" w:noHBand="0" w:noVBand="0"/>
            </w:tblPr>
            <w:tblGrid>
              <w:gridCol w:w="220"/>
              <w:gridCol w:w="3995"/>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30 % en poids ou plus, mais n'excédant pas 50 % d'argent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8 % en poids ou plus, mais n'excédant pas 17 % de palladium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3207 40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Paillettes de verre (CAS RN 65997-17-3):</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d'au moins 0,3 µm mais n'excédant pas 10 µm,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enrobées de dioxyde de titane (CAS RN 13463-67-7) ou d'oxyde de fer (CAS RN 18282-10-5)</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3208 10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Résine de copolymères polyesters thermoplastiques d'une teneur en matière sèche égale ou supérieure à 30 % mais n’excédant pas 50 % en poids, dans des solvants organiques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3208 20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 xml:space="preserve">Copolymère de </w:t>
            </w:r>
            <w:r>
              <w:rPr>
                <w:i/>
                <w:iCs/>
                <w:noProof/>
                <w:lang w:val="fr-BE"/>
              </w:rPr>
              <w:t>N</w:t>
            </w:r>
            <w:r>
              <w:rPr>
                <w:noProof/>
                <w:lang w:val="fr-BE"/>
              </w:rPr>
              <w:t xml:space="preserve">-vinylcaprolactame, de </w:t>
            </w:r>
            <w:r>
              <w:rPr>
                <w:i/>
                <w:iCs/>
                <w:noProof/>
                <w:lang w:val="fr-BE"/>
              </w:rPr>
              <w:t>N</w:t>
            </w:r>
            <w:r>
              <w:rPr>
                <w:noProof/>
                <w:lang w:val="fr-BE"/>
              </w:rPr>
              <w:t>-vinyl-2-pyrrolidone et de méthacrylate de diméthylaminoéthyle, sous forme de solution dans de l’éthanol contenant en poids 34 % ou plus mais pas plus de 40 % de copolymère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3208 20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Solutions de couches de finition par immersion contenant en poids 0,5 % ou plus mais pas plus de 15 % de copolymères d’acrylate-méthacrylate-alkénesulfonate avec des chaînes latérales fluorées, dans une solution de n-butanol et/ou 4-méthyl-2-pentanol et/ou diisoamyléther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3208 90 19</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Polyoléfines chlorées dans une solution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Préparation contenant 5 % ou plus mais pas plus de 20 % en poids de copolymère anhydride maléique propylène ou d'un mélange de polypropylène et de copolymère anhydride maléique propylène dissous dans un solvant organique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3208 90 19</w:t>
            </w:r>
          </w:p>
          <w:p>
            <w:pPr>
              <w:pStyle w:val="Paragraph"/>
              <w:rPr>
                <w:noProof/>
              </w:rPr>
            </w:pPr>
            <w:r>
              <w:rPr>
                <w:noProof/>
              </w:rPr>
              <w:t>ex 3904 69 80</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89</w:t>
            </w:r>
          </w:p>
        </w:tc>
        <w:tc>
          <w:tcPr>
            <w:tcW w:w="0" w:type="auto"/>
            <w:vMerge w:val="restart"/>
            <w:tcBorders>
              <w:left w:val="single" w:sz="2" w:space="0" w:color="auto"/>
            </w:tcBorders>
          </w:tcPr>
          <w:p>
            <w:pPr>
              <w:pStyle w:val="Paragraph"/>
              <w:rPr>
                <w:noProof/>
                <w:lang w:val="fr-BE"/>
              </w:rPr>
            </w:pPr>
            <w:r>
              <w:rPr>
                <w:noProof/>
                <w:lang w:val="fr-BE"/>
              </w:rPr>
              <w:t>Copolymère de tétrafluoroéthylène en solution de butylacétate dont la teneur en solvant est de 50 % (± 2 %) en poids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w:t>
            </w:r>
            <w:r>
              <w:rPr>
                <w:noProof/>
              </w:rPr>
              <w:t>ex 3208 90 19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Polymère de méthylsiloxane, sous forme de solution dans un mélange d’acétone, de butanol, d’éthanol et d’isopropanol, contenant en poids 5 % ou plus mais pas plus de 11 % de polymère de méthylsiloxane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3208 90 19</w:t>
            </w:r>
          </w:p>
          <w:p>
            <w:pPr>
              <w:pStyle w:val="Paragraph"/>
              <w:rPr>
                <w:noProof/>
              </w:rPr>
            </w:pPr>
            <w:r>
              <w:rPr>
                <w:noProof/>
              </w:rPr>
              <w:t>ex 3824 99 92</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63</w:t>
            </w:r>
          </w:p>
        </w:tc>
        <w:tc>
          <w:tcPr>
            <w:tcW w:w="0" w:type="auto"/>
            <w:vMerge w:val="restart"/>
            <w:tcBorders>
              <w:left w:val="single" w:sz="2" w:space="0" w:color="auto"/>
            </w:tcBorders>
          </w:tcPr>
          <w:p>
            <w:pPr>
              <w:pStyle w:val="Paragraph"/>
              <w:rPr>
                <w:noProof/>
                <w:lang w:val="fr-BE"/>
              </w:rPr>
            </w:pPr>
            <w:r>
              <w:rPr>
                <w:noProof/>
                <w:lang w:val="fr-BE"/>
              </w:rPr>
              <w:t>Polymère composé d'un polycondensat de formaldéhyde et de naphthalénediol, chimiquement modifié par réaction avec un halogénoalcyne, dissous dans de l'acétate de méthyléther propylèneglycol</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rPr>
            </w:pPr>
            <w:r>
              <w:rPr>
                <w:noProof/>
              </w:rPr>
              <w:t>Solution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0.1 % mais pas plus de 20 % de groupements alcoxyles contenant du polymère de siloxane avec des substituants alkyles ou aryles,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75 % ou plus de solvant organique contenant au moins de l'éther éthylique de propylène glycol (CAS RN 1569-02-4) et/ou de l'acétate de méthyléther de propylène glycol (CAS RN 108-65-6) et/ou du propyléther de propylène glycol (CAS RN 1569-01-3)</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3208 90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Solution contenant en poids:</w:t>
            </w:r>
          </w:p>
          <w:tbl>
            <w:tblPr>
              <w:tblStyle w:val="Listdash"/>
              <w:tblW w:w="0" w:type="auto"/>
              <w:tblLook w:val="0000" w:firstRow="0" w:lastRow="0" w:firstColumn="0" w:lastColumn="0" w:noHBand="0" w:noVBand="0"/>
            </w:tblPr>
            <w:tblGrid>
              <w:gridCol w:w="220"/>
              <w:gridCol w:w="3218"/>
            </w:tblGrid>
            <w:tr>
              <w:tc>
                <w:tcPr>
                  <w:tcW w:w="0" w:type="auto"/>
                </w:tcPr>
                <w:p>
                  <w:pPr>
                    <w:pStyle w:val="Paragraph"/>
                    <w:rPr>
                      <w:noProof/>
                    </w:rPr>
                  </w:pPr>
                  <w:r>
                    <w:rPr>
                      <w:noProof/>
                    </w:rPr>
                    <w:t>—</w:t>
                  </w:r>
                </w:p>
              </w:tc>
              <w:tc>
                <w:tcPr>
                  <w:tcW w:w="0" w:type="auto"/>
                </w:tcPr>
                <w:p>
                  <w:pPr>
                    <w:pStyle w:val="Paragraph"/>
                    <w:rPr>
                      <w:noProof/>
                    </w:rPr>
                  </w:pPr>
                  <w:r>
                    <w:rPr>
                      <w:noProof/>
                    </w:rPr>
                    <w:t xml:space="preserve">(65 ± 10) % de </w:t>
                  </w:r>
                  <w:r>
                    <w:rPr>
                      <w:i/>
                      <w:iCs/>
                      <w:noProof/>
                    </w:rPr>
                    <w:t>γ</w:t>
                  </w:r>
                  <w:r>
                    <w:rPr>
                      <w:noProof/>
                    </w:rPr>
                    <w:t>-butyrolactone,</w:t>
                  </w:r>
                </w:p>
              </w:tc>
            </w:tr>
            <w:tr>
              <w:tc>
                <w:tcPr>
                  <w:tcW w:w="0" w:type="auto"/>
                </w:tcPr>
                <w:p>
                  <w:pPr>
                    <w:pStyle w:val="Paragraph"/>
                    <w:rPr>
                      <w:noProof/>
                    </w:rPr>
                  </w:pPr>
                  <w:r>
                    <w:rPr>
                      <w:noProof/>
                    </w:rPr>
                    <w:t>—</w:t>
                  </w:r>
                </w:p>
              </w:tc>
              <w:tc>
                <w:tcPr>
                  <w:tcW w:w="0" w:type="auto"/>
                </w:tcPr>
                <w:p>
                  <w:pPr>
                    <w:pStyle w:val="Paragraph"/>
                    <w:rPr>
                      <w:noProof/>
                    </w:rPr>
                  </w:pPr>
                  <w:r>
                    <w:rPr>
                      <w:noProof/>
                    </w:rPr>
                    <w:t>(30 ± 10) % de résine polyamide,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(3,5 ± 1,5) % de dérivé ester de naphtoquinone et</w:t>
                  </w:r>
                </w:p>
              </w:tc>
            </w:tr>
            <w:tr>
              <w:tc>
                <w:tcPr>
                  <w:tcW w:w="0" w:type="auto"/>
                </w:tcPr>
                <w:p>
                  <w:pPr>
                    <w:pStyle w:val="Paragraph"/>
                    <w:rPr>
                      <w:noProof/>
                    </w:rPr>
                  </w:pPr>
                  <w:r>
                    <w:rPr>
                      <w:noProof/>
                    </w:rPr>
                    <w:t>—</w:t>
                  </w:r>
                </w:p>
              </w:tc>
              <w:tc>
                <w:tcPr>
                  <w:tcW w:w="0" w:type="auto"/>
                </w:tcPr>
                <w:p>
                  <w:pPr>
                    <w:pStyle w:val="Paragraph"/>
                    <w:rPr>
                      <w:noProof/>
                    </w:rPr>
                  </w:pPr>
                  <w:r>
                    <w:rPr>
                      <w:noProof/>
                    </w:rPr>
                    <w:t>(1,5 ± 0,5) % d’acide arylsilicique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 xml:space="preserve">Copolymère d’hydroxystyrène et d’au moins une des substances suivantes: </w:t>
            </w:r>
          </w:p>
          <w:tbl>
            <w:tblPr>
              <w:tblStyle w:val="Listdash"/>
              <w:tblW w:w="0" w:type="auto"/>
              <w:tblLook w:val="0000" w:firstRow="0" w:lastRow="0" w:firstColumn="0" w:lastColumn="0" w:noHBand="0" w:noVBand="0"/>
            </w:tblPr>
            <w:tblGrid>
              <w:gridCol w:w="220"/>
              <w:gridCol w:w="1233"/>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 xml:space="preserve">styrène, </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 xml:space="preserve">alkoxystyrène, </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 xml:space="preserve">acrylates d’alkyle, </w:t>
                  </w:r>
                </w:p>
              </w:tc>
            </w:tr>
          </w:tbl>
          <w:p>
            <w:pPr>
              <w:pStyle w:val="Paragraph"/>
              <w:rPr>
                <w:noProof/>
                <w:lang w:val="fr-BE"/>
              </w:rPr>
            </w:pPr>
            <w:r>
              <w:rPr>
                <w:noProof/>
                <w:lang w:val="fr-BE"/>
              </w:rPr>
              <w:t>dissous dans du lactate d’éthyle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3208 90 19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Silicones contenant en poids 50 % ou plus de xylène et pas plus de 25 % en poids de silice, du type utilisé dans la fabrication d'implants chirurgicaux pour le long terme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3208 90 19</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Copolymère d'acénaphtalène en solution dans le lactate d'éthyle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w:t>
            </w:r>
            <w:r>
              <w:rPr>
                <w:noProof/>
              </w:rPr>
              <w:t>ex 3215 11 00</w:t>
            </w:r>
          </w:p>
          <w:p>
            <w:pPr>
              <w:pStyle w:val="Paragraph"/>
              <w:rPr>
                <w:noProof/>
              </w:rPr>
            </w:pPr>
            <w:r>
              <w:rPr>
                <w:noProof/>
              </w:rPr>
              <w:t>ex 3215 19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Encre d’imprimerie, liquide, constituée d’une dispersion d’un copolymère d’acrylate de vinyle et de pigments colorants dans des isoparaffines, contenant en poids pas plus de 13 % de copolymère d’acrylate de vinyle et de pigments colorants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3215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Encre: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constituée d'un polymère de polyester et d'une dispersion d'argent (CAS RN 7440-22-4) et de chlorure d'argent (CAS RN 7783-90-6) dans du méthyl propyl cétone (CAS RN 107-87-9),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teneur totale en matières sèches, en poids, d'au moins 55 % mais pas plus de 57 %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masse volumique d'au moins 1,40 g/cm</w:t>
                  </w:r>
                  <w:r>
                    <w:rPr>
                      <w:noProof/>
                      <w:vertAlign w:val="superscript"/>
                      <w:lang w:val="fr-BE"/>
                    </w:rPr>
                    <w:t>3</w:t>
                  </w:r>
                  <w:r>
                    <w:rPr>
                      <w:noProof/>
                      <w:lang w:val="fr-BE"/>
                    </w:rPr>
                    <w:t xml:space="preserve"> mais pas plus de 1,60 g/cm</w:t>
                  </w:r>
                  <w:r>
                    <w:rPr>
                      <w:noProof/>
                      <w:vertAlign w:val="superscript"/>
                      <w:lang w:val="fr-BE"/>
                    </w:rPr>
                    <w:t>3</w:t>
                  </w:r>
                  <w:r>
                    <w:rPr>
                      <w:noProof/>
                      <w:lang w:val="fr-BE"/>
                    </w:rPr>
                    <w:t>,</w:t>
                  </w:r>
                </w:p>
              </w:tc>
            </w:tr>
          </w:tbl>
          <w:p>
            <w:pPr>
              <w:pStyle w:val="Paragraph"/>
              <w:rPr>
                <w:noProof/>
                <w:lang w:val="fr-BE"/>
              </w:rPr>
            </w:pPr>
            <w:r>
              <w:rPr>
                <w:noProof/>
                <w:lang w:val="fr-BE"/>
              </w:rPr>
              <w:t>destinée à être utilisée dans la fabrication d'électrodes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l</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3215 90 70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Préparation d’encre, destinée à être utilisée dans la fabrication de cartouches pour imprimante à jet d’encre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3215 90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Encre thermosensible fixée sur une feuille en matière plastique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3215 90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Encre en cartouche à usage unique,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1 %, sans toutefois dépasser10 %, de dioxyde de silicium amorphe,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3,8 % de colorant C.I. Solvent Black 7 dans les solvants organiques,</w:t>
                  </w:r>
                </w:p>
              </w:tc>
            </w:tr>
          </w:tbl>
          <w:p>
            <w:pPr>
              <w:pStyle w:val="Paragraph"/>
              <w:rPr>
                <w:noProof/>
                <w:lang w:val="fr-BE"/>
              </w:rPr>
            </w:pPr>
            <w:r>
              <w:rPr>
                <w:noProof/>
                <w:lang w:val="fr-BE"/>
              </w:rPr>
              <w:t>destinée à être utilisée dans le marquage de circuits intégrés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3215 90 70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Encre sèche sous forme de poudre à base de résine hybride (à base de résine acrylique polystyrène et de résine polyester) mélangée à:</w:t>
            </w:r>
          </w:p>
          <w:tbl>
            <w:tblPr>
              <w:tblStyle w:val="Listdash"/>
              <w:tblW w:w="0" w:type="auto"/>
              <w:tblLook w:val="0000" w:firstRow="0" w:lastRow="0" w:firstColumn="0" w:lastColumn="0" w:noHBand="0" w:noVBand="0"/>
            </w:tblPr>
            <w:tblGrid>
              <w:gridCol w:w="220"/>
              <w:gridCol w:w="2086"/>
            </w:tblGrid>
            <w:tr>
              <w:tc>
                <w:tcPr>
                  <w:tcW w:w="0" w:type="auto"/>
                </w:tcPr>
                <w:p>
                  <w:pPr>
                    <w:pStyle w:val="Paragraph"/>
                    <w:rPr>
                      <w:noProof/>
                    </w:rPr>
                  </w:pPr>
                  <w:r>
                    <w:rPr>
                      <w:noProof/>
                    </w:rPr>
                    <w:t>—</w:t>
                  </w:r>
                </w:p>
              </w:tc>
              <w:tc>
                <w:tcPr>
                  <w:tcW w:w="0" w:type="auto"/>
                </w:tcPr>
                <w:p>
                  <w:pPr>
                    <w:pStyle w:val="Paragraph"/>
                    <w:rPr>
                      <w:noProof/>
                    </w:rPr>
                  </w:pPr>
                  <w:r>
                    <w:rPr>
                      <w:noProof/>
                    </w:rPr>
                    <w:t>de la cire;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polymère à base de vinyle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colorant</w:t>
                  </w:r>
                </w:p>
              </w:tc>
            </w:tr>
          </w:tbl>
          <w:p>
            <w:pPr>
              <w:pStyle w:val="Paragraph"/>
              <w:rPr>
                <w:noProof/>
                <w:lang w:val="fr-BE"/>
              </w:rPr>
            </w:pPr>
            <w:r>
              <w:rPr>
                <w:noProof/>
                <w:lang w:val="fr-BE"/>
              </w:rPr>
              <w:t>destinée à être utilisée dans la fabrication d’une bouteille de toner pour imprimantes, machines a copier et machines à  télécopier, même combinées entre elles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3301 12 10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Huile essentielle d’orange, non déterpénée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3402 11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Laurylméthyliséthionate de sodium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3402 13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Copolymère vinylique tensioactif à base de polypropylène glycol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3402 13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Agent tensioactif contenant du 1,4-diméthyl-1,4-</w:t>
            </w:r>
            <w:r>
              <w:rPr>
                <w:i/>
                <w:iCs/>
                <w:noProof/>
                <w:lang w:val="fr-BE"/>
              </w:rPr>
              <w:t>bis</w:t>
            </w:r>
            <w:r>
              <w:rPr>
                <w:noProof/>
                <w:lang w:val="fr-BE"/>
              </w:rPr>
              <w:t>(2-méthylpropyl)-2-butyne-1,4-diyl éther, polymérisé avec de l’oxiranne, à terminaison méthyle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Mélange tensio-actif de composés de l'ion ammonium quaternaire, trialkyl en C8-10 méthyles, chlorures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3402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Mélange de docusate sodique (DCI) et de benzoate de sodium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Préparation tensio-active issue du mélange de docusate sodique et de 2,4,7,9-tétraméthyldec-5-yne-4,7-diol éthoxylé (CAS RN 577-11-7 and 9014-85-1)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Préparation tensio-active à base d’un mélange de polysiloxane et de poly(éthylène glycol)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Préparation tensioactive contenant du 2-éthylhexyloxyméthyloxirane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3402 90 10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Préparation tensioactive contenant du 2,4,7,9-tétraméthyl-5-décyne-4,7-diol éthoxylé (CAS RN 9014-85-1)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3501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Caséinate de sodium non comestible (CAS RN 9005-46-3) présenté sous forme de poudre, contenant en poids plus de 88 % de protéines, destiné à la fabrication de granulés thermoplastiques.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Adhésif à base d’une dispersion aqueuse d’un mélange de colophane dimérisé et d’un copolymère d’éthylène et d’acétate de vinyle (EVA)</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Microcapsules de colle époxy à deux composants, dispersée dans un solvant</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noProof/>
              </w:rPr>
              <w:t>ex 3506 91 10</w:t>
            </w:r>
          </w:p>
          <w:p>
            <w:pPr>
              <w:pStyle w:val="Paragraph"/>
              <w:rPr>
                <w:noProof/>
              </w:rPr>
            </w:pPr>
            <w:r>
              <w:rPr>
                <w:noProof/>
              </w:rPr>
              <w:t>ex 3506 91 90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Adhésif acrylique sensible à la pression d’une épaisseur de 0,076 mm au minimum et de0,127 mm au maximum, conditionné en rouleaux d’une largeur minimale de 45,7 cm et maximale de 132 cm fourni avec une couche antiadhésive offrant une adhérence initiale d’au moins 15N/25 mm (mesurée suivant l’ASTM D3330)</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3506 91 10</w:t>
            </w:r>
          </w:p>
          <w:p>
            <w:pPr>
              <w:pStyle w:val="Paragraph"/>
              <w:rPr>
                <w:noProof/>
              </w:rPr>
            </w:pPr>
            <w:r>
              <w:rPr>
                <w:noProof/>
              </w:rPr>
              <w:t>ex 3506 91 90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15 % ou plus mais pas plus de 60 %  de copolymères styrène-butadiène ou de copolymères styrène-butadiène-styrène (SBS)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plus mais pas plus de 30 % de polymères de pinène ou de copolymères de pentadiène</w:t>
                  </w:r>
                </w:p>
              </w:tc>
            </w:tr>
          </w:tbl>
          <w:p>
            <w:pPr>
              <w:pStyle w:val="Paragraph"/>
              <w:rPr>
                <w:noProof/>
                <w:lang w:val="fr-BE"/>
              </w:rPr>
            </w:pPr>
            <w:r>
              <w:rPr>
                <w:noProof/>
                <w:lang w:val="fr-BE"/>
              </w:rPr>
              <w:t>dissous dans un mélange de solvants composé: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de méthyléthylcétone (numéro CAS 78-93-3),</w:t>
                  </w:r>
                </w:p>
              </w:tc>
            </w:tr>
            <w:tr>
              <w:tc>
                <w:tcPr>
                  <w:tcW w:w="0" w:type="auto"/>
                </w:tcPr>
                <w:p>
                  <w:pPr>
                    <w:pStyle w:val="Paragraph"/>
                    <w:rPr>
                      <w:noProof/>
                    </w:rPr>
                  </w:pPr>
                  <w:r>
                    <w:rPr>
                      <w:noProof/>
                    </w:rPr>
                    <w:t>—</w:t>
                  </w:r>
                </w:p>
              </w:tc>
              <w:tc>
                <w:tcPr>
                  <w:tcW w:w="0" w:type="auto"/>
                </w:tcPr>
                <w:p>
                  <w:pPr>
                    <w:pStyle w:val="Paragraph"/>
                    <w:rPr>
                      <w:noProof/>
                    </w:rPr>
                  </w:pPr>
                  <w:r>
                    <w:rPr>
                      <w:noProof/>
                    </w:rPr>
                    <w:t>d'heptanes (numéro CAS 142-82-5),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toluène (numéro CAS 108-88-3) ou de solvant naphta aliphatique léger (numéro CAS 64742-89-8)</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3506 91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Matière adhésive de liaison temporaire de tranches sous la forme d'une solution de polymère solide dans du D-limonène (CAS RN 5989-27-5) d'une teneur en polymère en poids d'au moins 65 % mais pas plus de 75 %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l</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3506 91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Décollage temporaire de tranches sous la forme d'une solution de polymère solide dans de la cyclopentanone (CAS RN 120-92-3) d'une teneur en polymère n'excédant pas 10 %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l</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3507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Préparation de protéase d'</w:t>
            </w:r>
            <w:r>
              <w:rPr>
                <w:i/>
                <w:iCs/>
                <w:noProof/>
                <w:lang w:val="fr-BE"/>
              </w:rPr>
              <w:t xml:space="preserve">Achromobacter lyticus </w:t>
            </w:r>
            <w:r>
              <w:rPr>
                <w:noProof/>
                <w:lang w:val="fr-BE"/>
              </w:rPr>
              <w:t>(CAS RN 123175-82-6) destinée à la fabrication d'insuline humaine et de produits analogues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3507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Créatine amidinohydrolase (CAS RN 37340-58-2)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3507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Salicylate 1-monooxygénase (CAS RN 9059-28-3) en solution aqueuse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concentration d'enzymes égale ou supérieure à 6,0 U/ml mais inférieure à 7,4 U/ml;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concentration en poids d’azoture de sodium (CAS RN 26628-22-8) ne dépassant pas 0,09 %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valeur de pH égale ou supérieure à 6,5 et ne dépassant pas 8,5</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3601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Poudre pyrotechnique sous forme de granulés cylindriques, composée de nitrate de strontium ou de nitrate de cuivre dans une solution consistant en nitroguanidine, un liant et des additifs, utilisée comme composante du dispositif de gonflage d’airbags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3603 00 60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Allumeurs pour générateurs de gaz d'une longueur maximale totale de 20,34 mm ou plus mais pas plus de 25,25 mm et dont la broche est d'une longueur de 6,68  mm (± 0,3 mm) ou plus mais pas plus de 6,9 mm (± 0,3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3701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Plaque photosensible consistant en une couche de photopolymère appliquée sur une feuille de polyester, d’une épaisseur totale supérieure à 0,43 mm mais n’excédant pas 3,18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3701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Plaque pour l’impression en relief, du type utilisé pour l’impression sur papier journal, constituée d’un support métallique enduit d’une couche de photopolymère d’une épaisseur de 0,15 mm ou plus mais n’excédant pas 0,8 mm, non recouverte d’une feuille de protection amovible, d’une épaisseur totale n’excédant pas 1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3701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Plaque de quartz ou de verre, recouverte d’un film de chrome et revêtue d’une couche de résine photosensible ou électrosensible, du type utilisé pour les produits de la position 8541 ou 8542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3707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Émulsion photosensible destinée à la sensibilisation de disques de silicium</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3707 10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Émulsion pour la sensibilisation des surfaces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au maximum 12 % en poids d’ester d’acide diazooxonaphtalènesulfonique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et des résines phénoliques,</w:t>
                  </w:r>
                </w:p>
              </w:tc>
            </w:tr>
          </w:tbl>
          <w:p>
            <w:pPr>
              <w:pStyle w:val="Paragraph"/>
              <w:rPr>
                <w:noProof/>
                <w:lang w:val="fr-BE"/>
              </w:rPr>
            </w:pPr>
            <w:r>
              <w:rPr>
                <w:noProof/>
                <w:lang w:val="fr-BE"/>
              </w:rPr>
              <w:t>dans une solution contenant au moins de l’acétate de 2-méthoxy-1-méthyléthyle ou du lactate d’éthyle ou du 3-méthoxypropionate de méthyle ou du 2-heptanone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3707 10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Émulsion pour la sensibilisation des surfaces contenant:</w:t>
            </w:r>
          </w:p>
          <w:tbl>
            <w:tblPr>
              <w:tblStyle w:val="Listdash"/>
              <w:tblW w:w="0" w:type="auto"/>
              <w:tblLook w:val="0000" w:firstRow="0" w:lastRow="0" w:firstColumn="0" w:lastColumn="0" w:noHBand="0" w:noVBand="0"/>
            </w:tblPr>
            <w:tblGrid>
              <w:gridCol w:w="220"/>
              <w:gridCol w:w="384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résines phénoliques ou acryliques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2 % en poids de précurseur acide photosensible</w:t>
                  </w:r>
                </w:p>
              </w:tc>
            </w:tr>
          </w:tbl>
          <w:p>
            <w:pPr>
              <w:pStyle w:val="Paragraph"/>
              <w:rPr>
                <w:noProof/>
                <w:lang w:val="fr-BE"/>
              </w:rPr>
            </w:pPr>
            <w:r>
              <w:rPr>
                <w:noProof/>
                <w:lang w:val="fr-BE"/>
              </w:rPr>
              <w:t>dans de l’acétate de 2-méthoxy-1-méthyléthyle ou du lactate d’éthyle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3707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Préparation à base d’acrylique photosensible constitué de polymère contenant des pigments colorants, du méthoxy-1-méthyléthylacétate et du cyclohexanone, avec ou sans éthyl-3-éthoxypropionate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Emulsion ou préparation de sensibilisation des surfaces contenant un ou plusieurs:</w:t>
            </w:r>
          </w:p>
          <w:tbl>
            <w:tblPr>
              <w:tblStyle w:val="Listdash"/>
              <w:tblW w:w="0" w:type="auto"/>
              <w:tblLook w:val="0000" w:firstRow="0" w:lastRow="0" w:firstColumn="0" w:lastColumn="0" w:noHBand="0" w:noVBand="0"/>
            </w:tblPr>
            <w:tblGrid>
              <w:gridCol w:w="220"/>
              <w:gridCol w:w="2215"/>
            </w:tblGrid>
            <w:tr>
              <w:tc>
                <w:tcPr>
                  <w:tcW w:w="0" w:type="auto"/>
                </w:tcPr>
                <w:p>
                  <w:pPr>
                    <w:pStyle w:val="Paragraph"/>
                    <w:rPr>
                      <w:noProof/>
                    </w:rPr>
                  </w:pPr>
                  <w:r>
                    <w:rPr>
                      <w:noProof/>
                    </w:rPr>
                    <w:t>—</w:t>
                  </w:r>
                </w:p>
              </w:tc>
              <w:tc>
                <w:tcPr>
                  <w:tcW w:w="0" w:type="auto"/>
                </w:tcPr>
                <w:p>
                  <w:pPr>
                    <w:pStyle w:val="Paragraph"/>
                    <w:rPr>
                      <w:noProof/>
                    </w:rPr>
                  </w:pPr>
                  <w:r>
                    <w:rPr>
                      <w:noProof/>
                    </w:rPr>
                    <w:t>polymères d’acrylate,</w:t>
                  </w:r>
                </w:p>
              </w:tc>
            </w:tr>
            <w:tr>
              <w:tc>
                <w:tcPr>
                  <w:tcW w:w="0" w:type="auto"/>
                </w:tcPr>
                <w:p>
                  <w:pPr>
                    <w:pStyle w:val="Paragraph"/>
                    <w:rPr>
                      <w:noProof/>
                    </w:rPr>
                  </w:pPr>
                  <w:r>
                    <w:rPr>
                      <w:noProof/>
                    </w:rPr>
                    <w:t>—</w:t>
                  </w:r>
                </w:p>
              </w:tc>
              <w:tc>
                <w:tcPr>
                  <w:tcW w:w="0" w:type="auto"/>
                </w:tcPr>
                <w:p>
                  <w:pPr>
                    <w:pStyle w:val="Paragraph"/>
                    <w:rPr>
                      <w:noProof/>
                    </w:rPr>
                  </w:pPr>
                  <w:r>
                    <w:rPr>
                      <w:noProof/>
                    </w:rPr>
                    <w:t>polymères de méthacrylate,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dérivés des polymères de styrène,</w:t>
                  </w:r>
                </w:p>
              </w:tc>
            </w:tr>
          </w:tbl>
          <w:p>
            <w:pPr>
              <w:pStyle w:val="Paragraph"/>
              <w:rPr>
                <w:noProof/>
                <w:lang w:val="fr-BE"/>
              </w:rPr>
            </w:pPr>
            <w:r>
              <w:rPr>
                <w:noProof/>
                <w:lang w:val="fr-BE"/>
              </w:rPr>
              <w:t>contenant, en poids, pas plus de 7 % de précurseurs acides photosensibles, dissous dans un solvant organique contenant au moins de l’acétate de 2-méthoxy-1-méthyléthyle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Emulsion destinée à rendre les surfaces sensibles à la lumière,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moins en poids d’esters de naphtoquinonediazide,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 ou plus mais pas plus de 35 % en poids de copolymères d’hydroxystyrène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7 % en poids de dérivés époxydiques</w:t>
                  </w:r>
                </w:p>
              </w:tc>
            </w:tr>
          </w:tbl>
          <w:p>
            <w:pPr>
              <w:pStyle w:val="Paragraph"/>
              <w:rPr>
                <w:noProof/>
                <w:lang w:val="fr-BE"/>
              </w:rPr>
            </w:pPr>
            <w:r>
              <w:rPr>
                <w:noProof/>
                <w:lang w:val="fr-BE"/>
              </w:rPr>
              <w:t>dissous dans du 1-ethoxy-2-propylacétate et/ou lactate d’éthyle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Émulsion photosensible consistant en polyisoprène cyclisé contenant:</w:t>
            </w:r>
          </w:p>
          <w:tbl>
            <w:tblPr>
              <w:tblStyle w:val="Listdash"/>
              <w:tblW w:w="0" w:type="auto"/>
              <w:tblLook w:val="0000" w:firstRow="0" w:lastRow="0" w:firstColumn="0" w:lastColumn="0" w:noHBand="0" w:noVBand="0"/>
            </w:tblPr>
            <w:tblGrid>
              <w:gridCol w:w="220"/>
              <w:gridCol w:w="425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minimum 55 % et au maximum 75 % en poids de xylène,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minimum 12 % et au maximum 18 % en poids d’éthylbenzène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Émulsion photosensible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minimum 20 % et au maximum 45 % de copolymères d’acrylates et/ou de méthacrylates et de dérivés d’hydroxystyrène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minimum 25 % et au maximum 50 % de solvant organique contenant au moins du lactate d’éthyle et/ou de l’acétate d’éther méthylique de propylène glycol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minimum 5 % et au maximum 30 % d’acrylates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maximum 12 % de photo-initiateur</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3707 10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Dépôt diélectrique amortissant les contraintes mécaniques, constitué d’un précurseur polyamide contenant du carbone non saturé dans ses chaînes latérales, photostructurable par réaction radicalaire et transformable en polyimide, sous la forme d’une solution de N-méthyl-2-pyrrolidone ou de N-éthyl-2-pyrrolidone, contenant en poids 10 % ou plus de polymères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3707 10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Émulsion pour la sensibilisation des surfaces contenant en poids:</w:t>
            </w:r>
          </w:p>
          <w:tbl>
            <w:tblPr>
              <w:tblStyle w:val="Listdash"/>
              <w:tblW w:w="0" w:type="auto"/>
              <w:tblLook w:val="0000" w:firstRow="0" w:lastRow="0" w:firstColumn="0" w:lastColumn="0" w:noHBand="0" w:noVBand="0"/>
            </w:tblPr>
            <w:tblGrid>
              <w:gridCol w:w="220"/>
              <w:gridCol w:w="382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5 % de générateur de photoacides,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2 % ou plus, sans dépasser 50 %, de résines phénoliques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7 % de dérivés époxydiques,</w:t>
                  </w:r>
                </w:p>
              </w:tc>
            </w:tr>
          </w:tbl>
          <w:p>
            <w:pPr>
              <w:pStyle w:val="Paragraph"/>
              <w:rPr>
                <w:noProof/>
                <w:lang w:val="fr-BE"/>
              </w:rPr>
            </w:pPr>
            <w:r>
              <w:rPr>
                <w:noProof/>
                <w:lang w:val="fr-BE"/>
              </w:rPr>
              <w:t>dissous dans du heptan-2-one et/ou de l’éthyl lactate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3707 90 29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Encre sèche, sous forme de poudre, ou mélange de toner, constitué d’un copolymère de styrène et d’acrylate de butyle et soit de magnétite soit de noir de carbone, destiné à être utilisé comme révélateur dans la fabrication de cartouches pour télécopieurs, pour imprimantes d’ordinateurs ou pour photocopieurs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3707 90 29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Encre sèche, sous forme de poudre, ou mélange de toner, à base de résine de polyester, obtenu par polymérisation, destiné à être utilisé comme révélateur dans la fabrication de cartouches pour télécopieurs, pour imprimantes d’ordinateurs ou pour photocopieurs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3707 90 29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Mélange d'encre sèche sous forme de poudre ou toner, constitué:</w:t>
            </w:r>
          </w:p>
          <w:tbl>
            <w:tblPr>
              <w:tblStyle w:val="Listdash"/>
              <w:tblW w:w="0" w:type="auto"/>
              <w:tblLook w:val="0000" w:firstRow="0" w:lastRow="0" w:firstColumn="0" w:lastColumn="0" w:noHBand="0" w:noVBand="0"/>
            </w:tblPr>
            <w:tblGrid>
              <w:gridCol w:w="220"/>
              <w:gridCol w:w="379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copolymère styrène acrylate/butadiène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soit de noir de carbone, soit d'un pigment organique,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même contenant de la polyoléfine ou de la silice amorphe,</w:t>
                  </w:r>
                </w:p>
              </w:tc>
            </w:tr>
          </w:tbl>
          <w:p>
            <w:pPr>
              <w:pStyle w:val="Paragraph"/>
              <w:rPr>
                <w:noProof/>
                <w:lang w:val="fr-BE"/>
              </w:rPr>
            </w:pPr>
            <w:r>
              <w:rPr>
                <w:noProof/>
                <w:lang w:val="fr-BE"/>
              </w:rPr>
              <w:t>destiné à être utilisé comme révélateur dans la fabrication de bouteilles ou cartouches d’encre/de toner pour télécopieurs, pour imprimantes d'ordinateurs et pour photocopieurs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3801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Graphite artificiel sous forme de poudre,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dimension moyenne des particules de 2,5 µm ou plus mais n’excédant pas 26,5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fer inférieure à 40 ppm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cuivre inférieure à 5 ppm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nickel inférieure à 5 ppm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surface moyenne (atmosphère N2) de 1,2 m²/g ou plus mais n’excédant pas 20,4 m²/g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impuretés métalliques magnétiques inférieure à 3 ppm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3801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Graphite expansible (CAS RN 90387-90-9 et CAS RN 12777-87-6)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3801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Poudre à base de graphite naturel ou artificiel, revêtu de brai,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dimension moyenne des particules de 2,5 µm ou plus mais n’excédant pas 26,5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fer inférieure à 40 ppm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cuivre inférieure à 5 ppm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nickel inférieure à 5 ppm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surface moyenne (atmosphère N2) de 1,2 m²/g ou plus mais n’excédant pas 20,4 m²/g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impuretés métalliques magnétiques inférieure à 3 ppm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3802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Mélange de charbon actif et de polyéthylène, sous forme de poudre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3802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 xml:space="preserve">Charbon activé par voie chimique, sous forme de granulés, présentant une capacité d'adsorption du butane de 11 g de butane/100 ml ou davantage (telle que déterminée par la méthode ASTM D 5228), utilisé pour l'absorption ou la désorption de vapeurs dans le dispositif de recyclage des vapeurs de carburant des véhicules à moteur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3802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Charbon activé par voie chimique, sous forme de granulés (cylindriques),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égal ou supérieur à 2 mm mais n'excédant pas 3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capacité d'adsorption du butane de 5 g butane/100ml ou davantage (telle que déterminée par la méthode ASTM D 5228),</w:t>
                  </w:r>
                </w:p>
              </w:tc>
            </w:tr>
          </w:tbl>
          <w:p>
            <w:pPr>
              <w:pStyle w:val="Paragraph"/>
              <w:rPr>
                <w:noProof/>
                <w:lang w:val="fr-BE"/>
              </w:rPr>
            </w:pPr>
            <w:r>
              <w:rPr>
                <w:noProof/>
                <w:lang w:val="fr-BE"/>
              </w:rPr>
              <w:t>utilisé pour l'absorption ou la désorption de vapeurs dans le dispositif de recyclage des vapeurs de carburant des véhicules à moteur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3805 90 10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Huile de pin</w:t>
            </w:r>
          </w:p>
        </w:tc>
        <w:tc>
          <w:tcPr>
            <w:tcW w:w="0" w:type="auto"/>
            <w:tcBorders>
              <w:left w:val="single" w:sz="2" w:space="0" w:color="auto"/>
            </w:tcBorders>
          </w:tcPr>
          <w:p>
            <w:pPr>
              <w:pStyle w:val="Paragraph"/>
              <w:rPr>
                <w:noProof/>
              </w:rPr>
            </w:pPr>
            <w:r>
              <w:rPr>
                <w:noProof/>
              </w:rPr>
              <w:t>1.7 %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3806 90 00</w:t>
            </w:r>
          </w:p>
          <w:p>
            <w:pPr>
              <w:pStyle w:val="Paragraph"/>
              <w:rPr>
                <w:noProof/>
              </w:rPr>
            </w:pPr>
            <w:r>
              <w:rPr>
                <w:noProof/>
              </w:rPr>
              <w:t>ex 3909 40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0" w:type="auto"/>
            <w:vMerge w:val="restart"/>
            <w:tcBorders>
              <w:left w:val="single" w:sz="2" w:space="0" w:color="auto"/>
            </w:tcBorders>
          </w:tcPr>
          <w:p>
            <w:pPr>
              <w:pStyle w:val="Paragraph"/>
              <w:rPr>
                <w:noProof/>
                <w:lang w:val="fr-BE"/>
              </w:rPr>
            </w:pPr>
            <w:r>
              <w:rPr>
                <w:noProof/>
                <w:lang w:val="fr-BE"/>
              </w:rPr>
              <w:t>Dérivé de résine de colophane modifié avec une résine phénolique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en poids 50 % ou plus mais pas plus de 75 % d'esters de colophane,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indice d'acide inférieur ou égal à 25,</w:t>
                  </w:r>
                </w:p>
              </w:tc>
            </w:tr>
          </w:tbl>
          <w:p>
            <w:pPr>
              <w:pStyle w:val="Paragraph"/>
              <w:rPr>
                <w:noProof/>
                <w:lang w:val="fr-BE"/>
              </w:rPr>
            </w:pPr>
            <w:r>
              <w:rPr>
                <w:noProof/>
                <w:lang w:val="fr-BE"/>
              </w:rPr>
              <w:t>du type utilisé pour l'impression offset</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3808 91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Indoxacarb (ISO) et son isomère (</w:t>
            </w:r>
            <w:r>
              <w:rPr>
                <w:i/>
                <w:iCs/>
                <w:noProof/>
                <w:lang w:val="fr-BE"/>
              </w:rPr>
              <w:t>R</w:t>
            </w:r>
            <w:r>
              <w:rPr>
                <w:noProof/>
                <w:lang w:val="fr-BE"/>
              </w:rPr>
              <w:t>), fixés sur un support en dioxyde de silicium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3808 91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Préparation contenant des endospores ou des spores et des cristaux de protéines dérivées de:</w:t>
            </w:r>
          </w:p>
          <w:tbl>
            <w:tblPr>
              <w:tblStyle w:val="Listdash"/>
              <w:tblW w:w="0" w:type="auto"/>
              <w:tblLook w:val="0000" w:firstRow="0" w:lastRow="0" w:firstColumn="0" w:lastColumn="0" w:noHBand="0" w:noVBand="0"/>
            </w:tblPr>
            <w:tblGrid>
              <w:gridCol w:w="220"/>
              <w:gridCol w:w="3967"/>
            </w:tblGrid>
            <w:tr>
              <w:tc>
                <w:tcPr>
                  <w:tcW w:w="0" w:type="auto"/>
                </w:tcPr>
                <w:p>
                  <w:pPr>
                    <w:pStyle w:val="Paragraph"/>
                    <w:rPr>
                      <w:noProof/>
                    </w:rPr>
                  </w:pPr>
                  <w:r>
                    <w:rPr>
                      <w:noProof/>
                    </w:rPr>
                    <w:t>—</w:t>
                  </w:r>
                </w:p>
              </w:tc>
              <w:tc>
                <w:tcPr>
                  <w:tcW w:w="0" w:type="auto"/>
                </w:tcPr>
                <w:p>
                  <w:pPr>
                    <w:pStyle w:val="Paragraph"/>
                    <w:rPr>
                      <w:noProof/>
                    </w:rPr>
                  </w:pPr>
                  <w:r>
                    <w:rPr>
                      <w:i/>
                      <w:iCs/>
                      <w:noProof/>
                    </w:rPr>
                    <w:t>Bacillus thuringiensis Berliner</w:t>
                  </w:r>
                  <w:r>
                    <w:rPr>
                      <w:noProof/>
                    </w:rPr>
                    <w:t xml:space="preserve"> subsp. </w:t>
                  </w:r>
                  <w:r>
                    <w:rPr>
                      <w:i/>
                      <w:iCs/>
                      <w:noProof/>
                    </w:rPr>
                    <w:t>aizawai</w:t>
                  </w:r>
                  <w:r>
                    <w:rPr>
                      <w:noProof/>
                    </w:rPr>
                    <w:t xml:space="preserve"> et </w:t>
                  </w:r>
                  <w:r>
                    <w:rPr>
                      <w:i/>
                      <w:iCs/>
                      <w:noProof/>
                    </w:rPr>
                    <w:t>kurstaki</w:t>
                  </w:r>
                  <w:r>
                    <w:rPr>
                      <w:noProof/>
                    </w:rPr>
                    <w:t>, ou</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kurstaki</w:t>
                  </w:r>
                  <w:r>
                    <w:rPr>
                      <w:noProof/>
                    </w:rPr>
                    <w:t xml:space="preserve"> ou,</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israelensis</w:t>
                  </w:r>
                  <w:r>
                    <w:rPr>
                      <w:noProof/>
                    </w:rPr>
                    <w:t xml:space="preserve"> ou,</w:t>
                  </w:r>
                </w:p>
              </w:tc>
            </w:tr>
            <w:tr>
              <w:tc>
                <w:tcPr>
                  <w:tcW w:w="0" w:type="auto"/>
                </w:tcPr>
                <w:p>
                  <w:pPr>
                    <w:pStyle w:val="Paragraph"/>
                    <w:rPr>
                      <w:noProof/>
                    </w:rPr>
                  </w:pPr>
                  <w:r>
                    <w:rPr>
                      <w:noProof/>
                    </w:rPr>
                    <w:t>—</w:t>
                  </w:r>
                </w:p>
              </w:tc>
              <w:tc>
                <w:tcPr>
                  <w:tcW w:w="0" w:type="auto"/>
                </w:tcPr>
                <w:p>
                  <w:pPr>
                    <w:pStyle w:val="Paragraph"/>
                    <w:rPr>
                      <w:noProof/>
                      <w:lang w:val="fr-BE"/>
                    </w:rPr>
                  </w:pPr>
                  <w:r>
                    <w:rPr>
                      <w:i/>
                      <w:iCs/>
                      <w:noProof/>
                      <w:lang w:val="fr-BE"/>
                    </w:rPr>
                    <w:t>Bacillus thuringiensis</w:t>
                  </w:r>
                  <w:r>
                    <w:rPr>
                      <w:noProof/>
                      <w:lang w:val="fr-BE"/>
                    </w:rPr>
                    <w:t xml:space="preserve"> subsp. </w:t>
                  </w:r>
                  <w:r>
                    <w:rPr>
                      <w:i/>
                      <w:iCs/>
                      <w:noProof/>
                      <w:lang w:val="fr-BE"/>
                    </w:rPr>
                    <w:t>aizawai</w:t>
                  </w:r>
                  <w:r>
                    <w:rPr>
                      <w:noProof/>
                      <w:lang w:val="fr-BE"/>
                    </w:rPr>
                    <w:t xml:space="preserve"> ou,</w:t>
                  </w:r>
                </w:p>
              </w:tc>
            </w:tr>
            <w:tr>
              <w:tc>
                <w:tcPr>
                  <w:tcW w:w="0" w:type="auto"/>
                </w:tcPr>
                <w:p>
                  <w:pPr>
                    <w:pStyle w:val="Paragraph"/>
                    <w:rPr>
                      <w:noProof/>
                    </w:rPr>
                  </w:pPr>
                  <w:r>
                    <w:rPr>
                      <w:noProof/>
                    </w:rPr>
                    <w:t>—</w:t>
                  </w:r>
                </w:p>
              </w:tc>
              <w:tc>
                <w:tcPr>
                  <w:tcW w:w="0" w:type="auto"/>
                </w:tcPr>
                <w:p>
                  <w:pPr>
                    <w:pStyle w:val="Paragraph"/>
                    <w:rPr>
                      <w:noProof/>
                    </w:rPr>
                  </w:pPr>
                  <w:r>
                    <w:rPr>
                      <w:i/>
                      <w:iCs/>
                      <w:noProof/>
                    </w:rPr>
                    <w:t>Bacillus thuringiensis</w:t>
                  </w:r>
                  <w:r>
                    <w:rPr>
                      <w:noProof/>
                    </w:rPr>
                    <w:t xml:space="preserve"> subsp. </w:t>
                  </w:r>
                  <w:r>
                    <w:rPr>
                      <w:i/>
                      <w:iCs/>
                      <w:noProof/>
                    </w:rPr>
                    <w:t>tenebrionis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3808 91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Spinosad (ISO)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3808 91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Spinetoram (ISO) (CAS RN 935545-74-7), préparation de deux composés de spinosyne (3'-éthoxy-5,6-dihydrospinosyne J) et (3'-éthoxy-spinosyne 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3808 92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Mancozèbe (ISO) (CAS RN 8018-01-7) importés en emballages immédiats d'un contenu net de 500 kg ou plus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3808 92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Fongicide sous forme de poudre, contenant en poids 65 % ou plus mais pas plus de 75 % d’hymexazole (ISO), non conditionné pour la vente au détail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3808 92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Préparation constituée d’une suspension aqueuse de pyrithione zincique (DCI)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24 % ou plus, mais pas plus de 26 %, de pyrithione zincique (DCI),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39 % ou plus, mais pas plus de 41 %, de pyrithione zincique (DCI)</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3808 92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Préparations à base de pyrithione de cuivre (CAS RN 14915-37-8)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3808 93 23</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Herbicide contenant du flazasulfuron (ISO) comme matière active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3808 93 27</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Préparation constituée d’une suspension de tépraloxydim (ISO)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30 % de tépraloxydim (ISO),</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70 % au maximum d’une fraction pétrolière composée d’hydrocarbures aromatiques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Préparation, sous forme de granules,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au minimum 38,8 % et au maximum 41,2 % de gibbérelline A3,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minimum 9,5 % et au maximum 10,5 % de gibbérelline A4 et A7</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Préparation de benzyl(purine-6-yl)amine en solution de glycol,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1,88 % ou plus, mais au maximum 2,00 %, de benzyl(purine-6-yl)amine  </w:t>
                  </w:r>
                </w:p>
              </w:tc>
            </w:tr>
          </w:tbl>
          <w:p>
            <w:pPr>
              <w:pStyle w:val="Paragraph"/>
              <w:rPr>
                <w:noProof/>
                <w:lang w:val="fr-BE"/>
              </w:rPr>
            </w:pPr>
            <w:r>
              <w:rPr>
                <w:noProof/>
                <w:lang w:val="fr-BE"/>
              </w:rPr>
              <w:t>d’un type entrant dans la composition des régulateurs de croissance végétale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Solution aqueuse contenant en poids:</w:t>
            </w:r>
          </w:p>
          <w:tbl>
            <w:tblPr>
              <w:tblStyle w:val="Listdash"/>
              <w:tblW w:w="0" w:type="auto"/>
              <w:tblLook w:val="0000" w:firstRow="0" w:lastRow="0" w:firstColumn="0" w:lastColumn="0" w:noHBand="0" w:noVBand="0"/>
            </w:tblPr>
            <w:tblGrid>
              <w:gridCol w:w="220"/>
              <w:gridCol w:w="2624"/>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1,8 % de para-nitrophénolate de sodium</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1,2 % d’ortho-nitrophénolate de sodium</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0,6 % de 5-nitroguaiacolate de sodium</w:t>
                  </w:r>
                </w:p>
              </w:tc>
            </w:tr>
          </w:tbl>
          <w:p>
            <w:pPr>
              <w:pStyle w:val="Paragraph"/>
              <w:rPr>
                <w:noProof/>
                <w:lang w:val="fr-BE"/>
              </w:rPr>
            </w:pPr>
            <w:r>
              <w:rPr>
                <w:noProof/>
                <w:lang w:val="fr-BE"/>
              </w:rPr>
              <w:t>destiné à la fabrication de régulateur de croissance pour plantes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Mélange sous forme de poudre blanche,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3 % ou plus mais pas plus de 3,6 % de 1-méthylcyclopropène de pureté supérieure à 96 %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moins de 0,05 % de chacune des impuretés 1-chloro-2-méthylpropène et 3-chloro-2-méthylpropène</w:t>
                  </w:r>
                </w:p>
              </w:tc>
            </w:tr>
          </w:tbl>
          <w:p>
            <w:pPr>
              <w:pStyle w:val="Paragraph"/>
              <w:rPr>
                <w:noProof/>
                <w:lang w:val="fr-BE"/>
              </w:rPr>
            </w:pPr>
            <w:r>
              <w:rPr>
                <w:noProof/>
                <w:lang w:val="fr-BE"/>
              </w:rPr>
              <w:t>destiné à la fabrication d’un régulateur de croissance post-récolte des fruits, légumes et plantes ornementales en vue de l’utilisation avec un générateur spécifique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Préparation sous forme de poudre,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minimum 55 % de gibbérelline A4,</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de gibbérelline A7, mais pas plus de 35 %,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90 % ou plus de gibbérelline A4 et de gibbérelline A7 combinées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10 % d’une combinaison d’eau et d’autres gibbérellines naturelles</w:t>
                  </w:r>
                </w:p>
              </w:tc>
            </w:tr>
          </w:tbl>
          <w:p>
            <w:pPr>
              <w:pStyle w:val="Paragraph"/>
              <w:rPr>
                <w:noProof/>
                <w:lang w:val="fr-BE"/>
              </w:rPr>
            </w:pPr>
            <w:r>
              <w:rPr>
                <w:noProof/>
                <w:lang w:val="fr-BE"/>
              </w:rPr>
              <w:t>d’un type entrant dans la composition des régulateurs de croissance végétale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3808 93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Préparation sous forme de pastilles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0,55 % ou plus mais pas plus de 2,50 % de 1-méthylcyclopropène (1-MCP) (CAS RN 3100-04-7) d'une pureté minimale de 96 %,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moins de 0,05 % de chacune des deux impuretés suivantes: 1-chloro-2-méthylpropène (CAS RN 513-37-1) et 3-chloro-2-méthylpropène (CAS RN 563-47-3),</w:t>
                  </w:r>
                </w:p>
              </w:tc>
            </w:tr>
          </w:tbl>
          <w:p>
            <w:pPr>
              <w:pStyle w:val="Paragraph"/>
              <w:rPr>
                <w:noProof/>
                <w:lang w:val="fr-BE"/>
              </w:rPr>
            </w:pPr>
            <w:r>
              <w:rPr>
                <w:noProof/>
                <w:lang w:val="fr-BE"/>
              </w:rPr>
              <w:t>destinée à des applications de revêtement</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3808 94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Bromochloro-5,5-diméthylimidazolidine-2,4-dione (CAS RN 32718-18-6)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it-IT"/>
                    </w:rPr>
                  </w:pPr>
                  <w:r>
                    <w:rPr>
                      <w:noProof/>
                      <w:lang w:val="it-IT"/>
                    </w:rPr>
                    <w:t>1,3-dichloro-5,5-diméthylimidazolidine-2,4-dione (CAS RN 118-52-5),</w:t>
                  </w:r>
                </w:p>
              </w:tc>
            </w:tr>
            <w:tr>
              <w:tc>
                <w:tcPr>
                  <w:tcW w:w="0" w:type="auto"/>
                </w:tcPr>
                <w:p>
                  <w:pPr>
                    <w:pStyle w:val="Paragraph"/>
                    <w:rPr>
                      <w:noProof/>
                    </w:rPr>
                  </w:pPr>
                  <w:r>
                    <w:rPr>
                      <w:noProof/>
                    </w:rPr>
                    <w:t>—</w:t>
                  </w:r>
                </w:p>
              </w:tc>
              <w:tc>
                <w:tcPr>
                  <w:tcW w:w="0" w:type="auto"/>
                </w:tcPr>
                <w:p>
                  <w:pPr>
                    <w:pStyle w:val="Paragraph"/>
                    <w:rPr>
                      <w:noProof/>
                      <w:lang w:val="it-IT"/>
                    </w:rPr>
                  </w:pPr>
                  <w:r>
                    <w:rPr>
                      <w:noProof/>
                      <w:lang w:val="it-IT"/>
                    </w:rPr>
                    <w:t>1,3-dibromo-5,5-diméthylimidazolidine-2,4-dione (CAS RN 77-48-5),</w:t>
                  </w:r>
                </w:p>
              </w:tc>
            </w:tr>
            <w:tr>
              <w:tc>
                <w:tcPr>
                  <w:tcW w:w="0" w:type="auto"/>
                </w:tcPr>
                <w:p>
                  <w:pPr>
                    <w:pStyle w:val="Paragraph"/>
                    <w:rPr>
                      <w:noProof/>
                    </w:rPr>
                  </w:pPr>
                  <w:r>
                    <w:rPr>
                      <w:noProof/>
                    </w:rPr>
                    <w:t>—</w:t>
                  </w:r>
                </w:p>
              </w:tc>
              <w:tc>
                <w:tcPr>
                  <w:tcW w:w="0" w:type="auto"/>
                </w:tcPr>
                <w:p>
                  <w:pPr>
                    <w:pStyle w:val="Paragraph"/>
                    <w:rPr>
                      <w:noProof/>
                    </w:rPr>
                  </w:pPr>
                  <w:r>
                    <w:rPr>
                      <w:noProof/>
                    </w:rPr>
                    <w:t>1-bromo,3-chloro-5,5-diméthylimidazolidine-2,4-dione (CAS RN 16079-88-2), et</w:t>
                  </w:r>
                </w:p>
              </w:tc>
            </w:tr>
            <w:tr>
              <w:tc>
                <w:tcPr>
                  <w:tcW w:w="0" w:type="auto"/>
                </w:tcPr>
                <w:p>
                  <w:pPr>
                    <w:pStyle w:val="Paragraph"/>
                    <w:rPr>
                      <w:noProof/>
                    </w:rPr>
                  </w:pPr>
                  <w:r>
                    <w:rPr>
                      <w:noProof/>
                    </w:rPr>
                    <w:t>—</w:t>
                  </w:r>
                </w:p>
              </w:tc>
              <w:tc>
                <w:tcPr>
                  <w:tcW w:w="0" w:type="auto"/>
                </w:tcPr>
                <w:p>
                  <w:pPr>
                    <w:pStyle w:val="Paragraph"/>
                    <w:rPr>
                      <w:noProof/>
                    </w:rPr>
                  </w:pPr>
                  <w:r>
                    <w:rPr>
                      <w:noProof/>
                    </w:rPr>
                    <w:t>1-chloro,3-bromo-5,5-diméthylimidazolidine-2,4-dione (CAS RN 126-06-7)</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3808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Oxamyl (ISO) (CAS RN 23135-22-0) dans une solution de cyclohexanone et d'eau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3808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Abamectine (ISO) (CAS RN 71751-41-2)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3809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Mélange de méthylphosphonate de méthyle et de 5-éthyl-2-méthyl-2-oxo-1,3,2</w:t>
            </w:r>
            <w:r>
              <w:rPr>
                <w:i/>
                <w:iCs/>
                <w:noProof/>
              </w:rPr>
              <w:t>λ</w:t>
            </w:r>
            <w:r>
              <w:rPr>
                <w:noProof/>
                <w:vertAlign w:val="superscript"/>
              </w:rPr>
              <w:t>5</w:t>
            </w:r>
            <w:r>
              <w:rPr>
                <w:noProof/>
              </w:rPr>
              <w:t>-dioxaphosphoran-5-ylméthyle et de méthylphosphonate de bis(5-éthyl-2-méthyl-2-oxo-1,3,2</w:t>
            </w:r>
            <w:r>
              <w:rPr>
                <w:i/>
                <w:iCs/>
                <w:noProof/>
              </w:rPr>
              <w:t>λ</w:t>
            </w:r>
            <w:r>
              <w:rPr>
                <w:noProof/>
                <w:vertAlign w:val="superscript"/>
              </w:rPr>
              <w:t>5</w:t>
            </w:r>
            <w:r>
              <w:rPr>
                <w:noProof/>
              </w:rPr>
              <w:t>-dioxaphosphoran-5-ylméthyle)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3809 92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Agent antimousse consistant en un mélange d’oxydipropanol et de 2,5,8,11-tétraméthyldodéc-6-yne-5,8-diol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3810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Pâte à souder consistant en un mélange de métaux et de résine,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entre70 % et90 % d’étain,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maximum10 % d’un ou plusieurs des métaux suivants: argent, cuivre, bismuth, zinc ou indium,</w:t>
                  </w:r>
                </w:p>
              </w:tc>
            </w:tr>
          </w:tbl>
          <w:p>
            <w:pPr>
              <w:pStyle w:val="Paragraph"/>
              <w:rPr>
                <w:noProof/>
                <w:lang w:val="fr-BE"/>
              </w:rPr>
            </w:pPr>
            <w:r>
              <w:rPr>
                <w:noProof/>
                <w:lang w:val="fr-BE"/>
              </w:rPr>
              <w:t>destinée à être utilisée dans l’industrie électrotechnique</w:t>
            </w:r>
          </w:p>
          <w:p>
            <w:pPr>
              <w:pStyle w:val="Paragraph"/>
              <w:rPr>
                <w:noProof/>
                <w:lang w:val="fr-BE"/>
              </w:rPr>
            </w:pP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3811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Solution de plus de 61 % mais pas plus de 63 % en poids de tricarbonyl(méthylcyclopentadiényl)manganèse dans un solvant d’hydrocarbures aromatiques, contenant en poids pas plus de:</w:t>
            </w:r>
          </w:p>
          <w:tbl>
            <w:tblPr>
              <w:tblStyle w:val="Listdash"/>
              <w:tblW w:w="0" w:type="auto"/>
              <w:tblLook w:val="0000" w:firstRow="0" w:lastRow="0" w:firstColumn="0" w:lastColumn="0" w:noHBand="0" w:noVBand="0"/>
            </w:tblPr>
            <w:tblGrid>
              <w:gridCol w:w="220"/>
              <w:gridCol w:w="2242"/>
            </w:tblGrid>
            <w:tr>
              <w:tc>
                <w:tcPr>
                  <w:tcW w:w="0" w:type="auto"/>
                </w:tcPr>
                <w:p>
                  <w:pPr>
                    <w:pStyle w:val="Paragraph"/>
                    <w:rPr>
                      <w:noProof/>
                    </w:rPr>
                  </w:pPr>
                  <w:r>
                    <w:rPr>
                      <w:noProof/>
                    </w:rPr>
                    <w:t>—</w:t>
                  </w:r>
                </w:p>
              </w:tc>
              <w:tc>
                <w:tcPr>
                  <w:tcW w:w="0" w:type="auto"/>
                </w:tcPr>
                <w:p>
                  <w:pPr>
                    <w:pStyle w:val="Paragraph"/>
                    <w:rPr>
                      <w:noProof/>
                    </w:rPr>
                  </w:pPr>
                  <w:r>
                    <w:rPr>
                      <w:noProof/>
                    </w:rPr>
                    <w:t>4,9 % de 1,2,4-triméthyl-benzène,</w:t>
                  </w:r>
                </w:p>
              </w:tc>
            </w:tr>
            <w:tr>
              <w:tc>
                <w:tcPr>
                  <w:tcW w:w="0" w:type="auto"/>
                </w:tcPr>
                <w:p>
                  <w:pPr>
                    <w:pStyle w:val="Paragraph"/>
                    <w:rPr>
                      <w:noProof/>
                    </w:rPr>
                  </w:pPr>
                  <w:r>
                    <w:rPr>
                      <w:noProof/>
                    </w:rPr>
                    <w:t>—</w:t>
                  </w:r>
                </w:p>
              </w:tc>
              <w:tc>
                <w:tcPr>
                  <w:tcW w:w="0" w:type="auto"/>
                </w:tcPr>
                <w:p>
                  <w:pPr>
                    <w:pStyle w:val="Paragraph"/>
                    <w:rPr>
                      <w:noProof/>
                    </w:rPr>
                  </w:pPr>
                  <w:r>
                    <w:rPr>
                      <w:noProof/>
                    </w:rPr>
                    <w:t>4,9 % de naphtalène et</w:t>
                  </w:r>
                </w:p>
              </w:tc>
            </w:tr>
            <w:tr>
              <w:tc>
                <w:tcPr>
                  <w:tcW w:w="0" w:type="auto"/>
                </w:tcPr>
                <w:p>
                  <w:pPr>
                    <w:pStyle w:val="Paragraph"/>
                    <w:rPr>
                      <w:noProof/>
                    </w:rPr>
                  </w:pPr>
                  <w:r>
                    <w:rPr>
                      <w:noProof/>
                    </w:rPr>
                    <w:t>—</w:t>
                  </w:r>
                </w:p>
              </w:tc>
              <w:tc>
                <w:tcPr>
                  <w:tcW w:w="0" w:type="auto"/>
                </w:tcPr>
                <w:p>
                  <w:pPr>
                    <w:pStyle w:val="Paragraph"/>
                    <w:rPr>
                      <w:noProof/>
                    </w:rPr>
                  </w:pPr>
                  <w:r>
                    <w:rPr>
                      <w:noProof/>
                    </w:rPr>
                    <w:t>0,5 % de 1,3,5-triméthyl-benzène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3811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Sels d’acide dinonylnaphtalènesulfonique, sous forme de solution dans des huiles minérales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fr-BE"/>
              </w:rPr>
            </w:pPr>
            <w:r>
              <w:rPr>
                <w:noProof/>
                <w:lang w:val="fr-BE"/>
              </w:rPr>
              <w:t>Agent de dispersion et inhibiteur d’oxydation contenant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l’o-amino polyisobutylènephénol (CAS 78330-13-9),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30 % en poids mais pas plus de 50 % en poids d’huile minérale,</w:t>
                  </w:r>
                </w:p>
              </w:tc>
            </w:tr>
          </w:tbl>
          <w:p>
            <w:pPr>
              <w:pStyle w:val="Paragraph"/>
              <w:rPr>
                <w:noProof/>
                <w:lang w:val="fr-BE"/>
              </w:rPr>
            </w:pPr>
            <w:r>
              <w:rPr>
                <w:noProof/>
                <w:lang w:val="fr-BE"/>
              </w:rPr>
              <w:t>destiné à être utilisé dans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rPr>
            </w:pPr>
            <w:r>
              <w:rPr>
                <w:noProof/>
              </w:rPr>
              <w:t>Agent de dispersion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esters d’acide succinique polyisobutylénique et de pentaérythritol (CAS RN 103650-95-9)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35 % mais pas plus de 55 % en poids d’huiles minérales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teneur en chlore n’excède pas 0,05 % en poids,</w:t>
                  </w:r>
                </w:p>
              </w:tc>
            </w:tr>
          </w:tbl>
          <w:p>
            <w:pPr>
              <w:pStyle w:val="Paragraph"/>
              <w:rPr>
                <w:noProof/>
                <w:lang w:val="fr-BE"/>
              </w:rPr>
            </w:pPr>
            <w:r>
              <w:rPr>
                <w:noProof/>
                <w:lang w:val="fr-BE"/>
              </w:rPr>
              <w:t>destiné à être utilisé dans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3811 21 00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Additifs contenant: </w:t>
            </w:r>
          </w:p>
          <w:tbl>
            <w:tblPr>
              <w:tblStyle w:val="Listdash"/>
              <w:tblW w:w="0" w:type="auto"/>
              <w:tblLook w:val="0000" w:firstRow="0" w:lastRow="0" w:firstColumn="0" w:lastColumn="0" w:noHBand="0" w:noVBand="0"/>
            </w:tblPr>
            <w:tblGrid>
              <w:gridCol w:w="220"/>
              <w:gridCol w:w="413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alkylbenzènesulfonates  (C16-24) de magnésium boratés,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des huiles minérales,</w:t>
                  </w:r>
                </w:p>
              </w:tc>
            </w:tr>
          </w:tbl>
          <w:p>
            <w:pPr>
              <w:pStyle w:val="Paragraph"/>
              <w:rPr>
                <w:noProof/>
                <w:lang w:val="fr-BE"/>
              </w:rPr>
            </w:pPr>
            <w:r>
              <w:rPr>
                <w:noProof/>
                <w:lang w:val="fr-BE"/>
              </w:rPr>
              <w:t>ayant un indice de base  (TBN) de plusde 250, mais pas plus de 350, destinés à être 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14</w:t>
            </w:r>
          </w:p>
        </w:tc>
        <w:tc>
          <w:tcPr>
            <w:tcW w:w="0" w:type="auto"/>
            <w:tcBorders>
              <w:left w:val="single" w:sz="2" w:space="0" w:color="auto"/>
            </w:tcBorders>
          </w:tcPr>
          <w:p>
            <w:pPr>
              <w:pStyle w:val="Paragraph"/>
              <w:rPr>
                <w:noProof/>
              </w:rPr>
            </w:pPr>
            <w:r>
              <w:rPr>
                <w:noProof/>
              </w:rPr>
              <w:t>Agent de dispersion: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du succinimide de polyisobutylène dérivé des produits de la réaction de polyamines de polyéthylène avec de l'anhydride succinique polyisobutylénique (CAS RN 147880-09-9),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plus de 35 % mais pas plus de 55 % en poids d’huiles minérales,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teneur en chlore n’excède pas 0,05 %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indice de basicité totale inférieur à 15,</w:t>
                  </w:r>
                </w:p>
              </w:tc>
            </w:tr>
          </w:tbl>
          <w:p>
            <w:pPr>
              <w:pStyle w:val="Paragraph"/>
              <w:rPr>
                <w:noProof/>
                <w:lang w:val="fr-BE"/>
              </w:rPr>
            </w:pPr>
            <w:r>
              <w:rPr>
                <w:noProof/>
                <w:lang w:val="fr-BE"/>
              </w:rPr>
              <w:t>destiné à être utilisé dans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rPr>
            </w:pPr>
            <w:r>
              <w:rPr>
                <w:noProof/>
              </w:rPr>
              <w:t>Détergent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 sel de calcium d’alkylphénol beta-aminocarbonylé (produit de réaction base de Mannich d’alkylphénol)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40 % mais pas plus de 60 % en poids d’huiles minérales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indice de basicité totale supérieur à 120</w:t>
                  </w:r>
                </w:p>
              </w:tc>
            </w:tr>
          </w:tbl>
          <w:p>
            <w:pPr>
              <w:pStyle w:val="Paragraph"/>
              <w:rPr>
                <w:noProof/>
                <w:lang w:val="fr-BE"/>
              </w:rPr>
            </w:pPr>
            <w:r>
              <w:rPr>
                <w:noProof/>
                <w:lang w:val="fr-BE"/>
              </w:rPr>
              <w:t>destiné à être utilisé dans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Détergent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alkyltoluenesulfonates de calcium à longue chaîne,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30 % mais pas plus de 50 % en poids d’huiles minérales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indice de basicité totale supérieur à 310 et inférieur à 340</w:t>
                  </w:r>
                </w:p>
              </w:tc>
            </w:tr>
          </w:tbl>
          <w:p>
            <w:pPr>
              <w:pStyle w:val="Paragraph"/>
              <w:rPr>
                <w:noProof/>
                <w:lang w:val="fr-BE"/>
              </w:rPr>
            </w:pPr>
            <w:r>
              <w:rPr>
                <w:noProof/>
                <w:lang w:val="fr-BE"/>
              </w:rPr>
              <w:t>destiné à être utilisé dans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19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mélange à base de polyisobutylène succinimide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30 % mais pas plus de 50 % en poids d’huiles minérales,</w:t>
                  </w:r>
                </w:p>
              </w:tc>
            </w:tr>
          </w:tbl>
          <w:p>
            <w:pPr>
              <w:pStyle w:val="Paragraph"/>
              <w:rPr>
                <w:noProof/>
                <w:lang w:val="fr-BE"/>
              </w:rPr>
            </w:pPr>
            <w:r>
              <w:rPr>
                <w:noProof/>
                <w:lang w:val="fr-BE"/>
              </w:rPr>
              <w:t>ayant un indice de base total de plus de 40, destinés à être 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3811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Additifs pour huiles lubrifiantes, à base de composés organiques complexes de molybdène, sous forme de solution dans de l’huile minérale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3811 21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Additifs contenant: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copolymère de polyméthacrylate d’alkyle (en C8 à C18) avec du N-[3-(diméthylamino)propyl]méthacrylamide, d’une masse moléculaire moyenne en poids (Mw) de plus de 10 000 mais pas plus de 20 000,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15 % en poids mais pas plus de 30 % en poids d’huiles minérales </w:t>
                  </w:r>
                </w:p>
              </w:tc>
            </w:tr>
          </w:tbl>
          <w:p>
            <w:pPr>
              <w:pStyle w:val="Paragraph"/>
              <w:rPr>
                <w:noProof/>
                <w:lang w:val="fr-BE"/>
              </w:rPr>
            </w:pPr>
            <w:r>
              <w:rPr>
                <w:noProof/>
                <w:lang w:val="fr-BE"/>
              </w:rPr>
              <w:t>destinés à être utilisés dans la fabrication  d’huiles lubrifiantes</w:t>
            </w:r>
          </w:p>
          <w:p>
            <w:pPr>
              <w:pStyle w:val="Paragraph"/>
              <w:rPr>
                <w:noProof/>
                <w:lang w:val="fr-BE"/>
              </w:rPr>
            </w:pP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3811 21 00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20 % en poids ou plus d’un copolymère éthylène-propylène modifié chimiquement par des groupements de l’anhydride succinique réagissant avec  la 4-(4-nitrophénylazo)aniline et la 3-nitroaniline,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des huiles minérales,</w:t>
                  </w:r>
                </w:p>
              </w:tc>
            </w:tr>
          </w:tbl>
          <w:p>
            <w:pPr>
              <w:pStyle w:val="Paragraph"/>
              <w:rPr>
                <w:noProof/>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Additif pour huiles lubrifiantes, contenant des huiles minérales et constitué de sels de calcium des produits de la réaction de phénol substitué par du polyisobutylène avec de l'acide salicylique et du formaldhéhyde, 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3811 21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sels de calcium des produits de réaction d’heptylphénol avec du formaldéhyde (n° CAS 84605-23-2),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des huiles minérales,</w:t>
                  </w:r>
                </w:p>
              </w:tc>
            </w:tr>
          </w:tbl>
          <w:p>
            <w:pPr>
              <w:pStyle w:val="Paragraph"/>
              <w:rPr>
                <w:noProof/>
                <w:lang w:val="fr-BE"/>
              </w:rPr>
            </w:pPr>
            <w:r>
              <w:rPr>
                <w:noProof/>
                <w:lang w:val="fr-BE"/>
              </w:rPr>
              <w:t>présentant un indice de basicité total (TBN) de plus de 40 mais pas plus de 100, destinés à être utilisés dans la fabrication d'huiles lubrifiantes ou de détergents surbasés utilisés dans des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3811 21 00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copolymère styrène-anhydride maléique estérifié avec des alcools en C4-C20, modifié par l’aminopropylmorpholine,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50 % en poids mais pas plus de 75 % en poids d’huiles minérales,</w:t>
                  </w:r>
                </w:p>
              </w:tc>
            </w:tr>
          </w:tbl>
          <w:p>
            <w:pPr>
              <w:pStyle w:val="Paragraph"/>
              <w:rPr>
                <w:noProof/>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3811 21 00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lang w:val="fr-BE"/>
              </w:rPr>
            </w:pPr>
            <w:r>
              <w:rPr>
                <w:noProof/>
                <w:lang w:val="fr-BE"/>
              </w:rPr>
              <w:t>Additifs pour huiles lubrifiantes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alkylbenzènesulfonates de magnésium (en C20 à C24) (CAS 231297-75-9) surbasés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25 % mais pas plus de 50 % en poids d’huiles minérales,</w:t>
                  </w:r>
                </w:p>
              </w:tc>
            </w:tr>
          </w:tbl>
          <w:p>
            <w:pPr>
              <w:pStyle w:val="Paragraph"/>
              <w:rPr>
                <w:noProof/>
                <w:lang w:val="fr-BE"/>
              </w:rPr>
            </w:pPr>
            <w:r>
              <w:rPr>
                <w:noProof/>
                <w:lang w:val="fr-BE"/>
              </w:rPr>
              <w:t>ayant un indice de base total de plus de 350, mais pas plus de 450, destinés à être utilisés pour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Additif pour huiles lubrifiantes,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à base d'alkylbenzènesulfonates en C16-24 (CAS RN 70024-69-0),</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contenant des huiles minérales,</w:t>
                  </w:r>
                </w:p>
              </w:tc>
            </w:tr>
          </w:tbl>
          <w:p>
            <w:pPr>
              <w:pStyle w:val="Paragraph"/>
              <w:rPr>
                <w:noProof/>
                <w:lang w:val="fr-BE"/>
              </w:rPr>
            </w:pPr>
            <w:r>
              <w:rPr>
                <w:noProof/>
                <w:lang w:val="fr-BE"/>
              </w:rPr>
              <w:t>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Additifs contenant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sulfonates de pétrole, sels de calcium (CAS 68783-96-0) surbasés, avec une teneur en sulfonate de 15 % ou plus mais pas plus de 30 % en poids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40 %mais pas plus de 60 %  en poids d’huiles minérales,</w:t>
                  </w:r>
                </w:p>
              </w:tc>
            </w:tr>
          </w:tbl>
          <w:p>
            <w:pPr>
              <w:pStyle w:val="Paragraph"/>
              <w:rPr>
                <w:noProof/>
                <w:lang w:val="fr-BE"/>
              </w:rPr>
            </w:pPr>
            <w:r>
              <w:rPr>
                <w:noProof/>
                <w:lang w:val="fr-BE"/>
              </w:rPr>
              <w:t>ayant un indice de base total de plus de 280 mais pas plus de 420,  </w:t>
            </w:r>
          </w:p>
          <w:p>
            <w:pPr>
              <w:pStyle w:val="Paragraph"/>
              <w:rPr>
                <w:noProof/>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 polypropylenbenzènesulfonate de calcium avec un faible indice de base (CAS RN 75975-85-8)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40 % mais pas plus de 60 % en poids d'huiles minérales,</w:t>
                  </w:r>
                </w:p>
              </w:tc>
            </w:tr>
          </w:tbl>
          <w:p>
            <w:pPr>
              <w:pStyle w:val="Paragraph"/>
              <w:rPr>
                <w:noProof/>
                <w:lang w:val="fr-BE"/>
              </w:rPr>
            </w:pPr>
            <w:r>
              <w:rPr>
                <w:noProof/>
                <w:lang w:val="fr-BE"/>
              </w:rPr>
              <w:t>ayant un indice de base total de plus de 10 mais pas plus de 25, destinés à être utilisés dans la fabrication des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Additif pour huiles lubrifiantes, contenant des huiles minérales,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à base de benzènesulfonate substitué par du polypropylényl de calcium (CAS RN 75975-85-8) en concentration égale ou supérieure à 25 % en poids, sans excéder 35 %,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indice de base égal ou supérieur à 280, mais n'excédant pas 320,</w:t>
                  </w:r>
                </w:p>
              </w:tc>
            </w:tr>
          </w:tbl>
          <w:p>
            <w:pPr>
              <w:pStyle w:val="Paragraph"/>
              <w:rPr>
                <w:noProof/>
                <w:lang w:val="fr-BE"/>
              </w:rPr>
            </w:pPr>
            <w:r>
              <w:rPr>
                <w:noProof/>
                <w:lang w:val="fr-BE"/>
              </w:rPr>
              <w:t>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Additifs contenant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mélange surbasé de sulfonates de pétrole de calcium (CAS RN 61789-86-4) et d’alkylbenzène sulfonates de calcium de synthèse (CAS RN 68584-23-6 and CAS RN 70024-69-0) avec une teneur totale en sulfonate de 15 % ou plus mais pas plus de 25 % en poids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40 % mais pas plus de 60 % en poids d’huiles minérales,</w:t>
                  </w:r>
                </w:p>
              </w:tc>
            </w:tr>
          </w:tbl>
          <w:p>
            <w:pPr>
              <w:pStyle w:val="Paragraph"/>
              <w:rPr>
                <w:noProof/>
                <w:lang w:val="fr-BE"/>
              </w:rPr>
            </w:pPr>
            <w:r>
              <w:rPr>
                <w:noProof/>
                <w:lang w:val="fr-BE"/>
              </w:rPr>
              <w:t>ayant un indice de base total de 280 ou plus mais pas plus de 320, destinés à être 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mélange à base de polyisobutylène succinimide (CAS RN 160610-76-4)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35 % mais pas plus de 50 % en poids d’huiles minérales,</w:t>
                  </w:r>
                </w:p>
              </w:tc>
            </w:tr>
          </w:tbl>
          <w:p>
            <w:pPr>
              <w:pStyle w:val="Paragraph"/>
              <w:rPr>
                <w:noProof/>
                <w:lang w:val="fr-BE"/>
              </w:rPr>
            </w:pPr>
            <w:r>
              <w:rPr>
                <w:noProof/>
                <w:lang w:val="fr-BE"/>
              </w:rPr>
              <w:t>ayant une teneur en soufre de plus de 0,7 % mais pas moins de 1,3 % en poids, ayant un indice de base total de plus de 8, destinés à être utilisés dans la fabrication d’huiles lubrifiantes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Additif pour huiles lubrifiantes,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du succinimide de polyisobutylène dérivé des produits de la réaction de polyamines de polyéthylène avec de l'anhydride succinique polyisobutylénique (CAS RN 84605-20-9),</w:t>
                  </w:r>
                </w:p>
              </w:tc>
            </w:tr>
            <w:tr>
              <w:tc>
                <w:tcPr>
                  <w:tcW w:w="0" w:type="auto"/>
                </w:tcPr>
                <w:p>
                  <w:pPr>
                    <w:pStyle w:val="Paragraph"/>
                    <w:rPr>
                      <w:noProof/>
                    </w:rPr>
                  </w:pPr>
                  <w:r>
                    <w:rPr>
                      <w:noProof/>
                    </w:rPr>
                    <w:t>—</w:t>
                  </w:r>
                </w:p>
              </w:tc>
              <w:tc>
                <w:tcPr>
                  <w:tcW w:w="0" w:type="auto"/>
                </w:tcPr>
                <w:p>
                  <w:pPr>
                    <w:pStyle w:val="Paragraph"/>
                    <w:rPr>
                      <w:noProof/>
                    </w:rPr>
                  </w:pPr>
                  <w:r>
                    <w:rPr>
                      <w:noProof/>
                    </w:rPr>
                    <w:t>contenant des huiles minérales,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teneur en chlore est égale ou supérieure à 0,05 % en poids, sans excéder 0,25 %,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indice de base supérieur à 20,</w:t>
                  </w:r>
                </w:p>
              </w:tc>
            </w:tr>
          </w:tbl>
          <w:p>
            <w:pPr>
              <w:pStyle w:val="Paragraph"/>
              <w:rPr>
                <w:noProof/>
                <w:lang w:val="fr-BE"/>
              </w:rPr>
            </w:pPr>
            <w:r>
              <w:rPr>
                <w:noProof/>
                <w:lang w:val="fr-BE"/>
              </w:rPr>
              <w:t>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3811 21 00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10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composés succinimides boratés (CAS RN 134758-95-5), et</w:t>
                  </w:r>
                </w:p>
              </w:tc>
            </w:tr>
            <w:tr>
              <w:tc>
                <w:tcPr>
                  <w:tcW w:w="0" w:type="auto"/>
                </w:tcPr>
                <w:p>
                  <w:pPr>
                    <w:pStyle w:val="Paragraph"/>
                    <w:rPr>
                      <w:noProof/>
                    </w:rPr>
                  </w:pPr>
                  <w:r>
                    <w:rPr>
                      <w:noProof/>
                    </w:rPr>
                    <w:t>—</w:t>
                  </w:r>
                </w:p>
              </w:tc>
              <w:tc>
                <w:tcPr>
                  <w:tcW w:w="0" w:type="auto"/>
                </w:tcPr>
                <w:p>
                  <w:pPr>
                    <w:pStyle w:val="Paragraph"/>
                    <w:rPr>
                      <w:noProof/>
                    </w:rPr>
                  </w:pPr>
                  <w:r>
                    <w:rPr>
                      <w:noProof/>
                    </w:rPr>
                    <w:t>des huiles minérales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indice de basicité total (TBN) supérieur à 40,</w:t>
                  </w:r>
                </w:p>
              </w:tc>
            </w:tr>
          </w:tbl>
          <w:p>
            <w:pPr>
              <w:pStyle w:val="Paragraph"/>
              <w:rPr>
                <w:noProof/>
                <w:lang w:val="fr-BE"/>
              </w:rPr>
            </w:pPr>
            <w:r>
              <w:rPr>
                <w:noProof/>
                <w:lang w:val="fr-BE"/>
              </w:rPr>
              <w:t>destinés à être utilisés dans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209"/>
            </w:tblGrid>
            <w:tr>
              <w:tc>
                <w:tcPr>
                  <w:tcW w:w="0" w:type="auto"/>
                </w:tcPr>
                <w:p>
                  <w:pPr>
                    <w:pStyle w:val="Paragraph"/>
                    <w:rPr>
                      <w:noProof/>
                    </w:rPr>
                  </w:pPr>
                  <w:r>
                    <w:rPr>
                      <w:noProof/>
                    </w:rPr>
                    <w:t>—</w:t>
                  </w:r>
                </w:p>
              </w:tc>
              <w:tc>
                <w:tcPr>
                  <w:tcW w:w="0" w:type="auto"/>
                </w:tcPr>
                <w:p>
                  <w:pPr>
                    <w:pStyle w:val="Paragraph"/>
                    <w:rPr>
                      <w:noProof/>
                    </w:rPr>
                  </w:pPr>
                  <w:r>
                    <w:rPr>
                      <w:noProof/>
                    </w:rPr>
                    <w:t>des dialkylbenzènesulfonates de calcium (C10-C14),</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40 %, mais pas plus de 60 % en poids d'huiles minérales,</w:t>
                  </w:r>
                </w:p>
              </w:tc>
            </w:tr>
          </w:tbl>
          <w:p>
            <w:pPr>
              <w:pStyle w:val="Paragraph"/>
              <w:rPr>
                <w:noProof/>
                <w:lang w:val="fr-BE"/>
              </w:rPr>
            </w:pPr>
            <w:r>
              <w:rPr>
                <w:noProof/>
                <w:lang w:val="fr-BE"/>
              </w:rPr>
              <w:t>avec un indice de base total n'excédant pas 10, destinés à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rPr>
            </w:pPr>
            <w:r>
              <w:rPr>
                <w:noProof/>
              </w:rPr>
              <w:t>Additifs antimousse constitués: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copolymère d'acrylate de 2-éthylhexyle et d'acrylate d’éthyle,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plus de 50 % mais pas plus de 80 % en poids d'huiles minérales,</w:t>
                  </w:r>
                </w:p>
              </w:tc>
            </w:tr>
          </w:tbl>
          <w:p>
            <w:pPr>
              <w:pStyle w:val="Paragraph"/>
              <w:rPr>
                <w:noProof/>
                <w:lang w:val="fr-BE"/>
              </w:rPr>
            </w:pPr>
            <w:r>
              <w:rPr>
                <w:noProof/>
                <w:lang w:val="fr-BE"/>
              </w:rPr>
              <w:t>destinés à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19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 succinimide de polyisobutylène et d’amine aromatique,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40 % mais pas plus de 60 % en poids d’huiles minérales,</w:t>
                  </w:r>
                </w:p>
              </w:tc>
            </w:tr>
          </w:tbl>
          <w:p>
            <w:pPr>
              <w:pStyle w:val="Paragraph"/>
              <w:rPr>
                <w:noProof/>
                <w:lang w:val="fr-BE"/>
              </w:rPr>
            </w:pPr>
            <w:r>
              <w:rPr>
                <w:noProof/>
                <w:lang w:val="fr-BE"/>
              </w:rPr>
              <w:t>présentant une teneur en azote de plus de 0,6 % en poids mais pas plus de 0,9 % en poids, destinés à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rPr>
            </w:pPr>
            <w:r>
              <w:rPr>
                <w:noProof/>
              </w:rPr>
              <w:t>Additifs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du succinimide de polyisobutylène dérivé des produits de la réaction de polyamines de polyéthylène  avec de l'anhydride succinique polysiobutylénique (CAS RN 84605-20-9),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plus de 31,9 % en poids mais pas plus de 43,3 % en poids d'huiles minérales,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teneur en chlore n’excède pas 0,05 % en poids,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indice de basicité totale (TBN) supérieur à 20,</w:t>
                  </w:r>
                </w:p>
              </w:tc>
            </w:tr>
          </w:tbl>
          <w:p>
            <w:pPr>
              <w:pStyle w:val="Paragraph"/>
              <w:rPr>
                <w:noProof/>
                <w:lang w:val="fr-BE"/>
              </w:rPr>
            </w:pPr>
            <w:r>
              <w:rPr>
                <w:noProof/>
                <w:lang w:val="fr-BE"/>
              </w:rPr>
              <w:t>destinés à être utilisés dans la fabrication de mélanges d'additifs pour huiles lubrifiantes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Additifs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plus de 20 % mais pas plus de 45 % en poids d’huiles minérales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à base d’un mélange de sels de calcium de sulfures de dodécylphénol ramifié, carbonatés ou non,</w:t>
                  </w:r>
                </w:p>
              </w:tc>
            </w:tr>
          </w:tbl>
          <w:p>
            <w:pPr>
              <w:pStyle w:val="Paragraph"/>
              <w:rPr>
                <w:noProof/>
                <w:lang w:val="fr-BE"/>
              </w:rPr>
            </w:pPr>
            <w:r>
              <w:rPr>
                <w:noProof/>
                <w:lang w:val="fr-BE"/>
              </w:rPr>
              <w:t>du type utilisés dans la fabrication de mélanges d’additifs pour huiles lubrifiantes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produits de la réaction d'heptylphénol ramifié avec le formaldéhyde, de disulfure de carbone et d'hydrazine (CAS RN 93925-00-9)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15 % mais pas plus de 28 % en poids de solvant naphta aromatique léger,</w:t>
                  </w:r>
                </w:p>
              </w:tc>
            </w:tr>
          </w:tbl>
          <w:p>
            <w:pPr>
              <w:pStyle w:val="Paragraph"/>
              <w:rPr>
                <w:noProof/>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3811 29 00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fr-BE"/>
              </w:rPr>
            </w:pPr>
            <w:r>
              <w:rPr>
                <w:noProof/>
                <w:lang w:val="fr-BE"/>
              </w:rPr>
              <w:t>Additif constitué d'acide dihydroxybutanedioïque – diester (mélange d’alkyles C12-16 et d’isoalkyles C11-14 riches en C13), du type utilisé dans la fabrication d'huiles pour moteurs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Additif pour huiles lubrifiantes, consistant en produits de la réaction d'acide bis(2-méthylpentan-2-yl)dithiophosphorique avec de l'oxyde de propylène, de l'oxyde de phosphore et des amines à chaîne alkyle en C12-14, utilisé comme additif concentré dans la fabrication des huiles lubrifiantes.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Additifs contenant au moins des sels d’amines primaires et d’acides mono- et di-alkylphosphoriques, destinés à être 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Additif pour huiles lubrifiantes, consistant en produits de la réaction de carboxylate de butyl-cyclohex-3-ène, de soufre et de phosphite de triphényle (CAS RN 93925-37-2), 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Additifs constitués d’un mélange à base d’ imidazoline (CAS RN 68784-17-8), destinés à être 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Additif pour huiles lubrifiantes, consistant en produits de la réaction du 2-méthylprop-1-ène avec du monochlorure de soufre et du sulfure de sodium (CAS RN68511-50-2), présentant une teneur en chlore égale ou supérieure à 0,01 % en poids, mais n'excédant pas 0,5 %, utilisé comme additif concentré dans la fabrication des huiles lubrifiantes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Additifs constitués d’un mélange d'adipates de dialkyl (en C7à C9), dans lequel l'adipate le diisooctyle (CAS RN 1330-86-5) est présent à plus de 85 % en poids, destinés à être utilisés pour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 xml:space="preserve">Additif pour huiles lubrifiantes, consistant en un mélange de </w:t>
            </w:r>
            <w:r>
              <w:rPr>
                <w:i/>
                <w:iCs/>
                <w:noProof/>
                <w:lang w:val="fr-BE"/>
              </w:rPr>
              <w:t>N,N</w:t>
            </w:r>
            <w:r>
              <w:rPr>
                <w:noProof/>
                <w:lang w:val="fr-BE"/>
              </w:rPr>
              <w:t>-dialkyl-2-hydroxyacétamides à chaînes alkyle de longueur comprise entre 12 et 18 atomes de carbone (CAS RN 866259-61-2), utilisé comme additif concentré dans la fabrication d'huiles pour moteur, par mélange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Additifs constitués d’un mélange sulfuré d’huile végétale, d’</w:t>
            </w:r>
            <w:r>
              <w:rPr>
                <w:noProof/>
              </w:rPr>
              <w:t>α</w:t>
            </w:r>
            <w:r>
              <w:rPr>
                <w:noProof/>
                <w:lang w:val="fr-BE"/>
              </w:rPr>
              <w:t>-oléfines à chaine longue et d’acides gras de tall oil, d’une teneur en soufre de 8 % ou plus mais n'excédant pas 12 % en poids, destinés à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3811 29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Additifs constitué de phosphites de dialkyle (dans lesquels les groupes alkyles contiennent plus de 80 % en poids de groupes oléyles, palmityles et stéaryles), destinés à être 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3811 29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Inhibiteur d’oxydation contenant essentiellement un mélange d’isomères du 1-(tert-dodécylthio)propan-2-ol (CAS RN 67124-09-8), destiné à être utilisé dans la fabrication de mélanges d’additifs pour 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 </w:t>
            </w:r>
            <w:r>
              <w:rPr>
                <w:rStyle w:val="FootnoteReference"/>
                <w:noProof/>
              </w:rPr>
              <w:t>(2)</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3811 29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70 % en poids de 2,5-bis(</w:t>
                  </w:r>
                  <w:r>
                    <w:rPr>
                      <w:i/>
                      <w:iCs/>
                      <w:noProof/>
                      <w:lang w:val="fr-BE"/>
                    </w:rPr>
                    <w:t>tert-</w:t>
                  </w:r>
                  <w:r>
                    <w:rPr>
                      <w:noProof/>
                      <w:lang w:val="fr-BE"/>
                    </w:rPr>
                    <w:t>nonyldithio)-1,3,4-thiadiazole (CAS RN 89347-09-1),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15 % en poids de 5-(</w:t>
                  </w:r>
                  <w:r>
                    <w:rPr>
                      <w:i/>
                      <w:iCs/>
                      <w:noProof/>
                      <w:lang w:val="fr-BE"/>
                    </w:rPr>
                    <w:t>tert</w:t>
                  </w:r>
                  <w:r>
                    <w:rPr>
                      <w:noProof/>
                      <w:lang w:val="fr-BE"/>
                    </w:rPr>
                    <w:t>-nonyldithio)-1,3,4-Thiadiazole-2(3H)-thione (CAS RN 97503-12-3),</w:t>
                  </w:r>
                </w:p>
              </w:tc>
            </w:tr>
          </w:tbl>
          <w:p>
            <w:pPr>
              <w:pStyle w:val="Paragraph"/>
              <w:rPr>
                <w:noProof/>
                <w:lang w:val="fr-BE"/>
              </w:rPr>
            </w:pPr>
            <w:r>
              <w:rPr>
                <w:noProof/>
                <w:lang w:val="fr-BE"/>
              </w:rPr>
              <w:t>utilisés dans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3811 29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Additifs composés d’un mélange de 1,1-dioxyde de 3-(isoalkyloxy C9-11)tétrahydrothiophène, riche en C10 (CAS RN 398141-87-2), utilisés pour la fabrication d’huiles lubrifiantes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3811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Sel d’acide dinonylnaphtalènesulfonique, sous forme de solution dans de l’huile minérale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3811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Solution d'un sel d'ammonium quaternaire à base de succinimide de polyisobutényle, contenant 10 % ou plus, mais n'éxcédant pas 29,9 % en poids de 2-éthylhexanol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3811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Inhibiteur de corrosion contenant:</w:t>
            </w:r>
          </w:p>
          <w:tbl>
            <w:tblPr>
              <w:tblStyle w:val="Listdash"/>
              <w:tblW w:w="0" w:type="auto"/>
              <w:tblLook w:val="0000" w:firstRow="0" w:lastRow="0" w:firstColumn="0" w:lastColumn="0" w:noHBand="0" w:noVBand="0"/>
            </w:tblPr>
            <w:tblGrid>
              <w:gridCol w:w="220"/>
              <w:gridCol w:w="407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l’acide polyisobututényl succinique et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5 % mais pas plus de 20 % en poids d’huiles minérales</w:t>
                  </w:r>
                </w:p>
              </w:tc>
            </w:tr>
          </w:tbl>
          <w:p>
            <w:pPr>
              <w:pStyle w:val="Paragraph"/>
              <w:rPr>
                <w:noProof/>
                <w:lang w:val="fr-BE"/>
              </w:rPr>
            </w:pPr>
            <w:r>
              <w:rPr>
                <w:noProof/>
                <w:lang w:val="fr-BE"/>
              </w:rPr>
              <w:t>destiné à être utilisé dans la fabrication de mélanges d'additifs pour carburants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Accélérateur de vulcanisation sous forme de granulés de guanidine de diphényle (CAS RN 102-06-7)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3812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plastifiant, contenant: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bis(2-éthylhexyle)-1,4-benzène dicarboxylate (CAS RN 6422-86-2)</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10 % mais pas plus de 60 % en poids de téréphtalate de dibutyle (CAS RN 1962-75-0)</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3812 39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4,4’-isopropylidènediphénolphosphite d'alcool C12-15 contenant en poids 1 % ou plus mais pas plus de 3 % de bisphénol A (CAS RN 96152-48-6)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Mélange contenant principalement du sébaçate de bis(2,2,6,6-tétraméthyl-1-octyloxy-4-pipéridyle)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Photostabilisant UV contenant les substances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α-[3-[3-(2H-Benzotriazol-2-yl)-5-(1,1-diméthyléthyl)-4-hydroxyphényl]-1-oxopropyl]-ω-hydroxypoly(oxy-1,2-éthanediyl) (CAS RN 104810-48-2);</w:t>
                  </w:r>
                </w:p>
              </w:tc>
            </w:tr>
            <w:tr>
              <w:tc>
                <w:tcPr>
                  <w:tcW w:w="0" w:type="auto"/>
                </w:tcPr>
                <w:p>
                  <w:pPr>
                    <w:pStyle w:val="Paragraph"/>
                    <w:rPr>
                      <w:noProof/>
                    </w:rPr>
                  </w:pPr>
                  <w:r>
                    <w:rPr>
                      <w:noProof/>
                    </w:rPr>
                    <w:t>—</w:t>
                  </w:r>
                </w:p>
              </w:tc>
              <w:tc>
                <w:tcPr>
                  <w:tcW w:w="0" w:type="auto"/>
                </w:tcPr>
                <w:p>
                  <w:pPr>
                    <w:pStyle w:val="Paragraph"/>
                    <w:rPr>
                      <w:noProof/>
                    </w:rPr>
                  </w:pPr>
                  <w:r>
                    <w:rPr>
                      <w:noProof/>
                    </w:rPr>
                    <w:t>α-[3-[3-(2H-Benzotriazol-2-yl)-5-(1,1-diméthyléthyl)-4-hydroxyphényl]-1-oxopropyl]-ω-[3-[3-(2H-benzotriazol-2-yl)-5-(1,1-diméthyléthyl)-4-hydroxyphényl]-1-oxopropoxy]poly (oxy-1,2-éthanediyl) (CAS RN 104810-47-1);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polyéthylène glycol d'un poids moléculaire moyen (pm) de 300 (CAS RN 25322-68-3);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sébaçate de bis (1,2,2,6,6-pentaméthyl-4-pipéridyl) (CAS RN 41556-26-7),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sébaçate de méthyl-1,2,2,6,6-pentaméthyl-4-pipéridyl (CAS RN 82919-37-7)</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3812 39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Stabilisateurs composites contenant en poids 15 % ou plus mais pas plus de 40 % de perchlorate de sodium et pas plus de 70 % de 2-(2-méthoxyéthoxy)éthanol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Mélange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25 % ou plus mais pas plus de 50 % d'un mélange d'esters de tétraméthylpipéridinyle en C15-18 (CAS RN 86403-32-9)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20 % d'autres composés organiques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sur substrat de polypropylène (CAS RN 9003-07-0)</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3812 39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Mélange composé de: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80 % (± 10 %) en poids de 10-éthyl-4,4-diméthyl-7-oxo-8-oxa-3,5-dithia-4-stannatétradecanoate de 2-éthylhexyle, et de</w:t>
                  </w:r>
                </w:p>
              </w:tc>
            </w:tr>
            <w:tr>
              <w:tc>
                <w:tcPr>
                  <w:tcW w:w="0" w:type="auto"/>
                </w:tcPr>
                <w:p>
                  <w:pPr>
                    <w:pStyle w:val="Paragraph"/>
                    <w:rPr>
                      <w:noProof/>
                    </w:rPr>
                  </w:pPr>
                  <w:r>
                    <w:rPr>
                      <w:noProof/>
                    </w:rPr>
                    <w:t>—</w:t>
                  </w:r>
                </w:p>
              </w:tc>
              <w:tc>
                <w:tcPr>
                  <w:tcW w:w="0" w:type="auto"/>
                </w:tcPr>
                <w:p>
                  <w:pPr>
                    <w:pStyle w:val="Paragraph"/>
                    <w:rPr>
                      <w:noProof/>
                    </w:rPr>
                  </w:pPr>
                  <w:r>
                    <w:rPr>
                      <w:noProof/>
                    </w:rPr>
                    <w:t>20 % (± 10 %) en poids de 10-éthyl-4-[[2-[(2-éthylhexyl)oxy]-2-oxoéthyl]thio]-4-méthyl-7-oxo-8-oxa-3,5-dithia-4-stannatétradecanoate de 2-éthylhexyle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3812 39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Stabilisateur UV contenant les composés suivants: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2-(4,6-bis(2,4-diméthylphényl)-1,3,5-triazine-2-yl)-5-(octyloxy)-phénol (CAS RN 2725-22-6); et</w:t>
                  </w:r>
                </w:p>
              </w:tc>
            </w:tr>
            <w:tr>
              <w:tc>
                <w:tcPr>
                  <w:tcW w:w="0" w:type="auto"/>
                </w:tcPr>
                <w:p>
                  <w:pPr>
                    <w:pStyle w:val="Paragraph"/>
                    <w:rPr>
                      <w:noProof/>
                    </w:rPr>
                  </w:pPr>
                  <w:r>
                    <w:rPr>
                      <w:noProof/>
                    </w:rPr>
                    <w:t>—</w:t>
                  </w:r>
                </w:p>
              </w:tc>
              <w:tc>
                <w:tcPr>
                  <w:tcW w:w="0" w:type="auto"/>
                </w:tcPr>
                <w:p>
                  <w:pPr>
                    <w:pStyle w:val="Paragraph"/>
                    <w:rPr>
                      <w:noProof/>
                    </w:rPr>
                  </w:pPr>
                  <w:r>
                    <w:rPr>
                      <w:noProof/>
                    </w:rPr>
                    <w:t>N,N’-bis(1,2,2,6,6-pentaméthyl-4-pipéridinyl)-1,6-hexanediamine, polymère avec 2,4-dichloro-6-(4-morpholinyl)-1,3,5-triazine (CAS RN 193098-40-7) ou</w:t>
                  </w:r>
                </w:p>
              </w:tc>
            </w:tr>
            <w:tr>
              <w:tc>
                <w:tcPr>
                  <w:tcW w:w="0" w:type="auto"/>
                </w:tcPr>
                <w:p>
                  <w:pPr>
                    <w:pStyle w:val="Paragraph"/>
                    <w:rPr>
                      <w:noProof/>
                    </w:rPr>
                  </w:pPr>
                  <w:r>
                    <w:rPr>
                      <w:noProof/>
                    </w:rPr>
                    <w:t>—</w:t>
                  </w:r>
                </w:p>
              </w:tc>
              <w:tc>
                <w:tcPr>
                  <w:tcW w:w="0" w:type="auto"/>
                </w:tcPr>
                <w:p>
                  <w:pPr>
                    <w:pStyle w:val="Paragraph"/>
                    <w:rPr>
                      <w:noProof/>
                    </w:rPr>
                  </w:pPr>
                  <w:r>
                    <w:rPr>
                      <w:noProof/>
                    </w:rPr>
                    <w:t>N,N’-bis(,2,2,6,6-tétraméthyl-4-pipéridinyl)-1,6-hexanediamine, polymère avec 2,4-dichloro-6-(4-morpholinyl)-1,3,5-triazine (CAS RN 82451-48-7)</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3812 39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Stabilisateur pour matière plastique constitué de: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2-éthylhexyle 10-éthyl-4,4-diméthyl-7-oxo-8-oxa-3,5-dithia-4-stannatétradecanoate (CASRN57583-35-4),</w:t>
                  </w:r>
                </w:p>
              </w:tc>
            </w:tr>
            <w:tr>
              <w:tc>
                <w:tcPr>
                  <w:tcW w:w="0" w:type="auto"/>
                </w:tcPr>
                <w:p>
                  <w:pPr>
                    <w:pStyle w:val="Paragraph"/>
                    <w:rPr>
                      <w:noProof/>
                    </w:rPr>
                  </w:pPr>
                  <w:r>
                    <w:rPr>
                      <w:noProof/>
                    </w:rPr>
                    <w:t>—</w:t>
                  </w:r>
                </w:p>
              </w:tc>
              <w:tc>
                <w:tcPr>
                  <w:tcW w:w="0" w:type="auto"/>
                </w:tcPr>
                <w:p>
                  <w:pPr>
                    <w:pStyle w:val="Paragraph"/>
                    <w:rPr>
                      <w:noProof/>
                    </w:rPr>
                  </w:pPr>
                  <w:r>
                    <w:rPr>
                      <w:noProof/>
                    </w:rPr>
                    <w:t>2-éthylhexyle 10-éthyl-4-[[2-[(2-éthylhexyl)oxy]-2-oxoéthyl]thio]-4-méthyl-7-oxo-8-oxa-3,5-dithia-4-stannatétradecanoate (CASRN57583-34-3),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mercaptoacétate de 2-éthylhexyle (CAS RN 7659-86-1)</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3812 39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Photostabilisant contenant les composés suivants: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esters d’alkyles ramifiés et droits de 3- (2H-benzotriazolyl) -5- (1,1-diméthyléthyl) -4- acide hydroxybenzènepropanoïque (CAS RN 127519-17-9), et</w:t>
                  </w:r>
                </w:p>
              </w:tc>
            </w:tr>
            <w:tr>
              <w:tc>
                <w:tcPr>
                  <w:tcW w:w="0" w:type="auto"/>
                </w:tcPr>
                <w:p>
                  <w:pPr>
                    <w:pStyle w:val="Paragraph"/>
                    <w:rPr>
                      <w:noProof/>
                    </w:rPr>
                  </w:pPr>
                  <w:r>
                    <w:rPr>
                      <w:noProof/>
                    </w:rPr>
                    <w:t>—</w:t>
                  </w:r>
                </w:p>
              </w:tc>
              <w:tc>
                <w:tcPr>
                  <w:tcW w:w="0" w:type="auto"/>
                </w:tcPr>
                <w:p>
                  <w:pPr>
                    <w:pStyle w:val="Paragraph"/>
                    <w:rPr>
                      <w:noProof/>
                    </w:rPr>
                  </w:pPr>
                  <w:r>
                    <w:rPr>
                      <w:noProof/>
                    </w:rPr>
                    <w:t>1-méthoxy-2-propylacétate (CAS RN 108-65-6)</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3812 39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Stabilisateur UV, constitué: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 xml:space="preserve">d'une amine encombrée: polymère de </w:t>
                  </w:r>
                  <w:r>
                    <w:rPr>
                      <w:i/>
                      <w:iCs/>
                      <w:noProof/>
                    </w:rPr>
                    <w:t>N,N'</w:t>
                  </w:r>
                  <w:r>
                    <w:rPr>
                      <w:noProof/>
                    </w:rPr>
                    <w:t>-Bis(1,2,2,6,6-pentaméthyl-4-pipéridinyl)-1,6-hexanediamine et 2,4-dichloro-6-(4-morpholinyl)-1,3,5-triazine (CAS RN 193098-40-7)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un absorbeur UV à base d'o-hydroxyphenyl triazine,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un composé phénolique chimiquement modifié</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3814 00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Mélange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69 % ou plus mais pas plus de 71 % de 1-méthoxypropane-2-ol,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29 % ou plus mais pas plus de 31 % d’acétate de 2-méthoxy-1-méthyléthyle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3814 00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Mélanges azéotropiques contenant isomères d’éther méthylique de nonafluorobutyle et/ou d’éther éthylique de nonafluorobutyle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Catalyseur, sous forme de grains ou d’anneaux d’un diamètre de 3 mm ou plus mais n’excédant pas 10 mm, constitué d’argent fixé sur un support en oxyde d’aluminium, et contenant en poids 8 % ou plus mais pas plus de 40 % d’argent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Catalyseur constitué de trioxyde de chrome, de trioxyde de dichrome ou de composés organométalliques du chrome, fixés sur un support en dioxyde de silicium présentant un volume de pores de 2 cm</w:t>
            </w:r>
            <w:r>
              <w:rPr>
                <w:noProof/>
                <w:vertAlign w:val="superscript"/>
                <w:lang w:val="fr-BE"/>
              </w:rPr>
              <w:t>3</w:t>
            </w:r>
            <w:r>
              <w:rPr>
                <w:noProof/>
                <w:lang w:val="fr-BE"/>
              </w:rPr>
              <w:t>/g ou plus, tel que déterminé par la méthode d'absorption d’azote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3815 19 90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Catalyseur constitué de:</w:t>
            </w:r>
          </w:p>
          <w:tbl>
            <w:tblPr>
              <w:tblStyle w:val="Listdash"/>
              <w:tblW w:w="0" w:type="auto"/>
              <w:tblLook w:val="0000" w:firstRow="0" w:lastRow="0" w:firstColumn="0" w:lastColumn="0" w:noHBand="0" w:noVBand="0"/>
            </w:tblPr>
            <w:tblGrid>
              <w:gridCol w:w="220"/>
              <w:gridCol w:w="289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trioxyde de chrome (CAS RN 1333-82-0),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trioxyde de dichrome (CAS RN 1308-38-9),</w:t>
                  </w:r>
                </w:p>
              </w:tc>
            </w:tr>
          </w:tbl>
          <w:p>
            <w:pPr>
              <w:pStyle w:val="Paragraph"/>
              <w:rPr>
                <w:noProof/>
                <w:lang w:val="fr-BE"/>
              </w:rPr>
            </w:pPr>
            <w:r>
              <w:rPr>
                <w:noProof/>
                <w:lang w:val="fr-BE"/>
              </w:rPr>
              <w:t>sur un support d'oxyde d'aluminium (CAS RN 1344-28-1)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Catalyseur, sous forme de poudre, constitué d’un mélange d’oxydes de métaux fixés sur un support en dioxyde de silicium, contenant en poids 20 % ou plus mais pas plus de 40 % de molybdène, de bismuth et de fer évalués ensemble, destiné à être utilisé dans la fabrication d’acrylonitrile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Catalyseur,</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sous forme de sphères solides,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4 mm ou plus mais n'excédant pas 12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constitué d'un mélange d’oxyde de molybdène et d'autres oxydes de métaux, fixé sur un support en dioxyde de silicium et/ou oxyde d'aluminium,</w:t>
                  </w:r>
                </w:p>
              </w:tc>
            </w:tr>
          </w:tbl>
          <w:p>
            <w:pPr>
              <w:pStyle w:val="Paragraph"/>
              <w:rPr>
                <w:noProof/>
                <w:lang w:val="fr-BE"/>
              </w:rPr>
            </w:pPr>
            <w:r>
              <w:rPr>
                <w:noProof/>
                <w:lang w:val="fr-BE"/>
              </w:rPr>
              <w:t>destiné à être utilisé dans la fabrication d'acide acrylique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Catalyseur, sous forme de sphères d’un diamètre de 4,2 mm ou plus mais n’excédant pas 9 mm, constitué d’un mélange d’oxydes de métaux contenant principalement des oxydes de molybdène, nickel, cobalt  et fer, fixé sur un support d’oxyde d’aluminium, destiné à être utilisé dans la fabrication d’aldéhyde acrylique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Catalyseur contenant du tétrachlorure de titane fixé sur un support de dichlorure de magnésium, destiné à être utilisé dans la fabrication de polypropylène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Catalyseur constitué d'acide tungstosilicique (CAS RN 12027-43-9) fixé sur un support de dioxyde de silicium sous forme de poudre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Catalyseur constitué d’acide phosphorique lié chimiquement à un support de dioxyde de silicium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Catalyseur constitué de composés organo-métalliques d’aluminium et de zirconium, fixés sur un support en dioxyde de silicium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Catalyseur constitué de composés organo-métalliques d’aluminium et de chrome, fixés sur un support en dioxyde de silicium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Catalyseur constitué de composés organo-métalliques de magnésium et de titane, fixés sur un support en dioxyde de silicium, sous forme de suspension dans de l’huile minérale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Catalyseur constitué de composés organo-métalliques d’aluminium, de magnésium et de titane, fixés sur un support en dioxyde de silicium, sous forme de poudre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19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fr-BE"/>
              </w:rPr>
            </w:pPr>
            <w:r>
              <w:rPr>
                <w:noProof/>
                <w:lang w:val="fr-BE"/>
              </w:rPr>
              <w:t>Catalyseur contenant du tétrachlorure de titane fixé sur un support de dichlorure de magnésium, destiné à être utilisé dans la fabrication de polyoléfines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3815 19 90</w:t>
            </w:r>
          </w:p>
          <w:p>
            <w:pPr>
              <w:pStyle w:val="Paragraph"/>
              <w:rPr>
                <w:noProof/>
              </w:rPr>
            </w:pPr>
            <w:r>
              <w:rPr>
                <w:noProof/>
              </w:rPr>
              <w:t>ex 8506 90 00</w:t>
            </w:r>
          </w:p>
        </w:tc>
        <w:tc>
          <w:tcPr>
            <w:tcW w:w="0" w:type="auto"/>
            <w:tcBorders>
              <w:left w:val="single" w:sz="2" w:space="0" w:color="auto"/>
              <w:bottom w:val="nil"/>
            </w:tcBorders>
          </w:tcPr>
          <w:p>
            <w:pPr>
              <w:pStyle w:val="Paragraph"/>
              <w:jc w:val="center"/>
              <w:rPr>
                <w:noProof/>
              </w:rPr>
            </w:pPr>
            <w:r>
              <w:rPr>
                <w:noProof/>
              </w:rPr>
              <w:t>87</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Cathode, en rouleaux, pour piles boutons zinc-air (piles pour prothèse auditive)</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16</w:t>
            </w:r>
          </w:p>
        </w:tc>
        <w:tc>
          <w:tcPr>
            <w:tcW w:w="0" w:type="auto"/>
            <w:tcBorders>
              <w:left w:val="single" w:sz="2" w:space="0" w:color="auto"/>
            </w:tcBorders>
          </w:tcPr>
          <w:p>
            <w:pPr>
              <w:pStyle w:val="Paragraph"/>
              <w:rPr>
                <w:noProof/>
                <w:lang w:val="fr-BE"/>
              </w:rPr>
            </w:pPr>
            <w:r>
              <w:rPr>
                <w:noProof/>
                <w:lang w:val="fr-BE"/>
              </w:rPr>
              <w:t>Initiateur à base de diméthylaminopropyl urée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Catalyseur d'oxydation contenant un ingrédient actif composé de di[manganèse (1+)], 1,2-bis(octahydro-4,7-diméthyl-1</w:t>
            </w:r>
            <w:r>
              <w:rPr>
                <w:i/>
                <w:iCs/>
                <w:noProof/>
              </w:rPr>
              <w:t>H</w:t>
            </w:r>
            <w:r>
              <w:rPr>
                <w:noProof/>
              </w:rPr>
              <w:t>-1,4,7-triazonine-1-yl-</w:t>
            </w:r>
            <w:r>
              <w:rPr>
                <w:i/>
                <w:iCs/>
                <w:noProof/>
              </w:rPr>
              <w:t>k</w:t>
            </w:r>
            <w:r>
              <w:rPr>
                <w:noProof/>
              </w:rPr>
              <w:t>N</w:t>
            </w:r>
            <w:r>
              <w:rPr>
                <w:noProof/>
                <w:vertAlign w:val="superscript"/>
              </w:rPr>
              <w:t>1</w:t>
            </w:r>
            <w:r>
              <w:rPr>
                <w:noProof/>
              </w:rPr>
              <w:t xml:space="preserve">, </w:t>
            </w:r>
            <w:r>
              <w:rPr>
                <w:i/>
                <w:iCs/>
                <w:noProof/>
              </w:rPr>
              <w:t>k</w:t>
            </w:r>
            <w:r>
              <w:rPr>
                <w:noProof/>
              </w:rPr>
              <w:t>N</w:t>
            </w:r>
            <w:r>
              <w:rPr>
                <w:noProof/>
                <w:vertAlign w:val="superscript"/>
              </w:rPr>
              <w:t>4</w:t>
            </w:r>
            <w:r>
              <w:rPr>
                <w:noProof/>
              </w:rPr>
              <w:t xml:space="preserve">, </w:t>
            </w:r>
            <w:r>
              <w:rPr>
                <w:i/>
                <w:iCs/>
                <w:noProof/>
              </w:rPr>
              <w:t>k</w:t>
            </w:r>
            <w:r>
              <w:rPr>
                <w:noProof/>
              </w:rPr>
              <w:t>N</w:t>
            </w:r>
            <w:r>
              <w:rPr>
                <w:noProof/>
                <w:vertAlign w:val="superscript"/>
              </w:rPr>
              <w:t>7</w:t>
            </w:r>
            <w:r>
              <w:rPr>
                <w:noProof/>
              </w:rPr>
              <w:t>)éthane-di-</w:t>
            </w:r>
            <w:r>
              <w:rPr>
                <w:i/>
                <w:iCs/>
                <w:noProof/>
              </w:rPr>
              <w:t>ì</w:t>
            </w:r>
            <w:r>
              <w:rPr>
                <w:noProof/>
              </w:rPr>
              <w:t>-oxo-</w:t>
            </w:r>
            <w:r>
              <w:rPr>
                <w:i/>
                <w:iCs/>
                <w:noProof/>
              </w:rPr>
              <w:t>ì</w:t>
            </w:r>
            <w:r>
              <w:rPr>
                <w:noProof/>
              </w:rPr>
              <w:t>-(éthanoato-</w:t>
            </w:r>
            <w:r>
              <w:rPr>
                <w:i/>
                <w:iCs/>
                <w:noProof/>
              </w:rPr>
              <w:t>k</w:t>
            </w:r>
            <w:r>
              <w:rPr>
                <w:noProof/>
              </w:rPr>
              <w:t xml:space="preserve">O, </w:t>
            </w:r>
            <w:r>
              <w:rPr>
                <w:i/>
                <w:iCs/>
                <w:noProof/>
              </w:rPr>
              <w:t>k</w:t>
            </w:r>
            <w:r>
              <w:rPr>
                <w:noProof/>
              </w:rPr>
              <w:t>O’)-, di[chlorure(1-)] (CAS RN 1217890-37-3), utilisé pour accélérer l'oxydation chimique ou le blanchiment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lang w:val="fr-BE"/>
              </w:rPr>
            </w:pPr>
            <w:r>
              <w:rPr>
                <w:noProof/>
                <w:lang w:val="fr-BE"/>
              </w:rPr>
              <w:t>Catalyseur en poudre constitué en poids de 95 % (± 1 %) de dioxyde de titane et de 5 % (± 1 %) de dioxyde de silicium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3815 90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Catalyseur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30 % ou plus mais pas plus de 33 % de bis(4-(diphénylsulphonio)phényl)sulphide bis(hexafluorophosphate) (CAS RN 74227-35-3),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24 % ou plus mais pas plus de 27 % de diphényl(4-phénylthio)phénylsuphonium hexafluorophosphate (CAS RN 68156-13-8)</w:t>
                  </w:r>
                </w:p>
              </w:tc>
            </w:tr>
          </w:tbl>
          <w:p>
            <w:pPr>
              <w:pStyle w:val="Paragraph"/>
              <w:rPr>
                <w:noProof/>
                <w:lang w:val="fr-BE"/>
              </w:rPr>
            </w:pPr>
            <w:r>
              <w:rPr>
                <w:noProof/>
                <w:lang w:val="fr-BE"/>
              </w:rPr>
              <w:t>dans du carbonate de propylène (CAS RN 108-32-7)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Catalyseur, constitué d’une suspension dans de l’huile minérale de: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complexes de tétrahydrofuranne de chlorure de magnésium et de chlorure de titane(III); et de</w:t>
                  </w:r>
                </w:p>
              </w:tc>
            </w:tr>
            <w:tr>
              <w:tc>
                <w:tcPr>
                  <w:tcW w:w="0" w:type="auto"/>
                </w:tcPr>
                <w:p>
                  <w:pPr>
                    <w:pStyle w:val="Paragraph"/>
                    <w:rPr>
                      <w:noProof/>
                    </w:rPr>
                  </w:pPr>
                  <w:r>
                    <w:rPr>
                      <w:noProof/>
                    </w:rPr>
                    <w:t>—</w:t>
                  </w:r>
                </w:p>
              </w:tc>
              <w:tc>
                <w:tcPr>
                  <w:tcW w:w="0" w:type="auto"/>
                </w:tcPr>
                <w:p>
                  <w:pPr>
                    <w:pStyle w:val="Paragraph"/>
                    <w:rPr>
                      <w:noProof/>
                    </w:rPr>
                  </w:pPr>
                  <w:r>
                    <w:rPr>
                      <w:noProof/>
                    </w:rPr>
                    <w:t>dioxyde de silicium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6,6 %  (± 0,6 %) en poids de magnésium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2,3 %  (± 0,2 %) en poids de titane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3815 90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Catalyseur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25 % ou plus mais n’excédant pas 27,5 % de bis[4-(diphénylsuphonio)phényl]sulphide bis(hexafluoroantimonate) (CAS RN 89452-37-9) et</w:t>
                  </w:r>
                </w:p>
              </w:tc>
            </w:tr>
            <w:tr>
              <w:tc>
                <w:tcPr>
                  <w:tcW w:w="0" w:type="auto"/>
                </w:tcPr>
                <w:p>
                  <w:pPr>
                    <w:pStyle w:val="Paragraph"/>
                    <w:rPr>
                      <w:noProof/>
                    </w:rPr>
                  </w:pPr>
                  <w:r>
                    <w:rPr>
                      <w:noProof/>
                    </w:rPr>
                    <w:t>—</w:t>
                  </w:r>
                </w:p>
              </w:tc>
              <w:tc>
                <w:tcPr>
                  <w:tcW w:w="0" w:type="auto"/>
                </w:tcPr>
                <w:p>
                  <w:pPr>
                    <w:pStyle w:val="Paragraph"/>
                    <w:rPr>
                      <w:noProof/>
                    </w:rPr>
                  </w:pPr>
                  <w:r>
                    <w:rPr>
                      <w:noProof/>
                    </w:rPr>
                    <w:t>20 % ou plus mais n’excédant pas 22,5 % de diphényl(4-phénylthio)phénylsufonium hexafluoroantimonate (CAS RN 71449-78-0)</w:t>
                  </w:r>
                </w:p>
              </w:tc>
            </w:tr>
          </w:tbl>
          <w:p>
            <w:pPr>
              <w:pStyle w:val="Paragraph"/>
              <w:rPr>
                <w:noProof/>
                <w:lang w:val="fr-BE"/>
              </w:rPr>
            </w:pPr>
            <w:r>
              <w:rPr>
                <w:noProof/>
                <w:lang w:val="fr-BE"/>
              </w:rPr>
              <w:t>dans du carbonate de propylène (CAS RN 108-32-7)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Catalyseur:</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de l'oxyde de molybdène et d'autres oxydes de métaux, inséré au sein d’une charge de dioxyde de silicium,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sous forme de cylindres creux d’une longueur de 4 mm ou plus mais n’excédant pas 12 mm,</w:t>
                  </w:r>
                </w:p>
              </w:tc>
            </w:tr>
          </w:tbl>
          <w:p>
            <w:pPr>
              <w:pStyle w:val="Paragraph"/>
              <w:rPr>
                <w:noProof/>
                <w:lang w:val="fr-BE"/>
              </w:rPr>
            </w:pPr>
            <w:r>
              <w:rPr>
                <w:noProof/>
                <w:lang w:val="fr-BE"/>
              </w:rPr>
              <w:t>destiné à la fabrication d’acide acrylique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90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Catalyseur contenant du trichlorure de titane, sous forme de suspension dans l’hexane ou l’heptane contenant en poids, sur produit exempt d’hexane ou d’heptane, 9 % ou plus mais pas plus de 30 % de titane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Catalyseur, constitué d’un mélange de formiate de (2-hydroxypropyl)triméthylammonium et de dipropylène-glycols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Catalyseur constitué principalement d’acide dinonylnaphtalènedisulfonique sous forme de solution dans de l’isobutanol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3815 90 90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fr-BE"/>
              </w:rPr>
            </w:pPr>
            <w:r>
              <w:rPr>
                <w:noProof/>
                <w:lang w:val="fr-BE"/>
              </w:rPr>
              <w:t>Catalyseur, contenant en poids 69 % ou plus mais pas plus de 79 % de 2-éthylhexanoate de (2-hydroxy-1-méthyléthyl)triméthylammonium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Catalyseur à base d’aluminosilicate (zéolite), destiné à l’alkylation d’hydrocarbures aromatiques ou à la transalkylation d’hydrocarbures alkylaromatiques ou à l’oligomérisation d’oléfines</w:t>
            </w:r>
          </w:p>
          <w:p>
            <w:pPr>
              <w:pStyle w:val="Paragraph"/>
              <w:rPr>
                <w:noProof/>
              </w:rPr>
            </w:pPr>
            <w:r>
              <w:rPr>
                <w:noProof/>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3815 90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fr-BE"/>
              </w:rPr>
            </w:pPr>
            <w:r>
              <w:rPr>
                <w:noProof/>
                <w:lang w:val="fr-BE"/>
              </w:rPr>
              <w:t>Catalyseur, sous forme de bâtonnets ronds, constitué d’un silicate d’aluminium (zéolite), contenant en poids 2 % ou plus mais pas plus de 3 % d’oxydes des métaux des terres rares et moins de 1 % d’oxyde de disodium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3815 90 90</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fr-BE"/>
              </w:rPr>
            </w:pPr>
            <w:r>
              <w:rPr>
                <w:noProof/>
                <w:lang w:val="fr-BE"/>
              </w:rPr>
              <w:t>Catalyseur, constitué de tétrachlorure de titane et de chlorure de magnésium, contenant – pour un mélange sans huile et sans hexane:</w:t>
            </w:r>
          </w:p>
          <w:tbl>
            <w:tblPr>
              <w:tblStyle w:val="Listdash"/>
              <w:tblW w:w="0" w:type="auto"/>
              <w:tblLook w:val="0000" w:firstRow="0" w:lastRow="0" w:firstColumn="0" w:lastColumn="0" w:noHBand="0" w:noVBand="0"/>
            </w:tblPr>
            <w:tblGrid>
              <w:gridCol w:w="220"/>
              <w:gridCol w:w="360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4 % ou plus mais pas plus de 10 % en poids de titane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plus mais pas plus de 20 % de magnésium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3815 90 90</w:t>
            </w:r>
          </w:p>
        </w:tc>
        <w:tc>
          <w:tcPr>
            <w:tcW w:w="0" w:type="auto"/>
            <w:tcBorders>
              <w:left w:val="single" w:sz="2" w:space="0" w:color="auto"/>
            </w:tcBorders>
          </w:tcPr>
          <w:p>
            <w:pPr>
              <w:pStyle w:val="Paragraph"/>
              <w:jc w:val="center"/>
              <w:rPr>
                <w:noProof/>
              </w:rPr>
            </w:pPr>
            <w:r>
              <w:rPr>
                <w:noProof/>
              </w:rPr>
              <w:t>89</w:t>
            </w:r>
          </w:p>
        </w:tc>
        <w:tc>
          <w:tcPr>
            <w:tcW w:w="0" w:type="auto"/>
            <w:tcBorders>
              <w:left w:val="single" w:sz="2" w:space="0" w:color="auto"/>
            </w:tcBorders>
          </w:tcPr>
          <w:p>
            <w:pPr>
              <w:pStyle w:val="Paragraph"/>
              <w:rPr>
                <w:noProof/>
              </w:rPr>
            </w:pPr>
            <w:r>
              <w:rPr>
                <w:noProof/>
              </w:rPr>
              <w:t>Suspension de bactérie Rhodococcus rhodocrous J1, contenant des enzymes, dans un gel de polyacrylamide ou dans de l’eau, utilisée comme catalyseur pour l’hydratation d’acrylonitrile en acrylamide</w:t>
            </w:r>
          </w:p>
          <w:p>
            <w:pPr>
              <w:pStyle w:val="Paragraph"/>
              <w:rPr>
                <w:noProof/>
              </w:rPr>
            </w:pPr>
            <w:r>
              <w:rPr>
                <w:noProof/>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3817 00 50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Mélange d’alkylbenzènes (C14-26) contenant en poids:</w:t>
            </w:r>
          </w:p>
          <w:tbl>
            <w:tblPr>
              <w:tblStyle w:val="Listdash"/>
              <w:tblW w:w="0" w:type="auto"/>
              <w:tblLook w:val="0000" w:firstRow="0" w:lastRow="0" w:firstColumn="0" w:lastColumn="0" w:noHBand="0" w:noVBand="0"/>
            </w:tblPr>
            <w:tblGrid>
              <w:gridCol w:w="220"/>
              <w:gridCol w:w="366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35 % ou plus mais pas plus de 60 % d’ eicosylbenzène,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25 % ou plus mais pas plus de 50 % de docosylbenzène,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5 % ou plus mais pas plus de 25 % de tétracosylbenzène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3817 00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Mélange d’alkylnaphtalènes, contenant en poids:</w:t>
            </w:r>
          </w:p>
          <w:tbl>
            <w:tblPr>
              <w:tblStyle w:val="Listdash"/>
              <w:tblW w:w="0" w:type="auto"/>
              <w:tblLook w:val="0000" w:firstRow="0" w:lastRow="0" w:firstColumn="0" w:lastColumn="0" w:noHBand="0" w:noVBand="0"/>
            </w:tblPr>
            <w:tblGrid>
              <w:gridCol w:w="220"/>
              <w:gridCol w:w="398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88 % ou plus mais pas plus de 98 % d’hexadécylnaphtalène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2 % ou plus mais pas plus de 12 % de dihexadécylnaphtalène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3817 00 80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Mélange d’alkylbenzènes ramifiés contenant principalement des dodécylbenzènes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3817 00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Naphtalène, modifié par des chaînes aliphatiques d’une longueur située entre 12 et 56 atomes de carbone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3819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Fluide hydraulique résistant au feu à base d’esterphosphorique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3823 19 30</w:t>
            </w:r>
          </w:p>
          <w:p>
            <w:pPr>
              <w:pStyle w:val="Paragraph"/>
              <w:rPr>
                <w:noProof/>
              </w:rPr>
            </w:pPr>
            <w:r>
              <w:rPr>
                <w:noProof/>
              </w:rPr>
              <w:t>ex 3823 19 30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Distillat d'acides gras de palme, même hydrogéné, d'une teneur en acides gras libres de 80 % ou plus destiné à la fabrication: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d'acides gras monocarboxyliques industriels de la position 3823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d'acide stéarique de la position 3823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d'acide stéarique de la position 2915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d'acide palmitique de la position 2915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préparations pour l'alimentation des animaux de la position 2309</w:t>
                  </w:r>
                </w:p>
              </w:tc>
            </w:tr>
          </w:tbl>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3823 19 90</w:t>
            </w:r>
          </w:p>
          <w:p>
            <w:pPr>
              <w:pStyle w:val="Paragraph"/>
              <w:rPr>
                <w:noProof/>
              </w:rPr>
            </w:pPr>
            <w:r>
              <w:rPr>
                <w:noProof/>
              </w:rPr>
              <w:t>ex 3823 19 90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Huiles acides de raffinage de palme destinées à la fabrication: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d'acides gras monocarboxyliques industriels de la position 3823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d'acide stéarique de la position 3823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d'acide stéarique de la position 2915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d'acide palmitique de la position 2915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préparations pour l'alimentation des animaux de la position 2309</w:t>
                  </w:r>
                </w:p>
              </w:tc>
            </w:tr>
          </w:tbl>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ex 3824 99 15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Silicate d’aluminium acide (zéolite artificielle du type Y) sous forme de sodium, contenant en poids 11 % ou moins de sodium, évalué en oxyde de sodium, sous forme de bâtonnets ronds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Complexes phosphatobutyliques de titane(IV), d'éthanol et de propane-2-ol (CAS RN 109037-78-7), dissous dans l'éthanol et le propan-2-ol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25 % mais pas plus de 50 % de carbonate de diéthyle (CAS RN 105-58-8)</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25 % mais pas plus de 50 % de carbonate d'éthylène (CAS RN 96-49-1)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10 % mais pas plus de 20 % d'hexafluorophosphate de lithium (CAS RN 21324-40-3)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5 % mais pas plus de 10 % de carbonate d'éthyle et de méthyle (CAS RN 623-53-0)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1 % mais pas plus de 2 % de carbonate de vinylène (CAS RN 872-36-6)</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1 % mais pas plus de 2 % de 4-fluoro-1,3-dioxolane-2-one (CAS RN 114435-02-8)</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1 % de 1,5,2,4-dioxadithiane 2,2,4,4-tétraoxyde (CAS RN 99591-74-9)</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26</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60 % ou plus mais pas plus de 75 % de solvant naphtha aromatique lourd (pétrole) (CAS RN 64742-94-5)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15 % ou plus mais pas plus de 25 % de 4-(4-nitrophénylazo)-2,6-di-sec-butyl-phénol (CAS RN 111850-24-9)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plus mais pas plus de 15 % de 2-sec-butylphénol (CAS RN 89-72-5)</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BE"/>
              </w:rPr>
            </w:pPr>
            <w:r>
              <w:rPr>
                <w:noProof/>
                <w:lang w:val="fr-BE"/>
              </w:rPr>
              <w:t>4-méthoxy-3-(3-morpholin-4-yl-propoxy)-benzonitrile (CAS RN 675126-28-0) dans un solvant organique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28</w:t>
            </w:r>
          </w:p>
        </w:tc>
        <w:tc>
          <w:tcPr>
            <w:tcW w:w="0" w:type="auto"/>
            <w:tcBorders>
              <w:left w:val="single" w:sz="2" w:space="0" w:color="auto"/>
            </w:tcBorders>
          </w:tcPr>
          <w:p>
            <w:pPr>
              <w:pStyle w:val="Paragraph"/>
              <w:rPr>
                <w:noProof/>
              </w:rPr>
            </w:pPr>
            <w:r>
              <w:rPr>
                <w:noProof/>
              </w:rPr>
              <w:t>Solution aqueuse,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plus mais pas plus de 42 % de 2-(3-Chlor-5-(trifluorméthyl)pyridin-2-yl)éthanamine (CAS RN 658066-44-5)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plus mais pas plus de 25 % d'acide sulfurique (CAS RN 7664-93-9)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0,5 % ou plus mais pas plus de 2,9 % de méthanol (CAS RN 67-56-1)</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29</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85 % ou plus, mais pas plus de 99 %  d'éther de polyéthylène glycol d'acrylate de butyl 2-cyano 3-(4-hydroxy-3-méthoxyphényl)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15 %, de trioléate de polyoxyéthylène (20) sorbitane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Solution aqueuse de formiate de césium et de formiate de potassium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84 %, de formiate de césium (CAS RN 3495-36-1),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76 %, de formiate de potassium (CAS RN 590-24-1),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même avec une teneur en additifs n’excédant pas  9 %</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32</w:t>
            </w:r>
          </w:p>
        </w:tc>
        <w:tc>
          <w:tcPr>
            <w:tcW w:w="0" w:type="auto"/>
            <w:tcBorders>
              <w:left w:val="single" w:sz="2" w:space="0" w:color="auto"/>
            </w:tcBorders>
          </w:tcPr>
          <w:p>
            <w:pPr>
              <w:pStyle w:val="Paragraph"/>
              <w:rPr>
                <w:noProof/>
                <w:lang w:val="fr-BE"/>
              </w:rPr>
            </w:pPr>
            <w:r>
              <w:rPr>
                <w:noProof/>
                <w:lang w:val="fr-BE"/>
              </w:rPr>
              <w:t>Mélange d’isomères de divinylbenzène et d’isomères d’éthylvinylbenzène, contenant, en poids, au minimum 56 % et au maximum 85 % de divinylbenzène (CAS RN 1321-74-0)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3824 99 93</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33</w:t>
            </w:r>
          </w:p>
          <w:p>
            <w:pPr>
              <w:pStyle w:val="Paragraph"/>
              <w:jc w:val="center"/>
              <w:rPr>
                <w:noProof/>
              </w:rPr>
            </w:pPr>
            <w:r>
              <w:rPr>
                <w:noProof/>
              </w:rPr>
              <w:t>40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Préparation anti-corrosion constituée de sels d’acide dinonylnaphtalènesulfonique présentés:</w:t>
            </w:r>
          </w:p>
          <w:tbl>
            <w:tblPr>
              <w:tblStyle w:val="Listdash"/>
              <w:tblW w:w="0" w:type="auto"/>
              <w:tblLook w:val="0000" w:firstRow="0" w:lastRow="0" w:firstColumn="0" w:lastColumn="0" w:noHBand="0" w:noVBand="0"/>
            </w:tblPr>
            <w:tblGrid>
              <w:gridCol w:w="220"/>
              <w:gridCol w:w="428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sur un support de cire minérale, même modifiée chimiquement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sous forme de solution dans un solvant organique</w:t>
                  </w:r>
                </w:p>
              </w:tc>
            </w:tr>
          </w:tbl>
          <w:p>
            <w:pPr>
              <w:pStyle w:val="Paragraph"/>
              <w:rPr>
                <w:noProof/>
                <w:lang w:val="fr-BE"/>
              </w:rPr>
            </w:pP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 xml:space="preserve">Préparations contenant pas moins 92 %, mais pas plus de 96,5 %, en poids de 1,3:2,4 </w:t>
            </w:r>
            <w:r>
              <w:rPr>
                <w:i/>
                <w:iCs/>
                <w:noProof/>
                <w:lang w:val="fr-BE"/>
              </w:rPr>
              <w:t>bis-O-</w:t>
            </w:r>
            <w:r>
              <w:rPr>
                <w:noProof/>
                <w:lang w:val="fr-BE"/>
              </w:rPr>
              <w:t>(4-méthylbenzylidène)-</w:t>
            </w:r>
            <w:r>
              <w:rPr>
                <w:i/>
                <w:iCs/>
                <w:noProof/>
                <w:lang w:val="fr-BE"/>
              </w:rPr>
              <w:t>D</w:t>
            </w:r>
            <w:r>
              <w:rPr>
                <w:noProof/>
                <w:lang w:val="fr-BE"/>
              </w:rPr>
              <w:t>-glucitol et contenant également des dérivés de l’acide carboxylique ainsi qu’un alkylsulfate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36</w:t>
            </w:r>
          </w:p>
        </w:tc>
        <w:tc>
          <w:tcPr>
            <w:tcW w:w="0" w:type="auto"/>
            <w:tcBorders>
              <w:left w:val="single" w:sz="2" w:space="0" w:color="auto"/>
            </w:tcBorders>
          </w:tcPr>
          <w:p>
            <w:pPr>
              <w:pStyle w:val="Paragraph"/>
              <w:rPr>
                <w:noProof/>
                <w:lang w:val="fr-BE"/>
              </w:rPr>
            </w:pPr>
            <w:r>
              <w:rPr>
                <w:noProof/>
                <w:lang w:val="fr-BE"/>
              </w:rPr>
              <w:t>Phosphonate-phénate de calcium, dissous dans de l’huile minérale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fr-BE"/>
              </w:rPr>
            </w:pPr>
            <w:r>
              <w:rPr>
                <w:noProof/>
                <w:lang w:val="fr-BE"/>
              </w:rPr>
              <w:t>Mélange d’acétates de 3-butylène-1,2-diol avec une teneur en poids de 65 % ou plus mais pas plus de 90 %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39</w:t>
            </w:r>
          </w:p>
        </w:tc>
        <w:tc>
          <w:tcPr>
            <w:tcW w:w="0" w:type="auto"/>
            <w:tcBorders>
              <w:left w:val="single" w:sz="2" w:space="0" w:color="auto"/>
            </w:tcBorders>
          </w:tcPr>
          <w:p>
            <w:pPr>
              <w:pStyle w:val="Paragraph"/>
              <w:rPr>
                <w:noProof/>
                <w:lang w:val="fr-BE"/>
              </w:rPr>
            </w:pPr>
            <w:r>
              <w:rPr>
                <w:noProof/>
                <w:lang w:val="fr-BE"/>
              </w:rPr>
              <w:t>Préparations contenant pas moins de 47 % en poids de 1,3:2,4-</w:t>
            </w:r>
            <w:r>
              <w:rPr>
                <w:i/>
                <w:iCs/>
                <w:noProof/>
                <w:lang w:val="fr-BE"/>
              </w:rPr>
              <w:t>bis-O</w:t>
            </w:r>
            <w:r>
              <w:rPr>
                <w:noProof/>
                <w:lang w:val="fr-BE"/>
              </w:rPr>
              <w:t>-benzylidène-</w:t>
            </w:r>
            <w:r>
              <w:rPr>
                <w:i/>
                <w:iCs/>
                <w:noProof/>
                <w:lang w:val="fr-BE"/>
              </w:rPr>
              <w:t>D</w:t>
            </w:r>
            <w:r>
              <w:rPr>
                <w:noProof/>
                <w:lang w:val="fr-BE"/>
              </w:rPr>
              <w:t>-glucitol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Solution de 2-chloro- 5-(chlorométhyl)pyridine (CAS RN 70258-18-3) dans un diluant organique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lang w:val="fr-BE"/>
              </w:rPr>
            </w:pPr>
            <w:r>
              <w:rPr>
                <w:noProof/>
                <w:lang w:val="fr-BE"/>
              </w:rPr>
              <w:t>Préparation d'acide tétrahydro-</w:t>
            </w:r>
            <w:r>
              <w:rPr>
                <w:noProof/>
              </w:rPr>
              <w:t>α</w:t>
            </w:r>
            <w:r>
              <w:rPr>
                <w:noProof/>
                <w:lang w:val="fr-BE"/>
              </w:rPr>
              <w:t>-(1-naphtylméthyl)furanne-2-propionique (CAS RN 25379-26-4) dans le toluène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 xml:space="preserve">Préparation constituée principalement de </w:t>
            </w:r>
            <w:r>
              <w:rPr>
                <w:i/>
                <w:iCs/>
                <w:noProof/>
              </w:rPr>
              <w:t>γ</w:t>
            </w:r>
            <w:r>
              <w:rPr>
                <w:noProof/>
                <w:lang w:val="fr-BE"/>
              </w:rPr>
              <w:t>-butyrolactone et de sels d’ammonium quaternaire, destinée à la fabrication de condensateurs électrolytiques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lang w:val="fr-BE"/>
              </w:rPr>
            </w:pPr>
            <w:r>
              <w:rPr>
                <w:noProof/>
                <w:lang w:val="fr-BE"/>
              </w:rPr>
              <w:t>Diéthylméthoxyborane (n° CAS 7397-46-8) sous forme de solution dans le tétrahydrofuranne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Préparation contenant les composés suivants:</w:t>
            </w:r>
          </w:p>
          <w:tbl>
            <w:tblPr>
              <w:tblStyle w:val="Listdash"/>
              <w:tblW w:w="0" w:type="auto"/>
              <w:tblLook w:val="0000" w:firstRow="0" w:lastRow="0" w:firstColumn="0" w:lastColumn="0" w:noHBand="0" w:noVBand="0"/>
            </w:tblPr>
            <w:tblGrid>
              <w:gridCol w:w="220"/>
              <w:gridCol w:w="380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oxyde de trioctylphosphine (CAS RN 78-50-2),</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oxyde de dioctylhexylphosphine (CAS RN 31160-66-4),</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oxyde de octyldihexylphosphine (CAS RN 31160-64-2)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oxyde de trihexylphosphine (CAS RN 3084-48-8)</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49</w:t>
            </w:r>
          </w:p>
        </w:tc>
        <w:tc>
          <w:tcPr>
            <w:tcW w:w="0" w:type="auto"/>
            <w:tcBorders>
              <w:left w:val="single" w:sz="2" w:space="0" w:color="auto"/>
            </w:tcBorders>
          </w:tcPr>
          <w:p>
            <w:pPr>
              <w:pStyle w:val="Paragraph"/>
              <w:rPr>
                <w:noProof/>
                <w:lang w:val="fr-BE"/>
              </w:rPr>
            </w:pPr>
            <w:r>
              <w:rPr>
                <w:noProof/>
                <w:lang w:val="fr-BE"/>
              </w:rPr>
              <w:t>Préparation à base d’éthoxylate de 2,5,8,11-tétraméthyle-6-dodécyne-5,8-diol (CAS RN 169117-72-0)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Préparation à base de carbonates d'alkyles comprenant également un absorbeur d'ultra-violets entrant dans la fabrication de verres de lunettes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fr-BE"/>
              </w:rPr>
            </w:pPr>
            <w:r>
              <w:rPr>
                <w:noProof/>
                <w:lang w:val="fr-BE"/>
              </w:rPr>
              <w:t>Mélange contenant en poids 40 % ou plus mais pas plus de 50 % de méthacrylate de 2-hydroxyéthyle et 40 % ou plus mais pas plus de 50 % d’ester de glycérol de l’acide borique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fr-BE"/>
              </w:rPr>
            </w:pPr>
            <w:r>
              <w:rPr>
                <w:noProof/>
                <w:lang w:val="fr-BE"/>
              </w:rPr>
              <w:t>Préparations constituées principalement d'éthylène glycol et: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soit de diéthylène glycol, d'acide dodécanedioïque et d'ammoniaque,</w:t>
                  </w:r>
                </w:p>
              </w:tc>
            </w:tr>
            <w:tr>
              <w:tc>
                <w:tcPr>
                  <w:tcW w:w="0" w:type="auto"/>
                </w:tcPr>
                <w:p>
                  <w:pPr>
                    <w:pStyle w:val="Paragraph"/>
                    <w:rPr>
                      <w:noProof/>
                    </w:rPr>
                  </w:pPr>
                  <w:r>
                    <w:rPr>
                      <w:noProof/>
                    </w:rPr>
                    <w:t>—</w:t>
                  </w:r>
                </w:p>
              </w:tc>
              <w:tc>
                <w:tcPr>
                  <w:tcW w:w="0" w:type="auto"/>
                </w:tcPr>
                <w:p>
                  <w:pPr>
                    <w:pStyle w:val="Paragraph"/>
                    <w:rPr>
                      <w:noProof/>
                    </w:rPr>
                  </w:pPr>
                  <w:r>
                    <w:rPr>
                      <w:noProof/>
                    </w:rPr>
                    <w:t>soit N,N-diméthylformamide,</w:t>
                  </w:r>
                </w:p>
              </w:tc>
            </w:tr>
            <w:tr>
              <w:tc>
                <w:tcPr>
                  <w:tcW w:w="0" w:type="auto"/>
                </w:tcPr>
                <w:p>
                  <w:pPr>
                    <w:pStyle w:val="Paragraph"/>
                    <w:rPr>
                      <w:noProof/>
                    </w:rPr>
                  </w:pPr>
                  <w:r>
                    <w:rPr>
                      <w:noProof/>
                    </w:rPr>
                    <w:t>—</w:t>
                  </w:r>
                </w:p>
              </w:tc>
              <w:tc>
                <w:tcPr>
                  <w:tcW w:w="0" w:type="auto"/>
                </w:tcPr>
                <w:p>
                  <w:pPr>
                    <w:pStyle w:val="Paragraph"/>
                    <w:rPr>
                      <w:noProof/>
                    </w:rPr>
                  </w:pPr>
                  <w:r>
                    <w:rPr>
                      <w:noProof/>
                    </w:rPr>
                    <w:t>soit γ-butyrolactone,</w:t>
                  </w:r>
                </w:p>
              </w:tc>
            </w:tr>
            <w:tr>
              <w:tc>
                <w:tcPr>
                  <w:tcW w:w="0" w:type="auto"/>
                </w:tcPr>
                <w:p>
                  <w:pPr>
                    <w:pStyle w:val="Paragraph"/>
                    <w:rPr>
                      <w:noProof/>
                    </w:rPr>
                  </w:pPr>
                  <w:r>
                    <w:rPr>
                      <w:noProof/>
                    </w:rPr>
                    <w:t>—</w:t>
                  </w:r>
                </w:p>
              </w:tc>
              <w:tc>
                <w:tcPr>
                  <w:tcW w:w="0" w:type="auto"/>
                </w:tcPr>
                <w:p>
                  <w:pPr>
                    <w:pStyle w:val="Paragraph"/>
                    <w:rPr>
                      <w:noProof/>
                    </w:rPr>
                  </w:pPr>
                  <w:r>
                    <w:rPr>
                      <w:noProof/>
                    </w:rPr>
                    <w:t>soit d'oxyde de silicium,</w:t>
                  </w:r>
                </w:p>
              </w:tc>
            </w:tr>
            <w:tr>
              <w:tc>
                <w:tcPr>
                  <w:tcW w:w="0" w:type="auto"/>
                </w:tcPr>
                <w:p>
                  <w:pPr>
                    <w:pStyle w:val="Paragraph"/>
                    <w:rPr>
                      <w:noProof/>
                    </w:rPr>
                  </w:pPr>
                  <w:r>
                    <w:rPr>
                      <w:noProof/>
                    </w:rPr>
                    <w:t>—</w:t>
                  </w:r>
                </w:p>
              </w:tc>
              <w:tc>
                <w:tcPr>
                  <w:tcW w:w="0" w:type="auto"/>
                </w:tcPr>
                <w:p>
                  <w:pPr>
                    <w:pStyle w:val="Paragraph"/>
                    <w:rPr>
                      <w:noProof/>
                    </w:rPr>
                  </w:pPr>
                  <w:r>
                    <w:rPr>
                      <w:noProof/>
                    </w:rPr>
                    <w:t>soit d'hydrogénoazélate d'ammonium,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d'hydrogénoazélate d'ammonium et d'oxyde de silicium,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d'acide dodécanedioïque, d'ammoniaque et d'oxyde de silicium,</w:t>
                  </w:r>
                </w:p>
              </w:tc>
            </w:tr>
          </w:tbl>
          <w:p>
            <w:pPr>
              <w:pStyle w:val="Paragraph"/>
              <w:rPr>
                <w:noProof/>
                <w:lang w:val="fr-BE"/>
              </w:rPr>
            </w:pPr>
            <w:r>
              <w:rPr>
                <w:noProof/>
                <w:lang w:val="fr-BE"/>
              </w:rPr>
              <w:t>destinées à la fabrication de condensateurs électrolytiques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rPr>
            </w:pPr>
            <w:r>
              <w:rPr>
                <w:noProof/>
              </w:rPr>
              <w:t>Bis[(9-oxo- 9H-thioxanthène-1-yloxy)acétate] de poly(tétraméthylène glycol) n’excédant pas en moyenne 5 motifs monomères (CAS RN 813452-37-8)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Additifs pour peintures et revêtements, contenant: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mélange d'esters d'acide phosphorique obtenu à partir de la réaction de l'anhydride phosphorique avec du 4 - (1,1-diméthyl-propyl)-phénol et des copolymères de styrène-alcool allylique (CAS RN 84605-27-6),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30 % ou plus mais pas plus de 35 % en poids d'alcool isobutylique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56</w:t>
            </w:r>
          </w:p>
        </w:tc>
        <w:tc>
          <w:tcPr>
            <w:tcW w:w="0" w:type="auto"/>
            <w:tcBorders>
              <w:left w:val="single" w:sz="2" w:space="0" w:color="auto"/>
            </w:tcBorders>
          </w:tcPr>
          <w:p>
            <w:pPr>
              <w:pStyle w:val="Paragraph"/>
              <w:rPr>
                <w:noProof/>
                <w:lang w:val="fr-BE"/>
              </w:rPr>
            </w:pPr>
            <w:r>
              <w:rPr>
                <w:noProof/>
                <w:lang w:val="fr-BE"/>
              </w:rPr>
              <w:t>Bis [(2-benzoyl-phénoxy)acétate] de poly(tétraméthylène glycol) n'excedant pas 5 motifs monomères, en moyenne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Poly(éthylène glycol) bis(</w:t>
            </w:r>
            <w:r>
              <w:rPr>
                <w:i/>
                <w:iCs/>
                <w:noProof/>
              </w:rPr>
              <w:t>p-</w:t>
            </w:r>
            <w:r>
              <w:rPr>
                <w:noProof/>
              </w:rPr>
              <w:t>diméthyl)aminobenzoate n’excédant pas en moyenne 5 motifs monomères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59</w:t>
            </w:r>
          </w:p>
        </w:tc>
        <w:tc>
          <w:tcPr>
            <w:tcW w:w="0" w:type="auto"/>
            <w:tcBorders>
              <w:left w:val="single" w:sz="2" w:space="0" w:color="auto"/>
            </w:tcBorders>
          </w:tcPr>
          <w:p>
            <w:pPr>
              <w:pStyle w:val="Paragraph"/>
              <w:rPr>
                <w:noProof/>
                <w:lang w:val="fr-BE"/>
              </w:rPr>
            </w:pPr>
            <w:r>
              <w:rPr>
                <w:noProof/>
                <w:lang w:val="fr-BE"/>
              </w:rPr>
              <w:t>Tert-butanolate de potassium (CAS RN 865-47-4) sous forme de solution dans le tétrahydrofuranne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Anhydride de N2-[2-(S)-éthoxycarbonyl-3-phénylpropyl]-N6-trifluoroacétyl-L-lysyl-N2-carboxy,en solution à 37 % dans le dichlorométhane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61</w:t>
            </w:r>
          </w:p>
        </w:tc>
        <w:tc>
          <w:tcPr>
            <w:tcW w:w="0" w:type="auto"/>
            <w:tcBorders>
              <w:left w:val="single" w:sz="2" w:space="0" w:color="auto"/>
            </w:tcBorders>
          </w:tcPr>
          <w:p>
            <w:pPr>
              <w:pStyle w:val="Paragraph"/>
              <w:rPr>
                <w:noProof/>
                <w:lang w:val="fr-BE"/>
              </w:rPr>
            </w:pPr>
            <w:r>
              <w:rPr>
                <w:noProof/>
                <w:lang w:val="fr-BE"/>
              </w:rPr>
              <w:t>3’,4’,5’-Trifluorobiphényl-2-amine, sous la forme d’une solution dans du toluène, contenant en poids 80 % ou plus de 3’,4’,5’-trifluorobiphényl-2-amine, mais sans excéder 90 %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64</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89 % ou plus mais pas plus de 98,9 % de 1,2,3-Tridéoxy-4,6:5,7-bis-O-[(4-propylphényl)méthylène]-nonitol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0,1 % ou plus, mais pas plus de 1 % de colorants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10 % de polymères fluorés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 xml:space="preserve">Mélange de </w:t>
            </w:r>
            <w:r>
              <w:rPr>
                <w:i/>
                <w:iCs/>
                <w:noProof/>
                <w:lang w:val="fr-BE"/>
              </w:rPr>
              <w:t>tert</w:t>
            </w:r>
            <w:r>
              <w:rPr>
                <w:noProof/>
                <w:lang w:val="fr-BE"/>
              </w:rPr>
              <w:t>-alkylamines primaires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68</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 xml:space="preserve">20 % (±1 %) de ((3-(sec-butyl)-4-(décyloxy)phényl)méthanétriyl)tribenzène (numéro CAS 1404190-37-9) </w:t>
                  </w:r>
                </w:p>
              </w:tc>
            </w:tr>
            <w:tr>
              <w:tc>
                <w:tcPr>
                  <w:tcW w:w="0" w:type="auto"/>
                </w:tcPr>
                <w:p>
                  <w:pPr>
                    <w:pStyle w:val="Paragraph"/>
                    <w:rPr>
                      <w:noProof/>
                    </w:rPr>
                  </w:pPr>
                  <w:r>
                    <w:rPr>
                      <w:noProof/>
                    </w:rPr>
                    <w:t>—</w:t>
                  </w:r>
                </w:p>
              </w:tc>
              <w:tc>
                <w:tcPr>
                  <w:tcW w:w="0" w:type="auto"/>
                </w:tcPr>
                <w:p>
                  <w:pPr>
                    <w:pStyle w:val="Paragraph"/>
                    <w:rPr>
                      <w:noProof/>
                    </w:rPr>
                  </w:pPr>
                  <w:r>
                    <w:rPr>
                      <w:noProof/>
                    </w:rPr>
                    <w:t>dans un solvant 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10 % (± 5 %) de 2-sec-butylphénol (numéro CAS 89-72-5)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64 % (± 7 %) de solvant naphta aromatique lourd (pétrole) (numéro CAS 64742-94-5) et</w:t>
                  </w:r>
                </w:p>
              </w:tc>
            </w:tr>
            <w:tr>
              <w:tc>
                <w:tcPr>
                  <w:tcW w:w="0" w:type="auto"/>
                </w:tcPr>
                <w:p>
                  <w:pPr>
                    <w:pStyle w:val="Paragraph"/>
                    <w:rPr>
                      <w:noProof/>
                    </w:rPr>
                  </w:pPr>
                  <w:r>
                    <w:rPr>
                      <w:noProof/>
                    </w:rPr>
                    <w:t>—</w:t>
                  </w:r>
                </w:p>
              </w:tc>
              <w:tc>
                <w:tcPr>
                  <w:tcW w:w="0" w:type="auto"/>
                </w:tcPr>
                <w:p>
                  <w:pPr>
                    <w:pStyle w:val="Paragraph"/>
                    <w:rPr>
                      <w:noProof/>
                    </w:rPr>
                  </w:pPr>
                  <w:r>
                    <w:rPr>
                      <w:noProof/>
                    </w:rPr>
                    <w:t>6 % (± 1,0 %) de naphtalène (numéro CAS 91-20-3)</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69</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80 % ou plus mais pas plus de 92 % de bisphénol A bis(phosphate de diphényle) (CAS RN 5945-33-5)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7 % ou plus mais pas plus de 20 % d’oligomères de bisphénol-A bis(phosphate de diphényle)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d’1 % de phosphate de triphénol (CAS RN 115-86-6)</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Mélange de 80 % (± 10 %) de 1-[2-(2-aminobutoxy)éthoxy]but-2-ylamine et 20 % (± 10 %) de 1-({[2-(2-aminobutoxy)éthoxy]méthyl} propoxy)but-2-ylamine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lang w:val="fr-BE"/>
              </w:rPr>
            </w:pPr>
            <w:r>
              <w:rPr>
                <w:noProof/>
                <w:lang w:val="fr-BE"/>
              </w:rPr>
              <w:t>Dérivés de N-(2-phényléthyl)-1,3-benzènediméthanamine (CAS RN 404362-22-7)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76</w:t>
            </w:r>
          </w:p>
        </w:tc>
        <w:tc>
          <w:tcPr>
            <w:tcW w:w="0" w:type="auto"/>
            <w:tcBorders>
              <w:left w:val="single" w:sz="2" w:space="0" w:color="auto"/>
            </w:tcBorders>
          </w:tcPr>
          <w:p>
            <w:pPr>
              <w:pStyle w:val="Paragraph"/>
              <w:rPr>
                <w:noProof/>
              </w:rPr>
            </w:pPr>
            <w:r>
              <w:rPr>
                <w:noProof/>
              </w:rPr>
              <w:t>Préparation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74 % ou plus, mais pas plus de 90 % en poids de (S)-</w:t>
                  </w:r>
                  <w:r>
                    <w:rPr>
                      <w:noProof/>
                    </w:rPr>
                    <w:t>α</w:t>
                  </w:r>
                  <w:r>
                    <w:rPr>
                      <w:noProof/>
                      <w:lang w:val="fr-BE"/>
                    </w:rPr>
                    <w:t>-hydroxy-3-phénoxy-benzèneacétonitrile (CAS RN 61826-76-4)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plus, mais pas plus de 26 % en poids de toluène (CAS RN 108-88-3)</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78</w:t>
            </w:r>
          </w:p>
        </w:tc>
        <w:tc>
          <w:tcPr>
            <w:tcW w:w="0" w:type="auto"/>
            <w:tcBorders>
              <w:left w:val="single" w:sz="2" w:space="0" w:color="auto"/>
            </w:tcBorders>
          </w:tcPr>
          <w:p>
            <w:pPr>
              <w:pStyle w:val="Paragraph"/>
              <w:rPr>
                <w:noProof/>
                <w:lang w:val="fr-BE"/>
              </w:rPr>
            </w:pPr>
            <w:r>
              <w:rPr>
                <w:noProof/>
                <w:lang w:val="fr-BE"/>
              </w:rPr>
              <w:t>Préparations contenant 10 % ou plus mais pas plus de 20 % en poids d’hexafluorophosphate de lithium ou 5 % ou plus mais pas plus de 10 % en poids de perchlorate de lithium mélangées avec des solvants organiques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Complexes de diéthylène glycol propylène glycol triéthanolamine titanate (CAS RN 68784-48-5) dissous dans du diéthylène glycol (CAS RN 111-46-6)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lang w:val="fr-BE"/>
              </w:rPr>
            </w:pPr>
            <w:r>
              <w:rPr>
                <w:noProof/>
                <w:lang w:val="fr-BE"/>
              </w:rPr>
              <w:t>Solution de tert-butylchlorodiméthylsilane (CAS RN 18162-48-6) dans du toluène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fr-BE"/>
              </w:rPr>
            </w:pPr>
            <w:r>
              <w:rPr>
                <w:noProof/>
                <w:lang w:val="fr-BE"/>
              </w:rPr>
              <w:t>Préparation constituée de 83 % ou plus en poids de 3a,4,7,7a-tétrahydro-4,7-méthanoindène (dicyclopentadiène), d’un caoutchouc synthétique, même contenant en poids 7 % ou plus de tricyclopentadiène, et:</w:t>
            </w:r>
          </w:p>
          <w:tbl>
            <w:tblPr>
              <w:tblStyle w:val="Listdash"/>
              <w:tblW w:w="0" w:type="auto"/>
              <w:tblLook w:val="0000" w:firstRow="0" w:lastRow="0" w:firstColumn="0" w:lastColumn="0" w:noHBand="0" w:noVBand="0"/>
            </w:tblPr>
            <w:tblGrid>
              <w:gridCol w:w="220"/>
              <w:gridCol w:w="290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soit d’un composé d’aluminium-alkyle,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d’un complexe organique de tungstène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d’un complexe organique de molybdène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rPr>
            </w:pPr>
            <w:r>
              <w:rPr>
                <w:noProof/>
              </w:rPr>
              <w:t>2,4,7,9-Tétraméthyldéc-5-yne-4,7-diol, hydroxyéthylé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Mélange en poudre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85 % ou plus de diacrylate de zinc (CAS RN 14643-87-9)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au maximum 5 % de 2,6-di-tert-butyl-alpha-diméthylamino-p-crésol (CAS RN 88-27-7)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10 % de stéarate de zinc (CAS RN 557-05-1)</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3824 99 93</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Paraffine présentant un degré de chloration égal ou supérieur à 70 %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3824 99 93</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rPr>
            </w:pPr>
            <w:r>
              <w:rPr>
                <w:noProof/>
              </w:rPr>
              <w:t>Mélange de 4,4'-(perfluoroisopropylidène)diphénol (CAS RN 1478-61-1) et de sel de benzyltriphénylphosphonium du 4,4'-(perfluoroisopropylidène)diphénol (CAS RN 75768-65-9)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rPr>
            </w:pPr>
            <w:r>
              <w:rPr>
                <w:noProof/>
              </w:rPr>
              <w:t>Mélange de bis{4-(3-(3-phenoxycarbonylamino)tolyl)ureido}phenylsulfone, diphenyltolyl-2,4-dicarbamate et 1-[4-(4-aminobenzolsulfonyl)-phényl]-3-(3-phenoxycarbonylamino-tolyl)-urée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93</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Hydrogéno-3-aminonaphtalène-1,5-disulfonate de sodium (CAS RN 4681-22-5) contenant en poids:</w:t>
            </w:r>
          </w:p>
          <w:tbl>
            <w:tblPr>
              <w:tblStyle w:val="Listdash"/>
              <w:tblW w:w="0" w:type="auto"/>
              <w:tblLook w:val="0000" w:firstRow="0" w:lastRow="0" w:firstColumn="0" w:lastColumn="0" w:noHBand="0" w:noVBand="0"/>
            </w:tblPr>
            <w:tblGrid>
              <w:gridCol w:w="220"/>
              <w:gridCol w:w="282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20 % de sulfate de disodium,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10 % de chlorure de sodium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3824 99 93</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Préparation constituée d’acésulfame potassium (CAS RN 55589-62-3) et d’hydroxyde de potassium (CAS RN 1310-58-3)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fr-BE"/>
              </w:rPr>
            </w:pPr>
            <w:r>
              <w:rPr>
                <w:noProof/>
                <w:lang w:val="fr-BE"/>
              </w:rPr>
              <w:t>Diméthacrylate de zinc (CAS RN 13189-00-9), contenant au maximum 2,5 %, en poids, de 2,6-di-tert-butyl-alpha-diméthylamino-p-crésol (CAS RN 88-27-7), sous forme de poudre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93</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Mélange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70 % ou plus, mais pas plus de 90 % d'acide (S)-indoline-2-carboxylique (CAS RN 79815-20-6)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plus, mais pas plus de 30 % d'acide o-chlorocinnamique (CAS RN 3752-25-8)</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Mélange de phytostérols (CAS RN 949109-75-5) sous forme de poudre contenant en poids:</w:t>
            </w:r>
          </w:p>
          <w:tbl>
            <w:tblPr>
              <w:tblStyle w:val="Listdash"/>
              <w:tblW w:w="0" w:type="auto"/>
              <w:tblLook w:val="0000" w:firstRow="0" w:lastRow="0" w:firstColumn="0" w:lastColumn="0" w:noHBand="0" w:noVBand="0"/>
            </w:tblPr>
            <w:tblGrid>
              <w:gridCol w:w="220"/>
              <w:gridCol w:w="368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40 % ou plus mais n’excédant pas 88 % de sitostérols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20 % ou plus mais n’excédant pas 63 % de campestérols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14 % ou plus mais n’excédant pas 38 % de stigmastérols</w:t>
                  </w:r>
                </w:p>
              </w:tc>
            </w:tr>
            <w:tr>
              <w:tc>
                <w:tcPr>
                  <w:tcW w:w="0" w:type="auto"/>
                </w:tcPr>
                <w:p>
                  <w:pPr>
                    <w:pStyle w:val="Paragraph"/>
                    <w:rPr>
                      <w:noProof/>
                    </w:rPr>
                  </w:pPr>
                  <w:r>
                    <w:rPr>
                      <w:noProof/>
                    </w:rPr>
                    <w:t>—</w:t>
                  </w:r>
                </w:p>
              </w:tc>
              <w:tc>
                <w:tcPr>
                  <w:tcW w:w="0" w:type="auto"/>
                </w:tcPr>
                <w:p>
                  <w:pPr>
                    <w:pStyle w:val="Paragraph"/>
                    <w:rPr>
                      <w:noProof/>
                    </w:rPr>
                  </w:pPr>
                  <w:r>
                    <w:rPr>
                      <w:noProof/>
                    </w:rPr>
                    <w:t>au maximum 13 % de brassicastérols</w:t>
                  </w:r>
                </w:p>
              </w:tc>
            </w:tr>
            <w:tr>
              <w:tc>
                <w:tcPr>
                  <w:tcW w:w="0" w:type="auto"/>
                </w:tcPr>
                <w:p>
                  <w:pPr>
                    <w:pStyle w:val="Paragraph"/>
                    <w:rPr>
                      <w:noProof/>
                    </w:rPr>
                  </w:pPr>
                  <w:r>
                    <w:rPr>
                      <w:noProof/>
                    </w:rPr>
                    <w:t>—</w:t>
                  </w:r>
                </w:p>
              </w:tc>
              <w:tc>
                <w:tcPr>
                  <w:tcW w:w="0" w:type="auto"/>
                </w:tcPr>
                <w:p>
                  <w:pPr>
                    <w:pStyle w:val="Paragraph"/>
                    <w:rPr>
                      <w:noProof/>
                    </w:rPr>
                  </w:pPr>
                  <w:r>
                    <w:rPr>
                      <w:noProof/>
                    </w:rPr>
                    <w:t>au maximum 5 % de sitostanols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93</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fr-BE"/>
              </w:rPr>
            </w:pPr>
            <w:r>
              <w:rPr>
                <w:noProof/>
                <w:lang w:val="fr-BE"/>
              </w:rPr>
              <w:t>Mélanges de stérols végétaux, présentés autrement qu’en poudre, contenant en poids:</w:t>
            </w:r>
          </w:p>
          <w:tbl>
            <w:tblPr>
              <w:tblStyle w:val="Listdash"/>
              <w:tblW w:w="0" w:type="auto"/>
              <w:tblLook w:val="0000" w:firstRow="0" w:lastRow="0" w:firstColumn="0" w:lastColumn="0" w:noHBand="0" w:noVBand="0"/>
            </w:tblPr>
            <w:tblGrid>
              <w:gridCol w:w="220"/>
              <w:gridCol w:w="2140"/>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75 % minimum de stérols,</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mais 25 % maximum de stanols,</w:t>
                  </w:r>
                </w:p>
              </w:tc>
            </w:tr>
          </w:tbl>
          <w:p>
            <w:pPr>
              <w:pStyle w:val="Paragraph"/>
              <w:rPr>
                <w:noProof/>
                <w:lang w:val="fr-BE"/>
              </w:rPr>
            </w:pPr>
            <w:r>
              <w:rPr>
                <w:noProof/>
                <w:lang w:val="fr-BE"/>
              </w:rPr>
              <w:t>utilisés pour la fabricationde stanols/stérols ou d’esters de stanols/stérols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Masse réactive de 1,1'-(isopropylidène)bis[3,5-dibromo-4-(2,3-dibromo-2-méthylpropoxy)benzène] (CAS RN 97416-84-7) et de 1,3-dibromo-2-(2,3-dibromo-2-méthylpropoxy)-5-{2-[3,5-dibromo-4-(2,3,3-tribromo-2-méthylpropoxy)phényl]propan-2-yl}benzène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93</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Produit de réaction oligomérique, obtenu à partir de bis(4-hydroxyphényl)sulfone et de 1,1’-oxybis(2-chloréthane)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3824 99 93</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Mélange de phytostérols, sous forme de flocons et de boulettes, contenant, en poids, 80 % ou plus de stérols et pas plus de 4 % de stanols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3824 99 93</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67</w:t>
            </w:r>
          </w:p>
        </w:tc>
        <w:tc>
          <w:tcPr>
            <w:tcW w:w="0" w:type="auto"/>
            <w:vMerge w:val="restart"/>
            <w:tcBorders>
              <w:left w:val="single" w:sz="2" w:space="0" w:color="auto"/>
            </w:tcBorders>
          </w:tcPr>
          <w:p>
            <w:pPr>
              <w:pStyle w:val="Paragraph"/>
              <w:rPr>
                <w:noProof/>
                <w:lang w:val="fr-BE"/>
              </w:rPr>
            </w:pPr>
            <w:r>
              <w:rPr>
                <w:noProof/>
                <w:lang w:val="fr-BE"/>
              </w:rPr>
              <w:t>Pellicule composée d’oxydes de baryum ou de calcium associés à des oxydes de titane ou de zirconium dans un liant acrylique</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85</w:t>
            </w:r>
          </w:p>
        </w:tc>
        <w:tc>
          <w:tcPr>
            <w:tcW w:w="0" w:type="auto"/>
            <w:vMerge w:val="restart"/>
            <w:tcBorders>
              <w:left w:val="single" w:sz="2" w:space="0" w:color="auto"/>
            </w:tcBorders>
          </w:tcPr>
          <w:p>
            <w:pPr>
              <w:pStyle w:val="Paragraph"/>
              <w:rPr>
                <w:noProof/>
              </w:rPr>
            </w:pPr>
            <w:r>
              <w:rPr>
                <w:noProof/>
              </w:rPr>
              <w:t>Préparation contenant:</w:t>
            </w:r>
          </w:p>
          <w:tbl>
            <w:tblPr>
              <w:tblStyle w:val="Listdash"/>
              <w:tblW w:w="0" w:type="auto"/>
              <w:tblLook w:val="0000" w:firstRow="0" w:lastRow="0" w:firstColumn="0" w:lastColumn="0" w:noHBand="0" w:noVBand="0"/>
            </w:tblPr>
            <w:tblGrid>
              <w:gridCol w:w="220"/>
              <w:gridCol w:w="366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 C,C'-azodi(formamide) (CAS RN 123-77-3),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l'oxyde de magnésium (CAS RN 1309-48-4)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 zinc bis(p-toluène sulphinate) (CAS RN 24345-02-6)</w:t>
                  </w:r>
                </w:p>
              </w:tc>
            </w:tr>
          </w:tbl>
          <w:p>
            <w:pPr>
              <w:pStyle w:val="Paragraph"/>
              <w:rPr>
                <w:noProof/>
                <w:lang w:val="fr-BE"/>
              </w:rPr>
            </w:pPr>
            <w:r>
              <w:rPr>
                <w:noProof/>
                <w:lang w:val="fr-BE"/>
              </w:rPr>
              <w:t>dans laquelle la formation de gaz de C,C'-azodi(formamide) se produit à 135 °C</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57</w:t>
            </w:r>
          </w:p>
        </w:tc>
        <w:tc>
          <w:tcPr>
            <w:tcW w:w="0" w:type="auto"/>
            <w:vMerge w:val="restart"/>
            <w:tcBorders>
              <w:left w:val="single" w:sz="2" w:space="0" w:color="auto"/>
            </w:tcBorders>
          </w:tcPr>
          <w:p>
            <w:pPr>
              <w:pStyle w:val="Paragraph"/>
              <w:rPr>
                <w:noProof/>
                <w:lang w:val="fr-BE"/>
              </w:rPr>
            </w:pPr>
            <w:r>
              <w:rPr>
                <w:noProof/>
                <w:lang w:val="fr-BE"/>
              </w:rPr>
              <w:t>Particules de dioxyde de silicium sur lesquelles sont liés de manière covalente des composés organiques, destinées à être utilisées dans la fabrication de colonnes de chromatographie liquide à haute performance (HPLC) et de cartouches de préparation d’échantillon</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ex 3824 99 93</w:t>
            </w:r>
          </w:p>
        </w:tc>
        <w:tc>
          <w:tcPr>
            <w:tcW w:w="0" w:type="auto"/>
            <w:tcBorders>
              <w:left w:val="single" w:sz="2" w:space="0" w:color="auto"/>
            </w:tcBorders>
          </w:tcPr>
          <w:p>
            <w:pPr>
              <w:pStyle w:val="Paragraph"/>
              <w:jc w:val="center"/>
              <w:rPr>
                <w:noProof/>
              </w:rPr>
            </w:pPr>
            <w:r>
              <w:rPr>
                <w:noProof/>
              </w:rPr>
              <w:t>88</w:t>
            </w:r>
          </w:p>
        </w:tc>
        <w:tc>
          <w:tcPr>
            <w:tcW w:w="0" w:type="auto"/>
            <w:tcBorders>
              <w:left w:val="single" w:sz="2" w:space="0" w:color="auto"/>
            </w:tcBorders>
          </w:tcPr>
          <w:p>
            <w:pPr>
              <w:pStyle w:val="Paragraph"/>
              <w:rPr>
                <w:noProof/>
                <w:lang w:val="fr-BE"/>
              </w:rPr>
            </w:pPr>
            <w:r>
              <w:rPr>
                <w:noProof/>
                <w:lang w:val="fr-BE"/>
              </w:rPr>
              <w:t>Mélange de phytostérols, contenant en poids:</w:t>
            </w:r>
          </w:p>
          <w:tbl>
            <w:tblPr>
              <w:tblStyle w:val="Listdash"/>
              <w:tblW w:w="0" w:type="auto"/>
              <w:tblLook w:val="0000" w:firstRow="0" w:lastRow="0" w:firstColumn="0" w:lastColumn="0" w:noHBand="0" w:noVBand="0"/>
            </w:tblPr>
            <w:tblGrid>
              <w:gridCol w:w="220"/>
              <w:gridCol w:w="349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60 % ou plus mais n’excédant pas 80 % de sitostérols</w:t>
                  </w:r>
                </w:p>
              </w:tc>
            </w:tr>
            <w:tr>
              <w:tc>
                <w:tcPr>
                  <w:tcW w:w="0" w:type="auto"/>
                </w:tcPr>
                <w:p>
                  <w:pPr>
                    <w:pStyle w:val="Paragraph"/>
                    <w:rPr>
                      <w:noProof/>
                    </w:rPr>
                  </w:pPr>
                  <w:r>
                    <w:rPr>
                      <w:noProof/>
                    </w:rPr>
                    <w:t>—</w:t>
                  </w:r>
                </w:p>
              </w:tc>
              <w:tc>
                <w:tcPr>
                  <w:tcW w:w="0" w:type="auto"/>
                </w:tcPr>
                <w:p>
                  <w:pPr>
                    <w:pStyle w:val="Paragraph"/>
                    <w:rPr>
                      <w:noProof/>
                    </w:rPr>
                  </w:pPr>
                  <w:r>
                    <w:rPr>
                      <w:noProof/>
                    </w:rPr>
                    <w:t>moins de 15 % de campestérols,</w:t>
                  </w:r>
                </w:p>
              </w:tc>
            </w:tr>
            <w:tr>
              <w:tc>
                <w:tcPr>
                  <w:tcW w:w="0" w:type="auto"/>
                </w:tcPr>
                <w:p>
                  <w:pPr>
                    <w:pStyle w:val="Paragraph"/>
                    <w:rPr>
                      <w:noProof/>
                    </w:rPr>
                  </w:pPr>
                  <w:r>
                    <w:rPr>
                      <w:noProof/>
                    </w:rPr>
                    <w:t>—</w:t>
                  </w:r>
                </w:p>
              </w:tc>
              <w:tc>
                <w:tcPr>
                  <w:tcW w:w="0" w:type="auto"/>
                </w:tcPr>
                <w:p>
                  <w:pPr>
                    <w:pStyle w:val="Paragraph"/>
                    <w:rPr>
                      <w:noProof/>
                    </w:rPr>
                  </w:pPr>
                  <w:r>
                    <w:rPr>
                      <w:noProof/>
                    </w:rPr>
                    <w:t>moins de 5 % de stigmastérols,</w:t>
                  </w:r>
                </w:p>
              </w:tc>
            </w:tr>
            <w:tr>
              <w:tc>
                <w:tcPr>
                  <w:tcW w:w="0" w:type="auto"/>
                </w:tcPr>
                <w:p>
                  <w:pPr>
                    <w:pStyle w:val="Paragraph"/>
                    <w:rPr>
                      <w:noProof/>
                    </w:rPr>
                  </w:pPr>
                  <w:r>
                    <w:rPr>
                      <w:noProof/>
                    </w:rPr>
                    <w:t>—</w:t>
                  </w:r>
                </w:p>
              </w:tc>
              <w:tc>
                <w:tcPr>
                  <w:tcW w:w="0" w:type="auto"/>
                </w:tcPr>
                <w:p>
                  <w:pPr>
                    <w:pStyle w:val="Paragraph"/>
                    <w:rPr>
                      <w:noProof/>
                    </w:rPr>
                  </w:pPr>
                  <w:r>
                    <w:rPr>
                      <w:noProof/>
                    </w:rPr>
                    <w:t>moins de 15 % de betasitostanols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Concentré de terres rares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20 % ou plus mais pas plus de 30 %, d'oxyde de cérium (CAS RN 1306-38-3),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2 % ou plus mais pas plus de 10 %, d'oxyde de lanthane (CAS RN 1312-81-8),</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10 % ou plus mais pas plus de 15 %, d'oxyde d'yttrium (CAS RN 1314-36-9), et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65 % d'oxyde de zirconium (CAS RN 1314-23-4), y compris l'oxyde d'hafnium naturel</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Bauxite calcinée (réfractaire)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Silicoaluminophosphate structuré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Poudre d'oxyde de lithium-nickel-cobalt-aluminium (CAS RN 177997-13-6) présentant les caractéristiques suivantes:</w:t>
            </w:r>
          </w:p>
          <w:tbl>
            <w:tblPr>
              <w:tblStyle w:val="Listdash"/>
              <w:tblW w:w="0" w:type="auto"/>
              <w:tblLook w:val="0000" w:firstRow="0" w:lastRow="0" w:firstColumn="0" w:lastColumn="0" w:noHBand="0" w:noVBand="0"/>
            </w:tblPr>
            <w:tblGrid>
              <w:gridCol w:w="220"/>
              <w:gridCol w:w="329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particules d'une dimension inférieure à 10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pureté en poids supérieure à 98 %</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lang w:val="fr-BE"/>
              </w:rPr>
            </w:pPr>
            <w:r>
              <w:rPr>
                <w:noProof/>
                <w:lang w:val="fr-BE"/>
              </w:rPr>
              <w:t>Granulat de manganèse-zinc-ferrite, contenant en poids:</w:t>
            </w:r>
          </w:p>
          <w:tbl>
            <w:tblPr>
              <w:tblStyle w:val="Listdash"/>
              <w:tblW w:w="0" w:type="auto"/>
              <w:tblLook w:val="0000" w:firstRow="0" w:lastRow="0" w:firstColumn="0" w:lastColumn="0" w:noHBand="0" w:noVBand="0"/>
            </w:tblPr>
            <w:tblGrid>
              <w:gridCol w:w="220"/>
              <w:gridCol w:w="425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52 % ou plus mais pas plus de 76 % d'oxyde de fer (III),</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13 % ou plus mais pas plus de 42 % d'oxyde de manganèse (II)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2 % ou plus mais pas plus de 22 % d'oxyde de zinc</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Mélange d’oxydes de métaux, sous forme de poudre,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soit 5 % ou plus de baryum, de néodyme ou de magnésium et 15 % ou plus de titane,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30 % ou plus de plomb et 5 % ou plus de niobium,</w:t>
                  </w:r>
                </w:p>
              </w:tc>
            </w:tr>
          </w:tbl>
          <w:p>
            <w:pPr>
              <w:pStyle w:val="Paragraph"/>
              <w:rPr>
                <w:noProof/>
                <w:lang w:val="fr-BE"/>
              </w:rPr>
            </w:pPr>
            <w:r>
              <w:rPr>
                <w:noProof/>
                <w:lang w:val="fr-BE"/>
              </w:rPr>
              <w:t>destiné à être utilisé dans la fabrication de films diélectriques ou destiné à être utilisé comme matériaux diélectriques dans la fabrication de condensateurs multicouches en céramique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lang w:val="fr-BE"/>
              </w:rPr>
            </w:pPr>
            <w:r>
              <w:rPr>
                <w:noProof/>
                <w:lang w:val="fr-BE"/>
              </w:rPr>
              <w:t>Oxyde de zirconium (ZrO</w:t>
            </w:r>
            <w:r>
              <w:rPr>
                <w:noProof/>
                <w:vertAlign w:val="subscript"/>
                <w:lang w:val="fr-BE"/>
              </w:rPr>
              <w:t>2</w:t>
            </w:r>
            <w:r>
              <w:rPr>
                <w:noProof/>
                <w:lang w:val="fr-BE"/>
              </w:rPr>
              <w:t>), stabilisé par de l’oxyde de calcium (numéro CAS 68937-53-1) d'une teneur en poids d'oxyde de zirconium de 92 % ou plus mais n'excédant pas 97 %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Hydroxyde de nickel dopé avec au minimum 12 % et au maximum 18 % en poids d'hydroxyde de zinc et d'hydroxyde de cobalt, du type utilisé pour la fabrication d'électrodes positives pour accumulateurs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Carrier, sous forme de poudre, constitué de :</w:t>
            </w:r>
          </w:p>
          <w:tbl>
            <w:tblPr>
              <w:tblStyle w:val="Listdash"/>
              <w:tblW w:w="0" w:type="auto"/>
              <w:tblLook w:val="0000" w:firstRow="0" w:lastRow="0" w:firstColumn="0" w:lastColumn="0" w:noHBand="0" w:noVBand="0"/>
            </w:tblPr>
            <w:tblGrid>
              <w:gridCol w:w="220"/>
              <w:gridCol w:w="288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Ferrite (oxyde de fer) (CAS RN 1309-37-1)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Oxyde de manganèse (CAS RN 1344-43-0)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Oxyde de magnésium (CAS RN 1309-48-4)</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Styrène acrylate copolymère</w:t>
                  </w:r>
                </w:p>
              </w:tc>
            </w:tr>
          </w:tbl>
          <w:p>
            <w:pPr>
              <w:pStyle w:val="Paragraph"/>
              <w:rPr>
                <w:noProof/>
                <w:lang w:val="fr-BE"/>
              </w:rPr>
            </w:pPr>
            <w:r>
              <w:rPr>
                <w:noProof/>
                <w:lang w:val="fr-BE"/>
              </w:rPr>
              <w:t>destiné à être mélangé à du toner sous forme de poudre, dans la fabrication de bouteilles ou cartouches d’encre/de toner pour télécopieurs, imprimantes d’ordinateurs ou pour photocopieurs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Magnésie électrofondue contenant au moins 15 % en poids de trioxyde de dichrome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Silicate d’aluminium et de sodium, sous forme de sphères d’un diamètre de:</w:t>
            </w:r>
          </w:p>
          <w:tbl>
            <w:tblPr>
              <w:tblStyle w:val="Listdash"/>
              <w:tblW w:w="0" w:type="auto"/>
              <w:tblLook w:val="0000" w:firstRow="0" w:lastRow="0" w:firstColumn="0" w:lastColumn="0" w:noHBand="0" w:noVBand="0"/>
            </w:tblPr>
            <w:tblGrid>
              <w:gridCol w:w="220"/>
              <w:gridCol w:w="323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soit 1,6 mm ou plus mais n’excédant pas 3,4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4 mm ou plus mais n’excédant pas 6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Poudre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28 % ou plus mais pas plus de 51 % de talc (CAS RN 14807-96-6),</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30,5 % ou plus mais pas plus de 48 % de dioxyde de silicium (quartz) (CAS RN 14808-60-7),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17 % ou plus mais pas plus de 26 % d’oxyde d’aluminium (CAS RN 1344-28-1)</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fr-BE"/>
              </w:rPr>
            </w:pPr>
            <w:r>
              <w:rPr>
                <w:noProof/>
                <w:lang w:val="fr-BE"/>
              </w:rPr>
              <w:t>Produit de réaction, contenant en poids:</w:t>
            </w:r>
          </w:p>
          <w:tbl>
            <w:tblPr>
              <w:tblStyle w:val="Listdash"/>
              <w:tblW w:w="0" w:type="auto"/>
              <w:tblLook w:val="0000" w:firstRow="0" w:lastRow="0" w:firstColumn="0" w:lastColumn="0" w:noHBand="0" w:noVBand="0"/>
            </w:tblPr>
            <w:tblGrid>
              <w:gridCol w:w="220"/>
              <w:gridCol w:w="383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40 % d’oxyde de molybdène,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plus mais pas plus de 50 % d’oxyde de nickel,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30 % ou plus mais pas plus de 70 % d’oxyde de tungstène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lang w:val="fr-BE"/>
              </w:rPr>
            </w:pPr>
            <w:r>
              <w:rPr>
                <w:noProof/>
                <w:lang w:val="fr-BE"/>
              </w:rPr>
              <w:t>Mélange de composition non stœchiométrique: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à structure cristalline,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principalement à base de spinelle d’aluminate de magnésium et d'adjuvants des phases de silicate et d'aluminates, dont 75 % du poids au moins se situe dans la fraction granulométrique comprise entre 1 et 3 mm et dont 25 % au plus se situe dans la fraction granulométrique comprise entre 0 et 1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fr-BE"/>
              </w:rPr>
            </w:pPr>
            <w:r>
              <w:rPr>
                <w:noProof/>
                <w:lang w:val="fr-BE"/>
              </w:rPr>
              <w:t>Préparation consistant en 2,4,7,9-tétraméthyldéc-5-yne-4,7-diol et en dioxyde de silicium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Mélange composé de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64 % en poids ou plus, mais n’excédant pas 74 % en poids de silice amorphe (CAS RN 7631-86-9)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25 % en poids ou plus, mais n’excédant pas 35 % en poids de butanone (CAS RN 78-93-3)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1 % en poids de 3-(2,3-époxypropoxy)propyltriméthoxysilane (CAS RN 2530-83-8)</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96</w:t>
            </w:r>
          </w:p>
        </w:tc>
        <w:tc>
          <w:tcPr>
            <w:tcW w:w="0" w:type="auto"/>
            <w:tcBorders>
              <w:left w:val="single" w:sz="2" w:space="0" w:color="auto"/>
            </w:tcBorders>
          </w:tcPr>
          <w:p>
            <w:pPr>
              <w:pStyle w:val="Paragraph"/>
              <w:jc w:val="center"/>
              <w:rPr>
                <w:noProof/>
              </w:rPr>
            </w:pPr>
            <w:r>
              <w:rPr>
                <w:noProof/>
              </w:rPr>
              <w:t>83</w:t>
            </w:r>
          </w:p>
        </w:tc>
        <w:tc>
          <w:tcPr>
            <w:tcW w:w="0" w:type="auto"/>
            <w:tcBorders>
              <w:left w:val="single" w:sz="2" w:space="0" w:color="auto"/>
            </w:tcBorders>
          </w:tcPr>
          <w:p>
            <w:pPr>
              <w:pStyle w:val="Paragraph"/>
              <w:rPr>
                <w:noProof/>
                <w:lang w:val="fr-BE"/>
              </w:rPr>
            </w:pPr>
            <w:r>
              <w:rPr>
                <w:noProof/>
                <w:lang w:val="fr-BE"/>
              </w:rPr>
              <w:t>Nitrure de bore cubique (CAS RN 10043-11-5) revêtu de nickel et/ou de phosphure de nickel (CAS RN 12035-64-2)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lang w:val="fr-BE"/>
              </w:rPr>
            </w:pPr>
            <w:r>
              <w:rPr>
                <w:noProof/>
                <w:lang w:val="fr-BE"/>
              </w:rPr>
              <w:t>Oxyde de platine (CAS RN 12035-82-4) fixé sur un support poreux en oxyde d'aluminium (CAS RN 1344-28-1),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0,1 % ou plus mais pas plus de 1 % de platine,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0,5 % ou plus mais pas plus de 5 % de dichlorure d'éthylaluminium (CAS RN 563-43-9)</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w:t>
            </w:r>
            <w:r>
              <w:rPr>
                <w:noProof/>
              </w:rPr>
              <w:t>ex 3826 00 10</w:t>
            </w:r>
          </w:p>
          <w:p>
            <w:pPr>
              <w:pStyle w:val="Paragraph"/>
              <w:rPr>
                <w:noProof/>
              </w:rPr>
            </w:pPr>
            <w:r>
              <w:rPr>
                <w:noProof/>
              </w:rPr>
              <w:t>ex 3826 00 10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29</w:t>
            </w:r>
          </w:p>
        </w:tc>
        <w:tc>
          <w:tcPr>
            <w:tcW w:w="0" w:type="auto"/>
            <w:vMerge w:val="restart"/>
            <w:tcBorders>
              <w:left w:val="single" w:sz="2" w:space="0" w:color="auto"/>
            </w:tcBorders>
          </w:tcPr>
          <w:p>
            <w:pPr>
              <w:pStyle w:val="Paragraph"/>
              <w:rPr>
                <w:noProof/>
                <w:lang w:val="fr-BE"/>
              </w:rPr>
            </w:pPr>
            <w:r>
              <w:rPr>
                <w:noProof/>
                <w:lang w:val="fr-BE"/>
              </w:rPr>
              <w:t>Mélange d'esters méthyliques d'acides gras contenant au minimum les composants suivants:</w:t>
            </w:r>
          </w:p>
          <w:tbl>
            <w:tblPr>
              <w:tblStyle w:val="Listdash"/>
              <w:tblW w:w="0" w:type="auto"/>
              <w:tblLook w:val="0000" w:firstRow="0" w:lastRow="0" w:firstColumn="0" w:lastColumn="0" w:noHBand="0" w:noVBand="0"/>
            </w:tblPr>
            <w:tblGrid>
              <w:gridCol w:w="220"/>
              <w:gridCol w:w="3018"/>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entre 65 % et 75 % en poids d'EMAG en C12,</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entre 21 % et 28 % en poids d'EMAG en C14,</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entre 4 % et 8 % en poids d'EMAG en C16,</w:t>
                  </w:r>
                </w:p>
              </w:tc>
            </w:tr>
          </w:tbl>
          <w:p>
            <w:pPr>
              <w:pStyle w:val="Paragraph"/>
              <w:rPr>
                <w:noProof/>
                <w:lang w:val="fr-BE"/>
              </w:rPr>
            </w:pPr>
            <w:r>
              <w:rPr>
                <w:noProof/>
                <w:lang w:val="fr-BE"/>
              </w:rPr>
              <w:t>et destiné à la fabrication de détergents, de produits d'entretien ménager et d'hygiène corporelle</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3826 00 10</w:t>
            </w:r>
          </w:p>
          <w:p>
            <w:pPr>
              <w:pStyle w:val="Paragraph"/>
              <w:rPr>
                <w:noProof/>
              </w:rPr>
            </w:pPr>
            <w:r>
              <w:rPr>
                <w:noProof/>
              </w:rPr>
              <w:t>ex 3826 00 10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59</w:t>
            </w:r>
          </w:p>
        </w:tc>
        <w:tc>
          <w:tcPr>
            <w:tcW w:w="0" w:type="auto"/>
            <w:vMerge w:val="restart"/>
            <w:tcBorders>
              <w:left w:val="single" w:sz="2" w:space="0" w:color="auto"/>
            </w:tcBorders>
          </w:tcPr>
          <w:p>
            <w:pPr>
              <w:pStyle w:val="Paragraph"/>
              <w:rPr>
                <w:noProof/>
                <w:lang w:val="fr-BE"/>
              </w:rPr>
            </w:pPr>
            <w:r>
              <w:rPr>
                <w:noProof/>
                <w:lang w:val="fr-BE"/>
              </w:rPr>
              <w:t>Mélange d'esters méthyliques d'acides gras (EMAG) contenant au moins en poids:</w:t>
            </w:r>
          </w:p>
          <w:tbl>
            <w:tblPr>
              <w:tblStyle w:val="Listdash"/>
              <w:tblW w:w="0" w:type="auto"/>
              <w:tblLook w:val="0000" w:firstRow="0" w:lastRow="0" w:firstColumn="0" w:lastColumn="0" w:noHBand="0" w:noVBand="0"/>
            </w:tblPr>
            <w:tblGrid>
              <w:gridCol w:w="220"/>
              <w:gridCol w:w="372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50 % ou plus mais n’excédant pas 58 % d'EMAG en C8,</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35 % ou plus mais n’excédant pas 50 % d'EMAG en C10</w:t>
                  </w:r>
                </w:p>
              </w:tc>
            </w:tr>
          </w:tbl>
          <w:p>
            <w:pPr>
              <w:pStyle w:val="Paragraph"/>
              <w:rPr>
                <w:noProof/>
                <w:lang w:val="fr-BE"/>
              </w:rPr>
            </w:pPr>
            <w:r>
              <w:rPr>
                <w:noProof/>
                <w:lang w:val="fr-BE"/>
              </w:rPr>
              <w:t>destiné à la fabrication d’acides gras en C8 ou C10 d’une grande pureté ou de mélanges de ces acides gras, ou d’ester méthylique d’acides gras en C8 ou C10 d’une grande pureté  </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3901 10 10</w:t>
            </w:r>
          </w:p>
          <w:p>
            <w:pPr>
              <w:pStyle w:val="Paragraph"/>
              <w:rPr>
                <w:noProof/>
              </w:rPr>
            </w:pPr>
            <w:r>
              <w:rPr>
                <w:noProof/>
              </w:rPr>
              <w:t>ex 3901 40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Polyéthylène-1-butène haute pression  à densité linéaire / PELBD (CAS RN 25087-34-7), sous forme de poudre, avec</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indice de fluidité à chaud (MFR 190 °C / 2,16 kg) de 16 g / 10 min ou plus, mais n'excédant pas 24 g / 10 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densité (ASTM D 1505) de 0,922 g/cm</w:t>
                  </w:r>
                  <w:r>
                    <w:rPr>
                      <w:noProof/>
                      <w:vertAlign w:val="superscript"/>
                      <w:lang w:val="fr-BE"/>
                    </w:rPr>
                    <w:t>3</w:t>
                  </w:r>
                  <w:r>
                    <w:rPr>
                      <w:noProof/>
                      <w:lang w:val="fr-BE"/>
                    </w:rPr>
                    <w:t xml:space="preserve"> ou plus, mais n'excédant pas 0,926 g/cm</w:t>
                  </w:r>
                  <w:r>
                    <w:rPr>
                      <w:noProof/>
                      <w:vertAlign w:val="superscript"/>
                      <w:lang w:val="fr-BE"/>
                    </w:rPr>
                    <w:t>3</w:t>
                  </w:r>
                  <w:r>
                    <w:rPr>
                      <w:noProof/>
                      <w:lang w:val="fr-BE"/>
                    </w:rPr>
                    <w:t>,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température de ramollissement Vicat d'au moins 94 °C</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m³</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3901 10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Granulés de polyéthylène contenant en poids 10 % ou plus mais pas plus de 25 % de cuivre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3901 40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Polyéthylène basse densité linéaire à base d'octène (LLDPE), sous forme de granulés, utilisé dans la coextrusion de films d'emballage alimentaire souple, et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plus, mais n'excédant pas 20 % en poids d'octène,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indice de fluidité à chaud de 9,0 ou plus, mais n’excédant pas 10,0 (conformément à la norme ASTM D 1238 10.0/2.16),</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indice de fusion (190 °C/2,16 kg) de 0,4 g/10 min. ou plus, mais n’excédant pas 0,6 g/10 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densité (ASTM D4703) de 0,909 g/cm³ ou plus, mais n’excédant pas 0,913 g/cm³,</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surface de gel ne dépassant pas 20 mm² par 24,6 cm³,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antioxydants n’excédant pas 240 ppm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3901 40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Polyéthylène basse densité linéaire (LLDPE) à base d'octène, fabriqué par une méthode de catalyse Ziegler-Natta, sous forme de granulés, et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10 % mais n'excédant pas 20 % en poids de copolymère,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indice de fluidité à chaud (MFR 190° C/2,16 kg) de 0,7 g /10 min. mais n'excédant pas 0,9 g /10 min.,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masse volumique (ASTM D4703) de 0,911 g/cm³ ou plus, mais n'excédant pas 0,913 g/cm³</w:t>
                  </w:r>
                </w:p>
              </w:tc>
            </w:tr>
          </w:tbl>
          <w:p>
            <w:pPr>
              <w:pStyle w:val="Paragraph"/>
              <w:rPr>
                <w:noProof/>
                <w:lang w:val="fr-BE"/>
              </w:rPr>
            </w:pPr>
            <w:r>
              <w:rPr>
                <w:noProof/>
                <w:lang w:val="fr-BE"/>
              </w:rPr>
              <w:t>utilisé pour la coextrusion de films pour emballages alimentaires souples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3901 40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Copolymère séquencé d’éthylène et d’octène, sous forme de pastilles,</w:t>
            </w:r>
          </w:p>
          <w:tbl>
            <w:tblPr>
              <w:tblStyle w:val="Listdash"/>
              <w:tblW w:w="0" w:type="auto"/>
              <w:tblLook w:val="0000" w:firstRow="0" w:lastRow="0" w:firstColumn="0" w:lastColumn="0" w:noHBand="0" w:noVBand="0"/>
            </w:tblPr>
            <w:tblGrid>
              <w:gridCol w:w="220"/>
              <w:gridCol w:w="4015"/>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densité égale ou supérieure à 0,862 mais inférieure à0,865,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étirable jusqu’à 200 % de sa longueur initiale, au moins,</w:t>
                  </w:r>
                </w:p>
              </w:tc>
            </w:tr>
            <w:tr>
              <w:tc>
                <w:tcPr>
                  <w:tcW w:w="0" w:type="auto"/>
                </w:tcPr>
                <w:p>
                  <w:pPr>
                    <w:pStyle w:val="Paragraph"/>
                    <w:rPr>
                      <w:noProof/>
                    </w:rPr>
                  </w:pPr>
                  <w:r>
                    <w:rPr>
                      <w:noProof/>
                    </w:rPr>
                    <w:t>—</w:t>
                  </w:r>
                </w:p>
              </w:tc>
              <w:tc>
                <w:tcPr>
                  <w:tcW w:w="0" w:type="auto"/>
                </w:tcPr>
                <w:p>
                  <w:pPr>
                    <w:pStyle w:val="Paragraph"/>
                    <w:rPr>
                      <w:noProof/>
                    </w:rPr>
                  </w:pPr>
                  <w:r>
                    <w:rPr>
                      <w:noProof/>
                    </w:rPr>
                    <w:t>présentant une hystérésis de 50 % (±10 %),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une déformation permanente n’excédant pas 20 %,</w:t>
                  </w:r>
                </w:p>
              </w:tc>
            </w:tr>
          </w:tbl>
          <w:p>
            <w:pPr>
              <w:pStyle w:val="Paragraph"/>
              <w:rPr>
                <w:noProof/>
                <w:lang w:val="fr-BE"/>
              </w:rPr>
            </w:pPr>
            <w:r>
              <w:rPr>
                <w:noProof/>
                <w:lang w:val="fr-BE"/>
              </w:rPr>
              <w:t>utilisé dans la fabrication de couches pour bébés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3901 90 80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fr-BE"/>
              </w:rPr>
            </w:pPr>
            <w:r>
              <w:rPr>
                <w:noProof/>
                <w:lang w:val="fr-BE"/>
              </w:rPr>
              <w:t>Copolymère d’éthylène et d’acide acrylique (CAS RN 9010-77-9) avec</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acide acrylique de 18,5 % ou plus mais pas plus de 49,5 % en poids (ASTM D 4094)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indice de fluidité à chaud à 14 g/10min (indice de fluidité à chaud 125 °C/2,16 kg, ASTM D 1238) ou plus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3901 90 80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Sel de zinc ou de sodium d'un copolymère d'éthylène et d'acide acrylique: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teneur en acide acrylique égale ou supérieure à 6 % mais n'excédant pas 50 %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indice de fluidité (MFR 190 C/2,16 kg, ASTM D1238) de 1 g/10 min au minimum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3901 90 80</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fr-BE"/>
              </w:rPr>
            </w:pPr>
            <w:r>
              <w:rPr>
                <w:noProof/>
                <w:lang w:val="fr-BE"/>
              </w:rPr>
              <w:t>Copolymère fabriqué exclusivement à partir de monomères d’éthylène et d’acide méthacrylique, dont la teneur en poids d'acide méthacrylique est de 11 %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3901 90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Copolymère d’éthylène et d'anhydride maléique, contenant ou non un autre comonomère oléfine et présentant un indice de fluidité (MFR 190 °C/2,16 kg), ASTM D 1238) de 1,3 g/10 min au minimum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3901 90 80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Mélange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80 % ou plus, mais pas plus de 94 %, de polyéthylène chloré (CAS RN 64754-90-1)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6 % ou plus, mais pas plus de 20 %, de copolymère styrène acrylique (CAS RN 27136-15-8)</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Résine ionomère constituée d’un sel d’un copolymère d’éthylène et d’acide méthacrylique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Polyéthylène chlorsulfoné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fr-BE"/>
              </w:rPr>
            </w:pPr>
            <w:r>
              <w:rPr>
                <w:noProof/>
                <w:lang w:val="fr-BE"/>
              </w:rPr>
              <w:t>Copolymère d’éthylène, d’acétate de vinyle et de monoxyde de carbone, destiné à être utilisé comme plastifiant dans la fabrication de feuilles pour toits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lang w:val="fr-BE"/>
              </w:rPr>
            </w:pPr>
            <w:r>
              <w:rPr>
                <w:noProof/>
                <w:lang w:val="fr-BE"/>
              </w:rPr>
              <w:t>Mélanges de copolymère en bloc du type A-B, de polystyrène et de copolymère éthylène-butylène, et de copolymère en bloc du type A-B-A, de polystyrène, de copolymère éthylène-butylène et de polystyrène, contenant en poids 35 % ou moins de styrène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3901 90 80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lang w:val="fr-BE"/>
              </w:rPr>
            </w:pPr>
            <w:r>
              <w:rPr>
                <w:noProof/>
                <w:lang w:val="fr-BE"/>
              </w:rPr>
              <w:t>Polyéthylène chloré, sous forme de poudre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3902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Polypropylène, ne contenant pas de plastifiant,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point de fusion de plus de 150 °C (d’après la méthode ASTM D 3417),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chaleur de fusion de 15 J/g ou plus mais n’excédant pas 70 J/g,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allongement à la rupture de 1 000 % ou plus (d’après la méthode ASTM D 638),</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module de résistance à la rupture par traction (tensile modulus) de 69 MPa ou plus mais n’excédant pas 379 MPa (d’après la méthode ASTM D 638)</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3902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Polypropylène, ne contenant pas de plastifiant,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résistance à la traction comprise entre 32et60MPa (déterminée par la méthode ASTM D638),</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résistance à la flexion comprise entre 50et90MPa (déterminée par la méthode ASTM D790),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indice de fluage à 230°C/2,16kg compris entre 5et 15g/10min (déterminé par la méthode ASTM D1238),</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teneur en polypropylène égale au minimum à 40 % mais ne dépassant pas 80 %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teneur en fibres de verre égale au minimum à 10 % mais ne dépassant pas 30 %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teneur en mica égale au minimum à 10 % mais ne dépassant pas 30 % en poids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3902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Polyisobutylène, d’une masse molaire moyenne en nombre (M</w:t>
            </w:r>
            <w:r>
              <w:rPr>
                <w:noProof/>
                <w:vertAlign w:val="subscript"/>
                <w:lang w:val="fr-BE"/>
              </w:rPr>
              <w:t>n</w:t>
            </w:r>
            <w:r>
              <w:rPr>
                <w:noProof/>
                <w:lang w:val="fr-BE"/>
              </w:rPr>
              <w:t>) de 700 ou plus mais n’excédant pas 800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3902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Polyisobutène hydrogéné, sous forme liquide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3902 30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Copolymère en bloc du type A-B, de polystyrène et d’un copolymère d’éthylène et de propylène, contenant en poids 40 % ou moins de styrène, sous l’une des formes visées à la note 6 point b) du chapitre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3902 30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fr-BE"/>
              </w:rPr>
            </w:pPr>
            <w:r>
              <w:rPr>
                <w:noProof/>
                <w:lang w:val="fr-BE"/>
              </w:rPr>
              <w:t>Copolymère en bloc du type A-B-A composé:</w:t>
            </w:r>
          </w:p>
          <w:tbl>
            <w:tblPr>
              <w:tblStyle w:val="Listdash"/>
              <w:tblW w:w="0" w:type="auto"/>
              <w:tblLook w:val="0000" w:firstRow="0" w:lastRow="0" w:firstColumn="0" w:lastColumn="0" w:noHBand="0" w:noVBand="0"/>
            </w:tblPr>
            <w:tblGrid>
              <w:gridCol w:w="220"/>
              <w:gridCol w:w="304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copolymère de propylène et d’éthylène et</w:t>
                  </w:r>
                </w:p>
              </w:tc>
            </w:tr>
            <w:tr>
              <w:tc>
                <w:tcPr>
                  <w:tcW w:w="0" w:type="auto"/>
                </w:tcPr>
                <w:p>
                  <w:pPr>
                    <w:pStyle w:val="Paragraph"/>
                    <w:rPr>
                      <w:noProof/>
                    </w:rPr>
                  </w:pPr>
                  <w:r>
                    <w:rPr>
                      <w:noProof/>
                    </w:rPr>
                    <w:t>—</w:t>
                  </w:r>
                </w:p>
              </w:tc>
              <w:tc>
                <w:tcPr>
                  <w:tcW w:w="0" w:type="auto"/>
                </w:tcPr>
                <w:p>
                  <w:pPr>
                    <w:pStyle w:val="Paragraph"/>
                    <w:rPr>
                      <w:noProof/>
                    </w:rPr>
                  </w:pPr>
                  <w:r>
                    <w:rPr>
                      <w:noProof/>
                    </w:rPr>
                    <w:t>de 21 % (± 3 %) en poids de polystyrène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3902 30 00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lang w:val="fr-BE"/>
              </w:rPr>
            </w:pPr>
            <w:r>
              <w:rPr>
                <w:noProof/>
                <w:lang w:val="fr-BE"/>
              </w:rPr>
              <w:t>Copolymère d’éthylène-propylène liquide avec:</w:t>
            </w:r>
          </w:p>
          <w:tbl>
            <w:tblPr>
              <w:tblStyle w:val="Listdash"/>
              <w:tblW w:w="0" w:type="auto"/>
              <w:tblLook w:val="0000" w:firstRow="0" w:lastRow="0" w:firstColumn="0" w:lastColumn="0" w:noHBand="0" w:noVBand="0"/>
            </w:tblPr>
            <w:tblGrid>
              <w:gridCol w:w="220"/>
              <w:gridCol w:w="355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point d’éclair de 250 °C ou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indice de viscosité de 150 ou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masse moléculaire en nombre (M</w:t>
                  </w:r>
                  <w:r>
                    <w:rPr>
                      <w:noProof/>
                      <w:vertAlign w:val="subscript"/>
                      <w:lang w:val="fr-BE"/>
                    </w:rPr>
                    <w:t>n</w:t>
                  </w:r>
                  <w:r>
                    <w:rPr>
                      <w:noProof/>
                      <w:lang w:val="fr-BE"/>
                    </w:rPr>
                    <w:t>) de 650 ou plus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3902 90 90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fr-BE"/>
              </w:rPr>
            </w:pPr>
            <w:r>
              <w:rPr>
                <w:noProof/>
                <w:lang w:val="fr-BE"/>
              </w:rPr>
              <w:t>Copolymère de polyalphaoléfine amorphe, mélange de 1-butène, un polymère avec 1-propène et une résine hydrocarbure de pétrole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3902 90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Élastomère thermoplastique avec une structure copolymère séquencée A-B-A de polystyrène, polyisobutylène et polystyrène, d’une teneur en polystyrène de 10 % ou plus, mais pas plus de 35 %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Résine 100 % aliphatique non hydrogénée (polymère),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liquide à température ambiante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obtenue par polymérisation cationique de monomères d’alcènes C5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masse moléculaire moyenne en nombre (Mn) égale à 370 (± 50)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masse moléculaire moyenne en masse (Mw) égale à 500 (± 100)</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3902 90 90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rPr>
            </w:pPr>
            <w:r>
              <w:rPr>
                <w:noProof/>
              </w:rPr>
              <w:t>Polymères de 4-méthylpent-1-ène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3902 90 90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lang w:val="fr-BE"/>
              </w:rPr>
            </w:pPr>
            <w:r>
              <w:rPr>
                <w:noProof/>
                <w:lang w:val="fr-BE"/>
              </w:rPr>
              <w:t>Polyoléfines chlorées, même dans une solution ou en dispersion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3902 90 90</w:t>
            </w:r>
          </w:p>
        </w:tc>
        <w:tc>
          <w:tcPr>
            <w:tcW w:w="0" w:type="auto"/>
            <w:tcBorders>
              <w:left w:val="single" w:sz="2" w:space="0" w:color="auto"/>
            </w:tcBorders>
          </w:tcPr>
          <w:p>
            <w:pPr>
              <w:pStyle w:val="Paragraph"/>
              <w:jc w:val="center"/>
              <w:rPr>
                <w:noProof/>
              </w:rPr>
            </w:pPr>
            <w:r>
              <w:rPr>
                <w:noProof/>
              </w:rPr>
              <w:t>98</w:t>
            </w:r>
          </w:p>
        </w:tc>
        <w:tc>
          <w:tcPr>
            <w:tcW w:w="0" w:type="auto"/>
            <w:tcBorders>
              <w:left w:val="single" w:sz="2" w:space="0" w:color="auto"/>
            </w:tcBorders>
          </w:tcPr>
          <w:p>
            <w:pPr>
              <w:pStyle w:val="Paragraph"/>
              <w:rPr>
                <w:noProof/>
                <w:lang w:val="fr-BE"/>
              </w:rPr>
            </w:pPr>
            <w:r>
              <w:rPr>
                <w:noProof/>
                <w:lang w:val="fr-BE"/>
              </w:rPr>
              <w:t>Poly-alpha-oléfines synthétiques avec une viscosité à 100° Celsius (mesurée selon la méthode ASTM D-445) comprise entre 3 et 9 centistokes et obtenues par polymérisation d’un mélange de dodécène et de tétradécène, contenant au maximum 40 % de tétradécène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3903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Polystyrène cristallin ayant:</w:t>
            </w:r>
          </w:p>
          <w:tbl>
            <w:tblPr>
              <w:tblStyle w:val="Listdash"/>
              <w:tblW w:w="0" w:type="auto"/>
              <w:tblLook w:val="0000" w:firstRow="0" w:lastRow="0" w:firstColumn="0" w:lastColumn="0" w:noHBand="0" w:noVBand="0"/>
            </w:tblPr>
            <w:tblGrid>
              <w:gridCol w:w="220"/>
              <w:gridCol w:w="388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point de fusion compris entre 268 °C et 272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point de solidification compris entre 232 °C et 247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ou non des additifs et du matériau de remplissage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3903 90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Copolymère sous forme de granules contenant en poids:</w:t>
            </w:r>
          </w:p>
          <w:tbl>
            <w:tblPr>
              <w:tblStyle w:val="Listdash"/>
              <w:tblW w:w="0" w:type="auto"/>
              <w:tblLook w:val="0000" w:firstRow="0" w:lastRow="0" w:firstColumn="0" w:lastColumn="0" w:noHBand="0" w:noVBand="0"/>
            </w:tblPr>
            <w:tblGrid>
              <w:gridCol w:w="220"/>
              <w:gridCol w:w="3957"/>
            </w:tblGrid>
            <w:tr>
              <w:tc>
                <w:tcPr>
                  <w:tcW w:w="0" w:type="auto"/>
                </w:tcPr>
                <w:p>
                  <w:pPr>
                    <w:pStyle w:val="Paragraph"/>
                    <w:rPr>
                      <w:noProof/>
                    </w:rPr>
                  </w:pPr>
                  <w:r>
                    <w:rPr>
                      <w:noProof/>
                    </w:rPr>
                    <w:t>—</w:t>
                  </w:r>
                </w:p>
              </w:tc>
              <w:tc>
                <w:tcPr>
                  <w:tcW w:w="0" w:type="auto"/>
                </w:tcPr>
                <w:p>
                  <w:pPr>
                    <w:pStyle w:val="Paragraph"/>
                    <w:rPr>
                      <w:noProof/>
                    </w:rPr>
                  </w:pPr>
                  <w:r>
                    <w:rPr>
                      <w:noProof/>
                    </w:rPr>
                    <w:t>78 (± 4 %) de styrène,</w:t>
                  </w:r>
                </w:p>
              </w:tc>
            </w:tr>
            <w:tr>
              <w:tc>
                <w:tcPr>
                  <w:tcW w:w="0" w:type="auto"/>
                </w:tcPr>
                <w:p>
                  <w:pPr>
                    <w:pStyle w:val="Paragraph"/>
                    <w:rPr>
                      <w:noProof/>
                    </w:rPr>
                  </w:pPr>
                  <w:r>
                    <w:rPr>
                      <w:noProof/>
                    </w:rPr>
                    <w:t>—</w:t>
                  </w:r>
                </w:p>
              </w:tc>
              <w:tc>
                <w:tcPr>
                  <w:tcW w:w="0" w:type="auto"/>
                </w:tcPr>
                <w:p>
                  <w:pPr>
                    <w:pStyle w:val="Paragraph"/>
                    <w:rPr>
                      <w:noProof/>
                    </w:rPr>
                  </w:pPr>
                  <w:r>
                    <w:rPr>
                      <w:noProof/>
                    </w:rPr>
                    <w:t>9 (± 2 %) d'acrylate de n-butyl,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11 (± 3 %) de méthacrylate de n-butyl,</w:t>
                  </w:r>
                </w:p>
              </w:tc>
            </w:tr>
            <w:tr>
              <w:tc>
                <w:tcPr>
                  <w:tcW w:w="0" w:type="auto"/>
                </w:tcPr>
                <w:p>
                  <w:pPr>
                    <w:pStyle w:val="Paragraph"/>
                    <w:rPr>
                      <w:noProof/>
                    </w:rPr>
                  </w:pPr>
                  <w:r>
                    <w:rPr>
                      <w:noProof/>
                    </w:rPr>
                    <w:t>—</w:t>
                  </w:r>
                </w:p>
              </w:tc>
              <w:tc>
                <w:tcPr>
                  <w:tcW w:w="0" w:type="auto"/>
                </w:tcPr>
                <w:p>
                  <w:pPr>
                    <w:pStyle w:val="Paragraph"/>
                    <w:rPr>
                      <w:noProof/>
                    </w:rPr>
                  </w:pPr>
                  <w:r>
                    <w:rPr>
                      <w:noProof/>
                    </w:rPr>
                    <w:t>1,5 (± 0,7 %) d'acide méthacrylique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0,01 % ou plus mais pas plus de 2,5 % de cire de polyoléfine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Copolymère sous forme de granules contenant en poids:</w:t>
            </w:r>
          </w:p>
          <w:tbl>
            <w:tblPr>
              <w:tblStyle w:val="Listdash"/>
              <w:tblW w:w="0" w:type="auto"/>
              <w:tblLook w:val="0000" w:firstRow="0" w:lastRow="0" w:firstColumn="0" w:lastColumn="0" w:noHBand="0" w:noVBand="0"/>
            </w:tblPr>
            <w:tblGrid>
              <w:gridCol w:w="220"/>
              <w:gridCol w:w="3837"/>
            </w:tblGrid>
            <w:tr>
              <w:tc>
                <w:tcPr>
                  <w:tcW w:w="0" w:type="auto"/>
                </w:tcPr>
                <w:p>
                  <w:pPr>
                    <w:pStyle w:val="Paragraph"/>
                    <w:rPr>
                      <w:noProof/>
                    </w:rPr>
                  </w:pPr>
                  <w:r>
                    <w:rPr>
                      <w:noProof/>
                    </w:rPr>
                    <w:t>—</w:t>
                  </w:r>
                </w:p>
              </w:tc>
              <w:tc>
                <w:tcPr>
                  <w:tcW w:w="0" w:type="auto"/>
                </w:tcPr>
                <w:p>
                  <w:pPr>
                    <w:pStyle w:val="Paragraph"/>
                    <w:rPr>
                      <w:noProof/>
                    </w:rPr>
                  </w:pPr>
                  <w:r>
                    <w:rPr>
                      <w:noProof/>
                    </w:rPr>
                    <w:t>83 ±3 % de styrène,</w:t>
                  </w:r>
                </w:p>
              </w:tc>
            </w:tr>
            <w:tr>
              <w:tc>
                <w:tcPr>
                  <w:tcW w:w="0" w:type="auto"/>
                </w:tcPr>
                <w:p>
                  <w:pPr>
                    <w:pStyle w:val="Paragraph"/>
                    <w:rPr>
                      <w:noProof/>
                    </w:rPr>
                  </w:pPr>
                  <w:r>
                    <w:rPr>
                      <w:noProof/>
                    </w:rPr>
                    <w:t>—</w:t>
                  </w:r>
                </w:p>
              </w:tc>
              <w:tc>
                <w:tcPr>
                  <w:tcW w:w="0" w:type="auto"/>
                </w:tcPr>
                <w:p>
                  <w:pPr>
                    <w:pStyle w:val="Paragraph"/>
                    <w:rPr>
                      <w:noProof/>
                    </w:rPr>
                  </w:pPr>
                  <w:r>
                    <w:rPr>
                      <w:noProof/>
                    </w:rPr>
                    <w:t>7 ±2 % d'acrylate de n-butyl,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9 ±2 % de méthacrylate de n-butyl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0,01 % ou plus mais pas plus de 1 % de cire de polyoléfine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Copolymère sous forme de granules contenant en poids:</w:t>
            </w:r>
          </w:p>
          <w:tbl>
            <w:tblPr>
              <w:tblStyle w:val="Listdash"/>
              <w:tblW w:w="0" w:type="auto"/>
              <w:tblLook w:val="0000" w:firstRow="0" w:lastRow="0" w:firstColumn="0" w:lastColumn="0" w:noHBand="0" w:noVBand="0"/>
            </w:tblPr>
            <w:tblGrid>
              <w:gridCol w:w="220"/>
              <w:gridCol w:w="3957"/>
            </w:tblGrid>
            <w:tr>
              <w:tc>
                <w:tcPr>
                  <w:tcW w:w="0" w:type="auto"/>
                </w:tcPr>
                <w:p>
                  <w:pPr>
                    <w:pStyle w:val="Paragraph"/>
                    <w:rPr>
                      <w:noProof/>
                    </w:rPr>
                  </w:pPr>
                  <w:r>
                    <w:rPr>
                      <w:noProof/>
                    </w:rPr>
                    <w:t>—</w:t>
                  </w:r>
                </w:p>
              </w:tc>
              <w:tc>
                <w:tcPr>
                  <w:tcW w:w="0" w:type="auto"/>
                </w:tcPr>
                <w:p>
                  <w:pPr>
                    <w:pStyle w:val="Paragraph"/>
                    <w:rPr>
                      <w:noProof/>
                    </w:rPr>
                  </w:pPr>
                  <w:r>
                    <w:rPr>
                      <w:noProof/>
                    </w:rPr>
                    <w:t>82 ±6 % de styrène,</w:t>
                  </w:r>
                </w:p>
              </w:tc>
            </w:tr>
            <w:tr>
              <w:tc>
                <w:tcPr>
                  <w:tcW w:w="0" w:type="auto"/>
                </w:tcPr>
                <w:p>
                  <w:pPr>
                    <w:pStyle w:val="Paragraph"/>
                    <w:rPr>
                      <w:noProof/>
                    </w:rPr>
                  </w:pPr>
                  <w:r>
                    <w:rPr>
                      <w:noProof/>
                    </w:rPr>
                    <w:t>—</w:t>
                  </w:r>
                </w:p>
              </w:tc>
              <w:tc>
                <w:tcPr>
                  <w:tcW w:w="0" w:type="auto"/>
                </w:tcPr>
                <w:p>
                  <w:pPr>
                    <w:pStyle w:val="Paragraph"/>
                    <w:rPr>
                      <w:noProof/>
                    </w:rPr>
                  </w:pPr>
                  <w:r>
                    <w:rPr>
                      <w:noProof/>
                    </w:rPr>
                    <w:t>13,5 ±3 % d'acrylate de n-butyl,</w:t>
                  </w:r>
                </w:p>
              </w:tc>
            </w:tr>
            <w:tr>
              <w:tc>
                <w:tcPr>
                  <w:tcW w:w="0" w:type="auto"/>
                </w:tcPr>
                <w:p>
                  <w:pPr>
                    <w:pStyle w:val="Paragraph"/>
                    <w:rPr>
                      <w:noProof/>
                    </w:rPr>
                  </w:pPr>
                  <w:r>
                    <w:rPr>
                      <w:noProof/>
                    </w:rPr>
                    <w:t>—</w:t>
                  </w:r>
                </w:p>
              </w:tc>
              <w:tc>
                <w:tcPr>
                  <w:tcW w:w="0" w:type="auto"/>
                </w:tcPr>
                <w:p>
                  <w:pPr>
                    <w:pStyle w:val="Paragraph"/>
                    <w:rPr>
                      <w:noProof/>
                    </w:rPr>
                  </w:pPr>
                  <w:r>
                    <w:rPr>
                      <w:noProof/>
                    </w:rPr>
                    <w:t>1 ±0,5 % d'acide méthacrylique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0,01 % ou plus mais pas plus de 8,5 % de cire de polyoléfine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3903 90 90</w:t>
            </w:r>
          </w:p>
          <w:p>
            <w:pPr>
              <w:pStyle w:val="Paragraph"/>
              <w:rPr>
                <w:noProof/>
              </w:rPr>
            </w:pPr>
            <w:r>
              <w:rPr>
                <w:noProof/>
              </w:rPr>
              <w:t>ex 3911 90 99</w:t>
            </w:r>
          </w:p>
        </w:tc>
        <w:tc>
          <w:tcPr>
            <w:tcW w:w="0" w:type="auto"/>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43</w:t>
            </w:r>
          </w:p>
        </w:tc>
        <w:tc>
          <w:tcPr>
            <w:tcW w:w="0" w:type="auto"/>
            <w:vMerge w:val="restart"/>
            <w:tcBorders>
              <w:left w:val="single" w:sz="2" w:space="0" w:color="auto"/>
            </w:tcBorders>
          </w:tcPr>
          <w:p>
            <w:pPr>
              <w:pStyle w:val="Paragraph"/>
              <w:rPr>
                <w:noProof/>
                <w:lang w:val="fr-BE"/>
              </w:rPr>
            </w:pPr>
            <w:r>
              <w:rPr>
                <w:noProof/>
                <w:lang w:val="fr-BE"/>
              </w:rPr>
              <w:t>Copolymère d’</w:t>
            </w:r>
            <w:r>
              <w:rPr>
                <w:i/>
                <w:iCs/>
                <w:noProof/>
              </w:rPr>
              <w:t>α</w:t>
            </w:r>
            <w:r>
              <w:rPr>
                <w:noProof/>
                <w:lang w:val="fr-BE"/>
              </w:rPr>
              <w:t>-méthylstyrène et de styrène, à point de ramollissement supérieur à 113 ºC</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noProof/>
              </w:rPr>
              <w:t>ex 3903 90 90</w:t>
            </w:r>
          </w:p>
          <w:p>
            <w:pPr>
              <w:pStyle w:val="Paragraph"/>
              <w:rPr>
                <w:noProof/>
              </w:rPr>
            </w:pPr>
            <w:r>
              <w:rPr>
                <w:noProof/>
              </w:rPr>
              <w:t>ex 3904 69 80</w:t>
            </w:r>
          </w:p>
        </w:tc>
        <w:tc>
          <w:tcPr>
            <w:tcW w:w="0" w:type="auto"/>
            <w:tcBorders>
              <w:left w:val="single" w:sz="2" w:space="0" w:color="auto"/>
              <w:bottom w:val="nil"/>
            </w:tcBorders>
          </w:tcPr>
          <w:p>
            <w:pPr>
              <w:pStyle w:val="Paragraph"/>
              <w:jc w:val="center"/>
              <w:rPr>
                <w:noProof/>
              </w:rPr>
            </w:pPr>
            <w:r>
              <w:rPr>
                <w:noProof/>
              </w:rPr>
              <w:t>38</w:t>
            </w:r>
          </w:p>
          <w:p>
            <w:pPr>
              <w:pStyle w:val="Paragraph"/>
              <w:jc w:val="center"/>
              <w:rPr>
                <w:noProof/>
              </w:rPr>
            </w:pPr>
            <w:r>
              <w:rPr>
                <w:noProof/>
              </w:rPr>
              <w:t>88</w:t>
            </w:r>
          </w:p>
        </w:tc>
        <w:tc>
          <w:tcPr>
            <w:tcW w:w="0" w:type="auto"/>
            <w:vMerge w:val="restart"/>
            <w:tcBorders>
              <w:left w:val="single" w:sz="2" w:space="0" w:color="auto"/>
            </w:tcBorders>
          </w:tcPr>
          <w:p>
            <w:pPr>
              <w:pStyle w:val="Paragraph"/>
              <w:rPr>
                <w:noProof/>
                <w:lang w:val="fr-BE"/>
              </w:rPr>
            </w:pPr>
            <w:r>
              <w:rPr>
                <w:noProof/>
                <w:lang w:val="fr-BE"/>
              </w:rPr>
              <w:t>Polytétrafluoroéthylène (CAS RN 9002-84-0) encapsulé à l'aide d'un copolymère acrylonitrile-styrène (CAS RN 9003-54-7) contenant en poids 50 % (± 1) de chaque polymère</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Préparation, en poudre,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86 % ou plus, mais pas plus de 90 % de copolymère styrène/acrylique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9 % ou plus, mais pas plus de 11 % d'éthoxylate d'acides gras (CAS RN 9004-81-3)</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lang w:val="fr-BE"/>
              </w:rPr>
            </w:pPr>
            <w:r>
              <w:rPr>
                <w:noProof/>
                <w:lang w:val="fr-BE"/>
              </w:rPr>
              <w:t>Copolymère sous forme de granules ayant une teneur en poids de:</w:t>
            </w:r>
          </w:p>
          <w:tbl>
            <w:tblPr>
              <w:tblStyle w:val="Listdash"/>
              <w:tblW w:w="0" w:type="auto"/>
              <w:tblLook w:val="0000" w:firstRow="0" w:lastRow="0" w:firstColumn="0" w:lastColumn="0" w:noHBand="0" w:noVBand="0"/>
            </w:tblPr>
            <w:tblGrid>
              <w:gridCol w:w="220"/>
              <w:gridCol w:w="3873"/>
            </w:tblGrid>
            <w:tr>
              <w:tc>
                <w:tcPr>
                  <w:tcW w:w="0" w:type="auto"/>
                </w:tcPr>
                <w:p>
                  <w:pPr>
                    <w:pStyle w:val="Paragraph"/>
                    <w:rPr>
                      <w:noProof/>
                    </w:rPr>
                  </w:pPr>
                  <w:r>
                    <w:rPr>
                      <w:noProof/>
                    </w:rPr>
                    <w:t>—</w:t>
                  </w:r>
                </w:p>
              </w:tc>
              <w:tc>
                <w:tcPr>
                  <w:tcW w:w="0" w:type="auto"/>
                </w:tcPr>
                <w:p>
                  <w:pPr>
                    <w:pStyle w:val="Paragraph"/>
                    <w:rPr>
                      <w:noProof/>
                    </w:rPr>
                  </w:pPr>
                  <w:r>
                    <w:rPr>
                      <w:noProof/>
                    </w:rPr>
                    <w:t>74 % (± 4 %) de styrène,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24 % (± 2 %) d’acrylate de n-butyle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0,01 % ou plus mais pas plus de 2 % d’acide méthacrylique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Préparation, en suspension aqueuse,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25 % ou plus, mais pas plus de 26 % de copolymère styrène/acrylique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5 % ou plus, mais pas plus de 6 % de glycol</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3903 90 90</w:t>
            </w:r>
          </w:p>
          <w:p>
            <w:pPr>
              <w:pStyle w:val="Paragraph"/>
              <w:rPr>
                <w:noProof/>
              </w:rPr>
            </w:pPr>
            <w:r>
              <w:rPr>
                <w:noProof/>
              </w:rPr>
              <w:t>ex 3911 90 99</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0" w:type="auto"/>
            <w:vMerge w:val="restart"/>
            <w:tcBorders>
              <w:left w:val="single" w:sz="2" w:space="0" w:color="auto"/>
            </w:tcBorders>
          </w:tcPr>
          <w:p>
            <w:pPr>
              <w:pStyle w:val="Paragraph"/>
              <w:rPr>
                <w:noProof/>
                <w:lang w:val="fr-BE"/>
              </w:rPr>
            </w:pPr>
            <w:r>
              <w:rPr>
                <w:noProof/>
                <w:lang w:val="fr-BE"/>
              </w:rPr>
              <w:t>Copolymère de styrène et d’anhydride maléique, sous forme de paillettes ou de poudre, partiellement estérifié ou totalement modifié chimiquement, d’une masse moléculaire moyenne (M</w:t>
            </w:r>
            <w:r>
              <w:rPr>
                <w:noProof/>
                <w:vertAlign w:val="subscript"/>
                <w:lang w:val="fr-BE"/>
              </w:rPr>
              <w:t>n</w:t>
            </w:r>
            <w:r>
              <w:rPr>
                <w:noProof/>
                <w:lang w:val="fr-BE"/>
              </w:rPr>
              <w:t>) n’excédant pas 4500</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Copolymère de styrène avec 2, 5-Furandione et (1-méthyléthyl)benzène sous forme de paillettes ou de poudre (numéro CAS 26762-29-8)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3903 90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Copolymère sous forme de granules ayant une teneur en poids de:</w:t>
            </w:r>
          </w:p>
          <w:tbl>
            <w:tblPr>
              <w:tblStyle w:val="Listdash"/>
              <w:tblW w:w="0" w:type="auto"/>
              <w:tblLook w:val="0000" w:firstRow="0" w:lastRow="0" w:firstColumn="0" w:lastColumn="0" w:noHBand="0" w:noVBand="0"/>
            </w:tblPr>
            <w:tblGrid>
              <w:gridCol w:w="220"/>
              <w:gridCol w:w="2725"/>
            </w:tblGrid>
            <w:tr>
              <w:tc>
                <w:tcPr>
                  <w:tcW w:w="0" w:type="auto"/>
                </w:tcPr>
                <w:p>
                  <w:pPr>
                    <w:pStyle w:val="Paragraph"/>
                    <w:rPr>
                      <w:noProof/>
                    </w:rPr>
                  </w:pPr>
                  <w:r>
                    <w:rPr>
                      <w:noProof/>
                    </w:rPr>
                    <w:t>—</w:t>
                  </w:r>
                </w:p>
              </w:tc>
              <w:tc>
                <w:tcPr>
                  <w:tcW w:w="0" w:type="auto"/>
                </w:tcPr>
                <w:p>
                  <w:pPr>
                    <w:pStyle w:val="Paragraph"/>
                    <w:rPr>
                      <w:noProof/>
                    </w:rPr>
                  </w:pPr>
                  <w:r>
                    <w:rPr>
                      <w:noProof/>
                    </w:rPr>
                    <w:t>75 % (± 7 %) de styrène et</w:t>
                  </w:r>
                </w:p>
              </w:tc>
            </w:tr>
            <w:tr>
              <w:tc>
                <w:tcPr>
                  <w:tcW w:w="0" w:type="auto"/>
                </w:tcPr>
                <w:p>
                  <w:pPr>
                    <w:pStyle w:val="Paragraph"/>
                    <w:rPr>
                      <w:noProof/>
                    </w:rPr>
                  </w:pPr>
                  <w:r>
                    <w:rPr>
                      <w:noProof/>
                    </w:rPr>
                    <w:t>—</w:t>
                  </w:r>
                </w:p>
              </w:tc>
              <w:tc>
                <w:tcPr>
                  <w:tcW w:w="0" w:type="auto"/>
                </w:tcPr>
                <w:p>
                  <w:pPr>
                    <w:pStyle w:val="Paragraph"/>
                    <w:rPr>
                      <w:noProof/>
                    </w:rPr>
                  </w:pPr>
                  <w:r>
                    <w:rPr>
                      <w:noProof/>
                    </w:rPr>
                    <w:t>25 % (± 7 %) de méthacrylate de méthyle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3903 90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Grains de copolymère de styrène et de divinylbenzène, d’un diamètre minimal de 150 µm et maximal de 800 µm et contenant en poids:</w:t>
            </w:r>
          </w:p>
          <w:tbl>
            <w:tblPr>
              <w:tblStyle w:val="Listdash"/>
              <w:tblW w:w="0" w:type="auto"/>
              <w:tblLook w:val="0000" w:firstRow="0" w:lastRow="0" w:firstColumn="0" w:lastColumn="0" w:noHBand="0" w:noVBand="0"/>
            </w:tblPr>
            <w:tblGrid>
              <w:gridCol w:w="220"/>
              <w:gridCol w:w="2482"/>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65 % au minimum de styrène,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25 % au maximum de divinylbenzène</w:t>
                  </w:r>
                </w:p>
              </w:tc>
            </w:tr>
          </w:tbl>
          <w:p>
            <w:pPr>
              <w:pStyle w:val="Paragraph"/>
              <w:rPr>
                <w:noProof/>
                <w:lang w:val="fr-BE"/>
              </w:rPr>
            </w:pPr>
            <w:r>
              <w:rPr>
                <w:noProof/>
                <w:lang w:val="fr-BE"/>
              </w:rPr>
              <w:t>entrant dans la fabrication de résines échangeuses d’ions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3903 90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Mélange contenant, en poids,</w:t>
            </w:r>
          </w:p>
          <w:tbl>
            <w:tblPr>
              <w:tblStyle w:val="Listdash"/>
              <w:tblW w:w="0" w:type="auto"/>
              <w:tblLook w:val="0000" w:firstRow="0" w:lastRow="0" w:firstColumn="0" w:lastColumn="0" w:noHBand="0" w:noVBand="0"/>
            </w:tblPr>
            <w:tblGrid>
              <w:gridCol w:w="220"/>
              <w:gridCol w:w="420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45 % au moins de polymères de styrène, mais pas plus de 65 %,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35 % au moins de poly(phénylène éther), mais pas plus de 45 %,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10 % d’autres d’additifs,</w:t>
                  </w:r>
                </w:p>
              </w:tc>
            </w:tr>
          </w:tbl>
          <w:p>
            <w:pPr>
              <w:pStyle w:val="Paragraph"/>
              <w:rPr>
                <w:noProof/>
                <w:lang w:val="fr-BE"/>
              </w:rPr>
            </w:pPr>
            <w:r>
              <w:rPr>
                <w:noProof/>
                <w:lang w:val="fr-BE"/>
              </w:rPr>
              <w:t>et présentant un ou plusieurs des effets de couleur spéciaux suivants: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aspect métallique ou perlé avec métamérisme angulaire dû à la présence d’au moins 0,3 % d’un pigment à base de paillettes,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fluorescence, mise en évidence par une émission de lumière lors de l’absorption du rayonnement ultraviolet,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blanc brillant, caractérisé par une valeur L* égale ou supérieure à 92, une valeur b* inférieure ou égale à2 et une valeur a* comprise entre -5 et 7 dans le modèle colorimétrique CIELab</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3904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Poudre de polychlorure de vinyle, non mélangée à d’autres substances et ne contenant aucun monomère d’acétate de vinyle,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degré de polymérisation de 1 000 (± 300) unités monomères,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coefficient de conductivité thermique (K) de 60 ou plus, mais n’excédant pas 70,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matières volatiles inférieure à 2,00 %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taux de refus au tamis n’excédant pas 1 % en poids pour une largeur de maille de 120 µm,</w:t>
                  </w:r>
                </w:p>
              </w:tc>
            </w:tr>
          </w:tbl>
          <w:p>
            <w:pPr>
              <w:pStyle w:val="Paragraph"/>
              <w:rPr>
                <w:noProof/>
                <w:lang w:val="fr-BE"/>
              </w:rPr>
            </w:pPr>
            <w:r>
              <w:rPr>
                <w:noProof/>
                <w:lang w:val="fr-BE"/>
              </w:rPr>
              <w:t>destinée à la fabrication de séparateurs de batterie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3904 30 00</w:t>
            </w:r>
          </w:p>
          <w:p>
            <w:pPr>
              <w:pStyle w:val="Paragraph"/>
              <w:rPr>
                <w:noProof/>
              </w:rPr>
            </w:pPr>
            <w:r>
              <w:rPr>
                <w:noProof/>
              </w:rPr>
              <w:t>ex 3904 40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91</w:t>
            </w:r>
          </w:p>
        </w:tc>
        <w:tc>
          <w:tcPr>
            <w:tcW w:w="0" w:type="auto"/>
            <w:vMerge w:val="restart"/>
            <w:tcBorders>
              <w:left w:val="single" w:sz="2" w:space="0" w:color="auto"/>
            </w:tcBorders>
          </w:tcPr>
          <w:p>
            <w:pPr>
              <w:pStyle w:val="Paragraph"/>
              <w:rPr>
                <w:noProof/>
                <w:lang w:val="fr-BE"/>
              </w:rPr>
            </w:pPr>
            <w:r>
              <w:rPr>
                <w:noProof/>
                <w:lang w:val="fr-BE"/>
              </w:rPr>
              <w:t>Copolymère de chlorure de vinyle, d’acétate de vinyle et d’alcool vinylique, contenant en poids:</w:t>
            </w:r>
          </w:p>
          <w:tbl>
            <w:tblPr>
              <w:tblStyle w:val="Listdash"/>
              <w:tblW w:w="0" w:type="auto"/>
              <w:tblLook w:val="0000" w:firstRow="0" w:lastRow="0" w:firstColumn="0" w:lastColumn="0" w:noHBand="0" w:noVBand="0"/>
            </w:tblPr>
            <w:tblGrid>
              <w:gridCol w:w="220"/>
              <w:gridCol w:w="388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87  % ou plus mais pas plus de 92  % de chlorure de vinyle,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  % ou plus mais pas plus de 9  % d’acétate de vinyle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8  % d’alcool vinylique,</w:t>
                  </w:r>
                </w:p>
              </w:tc>
            </w:tr>
          </w:tbl>
          <w:p>
            <w:pPr>
              <w:pStyle w:val="Paragraph"/>
              <w:rPr>
                <w:noProof/>
                <w:lang w:val="fr-BE"/>
              </w:rPr>
            </w:pPr>
            <w:r>
              <w:rPr>
                <w:noProof/>
                <w:lang w:val="fr-BE"/>
              </w:rPr>
              <w:t>sous l’une des formes visées à la note 6 points a) et b) du chapitre 39, destiné à la fabrication de produits de la position 3215 ou 8523 ou à être utilisé dans la fabrication de revêtements pour récipients et systèmes de fermeture des types utilisés pour les denrées alimentaires et les boissons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3904 50 90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fr-BE"/>
              </w:rPr>
            </w:pPr>
            <w:r>
              <w:rPr>
                <w:noProof/>
                <w:lang w:val="fr-BE"/>
              </w:rPr>
              <w:t>Copolymère de chlorure de vinylidène et de méthacrylate utilisé dans la fabrication de monofilaments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3904 61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Copolymère de tétrafluoroéthylène et de trifluoro(heptafluoropropoxy)éthylène, contenant 3,2 % ou plus mais pas plus de 4,6 % en poids de trifluoro(heptafluoropropoxy)éthylène et moins de 1 mg/kg d’ions fluorure extractibles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fr-BE"/>
              </w:rPr>
            </w:pPr>
            <w:r>
              <w:rPr>
                <w:noProof/>
                <w:lang w:val="fr-BE"/>
              </w:rPr>
              <w:t>Poly(fluorure de vinylidène) (CAS RN 24937-79-9)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3904 69 80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Copolymère d'éthylène et de chlorotrifluoroéthylène, même modifié par de l'hexafluoroisobutylène, sous forme de poudre, même avec charges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3904 69 80</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lang w:val="fr-BE"/>
              </w:rPr>
            </w:pPr>
            <w:r>
              <w:rPr>
                <w:noProof/>
                <w:lang w:val="fr-BE"/>
              </w:rPr>
              <w:t>Copolymère d’éthylène et de tétrafluoroéthylène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3904 69 80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lang w:val="fr-BE"/>
              </w:rPr>
            </w:pPr>
            <w:r>
              <w:rPr>
                <w:noProof/>
                <w:lang w:val="fr-BE"/>
              </w:rPr>
              <w:t>Polychlorotrifluoroéthylène, sous l’une des formes visées à la note 6 points a) et b) du chapitre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3904 69 80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lang w:val="fr-BE"/>
              </w:rPr>
            </w:pPr>
            <w:r>
              <w:rPr>
                <w:noProof/>
                <w:lang w:val="fr-BE"/>
              </w:rPr>
              <w:t>Copolymère de chlorotrifluoroéthylène et de difluorure de vinylidène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3905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Préparation visqueuse, composée principalement de poly(alcool vinylique) (CAS RN 9002-89-5), d’un solvant organique et d’eau, utilisée comme revêtement de protection des disques(wafers) lors de la fabrication de semi-conducteurs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3905 91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Copolymère d'éthylène et d'alcool vinylique hydrosoluble (CAS RN 26221-27-2), contenant en poids pas plus de 38 % de l'unité monomère éthylène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3905 99 90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rPr>
            </w:pPr>
            <w:r>
              <w:rPr>
                <w:noProof/>
              </w:rPr>
              <w:t>Polyvinylpyrrolidone hexadécylée ou eicosylée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3905 99 90</w:t>
            </w:r>
          </w:p>
        </w:tc>
        <w:tc>
          <w:tcPr>
            <w:tcW w:w="0" w:type="auto"/>
            <w:tcBorders>
              <w:left w:val="single" w:sz="2" w:space="0" w:color="auto"/>
            </w:tcBorders>
          </w:tcPr>
          <w:p>
            <w:pPr>
              <w:pStyle w:val="Paragraph"/>
              <w:jc w:val="center"/>
              <w:rPr>
                <w:noProof/>
              </w:rPr>
            </w:pPr>
            <w:r>
              <w:rPr>
                <w:noProof/>
              </w:rPr>
              <w:t>96</w:t>
            </w:r>
          </w:p>
        </w:tc>
        <w:tc>
          <w:tcPr>
            <w:tcW w:w="0" w:type="auto"/>
            <w:tcBorders>
              <w:left w:val="single" w:sz="2" w:space="0" w:color="auto"/>
            </w:tcBorders>
          </w:tcPr>
          <w:p>
            <w:pPr>
              <w:pStyle w:val="Paragraph"/>
              <w:rPr>
                <w:noProof/>
                <w:lang w:val="fr-BE"/>
              </w:rPr>
            </w:pPr>
            <w:r>
              <w:rPr>
                <w:noProof/>
                <w:lang w:val="fr-BE"/>
              </w:rPr>
              <w:t>Polymère de formal de vinyle, sous l’une des formes visées à la note 6 point b) du chapitre 39, d’une masse molaire moyenne en poids (M</w:t>
            </w:r>
            <w:r>
              <w:rPr>
                <w:noProof/>
                <w:vertAlign w:val="subscript"/>
                <w:lang w:val="fr-BE"/>
              </w:rPr>
              <w:t>w</w:t>
            </w:r>
            <w:r>
              <w:rPr>
                <w:noProof/>
                <w:lang w:val="fr-BE"/>
              </w:rPr>
              <w:t>) de 25 000 ou plus mais n’excédant pas 150 000 et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9,5 % ou plus mais pas plus de 13 % de groupes acétyle, evalués en acétate de vinyle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5 % ou plus mais pas plus de 6,5 % de groupes hydroxy, evalués en alcool vinylique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3905 99 90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lang w:val="fr-BE"/>
              </w:rPr>
            </w:pPr>
            <w:r>
              <w:rPr>
                <w:noProof/>
                <w:lang w:val="fr-BE"/>
              </w:rPr>
              <w:t>Povidone (DCI)-iode (CAS RN 25655-41-8)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3905 99 90</w:t>
            </w:r>
          </w:p>
        </w:tc>
        <w:tc>
          <w:tcPr>
            <w:tcW w:w="0" w:type="auto"/>
            <w:tcBorders>
              <w:left w:val="single" w:sz="2" w:space="0" w:color="auto"/>
            </w:tcBorders>
          </w:tcPr>
          <w:p>
            <w:pPr>
              <w:pStyle w:val="Paragraph"/>
              <w:jc w:val="center"/>
              <w:rPr>
                <w:noProof/>
              </w:rPr>
            </w:pPr>
            <w:r>
              <w:rPr>
                <w:noProof/>
              </w:rPr>
              <w:t>98</w:t>
            </w:r>
          </w:p>
        </w:tc>
        <w:tc>
          <w:tcPr>
            <w:tcW w:w="0" w:type="auto"/>
            <w:tcBorders>
              <w:left w:val="single" w:sz="2" w:space="0" w:color="auto"/>
            </w:tcBorders>
          </w:tcPr>
          <w:p>
            <w:pPr>
              <w:pStyle w:val="Paragraph"/>
              <w:rPr>
                <w:noProof/>
                <w:lang w:val="fr-BE"/>
              </w:rPr>
            </w:pPr>
            <w:r>
              <w:rPr>
                <w:noProof/>
                <w:lang w:val="fr-BE"/>
              </w:rPr>
              <w:t>Poly(pyrrolidone de vinyle) substitué partiellement par des groupes triacontyl, contenant en poids 78 % ou plus mais pas plus de 82 % de groupes triacontyl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3906 90 60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Copolymère d’acrylate de méthyle, d’éthylène et d’un monomère contenant un groupe carboxyle non terminal présent en tant que substituant, contenant en poids 50 % ou plus d’acrylate de méthyle, même mélangé avec du dioxyde de silicium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3906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Produit de polymérisation d’acide acrylique avec de faibles quantités d’un monomère polyinsaturé, destiné à la fabrication de médicaments de la position 3003 ou 3004</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Copolymère de méthacrylate de méthyle, d'acrylate de butyle, de méthacrylate de glycidyle et de styrène (CAS RN 37953-21-2), d'un poids équivalent d'époxy ne dépassant pas 500, sous la forme de paillettes avec une taille de particule n'excédant pas 1 cm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BE"/>
              </w:rPr>
            </w:pPr>
            <w:r>
              <w:rPr>
                <w:noProof/>
                <w:lang w:val="fr-BE"/>
              </w:rPr>
              <w:t>Copolymère de méthacrylate de stéaryle, d'acrylate d'isooctyle et d'acide acrylique, dissous dans du palmitate d'isopropyle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Copolymère d’acrylate de butyle et de méthacrylate d’alkyle, de type core-shell, de taille de particules de 5 µm ou plus mais pas plus de 10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fr-BE"/>
              </w:rPr>
            </w:pPr>
            <w:r>
              <w:rPr>
                <w:noProof/>
                <w:lang w:val="fr-BE"/>
              </w:rPr>
              <w:t>Copolymère de triméthacrylate de triméthylolpropane et de méthacrylate de méthyle (numéro CAS 28931-67-1), sous forme de microsphères d’un diamètre moyen de 3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Polymère acrylique transparent, conditionné en paquets de 1kg au maximum, non destiné à la vente au détail,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viscosité n’excédant pas 50000 Pa·s à 120 °C, telle que déterminée selon la méthode d’essai ASTMD 3835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masse moléculaire moyenne en masse (M</w:t>
                  </w:r>
                  <w:r>
                    <w:rPr>
                      <w:noProof/>
                      <w:vertAlign w:val="subscript"/>
                      <w:lang w:val="fr-BE"/>
                    </w:rPr>
                    <w:t>w</w:t>
                  </w:r>
                  <w:r>
                    <w:rPr>
                      <w:noProof/>
                      <w:lang w:val="fr-BE"/>
                    </w:rPr>
                    <w:t>) supérieure à 500 000 mais n’excédant pas 1 200 000, d’après un essai réalisé par chromatographie d’exclusion (CPG).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teneur résiduelle en monomère inférieure à 1 %</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lang w:val="fr-BE"/>
              </w:rPr>
            </w:pPr>
            <w:r>
              <w:rPr>
                <w:noProof/>
                <w:lang w:val="fr-BE"/>
              </w:rPr>
              <w:t>Poly(acrylate d’alkyle) avec une chaîne d’alkyle ester de C10 à C30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fr-BE"/>
              </w:rPr>
            </w:pPr>
            <w:r>
              <w:rPr>
                <w:noProof/>
                <w:lang w:val="fr-BE"/>
              </w:rPr>
              <w:t>Copolymère d'esters méthacryliques, d'acrylate de butyle et de diméthylsiloxanes cycliques (CAS RN 143106-82-5)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3906 90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Polymères d’esters de l’acide acrylique avec un ou plusieurs des monomères suivants dans la chaîne:</w:t>
            </w:r>
          </w:p>
          <w:tbl>
            <w:tblPr>
              <w:tblStyle w:val="Listdash"/>
              <w:tblW w:w="0" w:type="auto"/>
              <w:tblLook w:val="0000" w:firstRow="0" w:lastRow="0" w:firstColumn="0" w:lastColumn="0" w:noHBand="0" w:noVBand="0"/>
            </w:tblPr>
            <w:tblGrid>
              <w:gridCol w:w="220"/>
              <w:gridCol w:w="286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oxyde de chlorométhyle et de vinyle,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oxyde de chloroéthyle et de vinyle,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chlorométhylstyrène,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chloroacétate de vinyle,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acide méthacrylique,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ester monobutylique d’acide butènedioïque,</w:t>
                  </w:r>
                </w:p>
              </w:tc>
            </w:tr>
          </w:tbl>
          <w:p>
            <w:pPr>
              <w:pStyle w:val="Paragraph"/>
              <w:rPr>
                <w:noProof/>
                <w:lang w:val="fr-BE"/>
              </w:rPr>
            </w:pPr>
            <w:r>
              <w:rPr>
                <w:noProof/>
                <w:lang w:val="fr-BE"/>
              </w:rPr>
              <w:t>contenant en poids pas plus de 5 % de chacune des unités monomériques, sous l’une des formes visées à la note 6 point b) du chapitre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fr-BE"/>
              </w:rPr>
            </w:pPr>
            <w:r>
              <w:rPr>
                <w:noProof/>
                <w:lang w:val="fr-BE"/>
              </w:rPr>
              <w:t>Poudre de polyacrylamide ayant une dimension particulaire moyenne inférieure à 2 microns et un point de fusion de plus de 260°C, contenant en poids:</w:t>
            </w:r>
          </w:p>
          <w:tbl>
            <w:tblPr>
              <w:tblStyle w:val="Listdash"/>
              <w:tblW w:w="0" w:type="auto"/>
              <w:tblLook w:val="0000" w:firstRow="0" w:lastRow="0" w:firstColumn="0" w:lastColumn="0" w:noHBand="0" w:noVBand="0"/>
            </w:tblPr>
            <w:tblGrid>
              <w:gridCol w:w="220"/>
              <w:gridCol w:w="386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75 % ou plus mais pas plus de 85 % de polyacrylamide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15 % ou plus mais pas plus de 25 % de polyéthylène glycol</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3906 90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Dispersion aqueuse,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10 % mais n’excédant pas 15 % d'éthanol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7 % mais n’excédant pas 11 % d’un produit de réaction de poly(époxyalkylméthacrylate-co-divinylbenzène) avec un dérivé du glycérol</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rPr>
            </w:pPr>
            <w:r>
              <w:rPr>
                <w:noProof/>
              </w:rPr>
              <w:t>Preparation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33 % ou plus mais pas plus de 37 % de copolymère de méthacrylate de butyle et d'acide méthacrylique,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24 % ou plus mais pas plus de 28 % de propylène glycol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37 % ou plus mais pas plus de 41 % d'eau</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Mélange de copolymère oxirane-trioxane et de polytétrafluoroéthylène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3907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Polyoxyméthylène avec des extrémités acétyle, contenant du polydiméthylsiloxane et des fibres d'un copolymère d'acide téréphthalique et de 1,4-phénylènediamine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3907 20 11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Poly(oxyde d’éthylène) d’une masse molaire moyenne en nombre (M</w:t>
            </w:r>
            <w:r>
              <w:rPr>
                <w:noProof/>
                <w:vertAlign w:val="subscript"/>
                <w:lang w:val="fr-BE"/>
              </w:rPr>
              <w:t>n</w:t>
            </w:r>
            <w:r>
              <w:rPr>
                <w:noProof/>
                <w:lang w:val="fr-BE"/>
              </w:rPr>
              <w:t>) de 100 000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20 11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bis-[méthoxypoly(éthylène glycol)]-maléimidopropionamide, chimiquement modifié par de la lysine, d’une masse molaire moyenne en nombre (M</w:t>
            </w:r>
            <w:r>
              <w:rPr>
                <w:noProof/>
                <w:vertAlign w:val="subscript"/>
                <w:lang w:val="fr-BE"/>
              </w:rPr>
              <w:t>n</w:t>
            </w:r>
            <w:r>
              <w:rPr>
                <w:noProof/>
                <w:lang w:val="fr-BE"/>
              </w:rPr>
              <w:t>) de 40 000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3907 20 11</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Mélange de: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α-[3-[3-(2H-benzotriazole-2-yl)-5-(1,1-diméthyléthyle)-4-hydroxyphényle]-1-oxopropyl]-ω-hydroxypoly(oxo-1,2-éthanediyl) (CAS RN 104810-48-2) et</w:t>
                  </w:r>
                </w:p>
              </w:tc>
            </w:tr>
            <w:tr>
              <w:tc>
                <w:tcPr>
                  <w:tcW w:w="0" w:type="auto"/>
                </w:tcPr>
                <w:p>
                  <w:pPr>
                    <w:pStyle w:val="Paragraph"/>
                    <w:rPr>
                      <w:noProof/>
                    </w:rPr>
                  </w:pPr>
                  <w:r>
                    <w:rPr>
                      <w:noProof/>
                    </w:rPr>
                    <w:t>—</w:t>
                  </w:r>
                </w:p>
              </w:tc>
              <w:tc>
                <w:tcPr>
                  <w:tcW w:w="0" w:type="auto"/>
                </w:tcPr>
                <w:p>
                  <w:pPr>
                    <w:pStyle w:val="Paragraph"/>
                    <w:rPr>
                      <w:noProof/>
                    </w:rPr>
                  </w:pPr>
                  <w:r>
                    <w:rPr>
                      <w:noProof/>
                    </w:rPr>
                    <w:t>α-[3-[3-(2H-benzotriazole-2-yl)-5-(1,1-diméthyléthyle)-4-hydroxyphényle]-1-oxopropyl]-ω-[3-[3-(2H-benzotriazole-2-yl)-5-(1,1-diméthyléthyle)-4-hydroxyphényle]-1-oxopropoxy]poly(oxy-1,2-éthanediyle) (CAS RN 104810-47-1)</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3907 20 20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Polytétraméthylène éther glycol avec un poids moléculaire (Mw) d'au moins 2 700 mais n'excédant pas 3 100 (CAS RN 25190-06-1)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3907 20 20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Copolymère d’oxyde de propylène et d’oxyde de butylène, monododécyléther, contenant en poids:</w:t>
            </w:r>
          </w:p>
          <w:tbl>
            <w:tblPr>
              <w:tblStyle w:val="Listdash"/>
              <w:tblW w:w="0" w:type="auto"/>
              <w:tblLook w:val="0000" w:firstRow="0" w:lastRow="0" w:firstColumn="0" w:lastColumn="0" w:noHBand="0" w:noVBand="0"/>
            </w:tblPr>
            <w:tblGrid>
              <w:gridCol w:w="220"/>
              <w:gridCol w:w="3998"/>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48 % ou plus mais pas plus de 52 % d’oxyde de propylène,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48 % ou plus mais pas plus de 52 % d'oxyde de butylène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3907 20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 xml:space="preserve">Mélange, contenant en poids 70 % ou plus mais pas plus de 80 % d’un polymère de glycérol et de 1,2-époxypropane et 20 % ou plus mais pas plus de 30 % d’un copolymère de maléate de dibutyle et de </w:t>
            </w:r>
            <w:r>
              <w:rPr>
                <w:i/>
                <w:iCs/>
                <w:noProof/>
                <w:lang w:val="fr-BE"/>
              </w:rPr>
              <w:t>N</w:t>
            </w:r>
            <w:r>
              <w:rPr>
                <w:noProof/>
                <w:lang w:val="fr-BE"/>
              </w:rPr>
              <w:t>-vinyl-2-pyrrolidone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20 20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Mélange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5 % ou plus mais n’excédant pas 15 % d'un copolymère de glycérol, d'oxyde de propylène et d'oxyde d'éthylène (CAS RN 9082-00-2)</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85 % ou plus mais n’excédant pas 95 % d'un copolymère de saccharose, d'oxyde de propylène et d'oxyde d'éthylène (CAS RN 26301-10-0)</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20 20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Copolymère de tétrahydrofuranne et de 3-méthyl tétrahydrofuranne d’une masse molaire moyenne en nombre (M</w:t>
            </w:r>
            <w:r>
              <w:rPr>
                <w:noProof/>
                <w:vertAlign w:val="subscript"/>
                <w:lang w:val="fr-BE"/>
              </w:rPr>
              <w:t>n</w:t>
            </w:r>
            <w:r>
              <w:rPr>
                <w:noProof/>
                <w:lang w:val="fr-BE"/>
              </w:rPr>
              <w:t>) de 3 500 (± 100)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3907 20 20</w:t>
            </w:r>
          </w:p>
          <w:p>
            <w:pPr>
              <w:pStyle w:val="Paragraph"/>
              <w:rPr>
                <w:noProof/>
              </w:rPr>
            </w:pPr>
            <w:r>
              <w:rPr>
                <w:noProof/>
              </w:rPr>
              <w:t>ex 3907 20 99</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75</w:t>
            </w:r>
          </w:p>
        </w:tc>
        <w:tc>
          <w:tcPr>
            <w:tcW w:w="0" w:type="auto"/>
            <w:vMerge w:val="restart"/>
            <w:tcBorders>
              <w:left w:val="single" w:sz="2" w:space="0" w:color="auto"/>
            </w:tcBorders>
          </w:tcPr>
          <w:p>
            <w:pPr>
              <w:pStyle w:val="Paragraph"/>
              <w:rPr>
                <w:noProof/>
                <w:lang w:val="fr-BE"/>
              </w:rPr>
            </w:pPr>
            <w:r>
              <w:rPr>
                <w:noProof/>
                <w:lang w:val="fr-BE"/>
              </w:rPr>
              <w:t>Oxyde de poly(p-phénylène) sous forme de poudre: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température de transition vitreuse de 210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moléculaire  moyen (pm) égal ou supérieur à 35 000, mais n'excédant pas 80 000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indice logarithmique de viscosité égal ou supérieur à 0,2 mais n'excédant pas 0,6 dl/gramme</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3907 20 20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Éther mono-butylique de propylène glycol (CAS RN 9003-13-8) d'une alcalinité n'excédant pas 1 ppm de sodium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3907 20 99</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Poly(oxypropylène) ayant des groupes terminaux alkoxysilyl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20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2,3-Bis(méthylpolyoxyéthylène-oxy)-1-[(3-maléimido-1-oxopropyl)amino]propyloxy propane (CAS RN 697278-30-1), d'un poids moléculaire (Mw) d'au moins 20 kDa, modifié ou non par une entité chimique, rendant possible la liaison de PEG avec une protéine ou un peptide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20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Homopolymère de 1-chloro-2,3-époxypropane (épichlorhydrine)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20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N-(méthoxypoly(éthylène glycol)-N-(1-acétyl-(2-méthoxypoly (éthylène glycol))-glycine (CAS RN 600169-00-4) avec un poids moléculaire (Mw), pour le polyéthylène glycol, de 40 kDa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20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Copolymère d’oxyde d’éthylène et d’oxyde de propylène, ayant des groupes terminaux aminopropyl et méthoxy</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20 99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Polymère de type perfluoropolyéther à terminaison vinyl-silyle ou ensemble de deux éléments, comprenant le même polymère de type perfluoropolyéther à terminaison vinyl-silyle comme ingrédient principal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20 99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Ester de succinimidyl d’acide propionique méthoxy de glycol de poly(ethylene), d’une masse molaire moyenne en nombre (Mn) de 5 000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Polytétraméthylène oxyde di-p-aminobenzoate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3907 20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α-[3-(3-Maleimido-1-oxopropyl)amino]propyl-ω-methoxy, polyoxyethylene (CAS RN 883993-35-9) (EN)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3907 30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Résine époxyde, sans halogène,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teneur en phosphore supérieure à 2 % en poids du contenu solide, aggloméré par un liant chimique dans la résine époxyde,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teneur en chlorure hydrolysable nulle ou inférieure à 300 ppm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contenant un solvant,</w:t>
                  </w:r>
                </w:p>
              </w:tc>
            </w:tr>
          </w:tbl>
          <w:p>
            <w:pPr>
              <w:pStyle w:val="Paragraph"/>
              <w:rPr>
                <w:noProof/>
                <w:lang w:val="fr-BE"/>
              </w:rPr>
            </w:pPr>
            <w:r>
              <w:rPr>
                <w:noProof/>
                <w:lang w:val="fr-BE"/>
              </w:rPr>
              <w:t>destinée à être utilisée dans la fabrication de feuilles ou rouleaux préimprégnés utilisés pour la production de circuits imprimés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3907 30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Résine époxyde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en poids, 21 % ou plus de brome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teneur en chlorure hydrolysable nulle ou inférieure à 300 ppm et</w:t>
                  </w:r>
                </w:p>
              </w:tc>
            </w:tr>
            <w:tr>
              <w:tc>
                <w:tcPr>
                  <w:tcW w:w="0" w:type="auto"/>
                </w:tcPr>
                <w:p>
                  <w:pPr>
                    <w:pStyle w:val="Paragraph"/>
                    <w:rPr>
                      <w:noProof/>
                    </w:rPr>
                  </w:pPr>
                  <w:r>
                    <w:rPr>
                      <w:noProof/>
                    </w:rPr>
                    <w:t>—</w:t>
                  </w:r>
                </w:p>
              </w:tc>
              <w:tc>
                <w:tcPr>
                  <w:tcW w:w="0" w:type="auto"/>
                </w:tcPr>
                <w:p>
                  <w:pPr>
                    <w:pStyle w:val="Paragraph"/>
                    <w:rPr>
                      <w:noProof/>
                    </w:rPr>
                  </w:pPr>
                  <w:r>
                    <w:rPr>
                      <w:noProof/>
                    </w:rPr>
                    <w:t>contenant un solvant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3907 30 00</w:t>
            </w:r>
          </w:p>
          <w:p>
            <w:pPr>
              <w:pStyle w:val="Paragraph"/>
              <w:rPr>
                <w:noProof/>
              </w:rPr>
            </w:pPr>
            <w:r>
              <w:rPr>
                <w:noProof/>
              </w:rPr>
              <w:t>ex 3926 90 97</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70</w:t>
            </w:r>
          </w:p>
        </w:tc>
        <w:tc>
          <w:tcPr>
            <w:tcW w:w="0" w:type="auto"/>
            <w:vMerge w:val="restart"/>
            <w:tcBorders>
              <w:left w:val="single" w:sz="2" w:space="0" w:color="auto"/>
            </w:tcBorders>
          </w:tcPr>
          <w:p>
            <w:pPr>
              <w:pStyle w:val="Paragraph"/>
              <w:rPr>
                <w:noProof/>
                <w:lang w:val="fr-BE"/>
              </w:rPr>
            </w:pPr>
            <w:r>
              <w:rPr>
                <w:noProof/>
                <w:lang w:val="fr-BE"/>
              </w:rPr>
              <w:t>Résine époxyde, contenant en poids 70 % ou plus de dioxyde de silicium, destinée à l’encapsulation de produits des postitions 8533, 8535, 8536, 8541, 8542 ou 8548</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3907 30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Résine de polyglycérol polyglycidyl éther (CAS RN 118549-88-5)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3907 30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Préparation de résine époxy (CAS RN 29690-82-2) et de résine phénolique (CAS RN 9003-35-4)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65 % ou plus mais pas plus de 75 %, de dioxyde de silicium (CAS RN 60676-86-0),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 aucun ou pas plus de 0,5 % de noir de carbone (CAS RN 1333-86-4)</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3907 40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i/>
                <w:iCs/>
                <w:noProof/>
              </w:rPr>
              <w:t>α</w:t>
            </w:r>
            <w:r>
              <w:rPr>
                <w:noProof/>
              </w:rPr>
              <w:t>-Phénoxycarbonyl-</w:t>
            </w:r>
            <w:r>
              <w:rPr>
                <w:i/>
                <w:iCs/>
                <w:noProof/>
              </w:rPr>
              <w:t>ω</w:t>
            </w:r>
            <w:r>
              <w:rPr>
                <w:noProof/>
              </w:rPr>
              <w:t>-phénoxypoly[oxy(2,6-dibromo-1,4-phénylène) isopropylidène(3,5-dibromo-1,4-phénylène)oxycarbonyl](CAS RN 94334-64-2)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40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α-(2,4,6-Tribromophényl)-ω-(2,4,6-tribromophénoxy)poly[oxy(2,6-dibromo-1,4-phénylène)isopropylidène(3,5-dibromo-1,4-phénylène)oxycarbonyle] (CAS RN 71342-77-3)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3907 40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Polycarbonate de phosgène et  bisphénol A:</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en poids 12 % ou plus mais pas plus de  26 % d'un copolymère de chlorure d'isophthaloyle, de chlorure de téréphthaloyle et de résorcinol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avec extrémités de </w:t>
                  </w:r>
                  <w:r>
                    <w:rPr>
                      <w:i/>
                      <w:iCs/>
                      <w:noProof/>
                      <w:lang w:val="fr-BE"/>
                    </w:rPr>
                    <w:t>p</w:t>
                  </w:r>
                  <w:r>
                    <w:rPr>
                      <w:noProof/>
                      <w:lang w:val="fr-BE"/>
                    </w:rPr>
                    <w:t>-cumylphénol,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poids moléculaire moyen (pm) égal ou supérieur à 29 900, mais n'excédant pas 31 900</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3907 40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Polycarbonate de dichlorure carbonique, 4,4'-(1-méthyléthylidène)bis [2,6-dibromophénol] et 4,4'-(1-méthyléthylidène)bis [phénol]  avec extrémités de  4-(1-méthyl-1-phényléthyl)phénol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3907 69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Copolymère d'acide téréphtalique et d'acide isophtalique avec de l'éthylène glycol, du butane-1,4-diol et de l'hexane-1,6-diol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3907 69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Pastilles ou granulés de poly(éthylène téréphtalate)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densité égale ou supérieure à 1,23 mais inférieure à 1,27 à 23°C,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ne contenant pas plus de 10 % en poids d’autres régulateurs ou additifs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3907 70 00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Poly(acide lactique)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3907 91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Prépolymère de phtalate de diallyle, sous forme de poudre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3907 99 05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Copolyester cristal liquide à point de fusion non inférieur à 270 ºC, avec ou sans charges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3907 99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Poly(oxy-1,4-phénylènecarbonyle) (CAS RN 26099-71-8), sous forme de poudre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3907 99 80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Copolymère, constitué d'au minimum 72 % en poids d'acide téréphtalique et/ou de ses isomères et de cyclohexane diméthanol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noProof/>
              </w:rPr>
              <w:t>ex 3907 99 80</w:t>
            </w:r>
          </w:p>
          <w:p>
            <w:pPr>
              <w:pStyle w:val="Paragraph"/>
              <w:rPr>
                <w:noProof/>
              </w:rPr>
            </w:pPr>
            <w:r>
              <w:rPr>
                <w:noProof/>
              </w:rPr>
              <w:t>ex 3913 90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rPr>
            </w:pPr>
            <w:r>
              <w:rPr>
                <w:noProof/>
              </w:rPr>
              <w:t>Poly(hydroxyalcanoate), composé essentiellement de poly(3-hydroxybutyrate)</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rStyle w:val="FootnoteReference"/>
                <w:noProof/>
              </w:rPr>
              <w:t>*</w:t>
            </w:r>
            <w:r>
              <w:rPr>
                <w:noProof/>
              </w:rPr>
              <w:t>ex 3907 99 80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Copolymère sous forme de liquide clair de couleur jaune pâle, constitué:</w:t>
            </w:r>
          </w:p>
          <w:tbl>
            <w:tblPr>
              <w:tblStyle w:val="Listdash"/>
              <w:tblW w:w="0" w:type="auto"/>
              <w:tblLook w:val="0000" w:firstRow="0" w:lastRow="0" w:firstColumn="0" w:lastColumn="0" w:noHBand="0" w:noVBand="0"/>
            </w:tblPr>
            <w:tblGrid>
              <w:gridCol w:w="220"/>
              <w:gridCol w:w="333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d’isomères d’acide phtalique et/ou de diacides gras</w:t>
                  </w:r>
                </w:p>
              </w:tc>
            </w:tr>
            <w:tr>
              <w:tc>
                <w:tcPr>
                  <w:tcW w:w="0" w:type="auto"/>
                </w:tcPr>
                <w:p>
                  <w:pPr>
                    <w:pStyle w:val="Paragraph"/>
                    <w:rPr>
                      <w:noProof/>
                    </w:rPr>
                  </w:pPr>
                  <w:r>
                    <w:rPr>
                      <w:noProof/>
                    </w:rPr>
                    <w:t>—</w:t>
                  </w:r>
                </w:p>
              </w:tc>
              <w:tc>
                <w:tcPr>
                  <w:tcW w:w="0" w:type="auto"/>
                </w:tcPr>
                <w:p>
                  <w:pPr>
                    <w:pStyle w:val="Paragraph"/>
                    <w:rPr>
                      <w:noProof/>
                    </w:rPr>
                  </w:pPr>
                  <w:r>
                    <w:rPr>
                      <w:noProof/>
                    </w:rPr>
                    <w:t>de diols aliphatiques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groupes terminaux d’acides gras</w:t>
                  </w:r>
                </w:p>
              </w:tc>
            </w:tr>
          </w:tbl>
          <w:p>
            <w:pPr>
              <w:pStyle w:val="Paragraph"/>
              <w:rPr>
                <w:noProof/>
              </w:rPr>
            </w:pPr>
            <w:r>
              <w:rPr>
                <w:noProof/>
              </w:rPr>
              <w:t>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indice d'hydroxyle de 120 mg de KOH ou plus mais n’excédant pas 350 mg de KOH</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viscosité à 25 °C de 2 000 cP ou plus mais n’excédant pas 8 000 cP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indice d’acidité inférieur à 10 mg de KOH/g</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3907 99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 xml:space="preserve">Polycarbonate de phosgène, bisphénol A, résorcinol, chlorure d'isophthaloyle, chlorure de téréphthaloyle et polysiloxane, avec extrémités de </w:t>
            </w:r>
            <w:r>
              <w:rPr>
                <w:i/>
                <w:iCs/>
                <w:noProof/>
              </w:rPr>
              <w:t>p</w:t>
            </w:r>
            <w:r>
              <w:rPr>
                <w:noProof/>
              </w:rPr>
              <w:t>-cumylphénol, présentant un poids moléculaire moyen (pm) égal ou supérieur à 24 100, mais n'excédant pas 25 900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3907 99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Copolymère d’éthylène téréphtalate et de cyclohexane diméthanol contenant plus de 10 % en poids de cyclohexane diméthanol</w:t>
            </w:r>
          </w:p>
        </w:tc>
        <w:tc>
          <w:tcPr>
            <w:tcW w:w="0" w:type="auto"/>
            <w:tcBorders>
              <w:left w:val="single" w:sz="2" w:space="0" w:color="auto"/>
            </w:tcBorders>
          </w:tcPr>
          <w:p>
            <w:pPr>
              <w:pStyle w:val="Paragraph"/>
              <w:rPr>
                <w:noProof/>
              </w:rPr>
            </w:pPr>
            <w:r>
              <w:rPr>
                <w:noProof/>
              </w:rPr>
              <w:t>3.5 %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3907 99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Copolymère, composé d’au moins 72 % en poids d’acide téréphtalique et/ou de ses dérivés ainsi que de cyclohexandiméthanol, complété de diols linéaires et/ou cycliques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3908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Poly(iminométhylène-1,3-phénylèneméthylèneiminoadipoyle), sous l’une des formes visées à la note 6 point b) du chapitre 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3908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Produit de réaction de mélanges d'acides octadécanecarboxyliques polymérisés avec un polyétherdiamine aliphatique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3908 90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Polymère d'acide 1,4-benzènedicarboxylique avec 2-méthyl-1,8-octanediamine et 1,9-nonanediamine (numéro CAS 169284-22-4)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3908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Copolymère contenant:</w:t>
            </w:r>
          </w:p>
          <w:tbl>
            <w:tblPr>
              <w:tblStyle w:val="Listdash"/>
              <w:tblW w:w="0" w:type="auto"/>
              <w:tblLook w:val="0000" w:firstRow="0" w:lastRow="0" w:firstColumn="0" w:lastColumn="0" w:noHBand="0" w:noVBand="0"/>
            </w:tblPr>
            <w:tblGrid>
              <w:gridCol w:w="220"/>
              <w:gridCol w:w="360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 1,3-benzènediméthanamine (CAS RN 1477-55-0)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l'acide adipique (CAS RN 124-04-9),</w:t>
                  </w:r>
                </w:p>
              </w:tc>
            </w:tr>
          </w:tbl>
          <w:p>
            <w:pPr>
              <w:pStyle w:val="Paragraph"/>
              <w:rPr>
                <w:noProof/>
                <w:lang w:val="fr-BE"/>
              </w:rPr>
            </w:pPr>
            <w:r>
              <w:rPr>
                <w:noProof/>
                <w:lang w:val="fr-BE"/>
              </w:rPr>
              <w:t>contenant ou non de l'acide isophtalique (CAS RN 121-91-5)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3909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Mélange de polymères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60 % ou plus mais pas plus de 75 %, de résine de mélamine (CAS RN 9003-08-1),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15 % ou plus mais pas plus de 25 %, de silice (CAS RN 14808-60-7 ou 60676-86-0),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5 % ou plus mais pas plus de 15 %, de cellulose (CAS RN 9004-34-6),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15 %, de résine phénolique (CAS RN 25917-04-8)</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3909 40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Résine thermodurcissable sous forme de poudre dans laquelle des particules magnétiques ont été uniformément réparties, destinée à la fabrication d’encre pour photocopieurs, télécopieurs, imprimantes et appareils multifonctions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Photopolymère liquide hydrosoluble durcissable par UV, consistant en un mélange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60 % ou plus d'oligomères polyuréthanne acrylate bifonctionnels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30 % (± 8 %) de (méth)acrylates monofonctionnels et trifonctionnels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10 % (± 3 %) de (méth)acrylates monofonctionnels à fonction hydroxyle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Préparation contenant au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14 % ou plus mais pas plus de 18 % de polyurethane éthoxylé modifié avec des groupements hydrophobes,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3 % ou plus mais pas plus de 5 % d'amidon modifié par voie enzymatique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77 % ou plus mais pas plus de 83 % d'eau</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Préparation contenant au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16 % ou plus mais pas plus de 20 % de polyuréthane éthoxylé modifié avec des groupements hydrophobes,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19 % ou plus mais pas plus de 23 % de d'éther butylique du diéthylène glycol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60 % ou plus mais pas plus de 64 % d'eau</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3909 50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34 % ou plus mais pas plus de 36 % de polyuréthane éthoxylé modifié avec des groupments hydrophobes,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37 % ou plus mais pas plus de 39 % de propylène glycol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26 % ou plus mais pas plus de 28 % d'eau</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Diméthylsiloxane, méthylsiloxane (oxyde de propylène(polypropylène)) à terminaisons triméthylsiloxy (CAS RN 68957-00-6)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3910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Copolymère en bloc de poly(méthyl-3,3,3-trifluoropropylsiloxane) et de poly[méthyl(vinyl)siloxane]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Préparations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au moins 10 % de 2-hydroxy-3-[3-[1,3,3,3-tetraméthyl-1-[(triméthylsilyl)oxy] disiloxanyl] propoxy] propyl-2-méthyl-2-propénoate (CAS RN 69861-02-5), et</w:t>
                  </w:r>
                </w:p>
              </w:tc>
            </w:tr>
            <w:tr>
              <w:tc>
                <w:tcPr>
                  <w:tcW w:w="0" w:type="auto"/>
                </w:tcPr>
                <w:p>
                  <w:pPr>
                    <w:pStyle w:val="Paragraph"/>
                    <w:rPr>
                      <w:noProof/>
                    </w:rPr>
                  </w:pPr>
                  <w:r>
                    <w:rPr>
                      <w:noProof/>
                    </w:rPr>
                    <w:t>—</w:t>
                  </w:r>
                </w:p>
              </w:tc>
              <w:tc>
                <w:tcPr>
                  <w:tcW w:w="0" w:type="auto"/>
                </w:tcPr>
                <w:p>
                  <w:pPr>
                    <w:pStyle w:val="Paragraph"/>
                    <w:rPr>
                      <w:noProof/>
                    </w:rPr>
                  </w:pPr>
                  <w:r>
                    <w:rPr>
                      <w:noProof/>
                    </w:rPr>
                    <w:t>au moins 10 % de silicone polymère à terminaison en α-Butyldiméthylsilyl- ω -3-[(2-méthyl-1-oxo-2-propén-1-yl)oxy]propyl (CAS RN 146632-07-7)</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Préparations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au moins 30 % de polydiméthylsiloxane à terminaison en α -Butyldiméthylsilyl- ω -(3-méthacryloxy-2-hydroxypropyloxy)propyldiméthylsilyl (CAS RN 662148-59-6)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10 % de N,N–diméthylacrylamide (CAS RN 2680-03-7)</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Silicones des types utilisés pour la fabrication d'implants chirurgicaux à long terme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Polymère de diméthylsiloxane à terminaison hydroxy d’une viscosité de 38-45 mPa</w:t>
            </w:r>
            <w:r>
              <w:rPr>
                <w:noProof/>
              </w:rPr>
              <w:t>·</w:t>
            </w:r>
            <w:r>
              <w:rPr>
                <w:noProof/>
                <w:lang w:val="fr-BE"/>
              </w:rPr>
              <w:t>s (CAS RN 70131-67-8)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Adhésif sensible à la pression en silicone, contenant de la gomme copoly(diméthylsiloxane/diphénylsiloxane) et des solvants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55 % ou plus mais pas plus de 65 % de polydiméthylsiloxane à terminaison vinyle (CAS RN 68083-19-2),</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30 % ou plus mais pas plus de 40 % de silice triméthylée et diméthylée à terminaison vinyle (CAS RN 68988-89-6)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5 % d’acide silicique, de sel de sodium, de produits de la réaction entre l’alcool isopropylique et le chlorotriméthylsilane (CAS RN 68988-56-7)</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Polydiméthylsiloxane, substitué ou non par des groupements polyéthylène glycol et trifluoropropyle, avec groupements méthacrylate terminaux</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3910 00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Revêtement de passivation en silicone sous forme primaire, destiné à protéger les bords des dispositifs à semi-conducteurs et à prévenir les courts-circuits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Polydiméthylsiloxane à terminaison monométhacryloxypropyle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3911 10 00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fr-BE"/>
              </w:rPr>
            </w:pPr>
            <w:r>
              <w:rPr>
                <w:noProof/>
                <w:lang w:val="fr-BE"/>
              </w:rPr>
              <w:t>Résine hydrocarbure non-hydrogénée obtenue par polymérisation d'alcènes cycloaliphatiques C-5 à C-10 à raison de plus de 75 % en poids et d'alcènes aromatiques à raison de plus de 10 % en poids, mais pas plus de 25 %, donnant une résine hydrocarbure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indice d'iode supérieur à 120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couleur Gardner de plus de 10 pour le produit pur,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couleur Gardner de plus de 8 pour une solution à 50 % en poids par volume de toluène (d’après la méthode ASTM D6166)</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3911 90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Ensemble de deux composants, dans un rapport volumique de 1:1, destiné à produire un polydicyclopentadiène  thermodurcissable après mélange, chacun des deux composants contenant les éléments suivants: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83 % ou plus en poids de 3a,4,7,7a-tétrahydro-4,7-méthanoindène (dicyclopentadiène),</w:t>
                  </w:r>
                </w:p>
              </w:tc>
            </w:tr>
            <w:tr>
              <w:tc>
                <w:tcPr>
                  <w:tcW w:w="0" w:type="auto"/>
                </w:tcPr>
                <w:p>
                  <w:pPr>
                    <w:pStyle w:val="Paragraph"/>
                    <w:rPr>
                      <w:noProof/>
                    </w:rPr>
                  </w:pPr>
                  <w:r>
                    <w:rPr>
                      <w:noProof/>
                    </w:rPr>
                    <w:t>—</w:t>
                  </w:r>
                </w:p>
              </w:tc>
              <w:tc>
                <w:tcPr>
                  <w:tcW w:w="0" w:type="auto"/>
                </w:tcPr>
                <w:p>
                  <w:pPr>
                    <w:pStyle w:val="Paragraph"/>
                    <w:rPr>
                      <w:noProof/>
                    </w:rPr>
                  </w:pPr>
                  <w:r>
                    <w:rPr>
                      <w:noProof/>
                    </w:rPr>
                    <w:t>un caoutchouc synthétique,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même contenant en poids 7 % ou plus de tricyclopentadiène.</w:t>
                  </w:r>
                </w:p>
              </w:tc>
            </w:tr>
          </w:tbl>
          <w:p>
            <w:pPr>
              <w:pStyle w:val="Paragraph"/>
              <w:rPr>
                <w:noProof/>
                <w:lang w:val="fr-BE"/>
              </w:rPr>
            </w:pPr>
            <w:r>
              <w:rPr>
                <w:noProof/>
                <w:lang w:val="fr-BE"/>
              </w:rPr>
              <w:t>et chaque composant séparé contenant:</w:t>
            </w:r>
          </w:p>
          <w:tbl>
            <w:tblPr>
              <w:tblStyle w:val="Listdash"/>
              <w:tblW w:w="0" w:type="auto"/>
              <w:tblLook w:val="0000" w:firstRow="0" w:lastRow="0" w:firstColumn="0" w:lastColumn="0" w:noHBand="0" w:noVBand="0"/>
            </w:tblPr>
            <w:tblGrid>
              <w:gridCol w:w="220"/>
              <w:gridCol w:w="2775"/>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soit un composé d'aluminium-alkyle,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un complexe organique de tungstène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un complexe organique de molybdène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Copolymère d’éthylèneimine et de dithiocarbamate d’éthylèneimine, dans une solution aqueuse d’hydroxyde de sodium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Résine de m-Xylene formaldehyde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Sel de sodium de polycarboxylate obtenu à partir de 2,5-furannedione et 2,4,4-triméthylpentène, sous forme de poudre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Formaldéhyde, polymère avec 1,3-diméthylbenzène et tert-butylphénol (CAS RN 60806-48-6)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3911 90 19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Préparation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l'acide cyanique, de l'ester C,C'- [(1-méthyléthylidène)di-4,1-phénylène], un homopolymère (CAS RN 25722-66-1),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 1,3-bis(4-cyanophényl)propane (CAS RN 1156-51-0),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une solution de butanone (CAS RN 78-93-3) d'une teneur inférieure à 50 % en poids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3911 90 99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Copolymère de vinyltoluène et d'</w:t>
            </w:r>
            <w:r>
              <w:rPr>
                <w:i/>
                <w:iCs/>
                <w:noProof/>
              </w:rPr>
              <w:t>α</w:t>
            </w:r>
            <w:r>
              <w:rPr>
                <w:noProof/>
                <w:lang w:val="fr-BE"/>
              </w:rPr>
              <w:t>-méthylstyrène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1,4:5,8- diméthanonaphthalène, 2-éthylidène-1,2,3,4,4a,5,8,8a-octahydro-polymère avec 3a,4,7,7a-tétrahydro-4,7-méthano-1H-indène,hydrogéné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Copolymère alterné d’éthylène et d’anhydride maléique (EMA)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3911 90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Sel mixte de calcium et de sodium d’un copolymère d’acide maléique et d’oxyde de méthyle et de vinyle, ayant une teneur en calcium de 9 % ou plus mais pas plus de 16 %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3911 90 99</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Copolymère d’acide maléique et d’oxyde de méthyle et de vinyle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Polymère hydrogéné de 1,2,3,4,4a,5,8,8a-octahydro-1,4:5,8-diméthanonaphthalène, de 3a,4,7,7a-tétrahydro-4,7-méthano-1H-indène et de 4,4a,9,9a-tétrahydro-1,4-méthano-1H-fluorène (CAS RN 503442-46-4)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Polymère hydrogéné de 1,2,3,4,4a,5,8,8a-octahydro-1,4:5,8-diméthanonaphthalène et de 4,4a,9,9a-tétrahydro-1,4-méthano-1H-fluorène (CAS RN 503298-02-0)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3911 90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Sel de calcium et de zinc d’un copolymère d’acide maléique et d’oxyde de méthyle et de vinyle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3911 90 99</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rPr>
            </w:pPr>
            <w:r>
              <w:rPr>
                <w:noProof/>
              </w:rPr>
              <w:t>Copolymère d’éther méthylvinylique et d’anhydride d’acide maléique (CAS RN 9011-16-9)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3912 11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Triacetate de cellulose (CAS RN 9012-09-3)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3912 11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Poudre de diacétate de cellulose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3912 39 85</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Éthylcellulose non plastifiée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3912 39 85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Éthylcellulose, sous forme de dispersion aqueuse contenant de l’hexadécane-1-ol et du sulfate de sodium et de dodécyle, contenant en poids (27 ± 3) % d’éthylcellulose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3912 39 85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Cellulose, à la fois hydroxyéthylée et alkylée d’une longueur de chaîne alkyle de 3 atomes de carbone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3912 39 85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Hypromellose (DCI) (CAS RN 9004-65-3)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3912 39 85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Polyquaternium-10 (CAS RN 68610-92-4)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3912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Phtalate d'hydroxypropyl méthylcellulose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3913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Protéine modifiée chimiquement ou par voie enzymatique par carboxylation et/ou addition d'acide phtalique, même hydrolysées, présentant une masse moléculaire moyenne en poids (Mw) inférieure à 350 000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3913 90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Hyaluronate de sodium stérile (CAS RN 9067-32-7)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3913 90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fr-BE"/>
              </w:rPr>
            </w:pPr>
            <w:r>
              <w:rPr>
                <w:noProof/>
                <w:lang w:val="fr-BE"/>
              </w:rPr>
              <w:t>Acide chondroitinesulfurique, sel de sodium (CAS RN 9082-07-9)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3916 20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Profilés de poly(chlorure de vinyle) pour la construction de parement de mur de soutien/ palplanches, contenant les additifs suivants:</w:t>
            </w:r>
          </w:p>
          <w:tbl>
            <w:tblPr>
              <w:tblStyle w:val="Listdash"/>
              <w:tblW w:w="0" w:type="auto"/>
              <w:tblLook w:val="0000" w:firstRow="0" w:lastRow="0" w:firstColumn="0" w:lastColumn="0" w:noHBand="0" w:noVBand="0"/>
            </w:tblPr>
            <w:tblGrid>
              <w:gridCol w:w="220"/>
              <w:gridCol w:w="2024"/>
            </w:tblGrid>
            <w:tr>
              <w:tc>
                <w:tcPr>
                  <w:tcW w:w="0" w:type="auto"/>
                </w:tcPr>
                <w:p>
                  <w:pPr>
                    <w:pStyle w:val="Paragraph"/>
                    <w:rPr>
                      <w:noProof/>
                    </w:rPr>
                  </w:pPr>
                  <w:r>
                    <w:rPr>
                      <w:noProof/>
                    </w:rPr>
                    <w:t>—</w:t>
                  </w:r>
                </w:p>
              </w:tc>
              <w:tc>
                <w:tcPr>
                  <w:tcW w:w="0" w:type="auto"/>
                </w:tcPr>
                <w:p>
                  <w:pPr>
                    <w:pStyle w:val="Paragraph"/>
                    <w:rPr>
                      <w:noProof/>
                    </w:rPr>
                  </w:pPr>
                  <w:r>
                    <w:rPr>
                      <w:noProof/>
                    </w:rPr>
                    <w:t>dioxyde de titane</w:t>
                  </w:r>
                </w:p>
              </w:tc>
            </w:tr>
            <w:tr>
              <w:tc>
                <w:tcPr>
                  <w:tcW w:w="0" w:type="auto"/>
                </w:tcPr>
                <w:p>
                  <w:pPr>
                    <w:pStyle w:val="Paragraph"/>
                    <w:rPr>
                      <w:noProof/>
                    </w:rPr>
                  </w:pPr>
                  <w:r>
                    <w:rPr>
                      <w:noProof/>
                    </w:rPr>
                    <w:t>—</w:t>
                  </w:r>
                </w:p>
              </w:tc>
              <w:tc>
                <w:tcPr>
                  <w:tcW w:w="0" w:type="auto"/>
                </w:tcPr>
                <w:p>
                  <w:pPr>
                    <w:pStyle w:val="Paragraph"/>
                    <w:rPr>
                      <w:noProof/>
                    </w:rPr>
                  </w:pPr>
                  <w:r>
                    <w:rPr>
                      <w:noProof/>
                    </w:rPr>
                    <w:t>poly(méthacrylate de méthyle)</w:t>
                  </w:r>
                </w:p>
              </w:tc>
            </w:tr>
            <w:tr>
              <w:tc>
                <w:tcPr>
                  <w:tcW w:w="0" w:type="auto"/>
                </w:tcPr>
                <w:p>
                  <w:pPr>
                    <w:pStyle w:val="Paragraph"/>
                    <w:rPr>
                      <w:noProof/>
                    </w:rPr>
                  </w:pPr>
                  <w:r>
                    <w:rPr>
                      <w:noProof/>
                    </w:rPr>
                    <w:t>—</w:t>
                  </w:r>
                </w:p>
              </w:tc>
              <w:tc>
                <w:tcPr>
                  <w:tcW w:w="0" w:type="auto"/>
                </w:tcPr>
                <w:p>
                  <w:pPr>
                    <w:pStyle w:val="Paragraph"/>
                    <w:rPr>
                      <w:noProof/>
                    </w:rPr>
                  </w:pPr>
                  <w:r>
                    <w:rPr>
                      <w:noProof/>
                    </w:rPr>
                    <w:t>carbonate de calcium</w:t>
                  </w:r>
                </w:p>
              </w:tc>
            </w:tr>
            <w:tr>
              <w:tc>
                <w:tcPr>
                  <w:tcW w:w="0" w:type="auto"/>
                </w:tcPr>
                <w:p>
                  <w:pPr>
                    <w:pStyle w:val="Paragraph"/>
                    <w:rPr>
                      <w:noProof/>
                    </w:rPr>
                  </w:pPr>
                  <w:r>
                    <w:rPr>
                      <w:noProof/>
                    </w:rPr>
                    <w:t>—</w:t>
                  </w:r>
                </w:p>
              </w:tc>
              <w:tc>
                <w:tcPr>
                  <w:tcW w:w="0" w:type="auto"/>
                </w:tcPr>
                <w:p>
                  <w:pPr>
                    <w:pStyle w:val="Paragraph"/>
                    <w:rPr>
                      <w:noProof/>
                    </w:rPr>
                  </w:pPr>
                  <w:r>
                    <w:rPr>
                      <w:noProof/>
                    </w:rPr>
                    <w:t>agents liants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3916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Joncs à structure cellulaire, constitués: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de polyamide-6 ou de poly(époxy anhydride),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le cas échéant, de polytétrafluoroéthylène (au minimum 7 % et au maximum 9 %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matières de charge inorganiques (au minimum 10 % et au maximum 25 % en poids)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3917 40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Connecteurs en plastique contenant des joints toriques, une patte de fixation et un système de déverrouillage, destinés à être insérés dans les tuyaux de carburant des automobiles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3919 10 19</w:t>
            </w:r>
          </w:p>
          <w:p>
            <w:pPr>
              <w:pStyle w:val="Paragraph"/>
              <w:rPr>
                <w:noProof/>
              </w:rPr>
            </w:pP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25</w:t>
            </w:r>
          </w:p>
          <w:p>
            <w:pPr>
              <w:pStyle w:val="Paragraph"/>
              <w:jc w:val="center"/>
              <w:rPr>
                <w:noProof/>
              </w:rPr>
            </w:pPr>
            <w:r>
              <w:rPr>
                <w:noProof/>
              </w:rPr>
              <w:t>31</w:t>
            </w:r>
          </w:p>
        </w:tc>
        <w:tc>
          <w:tcPr>
            <w:tcW w:w="0" w:type="auto"/>
            <w:vMerge w:val="restart"/>
            <w:tcBorders>
              <w:left w:val="single" w:sz="2" w:space="0" w:color="auto"/>
            </w:tcBorders>
          </w:tcPr>
          <w:p>
            <w:pPr>
              <w:pStyle w:val="Paragraph"/>
              <w:rPr>
                <w:noProof/>
                <w:lang w:val="fr-BE"/>
              </w:rPr>
            </w:pPr>
            <w:r>
              <w:rPr>
                <w:noProof/>
                <w:lang w:val="fr-BE"/>
              </w:rPr>
              <w:t>Feuille réfléchissante, constituée d’une couche de polyuréthane présentant, sur une face, des marques de sécurité contre la contrefaçon, l’altération ou la substitution de données ou la duplication, ou une marque officielle pour un usage déterminé, et des billes de verre encastrées et, sur l’autre face, une couche adhésive, recouverte sur une face ou sur les deux faces d’une feuille de protection amovible</w:t>
            </w: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27</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rPr>
            </w:pPr>
            <w:r>
              <w:rPr>
                <w:noProof/>
              </w:rPr>
              <w:t>Film de polyester:</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revêtu sur une face d’un adhésif acrylique sensible à la température qui se décolle à des températures comprises entre 90 °C et 200 °C et d’une pellicule de protection amovible en polyester,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non revêtu sur l’autre face ou revêtu d’un adhésif acrylique sensible à la pression ou d’un adhésif acrylique sensible à la température qui se décolle à des températures comprises entre 90 °C et  200 °C, et d’une pellicule de protection amovible en polyester</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3919 10 80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Feuille réfléchissante, constituée d’une couche de poly(chlorure de vinyle), une couche de polyester alkyde, présentant, sur une face, des marques de sécurité contre la contrefaçon, l’altération ou la substitution de données ou la duplication, ou une marque officielle pour un usage déterminé, seulement visible au moyen d’un éclairage rétroréfléchissant, et des billes de verre encastrées et, sur l’autre face, une couche adhésive, recouverte sur une face ou sur les deux faces d’une feuille de protection amovible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3919 10 80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rPr>
            </w:pPr>
            <w:r>
              <w:rPr>
                <w:noProof/>
              </w:rPr>
              <w:t>Film de polytétrafluoroéthylène:</w:t>
            </w:r>
          </w:p>
          <w:tbl>
            <w:tblPr>
              <w:tblStyle w:val="Listdash"/>
              <w:tblW w:w="0" w:type="auto"/>
              <w:tblLook w:val="0000" w:firstRow="0" w:lastRow="0" w:firstColumn="0" w:lastColumn="0" w:noHBand="0" w:noVBand="0"/>
            </w:tblPr>
            <w:tblGrid>
              <w:gridCol w:w="220"/>
              <w:gridCol w:w="408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100µm au minimum,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allongement à la rupture de 100 %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revêtu sur une face d’un adhésif silicone sensible à la pression</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43</w:t>
            </w:r>
          </w:p>
        </w:tc>
        <w:tc>
          <w:tcPr>
            <w:tcW w:w="0" w:type="auto"/>
            <w:vMerge w:val="restart"/>
            <w:tcBorders>
              <w:left w:val="single" w:sz="2" w:space="0" w:color="auto"/>
            </w:tcBorders>
          </w:tcPr>
          <w:p>
            <w:pPr>
              <w:pStyle w:val="Paragraph"/>
              <w:rPr>
                <w:noProof/>
                <w:lang w:val="fr-BE"/>
              </w:rPr>
            </w:pPr>
            <w:r>
              <w:rPr>
                <w:noProof/>
                <w:lang w:val="fr-BE"/>
              </w:rPr>
              <w:t>Film de poly(chlorure de vinyle) noir:</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brillance supérieure à 30 degrés, mesurée selon la méthode d’analyse ASTM D2457,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 ou non, sur une face, d’un film de protection en poly(éthylène téréphtalate) et, sur l’autre, d’un adhésif rainuré sensible à la pression et d’une pellicule de protection amovible</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43</w:t>
            </w:r>
          </w:p>
          <w:p>
            <w:pPr>
              <w:pStyle w:val="Paragraph"/>
              <w:jc w:val="center"/>
              <w:rPr>
                <w:noProof/>
              </w:rPr>
            </w:pPr>
            <w:r>
              <w:rPr>
                <w:noProof/>
              </w:rPr>
              <w:t>26</w:t>
            </w:r>
          </w:p>
        </w:tc>
        <w:tc>
          <w:tcPr>
            <w:tcW w:w="0" w:type="auto"/>
            <w:vMerge w:val="restart"/>
            <w:tcBorders>
              <w:left w:val="single" w:sz="2" w:space="0" w:color="auto"/>
            </w:tcBorders>
          </w:tcPr>
          <w:p>
            <w:pPr>
              <w:pStyle w:val="Paragraph"/>
              <w:rPr>
                <w:noProof/>
                <w:lang w:val="fr-BE"/>
              </w:rPr>
            </w:pPr>
            <w:r>
              <w:rPr>
                <w:noProof/>
                <w:lang w:val="fr-BE"/>
              </w:rPr>
              <w:t>Film d'éthylène-acétate de vinyle: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100 µm ou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revêtu sur une face d'un adhésif acrylique sensible à la pression ou sensible aux UV et d'une pellicule de protection en polyester ou en polypropylène </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45</w:t>
            </w:r>
          </w:p>
        </w:tc>
        <w:tc>
          <w:tcPr>
            <w:tcW w:w="0" w:type="auto"/>
            <w:vMerge w:val="restart"/>
            <w:tcBorders>
              <w:left w:val="single" w:sz="2" w:space="0" w:color="auto"/>
            </w:tcBorders>
          </w:tcPr>
          <w:p>
            <w:pPr>
              <w:pStyle w:val="Paragraph"/>
              <w:rPr>
                <w:noProof/>
                <w:lang w:val="fr-BE"/>
              </w:rPr>
            </w:pPr>
            <w:r>
              <w:rPr>
                <w:noProof/>
                <w:lang w:val="fr-BE"/>
              </w:rPr>
              <w:t>Bande renforcée en mousse de polyéthylène, revêtue sur les deux faces, d’un adhésif acrylique sensible à la pression, à microcanaux et, sur une face, d’une feuille de protection amovible, d’une épaisseur d’application de 0,38 mm ou plus mais n’excédant pas 1,53 mm</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10 89</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41</w:t>
            </w:r>
          </w:p>
          <w:p>
            <w:pPr>
              <w:pStyle w:val="Paragraph"/>
              <w:jc w:val="center"/>
              <w:rPr>
                <w:noProof/>
              </w:rPr>
            </w:pPr>
            <w:r>
              <w:rPr>
                <w:noProof/>
              </w:rPr>
              <w:t>25</w:t>
            </w:r>
          </w:p>
        </w:tc>
        <w:tc>
          <w:tcPr>
            <w:tcW w:w="0" w:type="auto"/>
            <w:vMerge w:val="restart"/>
            <w:tcBorders>
              <w:left w:val="single" w:sz="2" w:space="0" w:color="auto"/>
            </w:tcBorders>
          </w:tcPr>
          <w:p>
            <w:pPr>
              <w:pStyle w:val="Paragraph"/>
              <w:rPr>
                <w:noProof/>
                <w:lang w:val="fr-BE"/>
              </w:rPr>
            </w:pPr>
            <w:r>
              <w:rPr>
                <w:noProof/>
                <w:lang w:val="fr-BE"/>
              </w:rPr>
              <w:t>Film adhésif constitué d’une base en copolymère d’éthylène et d’acétate de vinyle (EVA) d’une épaisseur de 70 µm ou plus et d’une partie adhésive de type acrylique d’une épaisseur de 5 µm ou plus,utilisé lors du polissage et / ou de la découpe de disques de silicium</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53</w:t>
            </w:r>
          </w:p>
        </w:tc>
        <w:tc>
          <w:tcPr>
            <w:tcW w:w="0" w:type="auto"/>
            <w:vMerge w:val="restart"/>
            <w:tcBorders>
              <w:left w:val="single" w:sz="2" w:space="0" w:color="auto"/>
            </w:tcBorders>
          </w:tcPr>
          <w:p>
            <w:pPr>
              <w:pStyle w:val="Paragraph"/>
              <w:rPr>
                <w:noProof/>
                <w:lang w:val="fr-BE"/>
              </w:rPr>
            </w:pPr>
            <w:r>
              <w:rPr>
                <w:noProof/>
                <w:lang w:val="fr-BE"/>
              </w:rPr>
              <w:t>Bande de mousse acrylique, recouverte sur une face d’un adhésif activable à la chaleur ou d’un adhésif acrylique sensible à la pression et sur l’autre face d’un adhésif acrylique sensible à la pression et d’une feuille de protection amovible, d’une adhésion par pelage (peel adhesion) à un angle de 90 º de plus de 25 N/cm (d’après la méthode ASTM D 3330)</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61 00</w:t>
            </w:r>
          </w:p>
        </w:tc>
        <w:tc>
          <w:tcPr>
            <w:tcW w:w="0" w:type="auto"/>
            <w:tcBorders>
              <w:left w:val="single" w:sz="2" w:space="0" w:color="auto"/>
              <w:bottom w:val="nil"/>
            </w:tcBorders>
          </w:tcPr>
          <w:p>
            <w:pPr>
              <w:pStyle w:val="Paragraph"/>
              <w:jc w:val="center"/>
              <w:rPr>
                <w:noProof/>
              </w:rPr>
            </w:pPr>
            <w:r>
              <w:rPr>
                <w:noProof/>
              </w:rPr>
              <w:t>57</w:t>
            </w:r>
          </w:p>
          <w:p>
            <w:pPr>
              <w:pStyle w:val="Paragraph"/>
              <w:jc w:val="center"/>
              <w:rPr>
                <w:noProof/>
              </w:rPr>
            </w:pPr>
            <w:r>
              <w:rPr>
                <w:noProof/>
              </w:rPr>
              <w:t>30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rPr>
            </w:pPr>
            <w:r>
              <w:rPr>
                <w:noProof/>
              </w:rPr>
              <w:t>Feuille réfléchissante constituée: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d’un film polymère acrylique ou de polycarbonate dont une des faces est entièrement estampée d’un motif régulier,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 sur une face ou sur les deux faces d’une ou plusieurs couches de matière plastique,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éventuellement recouvert sur une face d’une couche adhésive et d’une pellicule amovible</w:t>
                  </w:r>
                </w:p>
              </w:tc>
            </w:tr>
          </w:tbl>
          <w:p>
            <w:pPr>
              <w:pStyle w:val="Paragraph"/>
              <w:rPr>
                <w:noProof/>
                <w:lang w:val="fr-BE"/>
              </w:rPr>
            </w:pP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Pr>
          <w:p>
            <w:pPr>
              <w:pStyle w:val="Paragraph"/>
              <w:rPr>
                <w:noProof/>
              </w:rPr>
            </w:pPr>
            <w:r>
              <w:rPr>
                <w:noProof/>
              </w:rPr>
              <w:t>ex 3919 10 80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Feuille réfléchissante consistant en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de résine acrylique présentant des marques de sécurité contre la contrefaçon, l'altération ou la substitution de données ou la duplication, ou une marque officielle pour un usage déterminé,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de résine acrylique ayant intégré des billes de verre,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de résine acrylique durcie par un agent de réticulation en mélamine,</w:t>
                  </w:r>
                </w:p>
              </w:tc>
            </w:tr>
            <w:tr>
              <w:tc>
                <w:tcPr>
                  <w:tcW w:w="0" w:type="auto"/>
                </w:tcPr>
                <w:p>
                  <w:pPr>
                    <w:pStyle w:val="Paragraph"/>
                    <w:rPr>
                      <w:noProof/>
                    </w:rPr>
                  </w:pPr>
                  <w:r>
                    <w:rPr>
                      <w:noProof/>
                    </w:rPr>
                    <w:t>—</w:t>
                  </w:r>
                </w:p>
              </w:tc>
              <w:tc>
                <w:tcPr>
                  <w:tcW w:w="0" w:type="auto"/>
                </w:tcPr>
                <w:p>
                  <w:pPr>
                    <w:pStyle w:val="Paragraph"/>
                    <w:rPr>
                      <w:noProof/>
                    </w:rPr>
                  </w:pPr>
                  <w:r>
                    <w:rPr>
                      <w:noProof/>
                    </w:rPr>
                    <w:t>une couche métallique,</w:t>
                  </w:r>
                </w:p>
              </w:tc>
            </w:tr>
            <w:tr>
              <w:tc>
                <w:tcPr>
                  <w:tcW w:w="0" w:type="auto"/>
                </w:tcPr>
                <w:p>
                  <w:pPr>
                    <w:pStyle w:val="Paragraph"/>
                    <w:rPr>
                      <w:noProof/>
                    </w:rPr>
                  </w:pPr>
                  <w:r>
                    <w:rPr>
                      <w:noProof/>
                    </w:rPr>
                    <w:t>—</w:t>
                  </w:r>
                </w:p>
              </w:tc>
              <w:tc>
                <w:tcPr>
                  <w:tcW w:w="0" w:type="auto"/>
                </w:tcPr>
                <w:p>
                  <w:pPr>
                    <w:pStyle w:val="Paragraph"/>
                    <w:rPr>
                      <w:noProof/>
                    </w:rPr>
                  </w:pPr>
                  <w:r>
                    <w:rPr>
                      <w:noProof/>
                    </w:rPr>
                    <w:t>un adhésif acrylique et</w:t>
                  </w:r>
                </w:p>
              </w:tc>
            </w:tr>
            <w:tr>
              <w:tc>
                <w:tcPr>
                  <w:tcW w:w="0" w:type="auto"/>
                </w:tcPr>
                <w:p>
                  <w:pPr>
                    <w:pStyle w:val="Paragraph"/>
                    <w:rPr>
                      <w:noProof/>
                    </w:rPr>
                  </w:pPr>
                  <w:r>
                    <w:rPr>
                      <w:noProof/>
                    </w:rPr>
                    <w:t>—</w:t>
                  </w:r>
                </w:p>
              </w:tc>
              <w:tc>
                <w:tcPr>
                  <w:tcW w:w="0" w:type="auto"/>
                </w:tcPr>
                <w:p>
                  <w:pPr>
                    <w:pStyle w:val="Paragraph"/>
                    <w:rPr>
                      <w:noProof/>
                    </w:rPr>
                  </w:pPr>
                  <w:r>
                    <w:rPr>
                      <w:noProof/>
                    </w:rPr>
                    <w:t>une pellicule de protection</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75</w:t>
            </w:r>
          </w:p>
        </w:tc>
        <w:tc>
          <w:tcPr>
            <w:tcW w:w="0" w:type="auto"/>
            <w:vMerge w:val="restart"/>
            <w:tcBorders>
              <w:left w:val="single" w:sz="2" w:space="0" w:color="auto"/>
            </w:tcBorders>
          </w:tcPr>
          <w:p>
            <w:pPr>
              <w:pStyle w:val="Paragraph"/>
              <w:rPr>
                <w:noProof/>
                <w:lang w:val="fr-BE"/>
              </w:rPr>
            </w:pPr>
            <w:r>
              <w:rPr>
                <w:noProof/>
                <w:lang w:val="fr-BE"/>
              </w:rPr>
              <w:t>Rouleaux de feuilles de polyéthylène: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auto-adhésives sur une face,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de 0,025 mm ou plus mais pas plus de 0,09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totale de 60mm ou plus mais pas plus de 1110mm,</w:t>
                  </w:r>
                </w:p>
              </w:tc>
            </w:tr>
          </w:tbl>
          <w:p>
            <w:pPr>
              <w:pStyle w:val="Paragraph"/>
              <w:rPr>
                <w:noProof/>
                <w:lang w:val="fr-BE"/>
              </w:rPr>
            </w:pPr>
            <w:r>
              <w:rPr>
                <w:noProof/>
                <w:lang w:val="fr-BE"/>
              </w:rPr>
              <w:t>d’un type utilisé pour la protection de la surface de produits classés dans les positions 8521ou 8528</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73</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BE"/>
              </w:rPr>
            </w:pPr>
            <w:r>
              <w:rPr>
                <w:noProof/>
                <w:lang w:val="fr-BE"/>
              </w:rPr>
              <w:t>Feuille réfléchissante autoadhésive, découpée ou non en morceaux:</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ou non un filigrane,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couche de ruban adhésif sur un côté,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la feuille réfléchissante consiste en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de polymère acrylique ou vinylique,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de polyméthacrylate de méthyle ou de polycarbonate contenant des microprismes,</w:t>
                  </w:r>
                </w:p>
              </w:tc>
            </w:tr>
            <w:tr>
              <w:tc>
                <w:tcPr>
                  <w:tcW w:w="0" w:type="auto"/>
                </w:tcPr>
                <w:p>
                  <w:pPr>
                    <w:pStyle w:val="Paragraph"/>
                    <w:rPr>
                      <w:noProof/>
                    </w:rPr>
                  </w:pPr>
                  <w:r>
                    <w:rPr>
                      <w:noProof/>
                    </w:rPr>
                    <w:t>—</w:t>
                  </w:r>
                </w:p>
              </w:tc>
              <w:tc>
                <w:tcPr>
                  <w:tcW w:w="0" w:type="auto"/>
                </w:tcPr>
                <w:p>
                  <w:pPr>
                    <w:pStyle w:val="Paragraph"/>
                    <w:rPr>
                      <w:noProof/>
                    </w:rPr>
                  </w:pPr>
                  <w:r>
                    <w:rPr>
                      <w:noProof/>
                    </w:rPr>
                    <w:t>une couche de métallisation</w:t>
                  </w:r>
                </w:p>
              </w:tc>
            </w:tr>
            <w:tr>
              <w:tc>
                <w:tcPr>
                  <w:tcW w:w="0" w:type="auto"/>
                </w:tcPr>
                <w:p>
                  <w:pPr>
                    <w:pStyle w:val="Paragraph"/>
                    <w:rPr>
                      <w:noProof/>
                    </w:rPr>
                  </w:pPr>
                  <w:r>
                    <w:rPr>
                      <w:noProof/>
                    </w:rPr>
                    <w:t>—</w:t>
                  </w:r>
                </w:p>
              </w:tc>
              <w:tc>
                <w:tcPr>
                  <w:tcW w:w="0" w:type="auto"/>
                </w:tcPr>
                <w:p>
                  <w:pPr>
                    <w:pStyle w:val="Paragraph"/>
                    <w:rPr>
                      <w:noProof/>
                    </w:rPr>
                  </w:pPr>
                  <w:r>
                    <w:rPr>
                      <w:noProof/>
                    </w:rPr>
                    <w:t>une couche adhésive, et</w:t>
                  </w:r>
                </w:p>
              </w:tc>
            </w:tr>
            <w:tr>
              <w:tc>
                <w:tcPr>
                  <w:tcW w:w="0" w:type="auto"/>
                </w:tcPr>
                <w:p>
                  <w:pPr>
                    <w:pStyle w:val="Paragraph"/>
                    <w:rPr>
                      <w:noProof/>
                    </w:rPr>
                  </w:pPr>
                  <w:r>
                    <w:rPr>
                      <w:noProof/>
                    </w:rPr>
                    <w:t>—</w:t>
                  </w:r>
                </w:p>
              </w:tc>
              <w:tc>
                <w:tcPr>
                  <w:tcW w:w="0" w:type="auto"/>
                </w:tcPr>
                <w:p>
                  <w:pPr>
                    <w:pStyle w:val="Paragraph"/>
                    <w:rPr>
                      <w:noProof/>
                    </w:rPr>
                  </w:pPr>
                  <w:r>
                    <w:rPr>
                      <w:noProof/>
                    </w:rPr>
                    <w:t>une feuille détachable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comportant ou non une couche supplémentaire de polyester</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80</w:t>
            </w:r>
          </w:p>
        </w:tc>
        <w:tc>
          <w:tcPr>
            <w:tcW w:w="0" w:type="auto"/>
            <w:vMerge w:val="restart"/>
            <w:tcBorders>
              <w:left w:val="single" w:sz="2" w:space="0" w:color="auto"/>
            </w:tcBorders>
          </w:tcPr>
          <w:p>
            <w:pPr>
              <w:pStyle w:val="Paragraph"/>
              <w:rPr>
                <w:noProof/>
                <w:lang w:val="fr-BE"/>
              </w:rPr>
            </w:pPr>
            <w:r>
              <w:rPr>
                <w:noProof/>
                <w:lang w:val="fr-BE"/>
              </w:rPr>
              <w:t>Feuille réfléchissante auto-adhésive, constituée de plusieurs couches: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copolymère de résine acrylique,</w:t>
                  </w:r>
                </w:p>
              </w:tc>
            </w:tr>
            <w:tr>
              <w:tc>
                <w:tcPr>
                  <w:tcW w:w="0" w:type="auto"/>
                </w:tcPr>
                <w:p>
                  <w:pPr>
                    <w:pStyle w:val="Paragraph"/>
                    <w:rPr>
                      <w:noProof/>
                    </w:rPr>
                  </w:pPr>
                  <w:r>
                    <w:rPr>
                      <w:noProof/>
                    </w:rPr>
                    <w:t>—</w:t>
                  </w:r>
                </w:p>
              </w:tc>
              <w:tc>
                <w:tcPr>
                  <w:tcW w:w="0" w:type="auto"/>
                </w:tcPr>
                <w:p>
                  <w:pPr>
                    <w:pStyle w:val="Paragraph"/>
                    <w:rPr>
                      <w:noProof/>
                    </w:rPr>
                  </w:pPr>
                  <w:r>
                    <w:rPr>
                      <w:noProof/>
                    </w:rPr>
                    <w:t>polyuréthane,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couche métallisée présentant, sur une face, des marques laser contre la contrefaçon, l’altération ou la substitution de données ou la duplication, ou une marque officielle pour un usage déterminé,</w:t>
                  </w:r>
                </w:p>
              </w:tc>
            </w:tr>
            <w:tr>
              <w:tc>
                <w:tcPr>
                  <w:tcW w:w="0" w:type="auto"/>
                </w:tcPr>
                <w:p>
                  <w:pPr>
                    <w:pStyle w:val="Paragraph"/>
                    <w:rPr>
                      <w:noProof/>
                    </w:rPr>
                  </w:pPr>
                  <w:r>
                    <w:rPr>
                      <w:noProof/>
                    </w:rPr>
                    <w:t>—</w:t>
                  </w:r>
                </w:p>
              </w:tc>
              <w:tc>
                <w:tcPr>
                  <w:tcW w:w="0" w:type="auto"/>
                </w:tcPr>
                <w:p>
                  <w:pPr>
                    <w:pStyle w:val="Paragraph"/>
                    <w:rPr>
                      <w:noProof/>
                    </w:rPr>
                  </w:pPr>
                  <w:r>
                    <w:rPr>
                      <w:noProof/>
                    </w:rPr>
                    <w:t>microsphères de verre,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couche adhésive, recouverte sur une face ou sur les deux faces d’une pellicule de protection amovible</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3919 10 80</w:t>
            </w:r>
          </w:p>
          <w:p>
            <w:pPr>
              <w:pStyle w:val="Paragraph"/>
              <w:rPr>
                <w:noProof/>
              </w:rPr>
            </w:pPr>
            <w:r>
              <w:rPr>
                <w:noProof/>
              </w:rPr>
              <w:t>ex 3919 90 80</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28</w:t>
            </w:r>
          </w:p>
        </w:tc>
        <w:tc>
          <w:tcPr>
            <w:tcW w:w="0" w:type="auto"/>
            <w:vMerge w:val="restart"/>
            <w:tcBorders>
              <w:left w:val="single" w:sz="2" w:space="0" w:color="auto"/>
            </w:tcBorders>
          </w:tcPr>
          <w:p>
            <w:pPr>
              <w:pStyle w:val="Paragraph"/>
              <w:rPr>
                <w:noProof/>
                <w:lang w:val="fr-BE"/>
              </w:rPr>
            </w:pPr>
            <w:r>
              <w:rPr>
                <w:noProof/>
                <w:lang w:val="fr-BE"/>
              </w:rPr>
              <w:t>Film de poly(chlorure de vinyle), de poly(éthylène téréphtalate), de polyéthylène ou de toute autre polyoléfine: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revêtu sur une face d’un adhésif acrylique sensible aux UV et d’une pellicule de protection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au moins égale à 65 µm sans la pellicule de protection</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lang w:val="fr-BE"/>
              </w:rPr>
            </w:pPr>
            <w:r>
              <w:rPr>
                <w:noProof/>
                <w:lang w:val="fr-BE"/>
              </w:rPr>
              <w:t>Film autocollant transparent de poly(éthylène téréphtalate):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sans aucune impureté ou défaut,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revêtu, sur une face, d’un adhésif acrylique sensible à la pression et d’une pellicule de protection, et, sur l’autre, d’une couche antistatique d’un composé ionique organique de choline,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 ou non d’une couche antipoussière imprimable constituée d’un composé organique modifié de type alkyl à longue chaîne,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sans la feuille de protection de 54 µm ou plus mais n’excédant pas 64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supérieure à 1 295 mm mais n’excédant pas1 305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3919 90 80</w:t>
            </w:r>
          </w:p>
        </w:tc>
        <w:tc>
          <w:tcPr>
            <w:tcW w:w="0" w:type="auto"/>
            <w:tcBorders>
              <w:left w:val="single" w:sz="2" w:space="0" w:color="auto"/>
            </w:tcBorders>
          </w:tcPr>
          <w:p>
            <w:pPr>
              <w:pStyle w:val="Paragraph"/>
              <w:jc w:val="center"/>
              <w:rPr>
                <w:noProof/>
              </w:rPr>
            </w:pPr>
            <w:r>
              <w:rPr>
                <w:noProof/>
              </w:rPr>
              <w:t>21</w:t>
            </w:r>
          </w:p>
        </w:tc>
        <w:tc>
          <w:tcPr>
            <w:tcW w:w="0" w:type="auto"/>
            <w:tcBorders>
              <w:left w:val="single" w:sz="2" w:space="0" w:color="auto"/>
            </w:tcBorders>
          </w:tcPr>
          <w:p>
            <w:pPr>
              <w:pStyle w:val="Paragraph"/>
              <w:rPr>
                <w:noProof/>
              </w:rPr>
            </w:pPr>
            <w:r>
              <w:rPr>
                <w:noProof/>
              </w:rPr>
              <w:t>Film de polytétrafluoroéthylène,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d'une épaisseur de 50 </w:t>
                  </w:r>
                  <w:r>
                    <w:rPr>
                      <w:noProof/>
                    </w:rPr>
                    <w:t>μ</w:t>
                  </w:r>
                  <w:r>
                    <w:rPr>
                      <w:noProof/>
                      <w:lang w:val="fr-BE"/>
                    </w:rPr>
                    <w:t xml:space="preserve">m ou plus mais pas plus de 155 </w:t>
                  </w:r>
                  <w:r>
                    <w:rPr>
                      <w:noProof/>
                    </w:rPr>
                    <w:t>μ</w:t>
                  </w:r>
                  <w:r>
                    <w:rPr>
                      <w:noProof/>
                      <w:lang w:val="fr-BE"/>
                    </w:rPr>
                    <w:t>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6,30 mm ou plus mais pas plus de 585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allongement à la rupture de 200 % au maximum,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revêtu sur une face d'un adhésif silicone sensible à la pression d’une épaisseur n’excédant pas 40 </w:t>
                  </w:r>
                  <w:r>
                    <w:rPr>
                      <w:noProof/>
                    </w:rPr>
                    <w:t>μ</w:t>
                  </w:r>
                  <w:r>
                    <w:rPr>
                      <w:noProof/>
                      <w:lang w:val="fr-BE"/>
                    </w:rPr>
                    <w:t>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3919 90 80</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lang w:val="fr-BE"/>
              </w:rPr>
            </w:pPr>
            <w:r>
              <w:rPr>
                <w:noProof/>
                <w:lang w:val="fr-BE"/>
              </w:rPr>
              <w:t>Film de polyester, de polyéthylène ou de polypropylène recouvert sur une ou sur les deux faces d'un adhésif acrylique ou à base de caoutchouc sensible à la pression, fourni ou non avec pellicule antiadhésive, conditionné en rouleaux d’une largeur égale ou supérieure à 45,7 cm, mais n'excédant pas 160 cm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rPr>
            </w:pPr>
            <w:r>
              <w:rPr>
                <w:noProof/>
              </w:rPr>
              <w:t>Feuille constituée de 1 à 3 couches stratifiées de poly(éthylène téréphtalate) et d’un copolymère d’acide téréphtalique, d’acide sébacique et d’éthylène glycol, enduite sur une face d’un enduit acrylique résistant à l’abrasion et sur l’autre face d’un adhésif acrylique sensible à la pression, d’un enduit de méthylcellulose soluble dans l’eau et d’une feuille de protection en poly(éthylène téréphtalate)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3919 90 80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rPr>
            </w:pPr>
            <w:r>
              <w:rPr>
                <w:noProof/>
              </w:rPr>
              <w:t>Feuille stratifiée réfléchissante: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constituée d’une couche d’époxyacrylate estampée sur une face d’un motif régulier,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recouverte sur les deux faces d’une ou plusieurs couches de matière plastique,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recouverte sur une face d’une couche adhésive et d’un pellicule amovible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BE"/>
              </w:rPr>
            </w:pPr>
            <w:r>
              <w:rPr>
                <w:noProof/>
                <w:lang w:val="fr-BE"/>
              </w:rPr>
              <w:t>Films en poly(éthylènetéréphthalate), ayant une force d’adhérence de pas plus de 0,147 N/25 mm et une décharge électrostatique de pas plus de 500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Film autocollant transparent en poly(éthylène), sans aucune impureté ou défaut, recouvert sur une face d’un adhésif de contact acrylique, d’une épaisseur de 60 </w:t>
            </w:r>
            <w:r>
              <w:rPr>
                <w:noProof/>
              </w:rPr>
              <w:t>μ</w:t>
            </w:r>
            <w:r>
              <w:rPr>
                <w:noProof/>
                <w:lang w:val="fr-BE"/>
              </w:rPr>
              <w:t>m ou plus mais n’excédant pas 70 </w:t>
            </w:r>
            <w:r>
              <w:rPr>
                <w:noProof/>
              </w:rPr>
              <w:t>μ</w:t>
            </w:r>
            <w:r>
              <w:rPr>
                <w:noProof/>
                <w:lang w:val="fr-BE"/>
              </w:rPr>
              <w:t>m et d’une largeur de plus de 1 245 mm mais n’excédant pas 1 255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Feuille stratifiée réfléchissante en rouleaux, d’une largeur de plus de 20 cm, présentant un motif en relief régulier, consistant en un film de polychlorure de vinyle enduit d’un côté avec:</w:t>
            </w:r>
          </w:p>
          <w:tbl>
            <w:tblPr>
              <w:tblStyle w:val="Listdash"/>
              <w:tblW w:w="0" w:type="auto"/>
              <w:tblLook w:val="0000" w:firstRow="0" w:lastRow="0" w:firstColumn="0" w:lastColumn="0" w:noHBand="0" w:noVBand="0"/>
            </w:tblPr>
            <w:tblGrid>
              <w:gridCol w:w="220"/>
              <w:gridCol w:w="425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de polyuréthane contenant des microsphères de verre,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de poly(éthylène acétate de vinyle),</w:t>
                  </w:r>
                </w:p>
              </w:tc>
            </w:tr>
            <w:tr>
              <w:tc>
                <w:tcPr>
                  <w:tcW w:w="0" w:type="auto"/>
                </w:tcPr>
                <w:p>
                  <w:pPr>
                    <w:pStyle w:val="Paragraph"/>
                    <w:rPr>
                      <w:noProof/>
                    </w:rPr>
                  </w:pPr>
                  <w:r>
                    <w:rPr>
                      <w:noProof/>
                    </w:rPr>
                    <w:t>—</w:t>
                  </w:r>
                </w:p>
              </w:tc>
              <w:tc>
                <w:tcPr>
                  <w:tcW w:w="0" w:type="auto"/>
                </w:tcPr>
                <w:p>
                  <w:pPr>
                    <w:pStyle w:val="Paragraph"/>
                    <w:rPr>
                      <w:noProof/>
                    </w:rPr>
                  </w:pPr>
                  <w:r>
                    <w:rPr>
                      <w:noProof/>
                    </w:rPr>
                    <w:t>une couche adhésive et</w:t>
                  </w:r>
                </w:p>
              </w:tc>
            </w:tr>
            <w:tr>
              <w:tc>
                <w:tcPr>
                  <w:tcW w:w="0" w:type="auto"/>
                </w:tcPr>
                <w:p>
                  <w:pPr>
                    <w:pStyle w:val="Paragraph"/>
                    <w:rPr>
                      <w:noProof/>
                    </w:rPr>
                  </w:pPr>
                  <w:r>
                    <w:rPr>
                      <w:noProof/>
                    </w:rPr>
                    <w:t>—</w:t>
                  </w:r>
                </w:p>
              </w:tc>
              <w:tc>
                <w:tcPr>
                  <w:tcW w:w="0" w:type="auto"/>
                </w:tcPr>
                <w:p>
                  <w:pPr>
                    <w:pStyle w:val="Paragraph"/>
                    <w:rPr>
                      <w:noProof/>
                    </w:rPr>
                  </w:pPr>
                  <w:r>
                    <w:rPr>
                      <w:noProof/>
                    </w:rPr>
                    <w:t>une feuille amovible</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fr-BE"/>
              </w:rPr>
            </w:pPr>
            <w:r>
              <w:rPr>
                <w:noProof/>
                <w:lang w:val="fr-BE"/>
              </w:rPr>
              <w:t>Film de polyéthylène ou de polycarbonate, découpé en formes prêtes à l’emploi, avec:</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face partiellement imprimée, donnant de l’information sur les LED visibles aux endroits non imprimés ou signalant les points à toucher pour faire fonctionner le système,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l’autre face partiellement recouverte d'une couche adhésive,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pellicule antiadhésive sur chaque face,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dimensions n'excédant pas 14 cm x 2,5 cm,</w:t>
                  </w:r>
                </w:p>
              </w:tc>
            </w:tr>
          </w:tbl>
          <w:p>
            <w:pPr>
              <w:pStyle w:val="Paragraph"/>
              <w:rPr>
                <w:noProof/>
                <w:lang w:val="fr-BE"/>
              </w:rPr>
            </w:pPr>
            <w:r>
              <w:rPr>
                <w:noProof/>
                <w:lang w:val="fr-BE"/>
              </w:rPr>
              <w:t>destiné à la fabrication d’interrupteurs à bouton-poussoir pour mobilier réglable à système mécatronique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49</w:t>
            </w:r>
          </w:p>
        </w:tc>
        <w:tc>
          <w:tcPr>
            <w:tcW w:w="0" w:type="auto"/>
            <w:tcBorders>
              <w:left w:val="single" w:sz="2" w:space="0" w:color="auto"/>
            </w:tcBorders>
          </w:tcPr>
          <w:p>
            <w:pPr>
              <w:pStyle w:val="Paragraph"/>
              <w:rPr>
                <w:noProof/>
                <w:lang w:val="fr-BE"/>
              </w:rPr>
            </w:pPr>
            <w:r>
              <w:rPr>
                <w:noProof/>
                <w:lang w:val="fr-BE"/>
              </w:rPr>
              <w:t>Feuille autoadhésive stratifiée réfléchissante consistant d’un film de poly(méthacrylate de méthyle) embouti sur une face d’une manière régulière, d’un film contenant des microsphères de verre, d’une couche adhésive et d’une feuille détachable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3919 90 80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fr-BE"/>
              </w:rPr>
            </w:pPr>
            <w:r>
              <w:rPr>
                <w:noProof/>
                <w:lang w:val="fr-BE"/>
              </w:rPr>
              <w:t>Feuille biaxialement orientée en poly(méthacrylate de méthyle), d’une épaisseur de 50 µm ou plus mais n’excédant pas 90 µm, recouverte sur une face d’une couche adhésive et d’une feuille de protection amovible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3919 90 80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fr-BE"/>
              </w:rPr>
            </w:pPr>
            <w:r>
              <w:rPr>
                <w:noProof/>
                <w:lang w:val="fr-BE"/>
              </w:rPr>
              <w:t>Ruban de polyoléfine blanc consistant successivement en: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une couche adhésive à base de caoutchouc synthétique d'une épaisseur de 8 </w:t>
                  </w:r>
                  <w:r>
                    <w:rPr>
                      <w:noProof/>
                    </w:rPr>
                    <w:t>μ</w:t>
                  </w:r>
                  <w:r>
                    <w:rPr>
                      <w:noProof/>
                      <w:lang w:val="fr-BE"/>
                    </w:rPr>
                    <w:t xml:space="preserve">m ou plus mais n'excédant pas 17 </w:t>
                  </w:r>
                  <w:r>
                    <w:rPr>
                      <w:noProof/>
                    </w:rPr>
                    <w:t>μ</w:t>
                  </w:r>
                  <w:r>
                    <w:rPr>
                      <w:noProof/>
                      <w:lang w:val="fr-BE"/>
                    </w:rPr>
                    <w:t>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une couche de polyoléfine d'une épaisseur de 28 </w:t>
                  </w:r>
                  <w:r>
                    <w:rPr>
                      <w:noProof/>
                    </w:rPr>
                    <w:t>μ</w:t>
                  </w:r>
                  <w:r>
                    <w:rPr>
                      <w:noProof/>
                      <w:lang w:val="fr-BE"/>
                    </w:rPr>
                    <w:t xml:space="preserve">m ou plus mais n'excédant pas 40 </w:t>
                  </w:r>
                  <w:r>
                    <w:rPr>
                      <w:noProof/>
                    </w:rPr>
                    <w:t>μ</w:t>
                  </w:r>
                  <w:r>
                    <w:rPr>
                      <w:noProof/>
                      <w:lang w:val="fr-BE"/>
                    </w:rPr>
                    <w:t>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détachable exempte de silicone d'une épaisseur de moins de 1 µm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3919 90 80</w:t>
            </w:r>
          </w:p>
        </w:tc>
        <w:tc>
          <w:tcPr>
            <w:tcW w:w="0" w:type="auto"/>
            <w:tcBorders>
              <w:left w:val="single" w:sz="2" w:space="0" w:color="auto"/>
            </w:tcBorders>
          </w:tcPr>
          <w:p>
            <w:pPr>
              <w:pStyle w:val="Paragraph"/>
              <w:jc w:val="center"/>
              <w:rPr>
                <w:noProof/>
              </w:rPr>
            </w:pPr>
            <w:r>
              <w:rPr>
                <w:noProof/>
              </w:rPr>
              <w:t>54</w:t>
            </w:r>
          </w:p>
        </w:tc>
        <w:tc>
          <w:tcPr>
            <w:tcW w:w="0" w:type="auto"/>
            <w:tcBorders>
              <w:left w:val="single" w:sz="2" w:space="0" w:color="auto"/>
            </w:tcBorders>
          </w:tcPr>
          <w:p>
            <w:pPr>
              <w:pStyle w:val="Paragraph"/>
              <w:rPr>
                <w:noProof/>
                <w:lang w:val="fr-BE"/>
              </w:rPr>
            </w:pPr>
            <w:r>
              <w:rPr>
                <w:noProof/>
                <w:lang w:val="fr-BE"/>
              </w:rPr>
              <w:t>Film de poly(chlorure de vinyle) comportant un côté recouvert: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d'une couche de polymère,</w:t>
                  </w:r>
                </w:p>
              </w:tc>
            </w:tr>
            <w:tr>
              <w:tc>
                <w:tcPr>
                  <w:tcW w:w="0" w:type="auto"/>
                </w:tcPr>
                <w:p>
                  <w:pPr>
                    <w:pStyle w:val="Paragraph"/>
                    <w:rPr>
                      <w:noProof/>
                    </w:rPr>
                  </w:pPr>
                  <w:r>
                    <w:rPr>
                      <w:noProof/>
                    </w:rPr>
                    <w:t>—</w:t>
                  </w:r>
                </w:p>
              </w:tc>
              <w:tc>
                <w:tcPr>
                  <w:tcW w:w="0" w:type="auto"/>
                </w:tcPr>
                <w:p>
                  <w:pPr>
                    <w:pStyle w:val="Paragraph"/>
                    <w:rPr>
                      <w:noProof/>
                    </w:rPr>
                  </w:pPr>
                  <w:r>
                    <w:rPr>
                      <w:noProof/>
                    </w:rPr>
                    <w:t>d'une couche adhésive,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pellicule de protection estampée sur un côté et contenant des sphères aplaties,</w:t>
                  </w:r>
                </w:p>
              </w:tc>
            </w:tr>
          </w:tbl>
          <w:p>
            <w:pPr>
              <w:pStyle w:val="Paragraph"/>
              <w:rPr>
                <w:noProof/>
                <w:lang w:val="fr-BE"/>
              </w:rPr>
            </w:pPr>
            <w:r>
              <w:rPr>
                <w:noProof/>
                <w:lang w:val="fr-BE"/>
              </w:rPr>
              <w:t>et un autre côté recouvert ou non d'une couche adhésive et d'une couche polymère métallisée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3919 90 80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Film tricouche co-extrudé,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dont chaque couche est composée d’un mélange de polypropylène et de polyéthylène,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au maximum 3 % en poids d’autres polymères,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couche centrale contient ou non du dioxyde de titane,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revêtu d’un adhésif acrylique sensible à la pression et</w:t>
                  </w:r>
                </w:p>
              </w:tc>
            </w:tr>
            <w:tr>
              <w:tc>
                <w:tcPr>
                  <w:tcW w:w="0" w:type="auto"/>
                </w:tcPr>
                <w:p>
                  <w:pPr>
                    <w:pStyle w:val="Paragraph"/>
                    <w:rPr>
                      <w:noProof/>
                    </w:rPr>
                  </w:pPr>
                  <w:r>
                    <w:rPr>
                      <w:noProof/>
                    </w:rPr>
                    <w:t>—</w:t>
                  </w:r>
                </w:p>
              </w:tc>
              <w:tc>
                <w:tcPr>
                  <w:tcW w:w="0" w:type="auto"/>
                </w:tcPr>
                <w:p>
                  <w:pPr>
                    <w:pStyle w:val="Paragraph"/>
                    <w:rPr>
                      <w:noProof/>
                    </w:rPr>
                  </w:pPr>
                  <w:r>
                    <w:rPr>
                      <w:noProof/>
                    </w:rPr>
                    <w:t>d’une pellicule de protection,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n’excédant pas 110 </w:t>
                  </w:r>
                  <w:r>
                    <w:rPr>
                      <w:noProof/>
                    </w:rPr>
                    <w:t>μ</w:t>
                  </w:r>
                  <w:r>
                    <w:rPr>
                      <w:noProof/>
                      <w:lang w:val="fr-BE"/>
                    </w:rPr>
                    <w:t>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3919 90 80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Film autoadhésif d’une épaisseur égale ou supérieure à 40 µm, mais ne dépassant pas 400 µm, consistant en une ou plusieurs couches de poly(éthylène téréphtalate) transparent, métallisé ou teint, recouvert, sur une face, d’un revêtement résistant aux rayures et, sur l’autre, d’un adhésif sensible à la pression et d’une pellicule antiadhésive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3919 90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Disques à polir auto-adhésifs de polyuréthane microporeux, revêtus ou non d’un tampon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3919 90 80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rPr>
            </w:pPr>
            <w:r>
              <w:rPr>
                <w:noProof/>
              </w:rPr>
              <w:t>Feuille réfléchissante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une couche de polyuréthane,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de microsphères de verre,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métallisée en aluminium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adhésive recouverte, sur une face ou sur les deux, d’une pellicule de protection amovible,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même une couche de chlorure de polyvinyle,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pouvant incorporer des marques de sécurité contre la contrefaçon, l’altération ou la substitution de données ou la duplication, ou une marque officielle pour un usage déterminé</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3919 90 80</w:t>
            </w:r>
          </w:p>
          <w:p>
            <w:pPr>
              <w:pStyle w:val="Paragraph"/>
              <w:rPr>
                <w:noProof/>
              </w:rPr>
            </w:pPr>
            <w:r>
              <w:rPr>
                <w:noProof/>
              </w:rPr>
              <w:t>ex 9001 90 00</w:t>
            </w:r>
          </w:p>
        </w:tc>
        <w:tc>
          <w:tcPr>
            <w:tcW w:w="0" w:type="auto"/>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33</w:t>
            </w:r>
          </w:p>
        </w:tc>
        <w:tc>
          <w:tcPr>
            <w:tcW w:w="0" w:type="auto"/>
            <w:vMerge w:val="restart"/>
            <w:tcBorders>
              <w:left w:val="single" w:sz="2" w:space="0" w:color="auto"/>
            </w:tcBorders>
          </w:tcPr>
          <w:p>
            <w:pPr>
              <w:pStyle w:val="Paragraph"/>
              <w:rPr>
                <w:noProof/>
                <w:lang w:val="fr-BE"/>
              </w:rPr>
            </w:pPr>
            <w:r>
              <w:rPr>
                <w:noProof/>
                <w:lang w:val="fr-BE"/>
              </w:rPr>
              <w:t>Film réfléchissant ou diffusant en rouleaux, utilisé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comme protection contre le rayonnement thermique ultraviolet ou infrarouge, à poser sur les vitrages,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pour assurer une transmission et une répartition égales de la lumière, dans les modules LCD</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w:t>
            </w:r>
            <w:r>
              <w:rPr>
                <w:noProof/>
              </w:rPr>
              <w:t>ex 3920 10 25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Feuille en polyéthylène, du type utilisé pour les rubans encreurs de machines à écrire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3920 10 28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Feuille imprimée gaufrée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en polymères de l'éthylène,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densité égale ou supérieure à 0,94/cm</w:t>
                  </w:r>
                  <w:r>
                    <w:rPr>
                      <w:noProof/>
                      <w:vertAlign w:val="superscript"/>
                      <w:lang w:val="fr-BE"/>
                    </w:rPr>
                    <w:t>3</w:t>
                  </w:r>
                  <w:r>
                    <w:rPr>
                      <w:noProof/>
                      <w:lang w:val="fr-BE"/>
                    </w:rPr>
                    <w: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n'excédant pas 0,019 mm (±0,003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des éléments graphiques permanents composés de deux motifs alternants d'une longueur individuelle égale ou supérieure à 525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3920 10 28</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Film de poly(éthylène) imprimé d’un motif graphique realisé avec quatre couleurs de base à l'encre ainsi que des couleurs spécialisées afin d'obtenir plusieurs couleurs à l'encre sur une face du film et une seule couleur sur l’autre, ce motif étant également: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répétitif et régulièrement espacé sur toute la longueur du film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aligné de la même façon qu’on le voie sur une face du film ou sur l’autre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3920 10 40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Film tubulaire à couches principalement constitué de polyéthylène: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consistant en trois couches à effet barrière dont la couche centrale, constituée d'alcool vinylique d’éthylène, est recouverte de chaque côté d'une couche de polyamide, enduite de chaque côté d'une couche de polyéthylène,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minimale de 55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500 mm ou plus mais n'excédant pas 600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3920 10 89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Feuille en copolymère d’éthylène et acétate de vinyle (EVA):</w:t>
            </w:r>
          </w:p>
          <w:tbl>
            <w:tblPr>
              <w:tblStyle w:val="Listdash"/>
              <w:tblW w:w="0" w:type="auto"/>
              <w:tblLook w:val="0000" w:firstRow="0" w:lastRow="0" w:firstColumn="0" w:lastColumn="0" w:noHBand="0" w:noVBand="0"/>
            </w:tblPr>
            <w:tblGrid>
              <w:gridCol w:w="220"/>
              <w:gridCol w:w="307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des reliefs irréguliers en surface, et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supérieure à 0,125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3920 10 89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Feuille multicouche avec revêtement acrylique et stratifiée en couche de polyéthylène haute densité, d’une épaisseur totale de 0,8 mm ou plus mais n’excédant pas 1,2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3920 20 21</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Feuilles de polypropylène biaxalement orientées: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n'excédant pas 0,1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imprimées des deux côtés à l'aide d'enduits spéciaux destinés à l'impression sécurisée de billets de banque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3920 20 29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Film orienté monoaxialement, d’une épaisseur totale n’excédant pas 75µm, composé de trois ou quatre couches, chaque couche contenant un mélange de polypropylène et de polyéthylène, avec une couche centrale contenant ou non du dioxyde de titane, ayant: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à la traction dans le sens machine de 120 MPa ou plus mais n’excédant pas 270 MPa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à la traction dans le sens transverse de 10 MPa ou plus mais n’excédant pas 40 MPa</w:t>
                  </w:r>
                </w:p>
              </w:tc>
            </w:tr>
          </w:tbl>
          <w:p>
            <w:pPr>
              <w:pStyle w:val="Paragraph"/>
              <w:rPr>
                <w:noProof/>
                <w:lang w:val="fr-BE"/>
              </w:rPr>
            </w:pPr>
            <w:r>
              <w:rPr>
                <w:noProof/>
                <w:lang w:val="fr-BE"/>
              </w:rPr>
              <w:t>selon les méthodes d’analyse ASTM D882/ISO 527-3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3920 20 29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Feuille orientée monoaxialement, constituée de trois couches, chaque couche étant constituée d’un mélange de polypropylène et d’un copolymère d’éthylène et d’acétate de vinyle, avec une couche centrale contenant ou non du dioxyde de titane, ayant: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de 55 µm ou plus mais n’excédant pas 97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module d’élasticité dans le sens machine de 0,30 GPa ou plus mais n’excédant pas 1,45 GPa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module d’élasticité dans le sens transverse de 0,20 GPa ou plus mais n’excédant pas 0,70 GPa</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20 29</w:t>
            </w:r>
          </w:p>
        </w:tc>
        <w:tc>
          <w:tcPr>
            <w:tcW w:w="0" w:type="auto"/>
            <w:tcBorders>
              <w:left w:val="single" w:sz="2" w:space="0" w:color="auto"/>
            </w:tcBorders>
          </w:tcPr>
          <w:p>
            <w:pPr>
              <w:pStyle w:val="Paragraph"/>
              <w:jc w:val="center"/>
              <w:rPr>
                <w:noProof/>
              </w:rPr>
            </w:pPr>
            <w:r>
              <w:rPr>
                <w:noProof/>
              </w:rPr>
              <w:t>94</w:t>
            </w:r>
          </w:p>
        </w:tc>
        <w:tc>
          <w:tcPr>
            <w:tcW w:w="0" w:type="auto"/>
            <w:tcBorders>
              <w:left w:val="single" w:sz="2" w:space="0" w:color="auto"/>
            </w:tcBorders>
          </w:tcPr>
          <w:p>
            <w:pPr>
              <w:pStyle w:val="Paragraph"/>
              <w:rPr>
                <w:noProof/>
              </w:rPr>
            </w:pPr>
            <w:r>
              <w:rPr>
                <w:noProof/>
              </w:rPr>
              <w:t>Film tricouche co-extrudé,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dont chaque couche est composée d’un mélange de polypropylène et de polyéthylène,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au maximum 3 % en poids d’autres polymères,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couche centrale contient ou non du dioxyde de titane,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n’excédant pas 70 </w:t>
                  </w:r>
                  <w:r>
                    <w:rPr>
                      <w:noProof/>
                    </w:rPr>
                    <w:t>μ</w:t>
                  </w:r>
                  <w:r>
                    <w:rPr>
                      <w:noProof/>
                      <w:lang w:val="fr-BE"/>
                    </w:rPr>
                    <w:t>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3920 43 10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fr-BE"/>
              </w:rPr>
            </w:pPr>
            <w:r>
              <w:rPr>
                <w:noProof/>
                <w:lang w:val="fr-BE"/>
              </w:rPr>
              <w:t>Feuille en poly(chlorure de vinyle), stabilisée contre les rayons ultraviolets, sans trou, même microscopique, d’une épaisseur de 60 µm ou plus mais n’excédant pas 80 µm, et contenant 30 parts ou plus mais pas plus de 40 parts de plastifiant pour 100 parts de poly(chlorure de vinyle)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3920 43 10</w:t>
            </w:r>
          </w:p>
          <w:p>
            <w:pPr>
              <w:pStyle w:val="Paragraph"/>
              <w:rPr>
                <w:noProof/>
              </w:rPr>
            </w:pPr>
            <w:r>
              <w:rPr>
                <w:noProof/>
              </w:rPr>
              <w:t>ex 3920 49 10</w:t>
            </w:r>
          </w:p>
        </w:tc>
        <w:tc>
          <w:tcPr>
            <w:tcW w:w="0" w:type="auto"/>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93</w:t>
            </w:r>
          </w:p>
        </w:tc>
        <w:tc>
          <w:tcPr>
            <w:tcW w:w="0" w:type="auto"/>
            <w:vMerge w:val="restart"/>
            <w:tcBorders>
              <w:left w:val="single" w:sz="2" w:space="0" w:color="auto"/>
            </w:tcBorders>
          </w:tcPr>
          <w:p>
            <w:pPr>
              <w:pStyle w:val="Paragraph"/>
              <w:rPr>
                <w:noProof/>
                <w:lang w:val="fr-BE"/>
              </w:rPr>
            </w:pPr>
            <w:r>
              <w:rPr>
                <w:noProof/>
                <w:lang w:val="fr-BE"/>
              </w:rPr>
              <w:t>Feuille d’une réflexion spéculaire de 70 ou plus, mesurée à un angle de 60 ° en utilisant un luisancemètre (d’après la méthode ISO 2813:2000), constituée d’une ou de deux couches de poly(chlorure de vinyle) enduites sur les deux faces d’une couche de matière plastique, d’une épaisseur de 0,26 mm ou plus mais n’excédant pas 1,0 mm, recouverte sur la surface brillante d’une feuille protectrice en polyéthylène, en rouleaux d’une largeur de 1 000 mm ou plus mais n’excédant pas 1 450 mm, destinée à être utilisée dans la fabrication de produits de la position 9403</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ex 3920 43 10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fr-BE"/>
              </w:rPr>
            </w:pPr>
            <w:r>
              <w:rPr>
                <w:noProof/>
                <w:lang w:val="fr-BE"/>
              </w:rPr>
              <w:t>Feuille stratifiée réfléchissante, constituée d’une feuille de poly(chlorure de vinyle) et d’une feuille en une autre matière plastique totalement emboutie d’une manière régulière pyramidale, recouverte sur une face d’une feuille de protection amovible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49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Feuille de copolymère de poly(chlorure de vynile)</w:t>
            </w:r>
          </w:p>
          <w:tbl>
            <w:tblPr>
              <w:tblStyle w:val="Listdash"/>
              <w:tblW w:w="0" w:type="auto"/>
              <w:tblLook w:val="0000" w:firstRow="0" w:lastRow="0" w:firstColumn="0" w:lastColumn="0" w:noHBand="0" w:noVBand="0"/>
            </w:tblPr>
            <w:tblGrid>
              <w:gridCol w:w="220"/>
              <w:gridCol w:w="286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en poids 45 % ou plus de charges</w:t>
                  </w:r>
                </w:p>
              </w:tc>
            </w:tr>
            <w:tr>
              <w:tc>
                <w:tcPr>
                  <w:tcW w:w="0" w:type="auto"/>
                </w:tcPr>
                <w:p>
                  <w:pPr>
                    <w:pStyle w:val="Paragraph"/>
                    <w:rPr>
                      <w:noProof/>
                    </w:rPr>
                  </w:pPr>
                  <w:r>
                    <w:rPr>
                      <w:noProof/>
                    </w:rPr>
                    <w:t>—</w:t>
                  </w:r>
                </w:p>
              </w:tc>
              <w:tc>
                <w:tcPr>
                  <w:tcW w:w="0" w:type="auto"/>
                </w:tcPr>
                <w:p>
                  <w:pPr>
                    <w:pStyle w:val="Paragraph"/>
                    <w:rPr>
                      <w:noProof/>
                    </w:rPr>
                  </w:pPr>
                  <w:r>
                    <w:rPr>
                      <w:noProof/>
                    </w:rPr>
                    <w:t>sur un support</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51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Plaque en poly(méthacrylate de méthyle) contenant du trihydroxyde d’aluminium, d’une épaisseur de 3,5 mm ou plus mais n’excédant pas 19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51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Feuille biaxialement orientée en poly(méthacrylate de méthyle), d’une épaisseur de 50 µm ou plus mais n’excédant pas 90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51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Plaque en polymethylmetacrylate répondant à la norme EN 4366 (MIL-PRF-25690)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3920 62 19</w:t>
            </w:r>
          </w:p>
          <w:p>
            <w:pPr>
              <w:pStyle w:val="Paragraph"/>
              <w:rPr>
                <w:noProof/>
              </w:rPr>
            </w:pPr>
            <w:r>
              <w:rPr>
                <w:noProof/>
              </w:rPr>
              <w:t>ex 3920 62 90</w:t>
            </w:r>
          </w:p>
        </w:tc>
        <w:tc>
          <w:tcPr>
            <w:tcW w:w="0" w:type="auto"/>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Film de polyéthylène téréphtalate conditionné en rouleaux,</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égale ou supérieure à 0,335 mm mais n'excédant pas 0,365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recouvert d'une couche d'or d'une épaisseur égale ou supérieure à 0,03 </w:t>
                  </w:r>
                  <w:r>
                    <w:rPr>
                      <w:noProof/>
                    </w:rPr>
                    <w:t>μ</w:t>
                  </w:r>
                  <w:r>
                    <w:rPr>
                      <w:noProof/>
                      <w:lang w:val="fr-BE"/>
                    </w:rPr>
                    <w:t xml:space="preserve">m mais n'excédant pas 0,06 </w:t>
                  </w:r>
                  <w:r>
                    <w:rPr>
                      <w:noProof/>
                    </w:rPr>
                    <w:t>μ</w:t>
                  </w:r>
                  <w:r>
                    <w:rPr>
                      <w:noProof/>
                      <w:lang w:val="fr-BE"/>
                    </w:rPr>
                    <w:t>m</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w:t>
            </w:r>
            <w:r>
              <w:rPr>
                <w:noProof/>
              </w:rPr>
              <w:t>ex 3920 62 19</w:t>
            </w:r>
          </w:p>
        </w:tc>
        <w:tc>
          <w:tcPr>
            <w:tcW w:w="0" w:type="auto"/>
            <w:tcBorders>
              <w:left w:val="single" w:sz="2" w:space="0" w:color="auto"/>
            </w:tcBorders>
          </w:tcPr>
          <w:p>
            <w:pPr>
              <w:pStyle w:val="Paragraph"/>
              <w:jc w:val="center"/>
              <w:rPr>
                <w:noProof/>
              </w:rPr>
            </w:pPr>
            <w:r>
              <w:rPr>
                <w:noProof/>
              </w:rPr>
              <w:t>08</w:t>
            </w:r>
          </w:p>
        </w:tc>
        <w:tc>
          <w:tcPr>
            <w:tcW w:w="0" w:type="auto"/>
            <w:tcBorders>
              <w:left w:val="single" w:sz="2" w:space="0" w:color="auto"/>
            </w:tcBorders>
          </w:tcPr>
          <w:p>
            <w:pPr>
              <w:pStyle w:val="Paragraph"/>
              <w:rPr>
                <w:noProof/>
                <w:lang w:val="fr-BE"/>
              </w:rPr>
            </w:pPr>
            <w:r>
              <w:rPr>
                <w:noProof/>
                <w:lang w:val="fr-BE"/>
              </w:rPr>
              <w:t>Pellicule en poly(éthylène téréphtalate), non revêtue d’une couche adhésive, d’une épaisseur n’excédant pas 25 µm:</w:t>
            </w:r>
          </w:p>
          <w:tbl>
            <w:tblPr>
              <w:tblStyle w:val="Listdash"/>
              <w:tblW w:w="0" w:type="auto"/>
              <w:tblLook w:val="0000" w:firstRow="0" w:lastRow="0" w:firstColumn="0" w:lastColumn="0" w:noHBand="0" w:noVBand="0"/>
            </w:tblPr>
            <w:tblGrid>
              <w:gridCol w:w="220"/>
              <w:gridCol w:w="3335"/>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soit uniquement teintée dans la masse,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soit teintée dans la masse et métallisée sur une face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62 19</w:t>
            </w:r>
          </w:p>
        </w:tc>
        <w:tc>
          <w:tcPr>
            <w:tcW w:w="0" w:type="auto"/>
            <w:tcBorders>
              <w:left w:val="single" w:sz="2" w:space="0" w:color="auto"/>
            </w:tcBorders>
          </w:tcPr>
          <w:p>
            <w:pPr>
              <w:pStyle w:val="Paragraph"/>
              <w:jc w:val="center"/>
              <w:rPr>
                <w:noProof/>
              </w:rPr>
            </w:pPr>
            <w:r>
              <w:rPr>
                <w:noProof/>
              </w:rPr>
              <w:t>12</w:t>
            </w:r>
          </w:p>
        </w:tc>
        <w:tc>
          <w:tcPr>
            <w:tcW w:w="0" w:type="auto"/>
            <w:tcBorders>
              <w:left w:val="single" w:sz="2" w:space="0" w:color="auto"/>
            </w:tcBorders>
          </w:tcPr>
          <w:p>
            <w:pPr>
              <w:pStyle w:val="Paragraph"/>
              <w:rPr>
                <w:noProof/>
                <w:lang w:val="fr-BE"/>
              </w:rPr>
            </w:pPr>
            <w:r>
              <w:rPr>
                <w:noProof/>
                <w:lang w:val="fr-BE"/>
              </w:rPr>
              <w:t>Feuille en poly(éthylène téréphtalate) seulement, d’une épaisseur totale n’excédant pas 120 µm, constituée d’une ou deux couches contenant chacune dans la masse un colorant et/ou un matériau absorbant les UV, non enduite d’adhésif ou d’autres matériaux</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62 19</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lang w:val="fr-BE"/>
              </w:rPr>
            </w:pPr>
            <w:r>
              <w:rPr>
                <w:noProof/>
                <w:lang w:val="fr-BE"/>
              </w:rPr>
              <w:t>Feuille stratifiée en poly(éthylène téréphtalate) seulement, d’une épaisseur totale n’excédant pas 120 µm, constituée d’une couche seulement métallisée et d’une ou deux couches contenant chacune dans la masse un colorant et/ou un matériau absorbant les UV, non enduite d’adhésif ou d’autres matériaux</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62 19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Pellicule réfléchissante en polyester, présentant des impressions en forme de pyramides, destinée à la fabrication d’autocollants et badges de sécurité, de vêtements de sécurité et leurs accessoires, ou de cartables, sacs ou contenants similaires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62 19</w:t>
            </w:r>
          </w:p>
        </w:tc>
        <w:tc>
          <w:tcPr>
            <w:tcW w:w="0" w:type="auto"/>
            <w:tcBorders>
              <w:left w:val="single" w:sz="2" w:space="0" w:color="auto"/>
            </w:tcBorders>
          </w:tcPr>
          <w:p>
            <w:pPr>
              <w:pStyle w:val="Paragraph"/>
              <w:jc w:val="center"/>
              <w:rPr>
                <w:noProof/>
              </w:rPr>
            </w:pPr>
            <w:r>
              <w:rPr>
                <w:noProof/>
              </w:rPr>
              <w:t>38</w:t>
            </w:r>
          </w:p>
        </w:tc>
        <w:tc>
          <w:tcPr>
            <w:tcW w:w="0" w:type="auto"/>
            <w:tcBorders>
              <w:left w:val="single" w:sz="2" w:space="0" w:color="auto"/>
            </w:tcBorders>
          </w:tcPr>
          <w:p>
            <w:pPr>
              <w:pStyle w:val="Paragraph"/>
              <w:rPr>
                <w:noProof/>
              </w:rPr>
            </w:pPr>
            <w:r>
              <w:rPr>
                <w:noProof/>
              </w:rPr>
              <w:t>Feuille en poly(éthylène téréphtalate), d’une épaisseur n’excédant pas 12 µm, revêtue sur une face d’une couche d’oxyde d’aluminium d’une épaisseur n’excédant pas 35 nm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lang w:val="fr-BE"/>
              </w:rPr>
            </w:pPr>
            <w:r>
              <w:rPr>
                <w:noProof/>
                <w:lang w:val="fr-BE"/>
              </w:rPr>
              <w:t>Feuilles ou rouleaux en poly(éthylène téréphtalate):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 sur les deux faces d’une couche de résine epoxy acrylique,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de 37 micromètres (± 3 µm)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3920 62 19</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fr-BE"/>
              </w:rPr>
            </w:pPr>
            <w:r>
              <w:rPr>
                <w:noProof/>
                <w:lang w:val="fr-BE"/>
              </w:rPr>
              <w:t>Feuille de poly(éthylène téréphtalate), de poly(éthylène naphtalate) ou de polyester similaire, recouverte sur une face de métal et/ou d’oxydes de métaux, contenant en poids moins de 0,1 % d’aluminium, d’une épaisseur n’excédant pas 300 µm et d’une résistivité de surface n’excédant pas 10 000 ohms (par carré) (d’après la méthode ASTM D 257-99)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3920 62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Feuille en poly(éthylène téréphtalate):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n'excédant pas 20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recouverte sur au moins une face d'une couche étanche au gaz consistant en une matrice de polymères dans laquelle est dispersée de la silice ou de l'oxyde d'aluminium et d'une épaisseur n'excédant pas 2 µm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3920 62 19</w:t>
            </w:r>
          </w:p>
        </w:tc>
        <w:tc>
          <w:tcPr>
            <w:tcW w:w="0" w:type="auto"/>
            <w:tcBorders>
              <w:left w:val="single" w:sz="2" w:space="0" w:color="auto"/>
            </w:tcBorders>
          </w:tcPr>
          <w:p>
            <w:pPr>
              <w:pStyle w:val="Paragraph"/>
              <w:jc w:val="center"/>
              <w:rPr>
                <w:noProof/>
              </w:rPr>
            </w:pPr>
            <w:r>
              <w:rPr>
                <w:noProof/>
              </w:rPr>
              <w:t>76</w:t>
            </w:r>
          </w:p>
        </w:tc>
        <w:tc>
          <w:tcPr>
            <w:tcW w:w="0" w:type="auto"/>
            <w:tcBorders>
              <w:left w:val="single" w:sz="2" w:space="0" w:color="auto"/>
            </w:tcBorders>
          </w:tcPr>
          <w:p>
            <w:pPr>
              <w:pStyle w:val="Paragraph"/>
              <w:rPr>
                <w:noProof/>
                <w:lang w:val="fr-BE"/>
              </w:rPr>
            </w:pPr>
            <w:r>
              <w:rPr>
                <w:noProof/>
                <w:lang w:val="fr-BE"/>
              </w:rPr>
              <w:t>Film de poly(éthylène téréphtalate) transparent: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revêtu sur les deux faces de couches de substances organiques à base d’acrylique d’épaisseur comprise entre 7 nm et 80 nm, présentant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superficielle comprise entre 36 dynes/cm et 39 dynes/cm,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transmission de la lumière supérieure à 93 %,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valeur de «haze» (diffusion de la lumière) inférieure ou égale à 1,3 %,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totale comprise entre 10 µm et 350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comprise entre 800 mm et 1 600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69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Feuille en poly(éthylène naphtalène-2,6-dicarboxylate)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3920 69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Feuille monocouche biaxialement orientée: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composée de plus de 85 % en poids de poly(acide lactique) et de 10,50 % en poids au maximum de polymère à base de poly(acide lactique) modifié, d’ester de polyglycol et de talc,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20 µm ou plus, mais n’excédant pas 120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biodégradable et compostable (conformément à la méthode EN 13432)</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69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Feuille rétractable monocouche transversalement orientée: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composée de plus de 80 % en poids de poly(acide lactique) et de 15,75 % en poids au maximum d’additifs de poly(acide lactique) modifié,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45 µm ou plus, mais n’excédant pas 50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biodégradable et compostable (conformément à la méthode EN 13432)</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79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Feuilles de fibre vulcanisée peinte d'une épaisseur n'excédant pas 1,5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fr-BE"/>
              </w:rPr>
            </w:pPr>
            <w:r>
              <w:rPr>
                <w:noProof/>
                <w:lang w:val="fr-BE"/>
              </w:rPr>
              <w:t>Feuille en poly(butyral de vinyle) contenant en poids au moins 25 %, mais pas plus de 28 %, de phosphate de triisobutyle utilisé comme plastifiant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52</w:t>
            </w:r>
          </w:p>
        </w:tc>
        <w:tc>
          <w:tcPr>
            <w:tcW w:w="0" w:type="auto"/>
            <w:tcBorders>
              <w:left w:val="single" w:sz="2" w:space="0" w:color="auto"/>
            </w:tcBorders>
          </w:tcPr>
          <w:p>
            <w:pPr>
              <w:pStyle w:val="Paragraph"/>
              <w:rPr>
                <w:noProof/>
                <w:lang w:val="fr-BE"/>
              </w:rPr>
            </w:pPr>
            <w:r>
              <w:rPr>
                <w:noProof/>
                <w:lang w:val="fr-BE"/>
              </w:rPr>
              <w:t>Feuille en poly(butyral de vinyle):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en poids au moins 26 %, mais pas plus de 30 %, de bis(2-éthylhexanoate) de triéthylène glycol utilisé comme plastifiant,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d’au moins 0,73 mm mais ne dépassant pas 1,50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3920 91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Feuille en poly(butyral de vinyle) comportant une bande colorée dégradée</w:t>
            </w:r>
          </w:p>
        </w:tc>
        <w:tc>
          <w:tcPr>
            <w:tcW w:w="0" w:type="auto"/>
            <w:tcBorders>
              <w:left w:val="single" w:sz="2" w:space="0" w:color="auto"/>
            </w:tcBorders>
          </w:tcPr>
          <w:p>
            <w:pPr>
              <w:pStyle w:val="Paragraph"/>
              <w:rPr>
                <w:noProof/>
              </w:rPr>
            </w:pPr>
            <w:r>
              <w:rPr>
                <w:noProof/>
              </w:rPr>
              <w:t>3 %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3920 91 00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fr-BE"/>
              </w:rPr>
            </w:pPr>
            <w:r>
              <w:rPr>
                <w:noProof/>
                <w:lang w:val="fr-BE"/>
              </w:rPr>
              <w:t>Film en poly(éthylène téréphtalate), métallisé ou non sur une ou les deux faces, ou film stratifié de feuilles en poly(éthylène téréphtalate), métallisé sur les faces externes seulement, et ayant les caractéristiques suivantes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transmission de la lumière visible de 50 % ou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 sur une ou deux faces d’une couche de poly(butyral de vinyle) mais non enduit d’adhésif ou de matériaux autres que le poly(butyral de vinyle),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totale n’excédant pas 0,2 mm sans prendre en compte la présence du poly(butyral de vinyle) et une épaisseur de poly(butyral de vinyle) de plus de 0,2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3920 91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fr-BE"/>
              </w:rPr>
            </w:pPr>
            <w:r>
              <w:rPr>
                <w:noProof/>
                <w:lang w:val="fr-BE"/>
              </w:rPr>
              <w:t>Film de poly(butyral de vinyle) tricouche co-extrudé, présentant une bande colorée graduée, et contenant du bis(2-éthylhexanoate) de 2,2’-éthylènedioxydiéthyle comme plastifiant dans une proportion égale ou supérieure à 29 % mais n’excédant pas 31 %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99 28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Film fabriqué à partir d’un polymère contenant les monomères suivants:</w:t>
            </w:r>
          </w:p>
          <w:tbl>
            <w:tblPr>
              <w:tblStyle w:val="Listdash"/>
              <w:tblW w:w="0" w:type="auto"/>
              <w:tblLook w:val="0000" w:firstRow="0" w:lastRow="0" w:firstColumn="0" w:lastColumn="0" w:noHBand="0" w:noVBand="0"/>
            </w:tblPr>
            <w:tblGrid>
              <w:gridCol w:w="220"/>
              <w:gridCol w:w="4273"/>
            </w:tblGrid>
            <w:tr>
              <w:tc>
                <w:tcPr>
                  <w:tcW w:w="0" w:type="auto"/>
                </w:tcPr>
                <w:p>
                  <w:pPr>
                    <w:pStyle w:val="Paragraph"/>
                    <w:rPr>
                      <w:noProof/>
                    </w:rPr>
                  </w:pPr>
                  <w:r>
                    <w:rPr>
                      <w:noProof/>
                    </w:rPr>
                    <w:t>—</w:t>
                  </w:r>
                </w:p>
              </w:tc>
              <w:tc>
                <w:tcPr>
                  <w:tcW w:w="0" w:type="auto"/>
                </w:tcPr>
                <w:p>
                  <w:pPr>
                    <w:pStyle w:val="Paragraph"/>
                    <w:rPr>
                      <w:noProof/>
                    </w:rPr>
                  </w:pPr>
                  <w:r>
                    <w:rPr>
                      <w:noProof/>
                    </w:rPr>
                    <w:t>poly(tétraméthylène-éther-glycol),</w:t>
                  </w:r>
                </w:p>
              </w:tc>
            </w:tr>
            <w:tr>
              <w:tc>
                <w:tcPr>
                  <w:tcW w:w="0" w:type="auto"/>
                </w:tcPr>
                <w:p>
                  <w:pPr>
                    <w:pStyle w:val="Paragraph"/>
                    <w:rPr>
                      <w:noProof/>
                    </w:rPr>
                  </w:pPr>
                  <w:r>
                    <w:rPr>
                      <w:noProof/>
                    </w:rPr>
                    <w:t>—</w:t>
                  </w:r>
                </w:p>
              </w:tc>
              <w:tc>
                <w:tcPr>
                  <w:tcW w:w="0" w:type="auto"/>
                </w:tcPr>
                <w:p>
                  <w:pPr>
                    <w:pStyle w:val="Paragraph"/>
                    <w:rPr>
                      <w:noProof/>
                    </w:rPr>
                  </w:pPr>
                  <w:r>
                    <w:rPr>
                      <w:noProof/>
                    </w:rPr>
                    <w:t>bis(4-isocyanotocyclohéxyl) méthane,</w:t>
                  </w:r>
                </w:p>
              </w:tc>
            </w:tr>
            <w:tr>
              <w:tc>
                <w:tcPr>
                  <w:tcW w:w="0" w:type="auto"/>
                </w:tcPr>
                <w:p>
                  <w:pPr>
                    <w:pStyle w:val="Paragraph"/>
                    <w:rPr>
                      <w:noProof/>
                    </w:rPr>
                  </w:pPr>
                  <w:r>
                    <w:rPr>
                      <w:noProof/>
                    </w:rPr>
                    <w:t>—</w:t>
                  </w:r>
                </w:p>
              </w:tc>
              <w:tc>
                <w:tcPr>
                  <w:tcW w:w="0" w:type="auto"/>
                </w:tcPr>
                <w:p>
                  <w:pPr>
                    <w:pStyle w:val="Paragraph"/>
                    <w:rPr>
                      <w:noProof/>
                    </w:rPr>
                  </w:pPr>
                  <w:r>
                    <w:rPr>
                      <w:noProof/>
                    </w:rPr>
                    <w:t>1,4-butanédiol ou 1,3-butanédiol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0,25 mm ou plus mais n’excédant pas 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décoré d’un motif régulier sur une face,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 d’une feuille de protection amovible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99 28</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Film de polyuréthane transparent dont l'une des faces est métallisée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brillance supérieure à 90 degrés selon la méthode ASTM D2457,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face métallisée est recouverte d'une couche d'adhésif thermocollant en copolymère de polyéthylène/polypropylène,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l'autre face est recouverte d'un film de protection en poly(éthylène téréphtalate),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supérieure à 204 µm mais n'excédant pas 244 µm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 xml:space="preserve">Film thermoplastique à base de polyuréthane, d’une épaisseur égale ou supérieure à 250 </w:t>
            </w:r>
            <w:r>
              <w:rPr>
                <w:noProof/>
              </w:rPr>
              <w:t>μ</w:t>
            </w:r>
            <w:r>
              <w:rPr>
                <w:noProof/>
                <w:lang w:val="fr-BE"/>
              </w:rPr>
              <w:t xml:space="preserve">m mais inférieure ou égale à 350 </w:t>
            </w:r>
            <w:r>
              <w:rPr>
                <w:noProof/>
              </w:rPr>
              <w:t>μ</w:t>
            </w:r>
            <w:r>
              <w:rPr>
                <w:noProof/>
                <w:lang w:val="fr-BE"/>
              </w:rPr>
              <w:t>m, recouvert d’un côté d’une pellicule de protection amovible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Feuille de polyuréthane thermoplastique mate en rouleaux:</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1 640 mm (± 10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brillance de 3,3 degrés ou plus, mais n'excédant pas 3,8 degrés (déterminée par la méthode ASTM D2457),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rugosité de 1,9 Ra ou plus, mais n'excédant pas 2,8 Ra (déterminée par la méthode ISO 4287),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plus de 365 µm, mais n’excédant pas 760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dureté de 90 (± 4) (déterminée par la méthode Shore A [ASTM D2240]),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allongement à la rupture de 470 % (déterminé par la méthode EN ISO 527)</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Feuilles de résine époxyde sur rouleaux, dotées de propriétés conductrices, contenant: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microsphères avec enduit métallique, avec ou sans alliage d’or,</w:t>
                  </w:r>
                </w:p>
              </w:tc>
            </w:tr>
            <w:tr>
              <w:tc>
                <w:tcPr>
                  <w:tcW w:w="0" w:type="auto"/>
                </w:tcPr>
                <w:p>
                  <w:pPr>
                    <w:pStyle w:val="Paragraph"/>
                    <w:rPr>
                      <w:noProof/>
                    </w:rPr>
                  </w:pPr>
                  <w:r>
                    <w:rPr>
                      <w:noProof/>
                    </w:rPr>
                    <w:t>—</w:t>
                  </w:r>
                </w:p>
              </w:tc>
              <w:tc>
                <w:tcPr>
                  <w:tcW w:w="0" w:type="auto"/>
                </w:tcPr>
                <w:p>
                  <w:pPr>
                    <w:pStyle w:val="Paragraph"/>
                    <w:rPr>
                      <w:noProof/>
                    </w:rPr>
                  </w:pPr>
                  <w:r>
                    <w:rPr>
                      <w:noProof/>
                    </w:rPr>
                    <w:t>une couche adhésive,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revêtues d’une couche de protection en silicone ou en poly(éthylène téréphtalate), sur une face,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revêtues d’une couche de protection en poly(ethylène téréphthalate) sur l’autre face, et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égale ou supérieure à 5 cm mais n’excédant pas 100 cm,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n’excédant pas 2 000 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3920 99 28</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Feuille en polyuréthanne thermoplastique en rouleaux:</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supérieure à 900 mm mais n'excédant pas 1 016 mm,</w:t>
                  </w:r>
                </w:p>
              </w:tc>
            </w:tr>
            <w:tr>
              <w:tc>
                <w:tcPr>
                  <w:tcW w:w="0" w:type="auto"/>
                </w:tcPr>
                <w:p>
                  <w:pPr>
                    <w:pStyle w:val="Paragraph"/>
                    <w:rPr>
                      <w:noProof/>
                    </w:rPr>
                  </w:pPr>
                  <w:r>
                    <w:rPr>
                      <w:noProof/>
                    </w:rPr>
                    <w:t>—</w:t>
                  </w:r>
                </w:p>
              </w:tc>
              <w:tc>
                <w:tcPr>
                  <w:tcW w:w="0" w:type="auto"/>
                </w:tcPr>
                <w:p>
                  <w:pPr>
                    <w:pStyle w:val="Paragraph"/>
                    <w:rPr>
                      <w:noProof/>
                    </w:rPr>
                  </w:pPr>
                  <w:r>
                    <w:rPr>
                      <w:noProof/>
                    </w:rPr>
                    <w:t>de finition mate,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0,43 mm (± 0,03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allongement à la rupture de 420 % au plus, mais n'excédant pas 520 %,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résistance à la traction: de 55 N/mm</w:t>
                  </w:r>
                  <w:r>
                    <w:rPr>
                      <w:noProof/>
                      <w:vertAlign w:val="superscript"/>
                      <w:lang w:val="fr-BE"/>
                    </w:rPr>
                    <w:t>2</w:t>
                  </w:r>
                  <w:r>
                    <w:rPr>
                      <w:noProof/>
                      <w:lang w:val="fr-BE"/>
                    </w:rPr>
                    <w:t xml:space="preserve"> (± 3) (déterminée par la méthode EN ISO 527)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dureté 90 (± 4) (déterminée par la méthode  Shore A [ASTM D2240])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face intérieure plissée (vagues) de 6,35 mm,</w:t>
                  </w:r>
                </w:p>
              </w:tc>
            </w:tr>
            <w:tr>
              <w:tc>
                <w:tcPr>
                  <w:tcW w:w="0" w:type="auto"/>
                </w:tcPr>
                <w:p>
                  <w:pPr>
                    <w:pStyle w:val="Paragraph"/>
                    <w:rPr>
                      <w:noProof/>
                    </w:rPr>
                  </w:pPr>
                  <w:r>
                    <w:rPr>
                      <w:noProof/>
                    </w:rPr>
                    <w:t>—</w:t>
                  </w:r>
                </w:p>
              </w:tc>
              <w:tc>
                <w:tcPr>
                  <w:tcW w:w="0" w:type="auto"/>
                </w:tcPr>
                <w:p>
                  <w:pPr>
                    <w:pStyle w:val="Paragraph"/>
                    <w:rPr>
                      <w:noProof/>
                    </w:rPr>
                  </w:pPr>
                  <w:r>
                    <w:rPr>
                      <w:noProof/>
                    </w:rPr>
                    <w:t>d'une planéité de 0,025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3920 99 59</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Pellicule en poly(1-chlorotrifluoroéthylène)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99 59</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Membrane échangeuse d’ions, en matière plastique fluorée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99 59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Feuille d’un copolymère d’alcool vinylique, soluble dans l’eau froide, d’une épaisseur de 34 µm ou plus mais n’excédant pas 90 µm, d’une résistance à la rupture par traction de 20 MPa ou plus mais n’excédant pas 55 Mpa et d’un allongement à la rupture de 250 % ou plus mais n’excédant pas 900 %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3920 99 59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Feuille de tétrafluoroéthylène, conditionnée en rouleaux, présentant les caractéristiques suivantes:</w:t>
            </w:r>
          </w:p>
          <w:tbl>
            <w:tblPr>
              <w:tblStyle w:val="Listdash"/>
              <w:tblW w:w="0" w:type="auto"/>
              <w:tblLook w:val="0000" w:firstRow="0" w:lastRow="0" w:firstColumn="0" w:lastColumn="0" w:noHBand="0" w:noVBand="0"/>
            </w:tblPr>
            <w:tblGrid>
              <w:gridCol w:w="220"/>
              <w:gridCol w:w="2282"/>
            </w:tblGrid>
            <w:tr>
              <w:tc>
                <w:tcPr>
                  <w:tcW w:w="0" w:type="auto"/>
                </w:tcPr>
                <w:p>
                  <w:pPr>
                    <w:pStyle w:val="Paragraph"/>
                    <w:rPr>
                      <w:noProof/>
                    </w:rPr>
                  </w:pPr>
                  <w:r>
                    <w:rPr>
                      <w:noProof/>
                    </w:rPr>
                    <w:t>—</w:t>
                  </w:r>
                </w:p>
              </w:tc>
              <w:tc>
                <w:tcPr>
                  <w:tcW w:w="0" w:type="auto"/>
                </w:tcPr>
                <w:p>
                  <w:pPr>
                    <w:pStyle w:val="Paragraph"/>
                    <w:rPr>
                      <w:noProof/>
                    </w:rPr>
                  </w:pPr>
                  <w:r>
                    <w:rPr>
                      <w:noProof/>
                    </w:rPr>
                    <w:t>une épaisseur de 50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point de fusion de 260 °C,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densité de 1,75 (ASTM D792)</w:t>
                  </w:r>
                </w:p>
              </w:tc>
            </w:tr>
          </w:tbl>
          <w:p>
            <w:pPr>
              <w:pStyle w:val="Paragraph"/>
              <w:rPr>
                <w:noProof/>
                <w:lang w:val="fr-BE"/>
              </w:rPr>
            </w:pPr>
            <w:r>
              <w:rPr>
                <w:noProof/>
                <w:lang w:val="fr-BE"/>
              </w:rPr>
              <w:t>utilisée dans la fabrication de dispositifs à semi-conducteur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3920 99 59</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Film d'éthylène-propylène fluoré (CAS RN 25067-11-2)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de 0,010 mm ou plus mais n'excédant pas 0,80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de 1 219 mm ou plus mais n'excédant pas 1 575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point de fusion de 252 °C (mesuré d’après la norme ASTM D-3418)</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3920 99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Film anisotrope conducteur, en rouleau, d’une largueur de 1,2 mm ou plus, mais n’excédant pas 3,15 mm, et d’une longueur maximale de 300 m, utilisé pour unir les composants électroniques des écrans à cristaux liquides ou écrans plasma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3921 13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Feuille de mousse de polyuréthane, d’une épaisseur de 3 mm (± 15 %) et d’une densité de 0,09435 ou plus mais n’excédant pas 0,10092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3921 13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Rouleaux de mousse de polyuréthane à cellules ouvertes:</w:t>
            </w:r>
          </w:p>
          <w:tbl>
            <w:tblPr>
              <w:tblStyle w:val="Listdash"/>
              <w:tblW w:w="0" w:type="auto"/>
              <w:tblLook w:val="0000" w:firstRow="0" w:lastRow="0" w:firstColumn="0" w:lastColumn="0" w:noHBand="0" w:noVBand="0"/>
            </w:tblPr>
            <w:tblGrid>
              <w:gridCol w:w="220"/>
              <w:gridCol w:w="429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2,29 mm (± 0,25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traités en surface avec un promoteur d’adhérence foraminé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doublés d’une feuille en polyester et une couche de matière textile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3921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Blocs à structure cellulaire, constitués: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de polyamide-6 ou de poly(époxy anhydride),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le cas échéant, de polytétrafluoroéthylène (au minimum 7 % et au maximum 9 %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matières de charge inorganiques (au minimum 10 % et au maximum 25 % en poids)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Film multicouches composé de: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30 % ou plus mais pas plus de 60 %, d'une couche microporeuse de polypropylène (CAS RN 9003 07-0),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20 % ou plus mais pas plus de 40 %, d'une couche microporeuse de polyéthylène (CAS RN 9002-88-4),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20 % ou plus mais pas plus de 40 %, d'une couche/d'un revêtement de boehmite (CAS RN 1318-23-6),</w:t>
                  </w:r>
                </w:p>
              </w:tc>
            </w:tr>
          </w:tbl>
          <w:p>
            <w:pPr>
              <w:pStyle w:val="Paragraph"/>
              <w:rPr>
                <w:noProof/>
                <w:lang w:val="fr-BE"/>
              </w:rPr>
            </w:pPr>
            <w:r>
              <w:rPr>
                <w:noProof/>
                <w:lang w:val="fr-BE"/>
              </w:rPr>
              <w:t>utilisé dans la fabrication de batteries au lithium-ion</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Film transparent, microporeux, en polyéthylène greffé à l’acide acrylique, présenté en rouleaux,</w:t>
            </w:r>
          </w:p>
          <w:tbl>
            <w:tblPr>
              <w:tblStyle w:val="Listdash"/>
              <w:tblW w:w="0" w:type="auto"/>
              <w:tblLook w:val="0000" w:firstRow="0" w:lastRow="0" w:firstColumn="0" w:lastColumn="0" w:noHBand="0" w:noVBand="0"/>
            </w:tblPr>
            <w:tblGrid>
              <w:gridCol w:w="220"/>
              <w:gridCol w:w="402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98 mm ou plus mais n'excédant pas 170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15 µm ou plus mais n'excédant pas 36 µm,</w:t>
                  </w:r>
                </w:p>
              </w:tc>
            </w:tr>
          </w:tbl>
          <w:p>
            <w:pPr>
              <w:pStyle w:val="Paragraph"/>
              <w:rPr>
                <w:noProof/>
                <w:lang w:val="fr-BE"/>
              </w:rPr>
            </w:pPr>
            <w:r>
              <w:rPr>
                <w:noProof/>
                <w:lang w:val="fr-BE"/>
              </w:rPr>
              <w:t>du type utilisé pour la fabrication de séparateurs de batteries alcalines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Membrane poreuse de polytétrafluoréthylène (PTFE) combinée à un tissu non tissé en polyester obtenu par filé-lié: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supérieure à 0,05 mm mais n'excédant pas 0,20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pression d’eau à l’entrée comprise entre 5 et 200 kPa selon la norme ISO 811,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perméabilité à l’air de 0,08 cm³/cm²/s ou plus selon la norme ISO 5636-5</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Feuille de séparation constituée de plusieurs couches micro poreuses,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de polyéthylène microporeux entre deux couches de polypropylène microporeux, pouvant être recouverte d'oxyde d'aluminium sur les deux faces,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d'au moins 65 mm mais pas plus de 170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d'au moins 0,01 mm mais pas plus de 0,03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porosité d'au moins 0,25 mais pas plus de 0,65</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Membranes microporeuses de polytétrafluoroéthylène expansé (ePTFE) en rouleaux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largeur de 1 600 mm ou plus mais pas plus de 1 730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épaisseur de la membrane de 15 </w:t>
                  </w:r>
                  <w:r>
                    <w:rPr>
                      <w:noProof/>
                    </w:rPr>
                    <w:t>μ</w:t>
                  </w:r>
                  <w:r>
                    <w:rPr>
                      <w:noProof/>
                      <w:lang w:val="fr-BE"/>
                    </w:rPr>
                    <w:t xml:space="preserve">m ou plus mais pas plus de 50 </w:t>
                  </w:r>
                  <w:r>
                    <w:rPr>
                      <w:noProof/>
                    </w:rPr>
                    <w:t>μ</w:t>
                  </w:r>
                  <w:r>
                    <w:rPr>
                      <w:noProof/>
                      <w:lang w:val="fr-BE"/>
                    </w:rPr>
                    <w:t>m</w:t>
                  </w:r>
                </w:p>
              </w:tc>
            </w:tr>
          </w:tbl>
          <w:p>
            <w:pPr>
              <w:pStyle w:val="Paragraph"/>
              <w:rPr>
                <w:noProof/>
                <w:lang w:val="fr-BE"/>
              </w:rPr>
            </w:pPr>
            <w:r>
              <w:rPr>
                <w:noProof/>
                <w:lang w:val="fr-BE"/>
              </w:rPr>
              <w:t xml:space="preserve">destinées à être utilisées dans la fabrication d'une membrane bi-composant ePTFE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Film monocouche microporeux de polypropylène ou film à trois couches microporeux de polypropylène, polyéthylène et polypropylène, chaque film présentant les caractéristiques suivantes:</w:t>
            </w:r>
          </w:p>
          <w:tbl>
            <w:tblPr>
              <w:tblStyle w:val="Listdash"/>
              <w:tblW w:w="0" w:type="auto"/>
              <w:tblLook w:val="0000" w:firstRow="0" w:lastRow="0" w:firstColumn="0" w:lastColumn="0" w:noHBand="0" w:noVBand="0"/>
            </w:tblPr>
            <w:tblGrid>
              <w:gridCol w:w="220"/>
              <w:gridCol w:w="386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absence de retrait dans le sens transversal de la fabrication,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épaisseur totale de 10 µm ou plus mais pas plus de 50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largeur de 15 mm ou plus mais pas plus de 900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longueur supérieure à 200 m mais pas plus de 3 000 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taille moyenne des pores comprise entre 0,02 µm et 0,1 µm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3921 19 00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fr-BE"/>
              </w:rPr>
            </w:pPr>
            <w:r>
              <w:rPr>
                <w:noProof/>
                <w:lang w:val="fr-BE"/>
              </w:rPr>
              <w:t>Bande en polytétrafluoroéthylène microporeux sur un support en nontissé, destinée à être utilisée dans la fabrication de filtres pour équipement de dialyse rénale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3921 19 00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fr-BE"/>
              </w:rPr>
            </w:pPr>
            <w:r>
              <w:rPr>
                <w:noProof/>
                <w:lang w:val="fr-BE"/>
              </w:rPr>
              <w:t>Feuille en polyethersulfone, d’une épaisseur n’excédant pas 200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3921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Plaque composite en poly(éthylène téréphtalate) ou en poly(butylène téréphtalate), armée de fibres de verre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3921 90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Feuille de poly(éthylène téréphtalate) renforcée sur une face ou sur les deux faces par une couche de fibres unidirectionnelles en polyéthylène téréphtalate, et imprégnée de polyuréthane ou de résine époxyde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3921 90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Feuille stratifiée composée des éléments suivants: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feuille en poly(éthylène téréphtalate) d’une épaisseur de plus de 100 µm mais n’excédant pas 150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base de matériau phénolique d’une épaisseur de plus de 8 µm mais n’excédant pas 15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adhésive de caoutchouc synthétique de plus de 20 µm mais n’excédant pas 30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une couche en poly(éthylène téréphtalate) transparent d’une épaisseur de plus de 35 µm mais n’excédant pas 40 µm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3921 90 55</w:t>
            </w:r>
          </w:p>
          <w:p>
            <w:pPr>
              <w:pStyle w:val="Paragraph"/>
              <w:rPr>
                <w:noProof/>
              </w:rPr>
            </w:pPr>
            <w:r>
              <w:rPr>
                <w:noProof/>
              </w:rPr>
              <w:t>ex 7019 40 00</w:t>
            </w:r>
          </w:p>
          <w:p>
            <w:pPr>
              <w:pStyle w:val="Paragraph"/>
              <w:rPr>
                <w:noProof/>
              </w:rPr>
            </w:pPr>
            <w:r>
              <w:rPr>
                <w:noProof/>
              </w:rPr>
              <w:t>ex 7019 40 00</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21</w:t>
            </w:r>
          </w:p>
          <w:p>
            <w:pPr>
              <w:pStyle w:val="Paragraph"/>
              <w:jc w:val="center"/>
              <w:rPr>
                <w:noProof/>
              </w:rPr>
            </w:pPr>
            <w:r>
              <w:rPr>
                <w:noProof/>
              </w:rPr>
              <w:t>29</w:t>
            </w:r>
          </w:p>
        </w:tc>
        <w:tc>
          <w:tcPr>
            <w:tcW w:w="0" w:type="auto"/>
            <w:vMerge w:val="restart"/>
            <w:tcBorders>
              <w:left w:val="single" w:sz="2" w:space="0" w:color="auto"/>
            </w:tcBorders>
          </w:tcPr>
          <w:p>
            <w:pPr>
              <w:pStyle w:val="Paragraph"/>
              <w:rPr>
                <w:noProof/>
                <w:lang w:val="fr-BE"/>
              </w:rPr>
            </w:pPr>
            <w:r>
              <w:rPr>
                <w:noProof/>
                <w:lang w:val="fr-BE"/>
              </w:rPr>
              <w:t>Feuilles ou rouleaux préimprégnés contenant de la résine polyimide</w:t>
            </w: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3921 90 55</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Fibre de verre imprégnée de résine époxy, destinée à la fabrication de cartes à puce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3921 90 55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Pièce de tissu tricouche, en rouleaux,</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comprenant une couche centrale de 100 % de taffetas nylon ou de taffetas nylon/polyester,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enduite sur les deux faces avec une solution polyamide,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de 135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total n’excédant pas 80 g/m</w:t>
                  </w:r>
                  <w:r>
                    <w:rPr>
                      <w:noProof/>
                      <w:vertAlign w:val="superscript"/>
                      <w:lang w:val="fr-BE"/>
                    </w:rPr>
                    <w:t>2</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3921 90 55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Feuilles renforcées de fibres de verre en résine époxyde réactive sans halogène, avec durcisseur, additifs et charges inorganiques destinées à l'enrobage de systèmes de semi-conducteurs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3921 90 60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Feuille en poly(butyral de vinyle) d'isolation thermique, aux rayons infrarouge et UV:</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recouverte d’une couche de métal d’une épaisseur de 0,05 mm (± 0,01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en poids au moins 29,75 %, mais pas plus de 40,25 %, de di(2-éthylhexanoate) de triéthylène glycol utilisé comme plastifiant,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transmission de la lumière de 70 % ou plus (déterminée par la méthode ISO 9050);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transmission des UV de 1 % ou moins (déterminée par la méthode ISO 9050);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de 0,43 mm (± 0,043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3921 90 60</w:t>
            </w:r>
          </w:p>
          <w:p>
            <w:pPr>
              <w:pStyle w:val="Paragraph"/>
              <w:rPr>
                <w:noProof/>
              </w:rPr>
            </w:pPr>
            <w:r>
              <w:rPr>
                <w:noProof/>
              </w:rPr>
              <w:t>ex 5407 71 00</w:t>
            </w:r>
          </w:p>
          <w:p>
            <w:pPr>
              <w:pStyle w:val="Paragraph"/>
              <w:rPr>
                <w:noProof/>
              </w:rPr>
            </w:pPr>
            <w:r>
              <w:rPr>
                <w:noProof/>
              </w:rPr>
              <w:t>ex 5903 90 99</w:t>
            </w:r>
          </w:p>
        </w:tc>
        <w:tc>
          <w:tcPr>
            <w:tcW w:w="0" w:type="auto"/>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Membranes échangeuses d'ions à base de tissu revêtu sur les deux faces de matière plastique fluorée, destinées à être utilisées dans des cellules d'électrolyse chlore-soude</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Pr>
          <w:p>
            <w:pPr>
              <w:pStyle w:val="Paragraph"/>
              <w:rPr>
                <w:noProof/>
              </w:rPr>
            </w:pPr>
            <w:r>
              <w:rPr>
                <w:noProof/>
              </w:rPr>
              <w:t>ex 3923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Boîtiers de photomasques ou de plaquettes: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composés de matériaux antistatiques ou de mélanges thermoplastiques démontrant des propriétés spécifiques de décharge électrostatique (DES) et de dégazage,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des surfaces non poreuses, résistantes à l'abrasion ou aux chocs,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équipés d'un système de retenue spécialement conçu qui protège le photomasque ou les plaquettes des dommages superficiels ou esthétiques,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équipés ou non d'un joint d'étanchéité,</w:t>
                  </w:r>
                </w:p>
              </w:tc>
            </w:tr>
          </w:tbl>
          <w:p>
            <w:pPr>
              <w:pStyle w:val="Paragraph"/>
              <w:rPr>
                <w:noProof/>
                <w:lang w:val="fr-BE"/>
              </w:rPr>
            </w:pPr>
            <w:r>
              <w:rPr>
                <w:noProof/>
                <w:lang w:val="fr-BE"/>
              </w:rPr>
              <w:t>du type utilisé dans la production photolithographique ou les autres types de production de semiconducteurs pour loger les photomasques ou les plaquettes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3926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Logo en plastique du constructeur automobile, chromé ou non, comportant des supports de fixation sur la face arrière et destiné à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3926 30 00</w:t>
            </w:r>
          </w:p>
          <w:p>
            <w:pPr>
              <w:pStyle w:val="Paragraph"/>
              <w:rPr>
                <w:noProof/>
              </w:rPr>
            </w:pPr>
            <w:r>
              <w:rPr>
                <w:noProof/>
              </w:rPr>
              <w:t>ex 3926 90 97</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34</w:t>
            </w:r>
          </w:p>
        </w:tc>
        <w:tc>
          <w:tcPr>
            <w:tcW w:w="0" w:type="auto"/>
            <w:vMerge w:val="restart"/>
            <w:tcBorders>
              <w:left w:val="single" w:sz="2" w:space="0" w:color="auto"/>
            </w:tcBorders>
          </w:tcPr>
          <w:p>
            <w:pPr>
              <w:pStyle w:val="Paragraph"/>
              <w:rPr>
                <w:noProof/>
                <w:lang w:val="fr-BE"/>
              </w:rPr>
            </w:pPr>
            <w:r>
              <w:rPr>
                <w:noProof/>
                <w:lang w:val="fr-BE"/>
              </w:rPr>
              <w:t>Éléments décoratifs intérieurs ou extérieurs galvanisés, constitués: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copolymère d'acrylonitrile-butadiène-styrène (ABS), mélangé ou non avec du polycarbonate,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couches de cuivre, de nickel et de chrome,</w:t>
                  </w:r>
                </w:p>
              </w:tc>
            </w:tr>
          </w:tbl>
          <w:p>
            <w:pPr>
              <w:pStyle w:val="Paragraph"/>
              <w:rPr>
                <w:noProof/>
                <w:lang w:val="fr-BE"/>
              </w:rPr>
            </w:pPr>
            <w:r>
              <w:rPr>
                <w:noProof/>
                <w:lang w:val="fr-BE"/>
              </w:rPr>
              <w:t>destinés à la fabrication de parties de véhicules à moteur des positions 8701 à 8705</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w:t>
            </w:r>
            <w:r>
              <w:rPr>
                <w:noProof/>
              </w:rPr>
              <w:t>ex 3926 90 92</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Pellicule ou feuille réfléchissante constituée d’une face supérieure en poly(chlorure de vinyle) présentant des impressions régulières en forme de pyramides, thermoscellée en lignes parallèles ou en forme de grilles, à un dos en matière plastique ou en tissu tricoté ou tissé, recouvert d’un côté de matière plastique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3926 90 92</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Enveloppe en silicone pour implants mammaires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3926 90 97</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Microsphères de polymère de divinylbenzène, d’un diamètre de 4,5 µm ou plus mais n’excédant pas 80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3926 90 97</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Ressort à lames avec traverse en matière plastique renforcée de fibre de verre, destiné à être utilisé dans la fabrication de systèmes de suspension pour véhicules automobiles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3926 90 97</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Boîtier en plastique de rétroviseur extérieur pour véhicules à moteur comportant des supports de fixation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3926 90 97</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Microsphères non expansibles d’un copolymère d’acrylonitrile, de méthacrylonitrile et de méthacrylate d’isobornyle, d’un diamètre de 3 µm ou plus mais n’excédant pas 4,6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3926 90 97</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BE"/>
              </w:rPr>
            </w:pPr>
            <w:r>
              <w:rPr>
                <w:noProof/>
                <w:lang w:val="fr-BE"/>
              </w:rPr>
              <w:t>Joint de mousse de polyéthylène destiné à combler l'espace entre la carrosserie d'un véhicule automobile et la base d'un rétroviseur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Éléments de façades d'autoradios et de systèmes de climatisation de voiture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en acrylonitrile-butadiène-styrène avec ou sans polycarbonate,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recouverts de couches de cuivre, de nickel et de chrome,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dont l'épaisseur totale du revêtement est de 5,54 µm ou plus, mais n'excède pas 49,6 </w:t>
                  </w:r>
                  <w:r>
                    <w:rPr>
                      <w:noProof/>
                    </w:rPr>
                    <w:t>μ</w:t>
                  </w:r>
                  <w:r>
                    <w:rPr>
                      <w:noProof/>
                      <w:lang w:val="fr-BE"/>
                    </w:rPr>
                    <w:t>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3926 90 97</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Boîtiers, pièces de boîtiers, cylindres, molettes de réglage, châssis, couvercles et autres parties en acrylonitrile-butadiène-styrène ou en polycarbonate, du type utilisé dans la fabrication de télécommandes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3926 90 97</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Bouton de façade d'autoradio composé de polycarbonate de bisphénol A, en emballages immédiats de 300 pièces minimum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3926 90 97</w:t>
            </w:r>
          </w:p>
        </w:tc>
        <w:tc>
          <w:tcPr>
            <w:tcW w:w="0" w:type="auto"/>
            <w:tcBorders>
              <w:left w:val="single" w:sz="2" w:space="0" w:color="auto"/>
            </w:tcBorders>
          </w:tcPr>
          <w:p>
            <w:pPr>
              <w:pStyle w:val="Paragraph"/>
              <w:jc w:val="center"/>
              <w:rPr>
                <w:noProof/>
              </w:rPr>
            </w:pPr>
            <w:r>
              <w:rPr>
                <w:noProof/>
              </w:rPr>
              <w:t>77</w:t>
            </w:r>
          </w:p>
        </w:tc>
        <w:tc>
          <w:tcPr>
            <w:tcW w:w="0" w:type="auto"/>
            <w:tcBorders>
              <w:left w:val="single" w:sz="2" w:space="0" w:color="auto"/>
            </w:tcBorders>
          </w:tcPr>
          <w:p>
            <w:pPr>
              <w:pStyle w:val="Paragraph"/>
              <w:rPr>
                <w:noProof/>
                <w:lang w:val="fr-BE"/>
              </w:rPr>
            </w:pPr>
            <w:r>
              <w:rPr>
                <w:noProof/>
                <w:lang w:val="fr-BE"/>
              </w:rPr>
              <w:t>Anneau de découplage en silicone, d’un diamètre intérieur de 14,7 mm ou plus mais n'excédant pas 16,0 mm, en emballages immédiats de 2 500 pièces ou plus, du type utilisé dans les systèmes de capteurs d’aide au stationnement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4007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Fils et cordes de caoutchouc vulcanisé siliconé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4009 42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Flexible de frein en caoutchouc présentant les caractéristiques suivantes:</w:t>
            </w:r>
          </w:p>
          <w:tbl>
            <w:tblPr>
              <w:tblStyle w:val="Listdash"/>
              <w:tblW w:w="0" w:type="auto"/>
              <w:tblLook w:val="0000" w:firstRow="0" w:lastRow="0" w:firstColumn="0" w:lastColumn="0" w:noHBand="0" w:noVBand="0"/>
            </w:tblPr>
            <w:tblGrid>
              <w:gridCol w:w="220"/>
              <w:gridCol w:w="3939"/>
            </w:tblGrid>
            <w:tr>
              <w:tc>
                <w:tcPr>
                  <w:tcW w:w="0" w:type="auto"/>
                </w:tcPr>
                <w:p>
                  <w:pPr>
                    <w:pStyle w:val="Paragraph"/>
                    <w:rPr>
                      <w:noProof/>
                    </w:rPr>
                  </w:pPr>
                  <w:r>
                    <w:rPr>
                      <w:noProof/>
                    </w:rPr>
                    <w:t>—</w:t>
                  </w:r>
                </w:p>
              </w:tc>
              <w:tc>
                <w:tcPr>
                  <w:tcW w:w="0" w:type="auto"/>
                </w:tcPr>
                <w:p>
                  <w:pPr>
                    <w:pStyle w:val="Paragraph"/>
                    <w:rPr>
                      <w:noProof/>
                    </w:rPr>
                  </w:pPr>
                  <w:r>
                    <w:rPr>
                      <w:noProof/>
                    </w:rPr>
                    <w:t>un cordon en textile,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de parois de 3,2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embout métallique creux estampé aux deux extrémités,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un support de fixation,</w:t>
                  </w:r>
                </w:p>
              </w:tc>
            </w:tr>
          </w:tbl>
          <w:p>
            <w:pPr>
              <w:pStyle w:val="Paragraph"/>
              <w:rPr>
                <w:noProof/>
                <w:lang w:val="fr-BE"/>
              </w:rPr>
            </w:pPr>
            <w:r>
              <w:rPr>
                <w:noProof/>
                <w:lang w:val="fr-BE"/>
              </w:rPr>
              <w:t>du type utilisé pour la fabrication des marchandises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4010 31 00</w:t>
            </w:r>
          </w:p>
          <w:p>
            <w:pPr>
              <w:pStyle w:val="Paragraph"/>
              <w:rPr>
                <w:noProof/>
              </w:rPr>
            </w:pPr>
            <w:r>
              <w:rPr>
                <w:noProof/>
              </w:rPr>
              <w:t>ex 4010 33 00</w:t>
            </w:r>
          </w:p>
          <w:p>
            <w:pPr>
              <w:pStyle w:val="Paragraph"/>
              <w:rPr>
                <w:noProof/>
              </w:rPr>
            </w:pPr>
            <w:r>
              <w:rPr>
                <w:noProof/>
              </w:rPr>
              <w:t>ex 4010 39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Courroie de transmission sans fin en caoutchouc vulcanisé, de section trapézoïdale, striée dans le sens longitudinal sur la face interne et utilisée dans la fabrication de marchandises relevant du chapitre 87</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Pr>
          <w:p>
            <w:pPr>
              <w:pStyle w:val="Paragraph"/>
              <w:rPr>
                <w:noProof/>
              </w:rPr>
            </w:pPr>
            <w:r>
              <w:rPr>
                <w:noProof/>
              </w:rPr>
              <w:t>ex 4016 93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Joint fabriqué en caoutchouc vulcanisé (monomères éthylène-propylène-diène) dont la bavure admissible du matériau au niveau du moule à coins ne dépasse pas 0,25 mm, de forme rectangulaire:</w:t>
            </w:r>
          </w:p>
          <w:tbl>
            <w:tblPr>
              <w:tblStyle w:val="Listdash"/>
              <w:tblW w:w="0" w:type="auto"/>
              <w:tblLook w:val="0000" w:firstRow="0" w:lastRow="0" w:firstColumn="0" w:lastColumn="0" w:noHBand="0" w:noVBand="0"/>
            </w:tblPr>
            <w:tblGrid>
              <w:gridCol w:w="220"/>
              <w:gridCol w:w="325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comprise entre 72 mm et 825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comprise entre 18 mm et 155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4016 99 57</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Tuyau d’admission d’air pour l’alimentation en air de la partie du moteur liée à la combustion, comprenant au moins:</w:t>
            </w:r>
          </w:p>
          <w:tbl>
            <w:tblPr>
              <w:tblStyle w:val="Listdash"/>
              <w:tblW w:w="0" w:type="auto"/>
              <w:tblLook w:val="0000" w:firstRow="0" w:lastRow="0" w:firstColumn="0" w:lastColumn="0" w:noHBand="0" w:noVBand="0"/>
            </w:tblPr>
            <w:tblGrid>
              <w:gridCol w:w="220"/>
              <w:gridCol w:w="2144"/>
            </w:tblGrid>
            <w:tr>
              <w:tc>
                <w:tcPr>
                  <w:tcW w:w="0" w:type="auto"/>
                </w:tcPr>
                <w:p>
                  <w:pPr>
                    <w:pStyle w:val="Paragraph"/>
                    <w:rPr>
                      <w:noProof/>
                    </w:rPr>
                  </w:pPr>
                  <w:r>
                    <w:rPr>
                      <w:noProof/>
                    </w:rPr>
                    <w:t>—</w:t>
                  </w:r>
                </w:p>
              </w:tc>
              <w:tc>
                <w:tcPr>
                  <w:tcW w:w="0" w:type="auto"/>
                </w:tcPr>
                <w:p>
                  <w:pPr>
                    <w:pStyle w:val="Paragraph"/>
                    <w:rPr>
                      <w:noProof/>
                    </w:rPr>
                  </w:pPr>
                  <w:r>
                    <w:rPr>
                      <w:noProof/>
                    </w:rPr>
                    <w:t>un tuyau flexible en caoutchouc,</w:t>
                  </w:r>
                </w:p>
              </w:tc>
            </w:tr>
            <w:tr>
              <w:tc>
                <w:tcPr>
                  <w:tcW w:w="0" w:type="auto"/>
                </w:tcPr>
                <w:p>
                  <w:pPr>
                    <w:pStyle w:val="Paragraph"/>
                    <w:rPr>
                      <w:noProof/>
                    </w:rPr>
                  </w:pPr>
                  <w:r>
                    <w:rPr>
                      <w:noProof/>
                    </w:rPr>
                    <w:t>—</w:t>
                  </w:r>
                </w:p>
              </w:tc>
              <w:tc>
                <w:tcPr>
                  <w:tcW w:w="0" w:type="auto"/>
                </w:tcPr>
                <w:p>
                  <w:pPr>
                    <w:pStyle w:val="Paragraph"/>
                    <w:rPr>
                      <w:noProof/>
                    </w:rPr>
                  </w:pPr>
                  <w:r>
                    <w:rPr>
                      <w:noProof/>
                    </w:rPr>
                    <w:t>un tuyau plastique, et</w:t>
                  </w:r>
                </w:p>
              </w:tc>
            </w:tr>
            <w:tr>
              <w:tc>
                <w:tcPr>
                  <w:tcW w:w="0" w:type="auto"/>
                </w:tcPr>
                <w:p>
                  <w:pPr>
                    <w:pStyle w:val="Paragraph"/>
                    <w:rPr>
                      <w:noProof/>
                    </w:rPr>
                  </w:pPr>
                  <w:r>
                    <w:rPr>
                      <w:noProof/>
                    </w:rPr>
                    <w:t>—</w:t>
                  </w:r>
                </w:p>
              </w:tc>
              <w:tc>
                <w:tcPr>
                  <w:tcW w:w="0" w:type="auto"/>
                </w:tcPr>
                <w:p>
                  <w:pPr>
                    <w:pStyle w:val="Paragraph"/>
                    <w:rPr>
                      <w:noProof/>
                    </w:rPr>
                  </w:pPr>
                  <w:r>
                    <w:rPr>
                      <w:noProof/>
                    </w:rPr>
                    <w:t>des clips métalliques,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le cas échéant, un résonateur</w:t>
                  </w:r>
                </w:p>
              </w:tc>
            </w:tr>
          </w:tbl>
          <w:p>
            <w:pPr>
              <w:pStyle w:val="Paragraph"/>
              <w:rPr>
                <w:noProof/>
                <w:lang w:val="fr-BE"/>
              </w:rPr>
            </w:pPr>
            <w:r>
              <w:rPr>
                <w:noProof/>
                <w:lang w:val="fr-BE"/>
              </w:rPr>
              <w:t>utilisé dans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4016 99 57</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Bande de pare-chocs en caoutchouc dotée d'un revêtement en silicone, d'une longueur ne dépassant pas 1 200 mm et munie d'au moins cinq clips plastique, utilisée dans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4016 99 57</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Cache-poussière de goupille d'étrier de frein, en caoutchouc vulcanisé,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intérieur d'au moins 5 mm et un diamètre extérieur n'excédant pas 35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hauteur de 15 mm ou plus, mais n'excédant pas 40 mm,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une structure cannelée,</w:t>
                  </w:r>
                </w:p>
              </w:tc>
            </w:tr>
          </w:tbl>
          <w:p>
            <w:pPr>
              <w:pStyle w:val="Paragraph"/>
              <w:rPr>
                <w:noProof/>
                <w:lang w:val="fr-BE"/>
              </w:rPr>
            </w:pPr>
            <w:r>
              <w:rPr>
                <w:noProof/>
                <w:lang w:val="fr-BE"/>
              </w:rPr>
              <w:t>destiné à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4016 99 97</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Vessie pour la vulcanisation de pneus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4104 41 19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Cuirs de buffles, refendus, tannés au chrome, retannage synthétique (''crust'') à l'état sec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w:t>
            </w:r>
            <w:r>
              <w:rPr>
                <w:noProof/>
              </w:rPr>
              <w:t>4105 10 00</w:t>
            </w:r>
          </w:p>
          <w:p>
            <w:pPr>
              <w:pStyle w:val="Paragraph"/>
              <w:rPr>
                <w:noProof/>
              </w:rPr>
            </w:pPr>
            <w:r>
              <w:rPr>
                <w:noProof/>
              </w:rPr>
              <w:t>4105 30 90</w:t>
            </w:r>
          </w:p>
        </w:tc>
        <w:tc>
          <w:tcPr>
            <w:tcW w:w="0" w:type="auto"/>
            <w:tcBorders>
              <w:left w:val="single" w:sz="2" w:space="0" w:color="auto"/>
              <w:bottom w:val="nil"/>
            </w:tcBorders>
          </w:tcPr>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lang w:val="fr-BE"/>
              </w:rPr>
            </w:pPr>
            <w:r>
              <w:rPr>
                <w:noProof/>
                <w:lang w:val="fr-BE"/>
              </w:rPr>
              <w:t>Peaux épilées d’ovins, préparées, autres que celles de la position 4114, tannées ou retannées mais sans autre préparation ultérieure, même refendues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4106 21 00</w:t>
            </w:r>
          </w:p>
          <w:p>
            <w:pPr>
              <w:pStyle w:val="Paragraph"/>
              <w:rPr>
                <w:noProof/>
              </w:rPr>
            </w:pPr>
            <w:r>
              <w:rPr>
                <w:noProof/>
              </w:rPr>
              <w:t>4106 22 90</w:t>
            </w:r>
          </w:p>
        </w:tc>
        <w:tc>
          <w:tcPr>
            <w:tcW w:w="0" w:type="auto"/>
            <w:tcBorders>
              <w:left w:val="single" w:sz="2" w:space="0" w:color="auto"/>
              <w:bottom w:val="nil"/>
            </w:tcBorders>
          </w:tcPr>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lang w:val="fr-BE"/>
              </w:rPr>
            </w:pPr>
            <w:r>
              <w:rPr>
                <w:noProof/>
                <w:lang w:val="fr-BE"/>
              </w:rPr>
              <w:t>Peaux épilées de caprins, préparées, autres que celles de la position 4114, tannées ou retannées mais sans autre préparation ultérieure, même refendues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4106 31 00</w:t>
            </w:r>
          </w:p>
          <w:p>
            <w:pPr>
              <w:pStyle w:val="Paragraph"/>
              <w:rPr>
                <w:noProof/>
              </w:rPr>
            </w:pPr>
            <w:r>
              <w:rPr>
                <w:noProof/>
              </w:rPr>
              <w:t>4106 32 00</w:t>
            </w:r>
          </w:p>
          <w:p>
            <w:pPr>
              <w:pStyle w:val="Paragraph"/>
              <w:rPr>
                <w:noProof/>
              </w:rPr>
            </w:pPr>
            <w:r>
              <w:rPr>
                <w:noProof/>
              </w:rPr>
              <w:t>4106 40 90</w:t>
            </w:r>
          </w:p>
          <w:p>
            <w:pPr>
              <w:pStyle w:val="Paragraph"/>
              <w:rPr>
                <w:noProof/>
              </w:rPr>
            </w:pPr>
            <w:r>
              <w:rPr>
                <w:noProof/>
              </w:rPr>
              <w:t>4106 92 00</w:t>
            </w:r>
          </w:p>
        </w:tc>
        <w:tc>
          <w:tcPr>
            <w:tcW w:w="0" w:type="auto"/>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lang w:val="fr-BE"/>
              </w:rPr>
            </w:pPr>
            <w:r>
              <w:rPr>
                <w:noProof/>
                <w:lang w:val="fr-BE"/>
              </w:rPr>
              <w:t>Peaux épilées d’autres animaux et peaux d’animaux dépourvus de poils, préparées, autres que celles de la position 4114, simplement tannées</w:t>
            </w:r>
          </w:p>
          <w:p>
            <w:pPr>
              <w:pStyle w:val="Paragraph"/>
              <w:rPr>
                <w:noProof/>
                <w:lang w:val="fr-BE"/>
              </w:rPr>
            </w:pP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4408 39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Feuilles de placage en okoumé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1 270 mm ou plus, mais n'excédant pas 3 200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150 mm ou plus, mais n'excédant pas 2 000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0,5 mm ou plus, mais n’excédant pas 4 mm,</w:t>
                  </w:r>
                </w:p>
              </w:tc>
            </w:tr>
            <w:tr>
              <w:tc>
                <w:tcPr>
                  <w:tcW w:w="0" w:type="auto"/>
                </w:tcPr>
                <w:p>
                  <w:pPr>
                    <w:pStyle w:val="Paragraph"/>
                    <w:rPr>
                      <w:noProof/>
                    </w:rPr>
                  </w:pPr>
                  <w:r>
                    <w:rPr>
                      <w:noProof/>
                    </w:rPr>
                    <w:t>—</w:t>
                  </w:r>
                </w:p>
              </w:tc>
              <w:tc>
                <w:tcPr>
                  <w:tcW w:w="0" w:type="auto"/>
                </w:tcPr>
                <w:p>
                  <w:pPr>
                    <w:pStyle w:val="Paragraph"/>
                    <w:rPr>
                      <w:noProof/>
                    </w:rPr>
                  </w:pPr>
                  <w:r>
                    <w:rPr>
                      <w:noProof/>
                    </w:rPr>
                    <w:t>non poncées et</w:t>
                  </w:r>
                </w:p>
              </w:tc>
            </w:tr>
            <w:tr>
              <w:tc>
                <w:tcPr>
                  <w:tcW w:w="0" w:type="auto"/>
                </w:tcPr>
                <w:p>
                  <w:pPr>
                    <w:pStyle w:val="Paragraph"/>
                    <w:rPr>
                      <w:noProof/>
                    </w:rPr>
                  </w:pPr>
                  <w:r>
                    <w:rPr>
                      <w:noProof/>
                    </w:rPr>
                    <w:t>—</w:t>
                  </w:r>
                </w:p>
              </w:tc>
              <w:tc>
                <w:tcPr>
                  <w:tcW w:w="0" w:type="auto"/>
                </w:tcPr>
                <w:p>
                  <w:pPr>
                    <w:pStyle w:val="Paragraph"/>
                    <w:rPr>
                      <w:noProof/>
                    </w:rPr>
                  </w:pPr>
                  <w:r>
                    <w:rPr>
                      <w:noProof/>
                    </w:rPr>
                    <w:t>non rabotées </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4412 99 40</w:t>
            </w:r>
          </w:p>
          <w:p>
            <w:pPr>
              <w:pStyle w:val="Paragraph"/>
              <w:rPr>
                <w:noProof/>
              </w:rPr>
            </w:pPr>
            <w:r>
              <w:rPr>
                <w:noProof/>
              </w:rPr>
              <w:t>ex 4412 99 50</w:t>
            </w:r>
          </w:p>
          <w:p>
            <w:pPr>
              <w:pStyle w:val="Paragraph"/>
              <w:rPr>
                <w:noProof/>
              </w:rPr>
            </w:pPr>
            <w:r>
              <w:rPr>
                <w:noProof/>
              </w:rPr>
              <w:t>ex 4412 99 85</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Bois contreplaqué consistant en deux couches de feuilles pour placage: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210 mm ou plus, mais n'excédant pas 320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297 mm ou plus, mais n'excédant pas 450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supérieure ou égale à 0,45 mm, mais n'excédant pas 0,8 mm,</w:t>
                  </w:r>
                </w:p>
              </w:tc>
            </w:tr>
          </w:tbl>
          <w:p>
            <w:pPr>
              <w:pStyle w:val="Paragraph"/>
              <w:rPr>
                <w:noProof/>
                <w:lang w:val="fr-BE"/>
              </w:rPr>
            </w:pPr>
            <w:r>
              <w:rPr>
                <w:noProof/>
                <w:lang w:val="fr-BE"/>
              </w:rPr>
              <w:t>destiné à la fabrication de produits relevant des positions 4420, 4421, 4820, 4909 et 4911</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Pr>
          <w:p>
            <w:pPr>
              <w:pStyle w:val="Paragraph"/>
              <w:rPr>
                <w:noProof/>
              </w:rPr>
            </w:pPr>
            <w:r>
              <w:rPr>
                <w:noProof/>
              </w:rPr>
              <w:t>ex 5004 00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Fils de soie (autres que les fils de déchets de soie) non conditionnés pour la vente au détail, écrus, décrués ou blanchis, entièrement en soie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5005 00 10</w:t>
            </w:r>
          </w:p>
          <w:p>
            <w:pPr>
              <w:pStyle w:val="Paragraph"/>
              <w:rPr>
                <w:noProof/>
              </w:rPr>
            </w:pPr>
            <w:r>
              <w:rPr>
                <w:noProof/>
              </w:rPr>
              <w:t>ex 5005 00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Fils entièrement de bourre de soie (schappe), non conditionnés pour la vente au détail</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5208 11 10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Gaze à pansement</w:t>
            </w:r>
          </w:p>
        </w:tc>
        <w:tc>
          <w:tcPr>
            <w:tcW w:w="0" w:type="auto"/>
            <w:tcBorders>
              <w:left w:val="single" w:sz="2" w:space="0" w:color="auto"/>
            </w:tcBorders>
          </w:tcPr>
          <w:p>
            <w:pPr>
              <w:pStyle w:val="Paragraph"/>
              <w:rPr>
                <w:noProof/>
              </w:rPr>
            </w:pPr>
            <w:r>
              <w:rPr>
                <w:noProof/>
              </w:rPr>
              <w:t>5.2 %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5311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Tissage à armure toile de fils de papier collés sur une couche de papier mince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de 230 g/m2 ou plus mais n'excédant pas 280 g/m2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découpé en rectangles d'une longueur de 40 cm ou plus mais n'excédant pas 140 cm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5311 00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Tissu de sisal en rouleaux, présentant:</w:t>
            </w:r>
          </w:p>
          <w:tbl>
            <w:tblPr>
              <w:tblStyle w:val="Listdash"/>
              <w:tblW w:w="0" w:type="auto"/>
              <w:tblLook w:val="0000" w:firstRow="0" w:lastRow="0" w:firstColumn="0" w:lastColumn="0" w:noHBand="0" w:noVBand="0"/>
            </w:tblPr>
            <w:tblGrid>
              <w:gridCol w:w="220"/>
              <w:gridCol w:w="424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de 20 mètres ou plus mais n'excédant pas 30 mètres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maximale de 2,5 mètres</w:t>
                  </w:r>
                </w:p>
              </w:tc>
            </w:tr>
          </w:tbl>
          <w:p>
            <w:pPr>
              <w:pStyle w:val="Paragraph"/>
              <w:rPr>
                <w:noProof/>
                <w:lang w:val="fr-BE"/>
              </w:rPr>
            </w:pPr>
            <w:r>
              <w:rPr>
                <w:noProof/>
                <w:lang w:val="fr-BE"/>
              </w:rPr>
              <w:t>utilisé dans la fabrication d'ustensiles de cuisine en acier inoxydable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5402 47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Fil monofilaments bicomposants de 30 décitex ou moins, consistant en: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âme en téréphtalate de polyéthylène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gaine en copolymère de téréphtalate et d’isophtalate d’éthylène,</w:t>
                  </w:r>
                </w:p>
              </w:tc>
            </w:tr>
          </w:tbl>
          <w:p>
            <w:pPr>
              <w:pStyle w:val="Paragraph"/>
              <w:rPr>
                <w:noProof/>
                <w:lang w:val="fr-BE"/>
              </w:rPr>
            </w:pPr>
            <w:r>
              <w:rPr>
                <w:noProof/>
                <w:lang w:val="fr-BE"/>
              </w:rPr>
              <w:t> destiné à être utilisé pour la production de tissus de filtration</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5402 49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Fils d’un copolymère d’acide glycolique et d’acide lactique, destinés à la fabrication de ligatures pour sutures chirurgicales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5402 49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Fils de poly(alcool vinylique), non texturés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5402 49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Fils de filaments synthétiques, non retors, contenant en poids 85 % ou plus d’acrylonitrile, sous forme de mèche contenant 1 000 filaments continus ou plus mais pas plus de 25 000 filaments continus, d’un poids au mètre de 0,12 g ou plus mais n’excédant pas 3,75 g et d’une longueur de 100 m ou plus, destinés à la fabrication de fils de fibres de carbone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5403 39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Monofilament biodégradable (norme EN 14995) n'excédant pas 33 dtex, contenant au moins 98 % de polylactide (PLA) en poids, destiné à être utilisé pour la production de tissus de filtration pour l’industrie alimentaire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5404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Monofilaments de polyester ou de poly(butylène téréphtalate), d’une dimension de la coupe transversale de 0,5 mm ou plus mais n’excédant pas 1 mm, destinés à la fabrication de fermetures éclair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5404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Lame de polyimide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5407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 xml:space="preserve">Tissu constitué de fils de filament de chaine en polyamide-6,6 et de fils de filament de trame en polyamide-6,6, en polyurethane et en un copolymére d’acide téréphtalique, de </w:t>
            </w:r>
            <w:r>
              <w:rPr>
                <w:i/>
                <w:iCs/>
                <w:noProof/>
                <w:lang w:val="fr-BE"/>
              </w:rPr>
              <w:t>p</w:t>
            </w:r>
            <w:r>
              <w:rPr>
                <w:noProof/>
                <w:lang w:val="fr-BE"/>
              </w:rPr>
              <w:t>-phénylènediamine et de 3,4’-oxybis (phénylèneamine)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w:t>
            </w:r>
            <w:r>
              <w:rPr>
                <w:noProof/>
              </w:rPr>
              <w:t>ex 5503 11 00</w:t>
            </w:r>
          </w:p>
          <w:p>
            <w:pPr>
              <w:pStyle w:val="Paragraph"/>
              <w:rPr>
                <w:noProof/>
              </w:rPr>
            </w:pPr>
            <w:r>
              <w:rPr>
                <w:noProof/>
              </w:rPr>
              <w:t>ex 5601 30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rPr>
            </w:pPr>
            <w:r>
              <w:rPr>
                <w:noProof/>
              </w:rPr>
              <w:t xml:space="preserve">Fibres synthétiques discontinues d’un copolymère d’acide téréphtalique, de </w:t>
            </w:r>
            <w:r>
              <w:rPr>
                <w:i/>
                <w:iCs/>
                <w:noProof/>
              </w:rPr>
              <w:t>p</w:t>
            </w:r>
            <w:r>
              <w:rPr>
                <w:noProof/>
              </w:rPr>
              <w:t>-phénylènediamine et de 3,4’-oxybis(phénylèneamine), d’une longueur n’excédant pas 7 mm</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5503 90 00</w:t>
            </w:r>
          </w:p>
          <w:p>
            <w:pPr>
              <w:pStyle w:val="Paragraph"/>
              <w:rPr>
                <w:noProof/>
              </w:rPr>
            </w:pPr>
            <w:r>
              <w:rPr>
                <w:noProof/>
              </w:rPr>
              <w:t>ex 5506 90 00</w:t>
            </w:r>
          </w:p>
          <w:p>
            <w:pPr>
              <w:pStyle w:val="Paragraph"/>
              <w:rPr>
                <w:noProof/>
              </w:rPr>
            </w:pPr>
            <w:r>
              <w:rPr>
                <w:noProof/>
              </w:rPr>
              <w:t>ex 5601 30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Fibres de poly(alcool vinylique), même acétalisées</w:t>
            </w: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Pr>
          <w:p>
            <w:pPr>
              <w:pStyle w:val="Paragraph"/>
              <w:rPr>
                <w:noProof/>
              </w:rPr>
            </w:pPr>
            <w:r>
              <w:rPr>
                <w:noProof/>
              </w:rPr>
              <w:t>ex 5503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Poly(thio-1,4-phénylène) fibres trilobées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5603 11 10</w:t>
            </w:r>
          </w:p>
          <w:p>
            <w:pPr>
              <w:pStyle w:val="Paragraph"/>
              <w:rPr>
                <w:noProof/>
              </w:rPr>
            </w:pPr>
            <w:r>
              <w:rPr>
                <w:noProof/>
              </w:rPr>
              <w:t>ex 5603 11 90</w:t>
            </w:r>
          </w:p>
          <w:p>
            <w:pPr>
              <w:pStyle w:val="Paragraph"/>
              <w:rPr>
                <w:noProof/>
              </w:rPr>
            </w:pPr>
            <w:r>
              <w:rPr>
                <w:noProof/>
              </w:rPr>
              <w:t>ex 5603 12 10</w:t>
            </w:r>
          </w:p>
          <w:p>
            <w:pPr>
              <w:pStyle w:val="Paragraph"/>
              <w:rPr>
                <w:noProof/>
              </w:rPr>
            </w:pPr>
            <w:r>
              <w:rPr>
                <w:noProof/>
              </w:rPr>
              <w:t>ex 5603 12 90</w:t>
            </w:r>
          </w:p>
          <w:p>
            <w:pPr>
              <w:pStyle w:val="Paragraph"/>
              <w:rPr>
                <w:noProof/>
              </w:rPr>
            </w:pPr>
            <w:r>
              <w:rPr>
                <w:noProof/>
              </w:rPr>
              <w:t>ex 5603 91 10</w:t>
            </w:r>
          </w:p>
          <w:p>
            <w:pPr>
              <w:pStyle w:val="Paragraph"/>
              <w:rPr>
                <w:noProof/>
              </w:rPr>
            </w:pPr>
            <w:r>
              <w:rPr>
                <w:noProof/>
              </w:rPr>
              <w:t>ex 5603 91 90</w:t>
            </w:r>
          </w:p>
          <w:p>
            <w:pPr>
              <w:pStyle w:val="Paragraph"/>
              <w:rPr>
                <w:noProof/>
              </w:rPr>
            </w:pPr>
            <w:r>
              <w:rPr>
                <w:noProof/>
              </w:rPr>
              <w:t>ex 5603 92 10</w:t>
            </w:r>
          </w:p>
          <w:p>
            <w:pPr>
              <w:pStyle w:val="Paragraph"/>
              <w:rPr>
                <w:noProof/>
              </w:rPr>
            </w:pPr>
            <w:r>
              <w:rPr>
                <w:noProof/>
              </w:rPr>
              <w:t>ex 5603 92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Nontissé de poly(alcool vinylique), en pièces ou simplement découpé de forme carrée ou rectangulaire:</w:t>
            </w:r>
          </w:p>
          <w:tbl>
            <w:tblPr>
              <w:tblStyle w:val="Listdash"/>
              <w:tblW w:w="0" w:type="auto"/>
              <w:tblLook w:val="0000" w:firstRow="0" w:lastRow="0" w:firstColumn="0" w:lastColumn="0" w:noHBand="0" w:noVBand="0"/>
            </w:tblPr>
            <w:tblGrid>
              <w:gridCol w:w="220"/>
              <w:gridCol w:w="432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200 µm ou plus mais n’excédant pas 280 µm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de 20 g/m</w:t>
                  </w:r>
                  <w:r>
                    <w:rPr>
                      <w:noProof/>
                      <w:vertAlign w:val="superscript"/>
                      <w:lang w:val="fr-BE"/>
                    </w:rPr>
                    <w:t>2</w:t>
                  </w:r>
                  <w:r>
                    <w:rPr>
                      <w:noProof/>
                      <w:lang w:val="fr-BE"/>
                    </w:rPr>
                    <w:t xml:space="preserve"> ou plus mais n’excédant pas 50 g/m</w:t>
                  </w:r>
                  <w:r>
                    <w:rPr>
                      <w:noProof/>
                      <w:vertAlign w:val="superscript"/>
                      <w:lang w:val="fr-BE"/>
                    </w:rPr>
                    <w:t>2</w:t>
                  </w:r>
                </w:p>
              </w:tc>
            </w:tr>
          </w:tbl>
          <w:p>
            <w:pPr>
              <w:pStyle w:val="Paragraph"/>
              <w:rPr>
                <w:noProof/>
                <w:lang w:val="fr-BE"/>
              </w:rPr>
            </w:pPr>
          </w:p>
          <w:p>
            <w:pPr>
              <w:pStyle w:val="Paragraph"/>
              <w:rPr>
                <w:noProof/>
                <w:lang w:val="fr-BE"/>
              </w:rPr>
            </w:pPr>
          </w:p>
          <w:p>
            <w:pPr>
              <w:pStyle w:val="Paragraph"/>
              <w:rPr>
                <w:noProof/>
                <w:lang w:val="fr-BE"/>
              </w:rPr>
            </w:pPr>
          </w:p>
          <w:p>
            <w:pPr>
              <w:pStyle w:val="Paragraph"/>
              <w:rPr>
                <w:noProof/>
                <w:lang w:val="fr-BE"/>
              </w:rPr>
            </w:pPr>
          </w:p>
          <w:p>
            <w:pPr>
              <w:pStyle w:val="Paragraph"/>
              <w:rPr>
                <w:noProof/>
                <w:lang w:val="fr-BE"/>
              </w:rPr>
            </w:pPr>
          </w:p>
          <w:p>
            <w:pPr>
              <w:pStyle w:val="Paragraph"/>
              <w:rPr>
                <w:noProof/>
                <w:lang w:val="fr-BE"/>
              </w:rPr>
            </w:pP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5603 12 90</w:t>
            </w:r>
          </w:p>
          <w:p>
            <w:pPr>
              <w:pStyle w:val="Paragraph"/>
              <w:rPr>
                <w:noProof/>
              </w:rPr>
            </w:pPr>
            <w:r>
              <w:rPr>
                <w:noProof/>
              </w:rPr>
              <w:t>ex 5603 13 90</w:t>
            </w:r>
          </w:p>
          <w:p>
            <w:pPr>
              <w:pStyle w:val="Paragraph"/>
              <w:rPr>
                <w:noProof/>
              </w:rPr>
            </w:pPr>
            <w:r>
              <w:rPr>
                <w:noProof/>
              </w:rPr>
              <w:t>ex 5603 14 90</w:t>
            </w:r>
          </w:p>
          <w:p>
            <w:pPr>
              <w:pStyle w:val="Paragraph"/>
              <w:rPr>
                <w:noProof/>
              </w:rPr>
            </w:pPr>
            <w:r>
              <w:rPr>
                <w:noProof/>
              </w:rPr>
              <w:t>ex 5603 92 90</w:t>
            </w:r>
          </w:p>
          <w:p>
            <w:pPr>
              <w:pStyle w:val="Paragraph"/>
              <w:rPr>
                <w:noProof/>
              </w:rPr>
            </w:pPr>
            <w:r>
              <w:rPr>
                <w:noProof/>
              </w:rPr>
              <w:t>ex 5603 93 90</w:t>
            </w:r>
          </w:p>
          <w:p>
            <w:pPr>
              <w:pStyle w:val="Paragraph"/>
              <w:rPr>
                <w:noProof/>
              </w:rPr>
            </w:pPr>
            <w:r>
              <w:rPr>
                <w:noProof/>
              </w:rPr>
              <w:t>ex 5603 94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40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 xml:space="preserve">Nontissé en pièces ou simplement découpés, de forme carrée ou rectangulaire, en polyamide aromatique obtenu par polycondensation de </w:t>
            </w:r>
            <w:r>
              <w:rPr>
                <w:i/>
                <w:iCs/>
                <w:noProof/>
                <w:lang w:val="fr-BE"/>
              </w:rPr>
              <w:t>m</w:t>
            </w:r>
            <w:r>
              <w:rPr>
                <w:noProof/>
                <w:lang w:val="fr-BE"/>
              </w:rPr>
              <w:t>-phénylènediamine et d’acide isophtalique</w:t>
            </w:r>
          </w:p>
          <w:p>
            <w:pPr>
              <w:pStyle w:val="Paragraph"/>
              <w:rPr>
                <w:noProof/>
                <w:lang w:val="fr-BE"/>
              </w:rPr>
            </w:pPr>
          </w:p>
          <w:p>
            <w:pPr>
              <w:pStyle w:val="Paragraph"/>
              <w:rPr>
                <w:noProof/>
                <w:lang w:val="fr-BE"/>
              </w:rPr>
            </w:pPr>
          </w:p>
          <w:p>
            <w:pPr>
              <w:pStyle w:val="Paragraph"/>
              <w:rPr>
                <w:noProof/>
                <w:lang w:val="fr-BE"/>
              </w:rPr>
            </w:pP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t>ex 5603 12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Nontissé: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de 30 g/m</w:t>
                  </w:r>
                  <w:r>
                    <w:rPr>
                      <w:noProof/>
                      <w:vertAlign w:val="superscript"/>
                      <w:lang w:val="fr-BE"/>
                    </w:rPr>
                    <w:t>2</w:t>
                  </w:r>
                  <w:r>
                    <w:rPr>
                      <w:noProof/>
                      <w:lang w:val="fr-BE"/>
                    </w:rPr>
                    <w:t xml:space="preserve"> ou plus mais n’excédant pas 60 g/m</w:t>
                  </w:r>
                  <w:r>
                    <w:rPr>
                      <w:noProof/>
                      <w:vertAlign w:val="superscript"/>
                      <w:lang w:val="fr-BE"/>
                    </w:rPr>
                    <w:t>2</w:t>
                  </w:r>
                  <w:r>
                    <w:rPr>
                      <w:noProof/>
                      <w:lang w:val="fr-BE"/>
                    </w:rPr>
                    <w: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des fibres de polypropylène ou de polypropylène et de polyéthylène,</w:t>
                  </w:r>
                </w:p>
              </w:tc>
            </w:tr>
            <w:tr>
              <w:tc>
                <w:tcPr>
                  <w:tcW w:w="0" w:type="auto"/>
                </w:tcPr>
                <w:p>
                  <w:pPr>
                    <w:pStyle w:val="Paragraph"/>
                    <w:rPr>
                      <w:noProof/>
                    </w:rPr>
                  </w:pPr>
                  <w:r>
                    <w:rPr>
                      <w:noProof/>
                    </w:rPr>
                    <w:t>—</w:t>
                  </w:r>
                </w:p>
              </w:tc>
              <w:tc>
                <w:tcPr>
                  <w:tcW w:w="0" w:type="auto"/>
                </w:tcPr>
                <w:p>
                  <w:pPr>
                    <w:pStyle w:val="Paragraph"/>
                    <w:rPr>
                      <w:noProof/>
                    </w:rPr>
                  </w:pPr>
                  <w:r>
                    <w:rPr>
                      <w:noProof/>
                    </w:rPr>
                    <w:t>même imprimés, avec: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sur un côté, 65  % de la surface totale comportant des pompons circulaires de 4 mm de diamètre, composés de fibres bouclées non consolidées, fixées à la base et saillantes, convenant pour y introduire des crochets extrudés, les 35  % restants de la surface étant consolidés,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sur l’autre côté une surface lisse non texturée,</w:t>
                  </w:r>
                </w:p>
              </w:tc>
            </w:tr>
          </w:tbl>
          <w:p>
            <w:pPr>
              <w:pStyle w:val="Paragraph"/>
              <w:rPr>
                <w:noProof/>
                <w:lang w:val="fr-BE"/>
              </w:rPr>
            </w:pPr>
            <w:r>
              <w:rPr>
                <w:noProof/>
                <w:lang w:val="fr-BE"/>
              </w:rPr>
              <w:t>destiné à être utilisé dans la fabrication de couches et de langes pour bébés et d’articles hygiéniques similaires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w:t>
            </w:r>
            <w:r>
              <w:rPr>
                <w:noProof/>
              </w:rPr>
              <w:t>ex 5603 12 90</w:t>
            </w:r>
          </w:p>
          <w:p>
            <w:pPr>
              <w:pStyle w:val="Paragraph"/>
              <w:rPr>
                <w:noProof/>
              </w:rPr>
            </w:pPr>
            <w:r>
              <w:rPr>
                <w:noProof/>
              </w:rPr>
              <w:t>ex 5603 13 90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0" w:type="auto"/>
            <w:vMerge w:val="restart"/>
            <w:tcBorders>
              <w:left w:val="single" w:sz="2" w:space="0" w:color="auto"/>
            </w:tcBorders>
          </w:tcPr>
          <w:p>
            <w:pPr>
              <w:pStyle w:val="Paragraph"/>
              <w:rPr>
                <w:noProof/>
                <w:lang w:val="fr-BE"/>
              </w:rPr>
            </w:pPr>
            <w:r>
              <w:rPr>
                <w:noProof/>
                <w:lang w:val="fr-BE"/>
              </w:rPr>
              <w:t>Nontissé de fibres obtenues par filage direct de polyéthylène, d’un poids de plus de 60 g/m</w:t>
            </w:r>
            <w:r>
              <w:rPr>
                <w:noProof/>
                <w:vertAlign w:val="superscript"/>
                <w:lang w:val="fr-BE"/>
              </w:rPr>
              <w:t>2</w:t>
            </w:r>
            <w:r>
              <w:rPr>
                <w:noProof/>
                <w:lang w:val="fr-BE"/>
              </w:rPr>
              <w:t xml:space="preserve"> mais n’excédant pas 80 g/m</w:t>
            </w:r>
            <w:r>
              <w:rPr>
                <w:noProof/>
                <w:vertAlign w:val="superscript"/>
                <w:lang w:val="fr-BE"/>
              </w:rPr>
              <w:t>2</w:t>
            </w:r>
            <w:r>
              <w:rPr>
                <w:noProof/>
                <w:lang w:val="fr-BE"/>
              </w:rPr>
              <w:t xml:space="preserve"> et d’une résistance à l’air (Gurley) de 8 s ou plus mais n’excédant pas 36 s (d’après la méthode ISO 5636/5)</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m²</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5603 12 90</w:t>
            </w:r>
          </w:p>
          <w:p>
            <w:pPr>
              <w:pStyle w:val="Paragraph"/>
              <w:rPr>
                <w:noProof/>
              </w:rPr>
            </w:pPr>
            <w:r>
              <w:rPr>
                <w:noProof/>
              </w:rPr>
              <w:t>ex 5603 13 90</w:t>
            </w:r>
          </w:p>
          <w:p>
            <w:pPr>
              <w:pStyle w:val="Paragraph"/>
              <w:rPr>
                <w:noProof/>
              </w:rPr>
            </w:pPr>
            <w:r>
              <w:rPr>
                <w:noProof/>
              </w:rPr>
              <w:t>ex 5603 92 90</w:t>
            </w:r>
          </w:p>
          <w:p>
            <w:pPr>
              <w:pStyle w:val="Paragraph"/>
              <w:rPr>
                <w:noProof/>
              </w:rPr>
            </w:pPr>
            <w:r>
              <w:rPr>
                <w:noProof/>
              </w:rPr>
              <w:t>ex 5603 93 90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70</w:t>
            </w:r>
          </w:p>
          <w:p>
            <w:pPr>
              <w:pStyle w:val="Paragraph"/>
              <w:jc w:val="center"/>
              <w:rPr>
                <w:noProof/>
              </w:rPr>
            </w:pPr>
            <w:r>
              <w:rPr>
                <w:noProof/>
              </w:rPr>
              <w:t>40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rPr>
            </w:pPr>
            <w:r>
              <w:rPr>
                <w:noProof/>
              </w:rPr>
              <w:t>Non-tissés de polypropylène,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composés d'une couche obtenue par fusion-soufflage, recouverte sur chaque face de filaments de polypropylène obtenus par filature directe,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n’excédant pas 150g/m</w:t>
                  </w:r>
                  <w:r>
                    <w:rPr>
                      <w:noProof/>
                      <w:vertAlign w:val="superscript"/>
                      <w:lang w:val="fr-BE"/>
                    </w:rPr>
                    <w:t>2</w:t>
                  </w:r>
                  <w:r>
                    <w:rPr>
                      <w:noProof/>
                      <w:lang w:val="fr-BE"/>
                    </w:rPr>
                    <w: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seule pièce ou simplement découpés en carrés ou en rectangles, et</w:t>
                  </w:r>
                </w:p>
              </w:tc>
            </w:tr>
            <w:tr>
              <w:tc>
                <w:tcPr>
                  <w:tcW w:w="0" w:type="auto"/>
                </w:tcPr>
                <w:p>
                  <w:pPr>
                    <w:pStyle w:val="Paragraph"/>
                    <w:rPr>
                      <w:noProof/>
                    </w:rPr>
                  </w:pPr>
                  <w:r>
                    <w:rPr>
                      <w:noProof/>
                    </w:rPr>
                    <w:t>—</w:t>
                  </w:r>
                </w:p>
              </w:tc>
              <w:tc>
                <w:tcPr>
                  <w:tcW w:w="0" w:type="auto"/>
                </w:tcPr>
                <w:p>
                  <w:pPr>
                    <w:pStyle w:val="Paragraph"/>
                    <w:rPr>
                      <w:noProof/>
                    </w:rPr>
                  </w:pPr>
                  <w:r>
                    <w:rPr>
                      <w:noProof/>
                    </w:rPr>
                    <w:t>non imprégnés</w:t>
                  </w:r>
                </w:p>
              </w:tc>
            </w:tr>
          </w:tbl>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t>ex 5603 13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Non tissé obtenu par filage direct de polyéthylène, avec revêtement,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supérieur à 80 g/m² mais n’excédant pas 105 g/m²,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résistance à l’air (Gurley) de 8 secondes au minimum et de 75 secondes au maximum (déterminée par la méthode ISO5636/5)</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5603 14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Nontissés, constitués d'un matériau filé-lié de PET: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d'au moins 160 g/m² mais n'excédant pas 300 g/m²</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peut être laminé sur une face avec une membrane ou avec une membrane et de l'aluminium.</w:t>
                  </w:r>
                </w:p>
              </w:tc>
            </w:tr>
          </w:tbl>
          <w:p>
            <w:pPr>
              <w:pStyle w:val="Paragraph"/>
              <w:rPr>
                <w:noProof/>
                <w:lang w:val="fr-BE"/>
              </w:rPr>
            </w:pPr>
            <w:r>
              <w:rPr>
                <w:noProof/>
                <w:lang w:val="fr-BE"/>
              </w:rPr>
              <w:t> du type utilisé pour la fabrication de filtres industriels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5603 92 90</w:t>
            </w:r>
          </w:p>
          <w:p>
            <w:pPr>
              <w:pStyle w:val="Paragraph"/>
              <w:rPr>
                <w:noProof/>
              </w:rPr>
            </w:pPr>
            <w:r>
              <w:rPr>
                <w:noProof/>
              </w:rPr>
              <w:t>ex 5603 93 90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Nontissés constitués par une couche centrale obtenue par pulvérisation d’un élastomère thermoplastique fondu, recouverte sur chaque face d’une couche thermoscellée de filaments de polypropylène</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5603 92 90</w:t>
            </w:r>
          </w:p>
          <w:p>
            <w:pPr>
              <w:pStyle w:val="Paragraph"/>
              <w:rPr>
                <w:noProof/>
              </w:rPr>
            </w:pPr>
            <w:r>
              <w:rPr>
                <w:noProof/>
              </w:rPr>
              <w:t>ex 5603 94 90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Non-tissés constitués de multiples couches d'un mélange de fibres de polypropylène et de polyester obtenues par procédé de fusion-soufflage et de fibres discontinues de ces polymères, même recouvertes sur une face ou sur les deux de filaments de polypropylène obtenus par filature directe</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noProof/>
              </w:rPr>
              <w:t>ex 5603 92 90</w:t>
            </w:r>
          </w:p>
          <w:p>
            <w:pPr>
              <w:pStyle w:val="Paragraph"/>
              <w:rPr>
                <w:noProof/>
              </w:rPr>
            </w:pPr>
            <w:r>
              <w:rPr>
                <w:noProof/>
              </w:rPr>
              <w:t>ex 5603 93 90</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BE"/>
              </w:rPr>
            </w:pPr>
            <w:r>
              <w:rPr>
                <w:noProof/>
                <w:lang w:val="fr-BE"/>
              </w:rPr>
              <w:t>Non-tissé en polyoléfines, constitué d’une couche d’élastomère recouverte sur chaque face de filaments de polyoléfines: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égal ou supérieur à de 25 g/m</w:t>
                  </w:r>
                  <w:r>
                    <w:rPr>
                      <w:noProof/>
                      <w:vertAlign w:val="superscript"/>
                      <w:lang w:val="fr-BE"/>
                    </w:rPr>
                    <w:t>2</w:t>
                  </w:r>
                  <w:r>
                    <w:rPr>
                      <w:noProof/>
                      <w:lang w:val="fr-BE"/>
                    </w:rPr>
                    <w:t>, mais n’excédant pas 150 g/m</w:t>
                  </w:r>
                  <w:r>
                    <w:rPr>
                      <w:noProof/>
                      <w:vertAlign w:val="superscript"/>
                      <w:lang w:val="fr-BE"/>
                    </w:rPr>
                    <w:t>2</w:t>
                  </w:r>
                  <w:r>
                    <w:rPr>
                      <w:noProof/>
                      <w:lang w:val="fr-BE"/>
                    </w:rPr>
                    <w: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seule pièce ou simplement découpé en carrés ou en rectangles,</w:t>
                  </w:r>
                </w:p>
              </w:tc>
            </w:tr>
            <w:tr>
              <w:tc>
                <w:tcPr>
                  <w:tcW w:w="0" w:type="auto"/>
                </w:tcPr>
                <w:p>
                  <w:pPr>
                    <w:pStyle w:val="Paragraph"/>
                    <w:rPr>
                      <w:noProof/>
                    </w:rPr>
                  </w:pPr>
                  <w:r>
                    <w:rPr>
                      <w:noProof/>
                    </w:rPr>
                    <w:t>—</w:t>
                  </w:r>
                </w:p>
              </w:tc>
              <w:tc>
                <w:tcPr>
                  <w:tcW w:w="0" w:type="auto"/>
                </w:tcPr>
                <w:p>
                  <w:pPr>
                    <w:pStyle w:val="Paragraph"/>
                    <w:rPr>
                      <w:noProof/>
                    </w:rPr>
                  </w:pPr>
                  <w:r>
                    <w:rPr>
                      <w:noProof/>
                    </w:rPr>
                    <w:t>non imprégné,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extensible dans le sens travers ou le sens machine,</w:t>
                  </w:r>
                </w:p>
              </w:tc>
            </w:tr>
          </w:tbl>
          <w:p>
            <w:pPr>
              <w:pStyle w:val="Paragraph"/>
              <w:rPr>
                <w:noProof/>
                <w:lang w:val="fr-BE"/>
              </w:rPr>
            </w:pPr>
            <w:r>
              <w:rPr>
                <w:noProof/>
                <w:lang w:val="fr-BE"/>
              </w:rPr>
              <w:t>entrant dans la fabrication d’articles de puériculture</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m²</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5603 93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Non-tissé en fibres de polyester synthétique: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de 85 g/m²,</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constante de 95 µm (± 5 µm),</w:t>
                  </w:r>
                </w:p>
              </w:tc>
            </w:tr>
            <w:tr>
              <w:tc>
                <w:tcPr>
                  <w:tcW w:w="0" w:type="auto"/>
                </w:tcPr>
                <w:p>
                  <w:pPr>
                    <w:pStyle w:val="Paragraph"/>
                    <w:rPr>
                      <w:noProof/>
                    </w:rPr>
                  </w:pPr>
                  <w:r>
                    <w:rPr>
                      <w:noProof/>
                    </w:rPr>
                    <w:t>—</w:t>
                  </w:r>
                </w:p>
              </w:tc>
              <w:tc>
                <w:tcPr>
                  <w:tcW w:w="0" w:type="auto"/>
                </w:tcPr>
                <w:p>
                  <w:pPr>
                    <w:pStyle w:val="Paragraph"/>
                    <w:rPr>
                      <w:noProof/>
                    </w:rPr>
                  </w:pPr>
                  <w:r>
                    <w:rPr>
                      <w:noProof/>
                    </w:rPr>
                    <w:t>ni enduit, ni recouvert,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 rouleaux d'une largeur de 1 m et d’une longueur comprise entre 2 000 m et 5 000 m,</w:t>
                  </w:r>
                </w:p>
              </w:tc>
            </w:tr>
          </w:tbl>
          <w:p>
            <w:pPr>
              <w:pStyle w:val="Paragraph"/>
              <w:rPr>
                <w:noProof/>
                <w:lang w:val="fr-BE"/>
              </w:rPr>
            </w:pPr>
            <w:r>
              <w:rPr>
                <w:noProof/>
                <w:lang w:val="fr-BE"/>
              </w:rPr>
              <w:t>adapté à l’enduisage de membranes en vue de la fabrication de filtres osmoseurs et de filtres par osmose inverse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5603 94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Joncs de fibres acryliques, d’une longueur n’excédant pas 50 cm, destinés à la fabrication de pointes pour marqueurs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5607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Lien non stérile en poly(acide glycolique) ou constitué d’un copolymère d’acide glycolique et d’acide lactique, natté ou tressé, avec âme, destiné à la fabrication de ligatures pour sutures chirurgicales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5803 00 10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Tissu à point de gaze de coton, d’une largeur de moins de 1 500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5903 20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Tissu stratifié avec de la matière plastique constitué de deux couches présentant les caractéristiques suivantes:</w:t>
            </w:r>
          </w:p>
          <w:tbl>
            <w:tblPr>
              <w:tblStyle w:val="Listdash"/>
              <w:tblW w:w="0" w:type="auto"/>
              <w:tblLook w:val="0000" w:firstRow="0" w:lastRow="0" w:firstColumn="0" w:lastColumn="0" w:noHBand="0" w:noVBand="0"/>
            </w:tblPr>
            <w:tblGrid>
              <w:gridCol w:w="220"/>
              <w:gridCol w:w="392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d'étoffe de bonneterie en polyester,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autre couche composée de mousse de polyuréthane,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de 150 g/m</w:t>
                  </w:r>
                  <w:r>
                    <w:rPr>
                      <w:noProof/>
                      <w:vertAlign w:val="superscript"/>
                      <w:lang w:val="fr-BE"/>
                    </w:rPr>
                    <w:t>2</w:t>
                  </w:r>
                  <w:r>
                    <w:rPr>
                      <w:noProof/>
                      <w:lang w:val="fr-BE"/>
                    </w:rPr>
                    <w:t xml:space="preserve"> ou plus mais n’excédant pas 500 g/m</w:t>
                  </w:r>
                  <w:r>
                    <w:rPr>
                      <w:noProof/>
                      <w:vertAlign w:val="superscript"/>
                      <w:lang w:val="fr-BE"/>
                    </w:rPr>
                    <w:t>2</w:t>
                  </w:r>
                  <w:r>
                    <w:rPr>
                      <w:noProof/>
                      <w:lang w:val="fr-BE"/>
                    </w:rPr>
                    <w: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de 1 mm ou plus mais n'excédant pas 5 mm</w:t>
                  </w:r>
                </w:p>
              </w:tc>
            </w:tr>
          </w:tbl>
          <w:p>
            <w:pPr>
              <w:pStyle w:val="Paragraph"/>
              <w:rPr>
                <w:noProof/>
                <w:lang w:val="fr-BE"/>
              </w:rPr>
            </w:pPr>
            <w:r>
              <w:rPr>
                <w:noProof/>
                <w:lang w:val="fr-BE"/>
              </w:rPr>
              <w:t>utilisé pour la fabrication du toit ouvrant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5906 99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 xml:space="preserve">Tissu caoutchouté, constitué de fils de chaîne en polyamide-6,6 et de fils de trame en polyamide-6,6, en polyuréthanne et en un copolymère d’acide téréphtalique, de </w:t>
            </w:r>
            <w:r>
              <w:rPr>
                <w:i/>
                <w:iCs/>
                <w:noProof/>
                <w:lang w:val="fr-BE"/>
              </w:rPr>
              <w:t>p</w:t>
            </w:r>
            <w:r>
              <w:rPr>
                <w:noProof/>
                <w:lang w:val="fr-BE"/>
              </w:rPr>
              <w:t>-phénylènediamine et de 3,4’-oxybis(phénylèneamine)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5907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Tissu enduit d’une matière adhésive dans laquelle sont incorporées des sphères d’un diamètre n’excédant pas 150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5911 90 99</w:t>
            </w:r>
          </w:p>
          <w:p>
            <w:pPr>
              <w:pStyle w:val="Paragraph"/>
              <w:rPr>
                <w:noProof/>
              </w:rPr>
            </w:pPr>
            <w:r>
              <w:rPr>
                <w:noProof/>
              </w:rPr>
              <w:t>ex 8421 99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92</w:t>
            </w:r>
          </w:p>
        </w:tc>
        <w:tc>
          <w:tcPr>
            <w:tcW w:w="0" w:type="auto"/>
            <w:vMerge w:val="restart"/>
            <w:tcBorders>
              <w:left w:val="single" w:sz="2" w:space="0" w:color="auto"/>
            </w:tcBorders>
          </w:tcPr>
          <w:p>
            <w:pPr>
              <w:pStyle w:val="Paragraph"/>
              <w:rPr>
                <w:noProof/>
                <w:lang w:val="fr-BE"/>
              </w:rPr>
            </w:pPr>
            <w:r>
              <w:rPr>
                <w:noProof/>
                <w:lang w:val="fr-BE"/>
              </w:rPr>
              <w:t>Parties d’appareils pour la filtration ou la purification de l’eau par osmose inverse, constituées essentiellement de membranes en matière plastique renforcées intérieurement par du tissu, tissé ou non tissé, enroulées autour d’un tube perforé contenu dans un cylindre en matière plastique dont la paroi a une épaisseur qui n’excède pas 4 mm, l’ensemble pouvant être contenu dans un cylindre dont l’épaisseur de la paroi est de 5 mm ou plus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5911 90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Tampons de polissage en polyester non tissé multicouche, imprégné de polyuréthane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5911 90 99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 xml:space="preserve">Amortisseur de vibrations de haut-parleur, constitué d’un tissu rond, ondulé, souple et découpé à dimension, composé de fibres textiles de polyester, coton ou aramide, ou d’une combinaison de ceux-ci, du type utilisé dans les haut-parleurs de voiture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6804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Disques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en diamants synthétiques agglomérés avec un alliage métallique, un alliage céramique ou un alliage plastique,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effet d'auto-affûtage grâce à la libération constante des diamants,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adaptés à la découpe par abrasion de dispositifs à semi-conducteurs («wafers»),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perforés au centre, ou non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même présentés sur un support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inférieur ou égal à 377 g par pièce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extérieur n'excédant pas 206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6805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Produit nettoyant de pointes de sonde, constitué d’une matrice de polymères contenant des particules abrasives montées sur un substrat, destiné à être utilisé dans la fabrication de semi-conducteurs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6813 89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Garnitures de friction, d’une épaisseur inférieure à 20 mm, non montées, destinées à la fabrication de composants de friction</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6814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Mica aggloméré d'une épaisseur n’excédant pas 0,15 mm, sur des rouleaux, calciné ou non, renforcé ou non par des fibres aramides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6903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Tubes et supports de réacteurs en carbure de silicium, du type utilisé pour équiper des fours de diffusion et d’oxydation pour la production de matières semi-conductrices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6909 19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Rolleaux ou billes en nitrure de silicium (Si</w:t>
            </w:r>
            <w:r>
              <w:rPr>
                <w:noProof/>
                <w:vertAlign w:val="subscript"/>
                <w:lang w:val="fr-BE"/>
              </w:rPr>
              <w:t>3</w:t>
            </w:r>
            <w:r>
              <w:rPr>
                <w:noProof/>
                <w:lang w:val="fr-BE"/>
              </w:rPr>
              <w:t>N</w:t>
            </w:r>
            <w:r>
              <w:rPr>
                <w:noProof/>
                <w:vertAlign w:val="subscript"/>
                <w:lang w:val="fr-BE"/>
              </w:rPr>
              <w:t>4</w:t>
            </w:r>
            <w:r>
              <w:rPr>
                <w:noProof/>
                <w:lang w:val="fr-BE"/>
              </w:rPr>
              <w: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6909 19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Agents de soutènement en céramique se composant d'oxyde d'aluminium, d'oxyde de silicium et d'oxyde de fer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6909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Support pour catalyseurs constitué d’éléments céramiques poreux en cordiérite ou en mullite, d’un volume global n’excédant pas 65 l, munis, par cm</w:t>
            </w:r>
            <w:r>
              <w:rPr>
                <w:noProof/>
                <w:vertAlign w:val="superscript"/>
                <w:lang w:val="fr-BE"/>
              </w:rPr>
              <w:t>2</w:t>
            </w:r>
            <w:r>
              <w:rPr>
                <w:noProof/>
                <w:lang w:val="fr-BE"/>
              </w:rPr>
              <w:t xml:space="preserve"> de section transversale d’au moins un canal continu, ouvert à ses deux extrémités ou obturé à l’une des extrémités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6909 19 00</w:t>
            </w:r>
          </w:p>
          <w:p>
            <w:pPr>
              <w:pStyle w:val="Paragraph"/>
              <w:rPr>
                <w:noProof/>
              </w:rPr>
            </w:pPr>
            <w:r>
              <w:rPr>
                <w:noProof/>
              </w:rPr>
              <w:t>ex 6914 90 00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Ouvrages en céramique faits de filaments continus d’oxydes céramiques, contenant en poids:</w:t>
            </w:r>
          </w:p>
          <w:tbl>
            <w:tblPr>
              <w:tblStyle w:val="Listdash"/>
              <w:tblW w:w="0" w:type="auto"/>
              <w:tblLook w:val="0000" w:firstRow="0" w:lastRow="0" w:firstColumn="0" w:lastColumn="0" w:noHBand="0" w:noVBand="0"/>
            </w:tblPr>
            <w:tblGrid>
              <w:gridCol w:w="220"/>
              <w:gridCol w:w="27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2 % ou plus de trioxyde de dibore,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28 % ou moins de dioxyde de silicium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60 % ou plus de trioxyde de dialuminium</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ex 6909 19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Supports pour catalyseurs, constitués de pièces poreuses en céramique, à base d’un mélange de carbure de silicium et de silicium, d’une dureté inférieure à 9 sur l’échelle de Mohs, d’un volume total n’excédant pas 65 litres, et muni d’un ou plusieurs canaux fermés sur chaque cm² de la surface de la section transversale, à l’extrémité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6909 19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Supports pour catalyseurs ou filtres catalytiques, constitués de pièces en céramique poreuse, à base essentiellement d’oxydes d’aluminium et de titane, d’un volume total n’excédant pas 65 litres et munis d’au moins un canal (non obturé ou obturé à une extrémité) par cm² de la surface de la section transversale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6914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Microsphères en céramique, transparentes, obtenues à partir de dioxyde de silicium et de dioxyde de zirconium, d’un diamètre de plus de 125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7004 90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Feuille de verre plat d'aluminosilicate alcalin comportant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revêtement résistant aux rayures, d'une épaisseur de 45 micromètres (+/- 5 micromètres),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totale comprise entre 0,45 et 1,1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comprise entre 300 mm et 3 210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comprise entre 300 mm et 2 000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transmission de la lumière visible d'au moins 90 %;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distorsion optique d'au moins 55</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7006 00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Plaquette de semi-conducteurs en verre flotté borosilicate</w:t>
            </w:r>
          </w:p>
          <w:tbl>
            <w:tblPr>
              <w:tblStyle w:val="Listdash"/>
              <w:tblW w:w="0" w:type="auto"/>
              <w:tblLook w:val="0000" w:firstRow="0" w:lastRow="0" w:firstColumn="0" w:lastColumn="0" w:noHBand="0" w:noVBand="0"/>
            </w:tblPr>
            <w:tblGrid>
              <w:gridCol w:w="220"/>
              <w:gridCol w:w="376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variation d’épaisseur de 1 µm ou moins, et</w:t>
                  </w:r>
                </w:p>
              </w:tc>
            </w:tr>
            <w:tr>
              <w:tc>
                <w:tcPr>
                  <w:tcW w:w="0" w:type="auto"/>
                </w:tcPr>
                <w:p>
                  <w:pPr>
                    <w:pStyle w:val="Paragraph"/>
                    <w:rPr>
                      <w:noProof/>
                    </w:rPr>
                  </w:pPr>
                  <w:r>
                    <w:rPr>
                      <w:noProof/>
                    </w:rPr>
                    <w:t>—</w:t>
                  </w:r>
                </w:p>
              </w:tc>
              <w:tc>
                <w:tcPr>
                  <w:tcW w:w="0" w:type="auto"/>
                </w:tcPr>
                <w:p>
                  <w:pPr>
                    <w:pStyle w:val="Paragraph"/>
                    <w:rPr>
                      <w:noProof/>
                    </w:rPr>
                  </w:pPr>
                  <w:r>
                    <w:rPr>
                      <w:noProof/>
                    </w:rPr>
                    <w:t>gravée au laser</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7009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Verre feuilleté avec effet obscurcissant mécanique en différents angles de la lumière incidente: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couche de chrome,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bande adhésive résistante ou adhésif thermofusible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pellicule protectrice amovible sur la face avant et papier protecteur sur la face arrière,</w:t>
                  </w:r>
                </w:p>
              </w:tc>
            </w:tr>
          </w:tbl>
          <w:p>
            <w:pPr>
              <w:pStyle w:val="Paragraph"/>
              <w:rPr>
                <w:noProof/>
                <w:lang w:val="fr-BE"/>
              </w:rPr>
            </w:pPr>
            <w:r>
              <w:rPr>
                <w:noProof/>
                <w:lang w:val="fr-BE"/>
              </w:rPr>
              <w:t>du type destiné aux rétroviseurs intérieurs de véhicules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7009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Rétroviseur intérieur, atténuant automatiquement l'intensité lumineuse, comprenant:</w:t>
            </w:r>
          </w:p>
          <w:tbl>
            <w:tblPr>
              <w:tblStyle w:val="Listdash"/>
              <w:tblW w:w="0" w:type="auto"/>
              <w:tblLook w:val="0000" w:firstRow="0" w:lastRow="0" w:firstColumn="0" w:lastColumn="0" w:noHBand="0" w:noVBand="0"/>
            </w:tblPr>
            <w:tblGrid>
              <w:gridCol w:w="220"/>
              <w:gridCol w:w="2047"/>
            </w:tblGrid>
            <w:tr>
              <w:tc>
                <w:tcPr>
                  <w:tcW w:w="0" w:type="auto"/>
                </w:tcPr>
                <w:p>
                  <w:pPr>
                    <w:pStyle w:val="Paragraph"/>
                    <w:rPr>
                      <w:noProof/>
                    </w:rPr>
                  </w:pPr>
                  <w:r>
                    <w:rPr>
                      <w:noProof/>
                    </w:rPr>
                    <w:t>—</w:t>
                  </w:r>
                </w:p>
              </w:tc>
              <w:tc>
                <w:tcPr>
                  <w:tcW w:w="0" w:type="auto"/>
                </w:tcPr>
                <w:p>
                  <w:pPr>
                    <w:pStyle w:val="Paragraph"/>
                    <w:rPr>
                      <w:noProof/>
                    </w:rPr>
                  </w:pPr>
                  <w:r>
                    <w:rPr>
                      <w:noProof/>
                    </w:rPr>
                    <w:t>un support de rétroviseur,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boîtier en matière plastique,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circuit intégré,</w:t>
                  </w:r>
                </w:p>
              </w:tc>
            </w:tr>
          </w:tbl>
          <w:p>
            <w:pPr>
              <w:pStyle w:val="Paragraph"/>
              <w:rPr>
                <w:noProof/>
                <w:lang w:val="fr-BE"/>
              </w:rPr>
            </w:pPr>
            <w:r>
              <w:rPr>
                <w:noProof/>
                <w:lang w:val="fr-BE"/>
              </w:rPr>
              <w:t>utilisés dans la construction de véhicules automobiles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7009 10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Miroir en verre électrochrome semi-fini atténuant automatiquement l'intensité lumineuse, pour rétroviseur de véhicule à moteur:</w:t>
            </w:r>
          </w:p>
          <w:p>
            <w:pPr>
              <w:pStyle w:val="Paragraph"/>
              <w:rPr>
                <w:noProof/>
                <w:lang w:val="fr-BE"/>
              </w:rPr>
            </w:pPr>
            <w:r>
              <w:rPr>
                <w:noProof/>
                <w:lang w:val="fr-BE"/>
              </w:rPr>
              <w:t>•même avec coque en plastique,</w:t>
            </w:r>
          </w:p>
          <w:p>
            <w:pPr>
              <w:pStyle w:val="Paragraph"/>
              <w:rPr>
                <w:noProof/>
                <w:lang w:val="fr-BE"/>
              </w:rPr>
            </w:pPr>
            <w:r>
              <w:rPr>
                <w:noProof/>
                <w:lang w:val="fr-BE"/>
              </w:rPr>
              <w:t>•même équipé d'un élément chauffant,</w:t>
            </w:r>
          </w:p>
          <w:p>
            <w:pPr>
              <w:pStyle w:val="Paragraph"/>
              <w:rPr>
                <w:noProof/>
                <w:lang w:val="fr-BE"/>
              </w:rPr>
            </w:pPr>
            <w:r>
              <w:rPr>
                <w:noProof/>
                <w:lang w:val="fr-BE"/>
              </w:rPr>
              <w:t>•même équipé d'un module d'angle mort (BSM)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7009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Miroir en verre non encadré,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1516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553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3 mm (± 0,1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le dos du miroir étant recouvert d’un film protecteur de polyéthylène (PE) d’une épaisseur de 0,11 mm au minimum et de 0,13 mm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teneur en plomb n’excédant pas 90 mg/kg,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à la corrosion de 72 heures au minimum selon l’essai au brouillard salin ISO 9227</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7014 00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Éléments d’optique en verre (autres que ceux de la position 7015), non travaillés optiquement, autres que la verrerie de signalisation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02</w:t>
            </w:r>
          </w:p>
          <w:p>
            <w:pPr>
              <w:pStyle w:val="Paragraph"/>
              <w:jc w:val="center"/>
              <w:rPr>
                <w:noProof/>
              </w:rPr>
            </w:pPr>
            <w:r>
              <w:rPr>
                <w:noProof/>
              </w:rPr>
              <w:t>22</w:t>
            </w:r>
          </w:p>
        </w:tc>
        <w:tc>
          <w:tcPr>
            <w:tcW w:w="0" w:type="auto"/>
            <w:vMerge w:val="restart"/>
            <w:tcBorders>
              <w:left w:val="single" w:sz="2" w:space="0" w:color="auto"/>
            </w:tcBorders>
          </w:tcPr>
          <w:p>
            <w:pPr>
              <w:pStyle w:val="Paragraph"/>
              <w:rPr>
                <w:noProof/>
                <w:lang w:val="fr-BE"/>
              </w:rPr>
            </w:pPr>
            <w:r>
              <w:rPr>
                <w:noProof/>
                <w:lang w:val="fr-BE"/>
              </w:rPr>
              <w:t>Stratifils (rovings), titrant 650 tex ou plus mais pas plus de 2 500 tex, enrobés d’une couche de polyuréthane même mélangé avec d’autres matières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noProof/>
              </w:rPr>
              <w:t>ex 7019 12 00</w:t>
            </w:r>
          </w:p>
          <w:p>
            <w:pPr>
              <w:pStyle w:val="Paragraph"/>
              <w:rPr>
                <w:noProof/>
              </w:rPr>
            </w:pPr>
            <w:r>
              <w:rPr>
                <w:noProof/>
              </w:rPr>
              <w:t>ex 7019 12 00</w:t>
            </w:r>
          </w:p>
        </w:tc>
        <w:tc>
          <w:tcPr>
            <w:tcW w:w="0" w:type="auto"/>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25</w:t>
            </w:r>
          </w:p>
        </w:tc>
        <w:tc>
          <w:tcPr>
            <w:tcW w:w="0" w:type="auto"/>
            <w:vMerge w:val="restart"/>
            <w:tcBorders>
              <w:left w:val="single" w:sz="2" w:space="0" w:color="auto"/>
            </w:tcBorders>
          </w:tcPr>
          <w:p>
            <w:pPr>
              <w:pStyle w:val="Paragraph"/>
              <w:rPr>
                <w:noProof/>
                <w:lang w:val="fr-BE"/>
              </w:rPr>
            </w:pPr>
            <w:r>
              <w:rPr>
                <w:noProof/>
                <w:lang w:val="fr-BE"/>
              </w:rPr>
              <w:t>Stratifils (roving) titrant de 1980 à 2033 tex, composés de filaments de verre continus de 9 microns (± 0,5 µm)</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rStyle w:val="FootnoteReference"/>
                <w:noProof/>
              </w:rPr>
              <w:t>*</w:t>
            </w:r>
            <w:r>
              <w:rPr>
                <w:noProof/>
              </w:rPr>
              <w:t>ex 7019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Fils de 33 tex ou d’un multiple de 33 tex (± 7,5 %), obtenus à partir de fibres de verre continues filables d’un diamètre nominale de 3,5 µm ou de 4,5 µm, dont la majorité des fibres présente un diamètre de 3 µm ou plus mais n’excédant pas 5,2 µm, autres que ceux qui sont traités pour la fixation d’élastomères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Fils de verre S de 33 tex ou d'un multiple de 33 tex (± 13 %) obtenu à partir de filaments de verre continus dont les fibres présentent un diamètre de 9 µm (- 1 µm / + 1,5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Fils de 10,3 tex ou plus, mais n’excédant pas 11,9 tex, obtenus à partir de fibres de verre continues filables, dont les fibres présentent un diamètre de 4,83 µm ou plus, mais n’excédant pas 5,83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Fils de 5,1 tex ou plus, mais n’excédant pas 6,0 tex, obtenus à partir de fibres de verre continues filables, dont les fibres présentent un diamètre de 4,83 µm ou plus, mais n’excédant pas 5,83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Fils de verre E de 22 tex (± 1,6 tex), obtenus à partir de fibres de verre continues filables d’un diamètre nominal de 7 µm, dont la majorité des fibres présente un diamètre de 6,35 µm ou plus mais n’excédant pas 7,61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Fils de 11 tex ou d’un multiple de 11 (+/- 7,5 %), obtenus à partir de filaments de verre continus filables, contenant en poids 93 % ou plus de dioxyde de silicium et présentant un diamètre nominal de 6 µm ou 9 µm, autres que ceux qui sont traités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7019 19 10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Corde de verre imprégnée de caoutchouc ou de matière plastique, obtenue à partir de filaments de verre de type K ou U, composée:</w:t>
            </w:r>
          </w:p>
          <w:tbl>
            <w:tblPr>
              <w:tblStyle w:val="Listdash"/>
              <w:tblW w:w="0" w:type="auto"/>
              <w:tblLook w:val="0000" w:firstRow="0" w:lastRow="0" w:firstColumn="0" w:lastColumn="0" w:noHBand="0" w:noVBand="0"/>
            </w:tblPr>
            <w:tblGrid>
              <w:gridCol w:w="220"/>
              <w:gridCol w:w="405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9 % ou plus mais pas plus de 16 % d’oxyde de magnésium,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19 % ou plus mais pas plus de 25 % d’oxyde d’aluminium,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0 % ou plus mais pas plus de 2 % d’oxyde de bore,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sans oxyde de calcium,</w:t>
                  </w:r>
                </w:p>
              </w:tc>
            </w:tr>
          </w:tbl>
          <w:p>
            <w:pPr>
              <w:pStyle w:val="Paragraph"/>
              <w:rPr>
                <w:noProof/>
                <w:lang w:val="fr-BE"/>
              </w:rPr>
            </w:pPr>
            <w:r>
              <w:rPr>
                <w:noProof/>
                <w:lang w:val="fr-BE"/>
              </w:rPr>
              <w:t>enduite d’un latex comprenant au moins une résine résorcinol-formaldéhyde et du polyéthylène chlorosulfoné</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7019 19 10</w:t>
            </w:r>
          </w:p>
          <w:p>
            <w:pPr>
              <w:pStyle w:val="Paragraph"/>
              <w:rPr>
                <w:noProof/>
              </w:rPr>
            </w:pPr>
            <w:r>
              <w:rPr>
                <w:noProof/>
              </w:rPr>
              <w:t>ex 7019 90 00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rPr>
            </w:pPr>
            <w:r>
              <w:rPr>
                <w:noProof/>
              </w:rPr>
              <w:t>Corde de verre haut module (de type K) imprégnée de caoutchouc, obtenue à partir de fils de filaments de verre haut module tordus, enduite d’un latex comprenant une résine résorcinol-formaldéhyde avec ou sans vinylpyridine et/ou un caoutchouc acrylonitrile-butadiène hydrogéné (HNBR)</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7019 19 10</w:t>
            </w:r>
          </w:p>
          <w:p>
            <w:pPr>
              <w:pStyle w:val="Paragraph"/>
              <w:rPr>
                <w:noProof/>
              </w:rPr>
            </w:pPr>
            <w:r>
              <w:rPr>
                <w:noProof/>
              </w:rPr>
              <w:t>ex 7019 90 00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Corde de verre imprégnée de caoutchouc ou de matière plastique, obtenue à partir de fils de filaments de verre tordus, enduite d’un latex comprenant au moins une résine résorcinol-formaldéhyde-vinylpyridine et un caoutchouc acrylonitrile-butadiène (NBR)</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7019 19 10</w:t>
            </w:r>
          </w:p>
          <w:p>
            <w:pPr>
              <w:pStyle w:val="Paragraph"/>
              <w:rPr>
                <w:noProof/>
              </w:rPr>
            </w:pPr>
            <w:r>
              <w:rPr>
                <w:noProof/>
              </w:rPr>
              <w:t>ex 7019 90 00</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Corde de verre imprégnée de caoutchouc ou de matière plastique, obtenue à partir de fils de filaments de verre tordus, enduite d’un latex comprenant au moins une résine résorcinol-formaldéhyde et du polyéthylène chlorosulfoné</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7019 39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Produit non tissé en fibres de verre non textiles, destiné à la fabrication de filtres à air ou de catalyseurs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7019 40 00</w:t>
            </w:r>
          </w:p>
          <w:p>
            <w:pPr>
              <w:pStyle w:val="Paragraph"/>
              <w:rPr>
                <w:noProof/>
              </w:rPr>
            </w:pPr>
            <w:r>
              <w:rPr>
                <w:noProof/>
              </w:rPr>
              <w:t>ex 7019 40 00</w:t>
            </w:r>
          </w:p>
        </w:tc>
        <w:tc>
          <w:tcPr>
            <w:tcW w:w="0" w:type="auto"/>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19</w:t>
            </w:r>
          </w:p>
        </w:tc>
        <w:tc>
          <w:tcPr>
            <w:tcW w:w="0" w:type="auto"/>
            <w:vMerge w:val="restart"/>
            <w:tcBorders>
              <w:left w:val="single" w:sz="2" w:space="0" w:color="auto"/>
            </w:tcBorders>
          </w:tcPr>
          <w:p>
            <w:pPr>
              <w:pStyle w:val="Paragraph"/>
              <w:rPr>
                <w:noProof/>
                <w:lang w:val="fr-BE"/>
              </w:rPr>
            </w:pPr>
            <w:r>
              <w:rPr>
                <w:noProof/>
                <w:lang w:val="fr-BE"/>
              </w:rPr>
              <w:t>Tissu de fibres de verre imprégné de résine époxy, présentant un coefficient de dilatation thermique entre 30°C et 120°C (d’ après la méthode IPC-TM-650) égal à:</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10ppm par°C ou plus, sans dépasser 12ppm par°C, en longueur et en largeur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20ppm par°C ou plus, sans dépasser 30ppm par°C, en épaisseur, et une température de transition vitreuse égale ou supérieure à 152°C mais n’excédant pas 153°C (d’ après la méthode IPC-TM-650)</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ex 7019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Fibres de verre non textiles dont la majorité des fibres présente un diamètre inférieur à 4,6µm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7020 00 10</w:t>
            </w:r>
          </w:p>
          <w:p>
            <w:pPr>
              <w:pStyle w:val="Paragraph"/>
              <w:rPr>
                <w:noProof/>
              </w:rPr>
            </w:pPr>
            <w:r>
              <w:rPr>
                <w:noProof/>
              </w:rPr>
              <w:t>ex 7616 99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77</w:t>
            </w:r>
          </w:p>
        </w:tc>
        <w:tc>
          <w:tcPr>
            <w:tcW w:w="0" w:type="auto"/>
            <w:vMerge w:val="restart"/>
            <w:tcBorders>
              <w:left w:val="single" w:sz="2" w:space="0" w:color="auto"/>
            </w:tcBorders>
          </w:tcPr>
          <w:p>
            <w:pPr>
              <w:pStyle w:val="Paragraph"/>
              <w:rPr>
                <w:noProof/>
                <w:lang w:val="fr-BE"/>
              </w:rPr>
            </w:pPr>
            <w:r>
              <w:rPr>
                <w:noProof/>
                <w:lang w:val="fr-BE"/>
              </w:rPr>
              <w:t>Pieds de support pour téléviseur avec ou sans support permettant la fixation et la stabilisation de l'appareil</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7020 00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Matières premières pour les éléments optiques en dioxyde de silicium fondu, présentant les caractéristiques suivantes:</w:t>
            </w:r>
          </w:p>
          <w:tbl>
            <w:tblPr>
              <w:tblStyle w:val="Listdash"/>
              <w:tblW w:w="0" w:type="auto"/>
              <w:tblLook w:val="0000" w:firstRow="0" w:lastRow="0" w:firstColumn="0" w:lastColumn="0" w:noHBand="0" w:noVBand="0"/>
            </w:tblPr>
            <w:tblGrid>
              <w:gridCol w:w="220"/>
              <w:gridCol w:w="377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d'au moins 10 cm mais pas plus de 40 cm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de 100 kg ou plus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7201 10 11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Lingots de fonte brute d’une longueur ne dépassant pas 350 mm, d’une largeur ne dépassant pas 150 mm, d’un hauteur ne dépassant pas 150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7201 10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Lingots de fonte brute d’une longueur ne dépassant pas 350 mm, d’une largeur ne excédant pas 150 mm, d’un hauteur ne excédant pas pas 150 mm, contenant en poids pas plus de 1 % de silicium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7202 50 00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rPr>
            </w:pPr>
            <w:r>
              <w:rPr>
                <w:noProof/>
              </w:rPr>
              <w:t>Ferrosilicochrome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7202 99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Alliage fer-dysprosium, contenant en poids:</w:t>
            </w:r>
          </w:p>
          <w:tbl>
            <w:tblPr>
              <w:tblStyle w:val="Listdash"/>
              <w:tblW w:w="0" w:type="auto"/>
              <w:tblLook w:val="0000" w:firstRow="0" w:lastRow="0" w:firstColumn="0" w:lastColumn="0" w:noHBand="0" w:noVBand="0"/>
            </w:tblPr>
            <w:tblGrid>
              <w:gridCol w:w="220"/>
              <w:gridCol w:w="2816"/>
            </w:tblGrid>
            <w:tr>
              <w:tc>
                <w:tcPr>
                  <w:tcW w:w="0" w:type="auto"/>
                </w:tcPr>
                <w:p>
                  <w:pPr>
                    <w:pStyle w:val="Paragraph"/>
                    <w:rPr>
                      <w:noProof/>
                    </w:rPr>
                  </w:pPr>
                  <w:r>
                    <w:rPr>
                      <w:noProof/>
                    </w:rPr>
                    <w:t>—</w:t>
                  </w:r>
                </w:p>
              </w:tc>
              <w:tc>
                <w:tcPr>
                  <w:tcW w:w="0" w:type="auto"/>
                </w:tcPr>
                <w:p>
                  <w:pPr>
                    <w:pStyle w:val="Paragraph"/>
                    <w:rPr>
                      <w:noProof/>
                    </w:rPr>
                  </w:pPr>
                  <w:r>
                    <w:rPr>
                      <w:noProof/>
                    </w:rPr>
                    <w:t>78 % ou plus de dysprosium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18 % ou plus, mais pas plus de 22 % de fer</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7315 11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Courroie de distribution en acier à rouleaux avec une limite de résistance à la fatigue de 2 kN à 7 000 tr / mn ou plus destinée à être utilisée dans la construction de moteurs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7318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Tige de liaison du maître-cylindre de frein, avec filetage aux deux extrémités, utilisée dans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7318 24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Éléments de joint de retenue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en acier inoxydable martensitique selon la spécification 17-4PH,</w:t>
                  </w:r>
                </w:p>
              </w:tc>
            </w:tr>
            <w:tr>
              <w:tc>
                <w:tcPr>
                  <w:tcW w:w="0" w:type="auto"/>
                </w:tcPr>
                <w:p>
                  <w:pPr>
                    <w:pStyle w:val="Paragraph"/>
                    <w:rPr>
                      <w:noProof/>
                    </w:rPr>
                  </w:pPr>
                  <w:r>
                    <w:rPr>
                      <w:noProof/>
                    </w:rPr>
                    <w:t>—</w:t>
                  </w:r>
                </w:p>
              </w:tc>
              <w:tc>
                <w:tcPr>
                  <w:tcW w:w="0" w:type="auto"/>
                </w:tcPr>
                <w:p>
                  <w:pPr>
                    <w:pStyle w:val="Paragraph"/>
                    <w:rPr>
                      <w:noProof/>
                    </w:rPr>
                  </w:pPr>
                  <w:r>
                    <w:rPr>
                      <w:noProof/>
                    </w:rPr>
                    <w:t>moulés par injection,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dureté Rockwell de 38 (±1) ou 53 (+2/-1),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mesurant 9 mm x 5,5 mm x 6,5 mm ou plus, mais pas plus de 35 mm x 17 mm x 8 mm</w:t>
                  </w:r>
                </w:p>
              </w:tc>
            </w:tr>
          </w:tbl>
          <w:p>
            <w:pPr>
              <w:pStyle w:val="Paragraph"/>
              <w:rPr>
                <w:noProof/>
                <w:lang w:val="fr-BE"/>
              </w:rPr>
            </w:pPr>
            <w:r>
              <w:rPr>
                <w:noProof/>
                <w:lang w:val="fr-BE"/>
              </w:rPr>
              <w:t>du type utilisé pour les joints de retenue pour les tubes et tuyaux</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7320 90 10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Ressort spiral plat en acier trempé: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2,67mm ou plus mais n’excédant pas 4,11mm,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12,57mm ou plus mais n’excédant pas 16,01mm,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couple de 18,05Nm ou plus mais n’excédant pas 73,5Nm,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angle entre la position libre et la position nominale en exercice de 76° ou plus mais n’excédant pas 218°,</w:t>
                  </w:r>
                </w:p>
              </w:tc>
            </w:tr>
          </w:tbl>
          <w:p>
            <w:pPr>
              <w:pStyle w:val="Paragraph"/>
              <w:rPr>
                <w:noProof/>
                <w:lang w:val="fr-BE"/>
              </w:rPr>
            </w:pPr>
            <w:r>
              <w:rPr>
                <w:noProof/>
                <w:lang w:val="fr-BE"/>
              </w:rPr>
              <w:t>utilisé pour la fabrication de tendeurs de courroies de transmission pour moteurs à combustioninterne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7325 99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Tête d’ancre en fonte ductile galvanisée trempée à chaud du type utilisé pour la fabrication d’ancres de terre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7326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Feutre métallique consistant en un enchevêtrement de fins fils en acier inoxydable d’un diamètre compris entre 0,001 mm et 0,070 mm, comprimés par frittage et laminage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7326 90 92</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Virole porte-tubulures avec bride intégrée consistant en une pièce en acier forgé issue de quatre coulées, façonnée et usinée, et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de 5 752 mm ou plus, mais n'excédant pas 5758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hauteur de 3 452 mm ou plus, mais n'excédant pas 3454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total de 167 875 kg ou plus, mais n'excédant pas 168 125 kg,</w:t>
                  </w:r>
                </w:p>
              </w:tc>
            </w:tr>
          </w:tbl>
          <w:p>
            <w:pPr>
              <w:pStyle w:val="Paragraph"/>
              <w:rPr>
                <w:noProof/>
                <w:lang w:val="fr-BE"/>
              </w:rPr>
            </w:pPr>
            <w:r>
              <w:rPr>
                <w:noProof/>
                <w:lang w:val="fr-BE"/>
              </w:rPr>
              <w:t>du type utilisé pour la fabrication d'une cuve de réacteur nucléaire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7326 90 98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Poids en fer et en acier,</w:t>
            </w:r>
          </w:p>
          <w:tbl>
            <w:tblPr>
              <w:tblStyle w:val="Listdash"/>
              <w:tblW w:w="0" w:type="auto"/>
              <w:tblLook w:val="0000" w:firstRow="0" w:lastRow="0" w:firstColumn="0" w:lastColumn="0" w:noHBand="0" w:noVBand="0"/>
            </w:tblPr>
            <w:tblGrid>
              <w:gridCol w:w="220"/>
              <w:gridCol w:w="25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parties en autres matières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parties en autres métaux</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traitement de surface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imprimée ou non,</w:t>
                  </w:r>
                </w:p>
              </w:tc>
            </w:tr>
          </w:tbl>
          <w:p>
            <w:pPr>
              <w:pStyle w:val="Paragraph"/>
              <w:rPr>
                <w:noProof/>
                <w:lang w:val="fr-BE"/>
              </w:rPr>
            </w:pPr>
            <w:r>
              <w:rPr>
                <w:noProof/>
                <w:lang w:val="fr-BE"/>
              </w:rPr>
              <w:t>du type utilisé pour la fabrication de télécommandes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7326 90 98</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Tige de piston en acier trempé superficiellement, pour amortisseur hydraulique ou hydropneumatique de véhicules à moteur, présentant</w:t>
            </w:r>
          </w:p>
          <w:tbl>
            <w:tblPr>
              <w:tblStyle w:val="Listdash"/>
              <w:tblW w:w="0" w:type="auto"/>
              <w:tblLook w:val="0000" w:firstRow="0" w:lastRow="0" w:firstColumn="0" w:lastColumn="0" w:noHBand="0" w:noVBand="0"/>
            </w:tblPr>
            <w:tblGrid>
              <w:gridCol w:w="220"/>
              <w:gridCol w:w="4073"/>
            </w:tblGrid>
            <w:tr>
              <w:tc>
                <w:tcPr>
                  <w:tcW w:w="0" w:type="auto"/>
                </w:tcPr>
                <w:p>
                  <w:pPr>
                    <w:pStyle w:val="Paragraph"/>
                    <w:rPr>
                      <w:noProof/>
                    </w:rPr>
                  </w:pPr>
                  <w:r>
                    <w:rPr>
                      <w:noProof/>
                    </w:rPr>
                    <w:t>—</w:t>
                  </w:r>
                </w:p>
              </w:tc>
              <w:tc>
                <w:tcPr>
                  <w:tcW w:w="0" w:type="auto"/>
                </w:tcPr>
                <w:p>
                  <w:pPr>
                    <w:pStyle w:val="Paragraph"/>
                    <w:rPr>
                      <w:noProof/>
                    </w:rPr>
                  </w:pPr>
                  <w:r>
                    <w:rPr>
                      <w:noProof/>
                    </w:rPr>
                    <w:t>un revêtement chromé,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de 11 mm ou plus, mais n’excédant pas 28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de 80 mm ou plus, mais n’excédant pas 600 mm,</w:t>
                  </w:r>
                </w:p>
              </w:tc>
            </w:tr>
          </w:tbl>
          <w:p>
            <w:pPr>
              <w:pStyle w:val="Paragraph"/>
              <w:rPr>
                <w:noProof/>
                <w:lang w:val="fr-BE"/>
              </w:rPr>
            </w:pPr>
            <w:r>
              <w:rPr>
                <w:noProof/>
                <w:lang w:val="fr-BE"/>
              </w:rPr>
              <w:t>munie d’une extrémité filetée ou d’un mandrin pour le soudage par résistance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noProof/>
              </w:rPr>
              <w:t>ex 7409 19 00</w:t>
            </w:r>
          </w:p>
          <w:p>
            <w:pPr>
              <w:pStyle w:val="Paragraph"/>
              <w:rPr>
                <w:noProof/>
              </w:rPr>
            </w:pPr>
            <w:r>
              <w:rPr>
                <w:noProof/>
              </w:rPr>
              <w:t>ex 7410 21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70</w:t>
            </w:r>
          </w:p>
        </w:tc>
        <w:tc>
          <w:tcPr>
            <w:tcW w:w="0" w:type="auto"/>
            <w:vMerge w:val="restart"/>
            <w:tcBorders>
              <w:left w:val="single" w:sz="2" w:space="0" w:color="auto"/>
            </w:tcBorders>
          </w:tcPr>
          <w:p>
            <w:pPr>
              <w:pStyle w:val="Paragraph"/>
              <w:rPr>
                <w:noProof/>
              </w:rPr>
            </w:pPr>
            <w:r>
              <w:rPr>
                <w:noProof/>
              </w:rPr>
              <w:t>Panneaux ou feuilles: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composés d’au moins une couche de fibres de verre tissées, imprégnés d’une résine artificielle ou synthétique ignifuge et présentant une température de transition vitreuse (Tg) supérieure à 130° C, mesurée selon IPC-TM-650, méthode 2.4.25,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recouverts sur une ou les deux faces d’une pellicule de cuivre d’une épaisseur maximale de 3,2 mm,</w:t>
                  </w:r>
                </w:p>
              </w:tc>
            </w:tr>
          </w:tbl>
          <w:p>
            <w:pPr>
              <w:pStyle w:val="Paragraph"/>
              <w:rPr>
                <w:noProof/>
                <w:lang w:val="fr-BE"/>
              </w:rPr>
            </w:pPr>
            <w:r>
              <w:rPr>
                <w:noProof/>
                <w:lang w:val="fr-BE"/>
              </w:rPr>
              <w:t>et contenant au moins un des éléments suivants: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poly(tétrafluoroéthylène) (CAS RN 9002-84-0),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poly(oxy-(2,6-diméthyl)-1,4-phénylène) (CAS RN 25134-01-4),</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résine époxy présentant une dilatation thermique n’excédant pas 10 ppm en longueur et en largeur et 25 ppm en hauteur,</w:t>
                  </w:r>
                </w:p>
              </w:tc>
            </w:tr>
          </w:tbl>
          <w:p>
            <w:pPr>
              <w:pStyle w:val="Paragraph"/>
              <w:rPr>
                <w:noProof/>
                <w:lang w:val="fr-BE"/>
              </w:rPr>
            </w:pPr>
            <w:r>
              <w:rPr>
                <w:noProof/>
                <w:lang w:val="fr-BE"/>
              </w:rPr>
              <w:t>pour utilisation dans la fabrication de circuits imprimés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noProof/>
              </w:rPr>
              <w:t>ex 7410 11 00</w:t>
            </w:r>
          </w:p>
          <w:p>
            <w:pPr>
              <w:pStyle w:val="Paragraph"/>
              <w:rPr>
                <w:noProof/>
              </w:rPr>
            </w:pPr>
            <w:r>
              <w:rPr>
                <w:noProof/>
              </w:rPr>
              <w:t>ex 8507 90 80</w:t>
            </w:r>
          </w:p>
          <w:p>
            <w:pPr>
              <w:pStyle w:val="Paragraph"/>
              <w:rPr>
                <w:noProof/>
              </w:rPr>
            </w:pPr>
            <w:r>
              <w:rPr>
                <w:noProof/>
              </w:rPr>
              <w:t>ex 8545 90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Rouleau constitué d'une feuille stratifiée de graphite et de cuivre: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égale ou supérieure à 610 mm, mais n'excédant pas 620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égal ou supérieur à 690 mm, mais n'excédant pas 710 mm,</w:t>
                  </w:r>
                </w:p>
              </w:tc>
            </w:tr>
          </w:tbl>
          <w:p>
            <w:pPr>
              <w:pStyle w:val="Paragraph"/>
              <w:rPr>
                <w:noProof/>
                <w:lang w:val="fr-BE"/>
              </w:rPr>
            </w:pPr>
            <w:r>
              <w:rPr>
                <w:noProof/>
                <w:lang w:val="fr-BE"/>
              </w:rPr>
              <w:t>destiné à la fabrication des batteries lithium-ion équipant les véhicules électriques</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7410 21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Tablette ou plaque de polytétrafluoroéthylène, contenant de l’oxyde d’aluminium ou du dioxyde de titane comme charge ou armée d’un tissu de fibres de verre, recouverte sur les deux faces d’une pellicule de cuivre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7410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Plaques, feuilles, rouleaux, constitués d’une couche de tissu de fibre de verre imprégné de résine époxy de 110 µm, recouverts sur une face ou sur les deux faces d’un film de cuivre affiné d’une épaisseur de 35 µm avec une tolérance de 10 %</w:t>
            </w:r>
          </w:p>
          <w:p>
            <w:pPr>
              <w:pStyle w:val="Paragraph"/>
              <w:rPr>
                <w:noProof/>
                <w:lang w:val="fr-BE"/>
              </w:rPr>
            </w:pPr>
            <w:r>
              <w:rPr>
                <w:noProof/>
                <w:lang w:val="fr-BE"/>
              </w:rPr>
              <w:t>destinés à la fabrication de cartes intelligentes à puce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m²</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7410 21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Film de polyimide contenant ou non de la résine époxyde et/ou des fibres de verre, recouvert sur une face ou sur les deux faces d’une pellicule de cuivre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7410 21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Feuilles ou plaques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constituées d’au moins une couche centrale de papier ou d’une feuille centrale de tout type de fibre non tissée, stratifiées sur chaque face avec un tissu de fibres de verre et imprégnées de résine époxy,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constituées de plusieurs couches de papier, imprégnées de résine phénolique,</w:t>
                  </w:r>
                </w:p>
              </w:tc>
            </w:tr>
          </w:tbl>
          <w:p>
            <w:pPr>
              <w:pStyle w:val="Paragraph"/>
              <w:rPr>
                <w:noProof/>
                <w:lang w:val="fr-BE"/>
              </w:rPr>
            </w:pPr>
            <w:r>
              <w:rPr>
                <w:noProof/>
                <w:lang w:val="fr-BE"/>
              </w:rPr>
              <w:t>recouvertes sur une face ou sur les deux faces d’une pellicule de cuivre d’une épaisseur maximale de 0,15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7410 21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Plaques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composées d’au moins une couche de tissu en fibres de verre imprégnées de résine époxyde,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recouvertes sur une ou deux faces d’une feuille de cuivre d’une épaisseur maximale de 0,15mm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ayant une constante diélectrique (DK) inférieure à 3,9 et un facteur de perte (Df) inférieur à 0,015 à une fréquence de mesure de 10GHz, mesurés conformément à la procédure IPC-TM-650</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7413 00 00</w:t>
            </w:r>
          </w:p>
          <w:p>
            <w:pPr>
              <w:pStyle w:val="Paragraph"/>
              <w:rPr>
                <w:noProof/>
              </w:rPr>
            </w:pPr>
            <w:r>
              <w:rPr>
                <w:noProof/>
              </w:rPr>
              <w:t>ex 8518 90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45</w:t>
            </w:r>
          </w:p>
        </w:tc>
        <w:tc>
          <w:tcPr>
            <w:tcW w:w="0" w:type="auto"/>
            <w:vMerge w:val="restart"/>
            <w:tcBorders>
              <w:left w:val="single" w:sz="2" w:space="0" w:color="auto"/>
            </w:tcBorders>
          </w:tcPr>
          <w:p>
            <w:pPr>
              <w:pStyle w:val="Paragraph"/>
              <w:rPr>
                <w:noProof/>
                <w:lang w:val="fr-BE"/>
              </w:rPr>
            </w:pPr>
            <w:r>
              <w:rPr>
                <w:noProof/>
                <w:lang w:val="fr-BE"/>
              </w:rPr>
              <w:t xml:space="preserve">Bague de centrage de haut-parleur, constituée d’un ou de plusieurs amortisseurs de vibrations et d'au minimum 2 fils de cuivre non isolés, enfilés ou pressés à l’intérieur, du type utilisé dans les haut-parleurs de voiture </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7419 99 90</w:t>
            </w:r>
          </w:p>
          <w:p>
            <w:pPr>
              <w:pStyle w:val="Paragraph"/>
              <w:rPr>
                <w:noProof/>
              </w:rPr>
            </w:pPr>
            <w:r>
              <w:rPr>
                <w:noProof/>
              </w:rPr>
              <w:t>ex 7616 99 90</w:t>
            </w:r>
          </w:p>
        </w:tc>
        <w:tc>
          <w:tcPr>
            <w:tcW w:w="0" w:type="auto"/>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60</w:t>
            </w:r>
          </w:p>
        </w:tc>
        <w:tc>
          <w:tcPr>
            <w:tcW w:w="0" w:type="auto"/>
            <w:vMerge w:val="restart"/>
            <w:tcBorders>
              <w:left w:val="single" w:sz="2" w:space="0" w:color="auto"/>
            </w:tcBorders>
          </w:tcPr>
          <w:p>
            <w:pPr>
              <w:pStyle w:val="Paragraph"/>
              <w:rPr>
                <w:noProof/>
                <w:lang w:val="fr-BE"/>
              </w:rPr>
            </w:pPr>
            <w:r>
              <w:rPr>
                <w:noProof/>
                <w:lang w:val="fr-BE"/>
              </w:rPr>
              <w:t>Disque avec matériaux de déposition, constitué de siliciure de molybdène:</w:t>
            </w:r>
          </w:p>
          <w:tbl>
            <w:tblPr>
              <w:tblStyle w:val="Listdash"/>
              <w:tblW w:w="0" w:type="auto"/>
              <w:tblLook w:val="0000" w:firstRow="0" w:lastRow="0" w:firstColumn="0" w:lastColumn="0" w:noHBand="0" w:noVBand="0"/>
            </w:tblPr>
            <w:tblGrid>
              <w:gridCol w:w="220"/>
              <w:gridCol w:w="317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1 mg/kg ou moins de sodium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monté sur un support en cuivre ou en aluminium</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7601 20 20</w:t>
            </w:r>
          </w:p>
        </w:tc>
        <w:tc>
          <w:tcPr>
            <w:tcW w:w="0" w:type="auto"/>
            <w:tcBorders>
              <w:left w:val="single" w:sz="2" w:space="0" w:color="auto"/>
            </w:tcBorders>
          </w:tcPr>
          <w:p>
            <w:pPr>
              <w:pStyle w:val="Paragraph"/>
              <w:rPr>
                <w:noProof/>
              </w:rPr>
            </w:pPr>
          </w:p>
        </w:tc>
        <w:tc>
          <w:tcPr>
            <w:tcW w:w="0" w:type="auto"/>
            <w:tcBorders>
              <w:left w:val="single" w:sz="2" w:space="0" w:color="auto"/>
            </w:tcBorders>
          </w:tcPr>
          <w:p>
            <w:pPr>
              <w:pStyle w:val="Paragraph"/>
              <w:rPr>
                <w:noProof/>
                <w:lang w:val="fr-BE"/>
              </w:rPr>
            </w:pPr>
            <w:r>
              <w:rPr>
                <w:noProof/>
                <w:lang w:val="fr-BE"/>
              </w:rPr>
              <w:t>Plaques et billettes en alliages d'aluminium sous forme brute</w:t>
            </w:r>
          </w:p>
        </w:tc>
        <w:tc>
          <w:tcPr>
            <w:tcW w:w="0" w:type="auto"/>
            <w:tcBorders>
              <w:left w:val="single" w:sz="2" w:space="0" w:color="auto"/>
            </w:tcBorders>
          </w:tcPr>
          <w:p>
            <w:pPr>
              <w:pStyle w:val="Paragraph"/>
              <w:rPr>
                <w:noProof/>
              </w:rPr>
            </w:pPr>
            <w:r>
              <w:rPr>
                <w:noProof/>
              </w:rPr>
              <w:t>4 %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7601 20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Plaques et billettes d'aluminium allié contenant du lithium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noProof/>
              </w:rPr>
              <w:t>ex 7604 29 10</w:t>
            </w:r>
          </w:p>
          <w:p>
            <w:pPr>
              <w:pStyle w:val="Paragraph"/>
              <w:rPr>
                <w:noProof/>
              </w:rPr>
            </w:pPr>
            <w:r>
              <w:rPr>
                <w:noProof/>
              </w:rPr>
              <w:t>ex 7606 12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Tôles et barres d'alliages aluminium-lithium</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7604 29 10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Barres en alliage d’aluminium contenant en poids:</w:t>
            </w:r>
          </w:p>
          <w:tbl>
            <w:tblPr>
              <w:tblStyle w:val="Listdash"/>
              <w:tblW w:w="0" w:type="auto"/>
              <w:tblLook w:val="0000" w:firstRow="0" w:lastRow="0" w:firstColumn="0" w:lastColumn="0" w:noHBand="0" w:noVBand="0"/>
            </w:tblPr>
            <w:tblGrid>
              <w:gridCol w:w="220"/>
              <w:gridCol w:w="356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0,25 % ou plus mais pas plus de 7 % de zinc,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1 % de magnésium mais pas plus de 3 %,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1 % de cuivre mais pas plus de 5 %,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teneur en manganèse n’excédant pas 1 %,</w:t>
                  </w:r>
                </w:p>
              </w:tc>
            </w:tr>
          </w:tbl>
          <w:p>
            <w:pPr>
              <w:pStyle w:val="Paragraph"/>
              <w:rPr>
                <w:noProof/>
                <w:lang w:val="fr-BE"/>
              </w:rPr>
            </w:pPr>
            <w:r>
              <w:rPr>
                <w:noProof/>
                <w:lang w:val="fr-BE"/>
              </w:rPr>
              <w:t>conformes aux spécifications AMS QQ-A-225, du type utilisé dans l’industrie aéronautique (inter alia conforme aux NADCAP et AS9100) et obtenues par le procédé de laminage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7605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Fil en aluminium non allié, d’un diamètre de 2 mm ou plus mais n’excédant pas 6 mm, recouvert d’une couche de cuivre d’une épaisseur de 0,032 mm ou plus mais n’excédant pas 0,117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7605 29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Fils en alliage d’aluminium contenant en poids:</w:t>
            </w:r>
          </w:p>
          <w:tbl>
            <w:tblPr>
              <w:tblStyle w:val="Listdash"/>
              <w:tblW w:w="0" w:type="auto"/>
              <w:tblLook w:val="0000" w:firstRow="0" w:lastRow="0" w:firstColumn="0" w:lastColumn="0" w:noHBand="0" w:noVBand="0"/>
            </w:tblPr>
            <w:tblGrid>
              <w:gridCol w:w="220"/>
              <w:gridCol w:w="360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0,10 % de cuivre mais pas plus de 5 %,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0,2 % de magnésium mais pas plus de 6 %,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0,10 % de zinc mais pas plus de 7 %,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teneur en manganèse n’excédant pas 1 %</w:t>
                  </w:r>
                </w:p>
              </w:tc>
            </w:tr>
          </w:tbl>
          <w:p>
            <w:pPr>
              <w:pStyle w:val="Paragraph"/>
              <w:rPr>
                <w:noProof/>
                <w:lang w:val="fr-BE"/>
              </w:rPr>
            </w:pPr>
            <w:r>
              <w:rPr>
                <w:noProof/>
                <w:lang w:val="fr-BE"/>
              </w:rPr>
              <w:t>conformes aux spécifications AMS QQ-A-430, du type utilisé dans l’industrie aéronautique (inter alia conforme aux NADCAP et AS9100) et obtenues par le procédé de laminage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7607 11 90</w:t>
            </w:r>
          </w:p>
          <w:p>
            <w:pPr>
              <w:pStyle w:val="Paragraph"/>
              <w:rPr>
                <w:noProof/>
              </w:rPr>
            </w:pPr>
            <w:r>
              <w:rPr>
                <w:noProof/>
              </w:rPr>
              <w:t>ex 7607 11 90</w:t>
            </w:r>
          </w:p>
        </w:tc>
        <w:tc>
          <w:tcPr>
            <w:tcW w:w="0" w:type="auto"/>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57</w:t>
            </w:r>
          </w:p>
        </w:tc>
        <w:tc>
          <w:tcPr>
            <w:tcW w:w="0" w:type="auto"/>
            <w:vMerge w:val="restart"/>
            <w:tcBorders>
              <w:left w:val="single" w:sz="2" w:space="0" w:color="auto"/>
            </w:tcBorders>
          </w:tcPr>
          <w:p>
            <w:pPr>
              <w:pStyle w:val="Paragraph"/>
              <w:rPr>
                <w:noProof/>
              </w:rPr>
            </w:pPr>
            <w:r>
              <w:rPr>
                <w:noProof/>
              </w:rPr>
              <w:t>Feuilles d'aluminium en rouleaux:</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pureté de 99,99 %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0,021 mm ou plus, mais n'excédant pas 0,2 mm,</w:t>
                  </w:r>
                </w:p>
              </w:tc>
            </w:tr>
            <w:tr>
              <w:tc>
                <w:tcPr>
                  <w:tcW w:w="0" w:type="auto"/>
                </w:tcPr>
                <w:p>
                  <w:pPr>
                    <w:pStyle w:val="Paragraph"/>
                    <w:rPr>
                      <w:noProof/>
                    </w:rPr>
                  </w:pPr>
                  <w:r>
                    <w:rPr>
                      <w:noProof/>
                    </w:rPr>
                    <w:t>—</w:t>
                  </w:r>
                </w:p>
              </w:tc>
              <w:tc>
                <w:tcPr>
                  <w:tcW w:w="0" w:type="auto"/>
                </w:tcPr>
                <w:p>
                  <w:pPr>
                    <w:pStyle w:val="Paragraph"/>
                    <w:rPr>
                      <w:noProof/>
                    </w:rPr>
                  </w:pPr>
                  <w:r>
                    <w:rPr>
                      <w:noProof/>
                    </w:rPr>
                    <w:t>d'une largeur de 500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une couche d'oxydes en surface de 3 à 4 nm d'épaisseur,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d'une texture cubique supérieure à 95 %</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7607 11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Feuilles d’aluminium lisses présentant les paramètres suivants: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aluminium de 99,98 % ou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de 0,070 mm ou plus mais n’excédant pas 0,125 mm</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une texture en dé</w:t>
                  </w:r>
                </w:p>
              </w:tc>
            </w:tr>
          </w:tbl>
          <w:p>
            <w:pPr>
              <w:pStyle w:val="Paragraph"/>
              <w:rPr>
                <w:noProof/>
                <w:lang w:val="fr-BE"/>
              </w:rPr>
            </w:pPr>
            <w:r>
              <w:rPr>
                <w:noProof/>
                <w:lang w:val="fr-BE"/>
              </w:rPr>
              <w:t>du type de celles utilisées pour la gravure haute tension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7607 19 90</w:t>
            </w:r>
          </w:p>
          <w:p>
            <w:pPr>
              <w:pStyle w:val="Paragraph"/>
              <w:rPr>
                <w:noProof/>
              </w:rPr>
            </w:pPr>
            <w:r>
              <w:rPr>
                <w:noProof/>
              </w:rPr>
              <w:t>ex 8507 90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80</w:t>
            </w:r>
          </w:p>
        </w:tc>
        <w:tc>
          <w:tcPr>
            <w:tcW w:w="0" w:type="auto"/>
            <w:vMerge w:val="restart"/>
            <w:tcBorders>
              <w:left w:val="single" w:sz="2" w:space="0" w:color="auto"/>
            </w:tcBorders>
          </w:tcPr>
          <w:p>
            <w:pPr>
              <w:pStyle w:val="Paragraph"/>
              <w:rPr>
                <w:noProof/>
                <w:lang w:val="fr-BE"/>
              </w:rPr>
            </w:pPr>
            <w:r>
              <w:rPr>
                <w:noProof/>
                <w:lang w:val="fr-BE"/>
              </w:rPr>
              <w:t>Feuille sous forme de rouleau, constituée d'un stratifié de lithium et de manganèse collé sur de l'aluminium:</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égale ou supérieure à 595 mm, mais n'excédant pas 605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égal ou supérieur à 690 mm, mais n'excédant pas 710 mm,</w:t>
                  </w:r>
                </w:p>
              </w:tc>
            </w:tr>
          </w:tbl>
          <w:p>
            <w:pPr>
              <w:pStyle w:val="Paragraph"/>
              <w:rPr>
                <w:noProof/>
                <w:lang w:val="fr-BE"/>
              </w:rPr>
            </w:pPr>
            <w:r>
              <w:rPr>
                <w:noProof/>
                <w:lang w:val="fr-BE"/>
              </w:rPr>
              <w:t>destinée à la fabrication de cathodes pour les batteries lithium-ion équipant les véhicules électriques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7608 20 89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Tubes et tuyaux en alliages d'aluminium extrudé, présentant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externe  égal ou supérieur à 60 mm, mais n’excédant pas 420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de paroi égale ou supérieure à 10 mm, mais n’excédant pas 80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7613 00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Récipient en aluminium, sans soudure, pour gaz naturel comprimé ou hydrogène comprimé, entièrement gainé par une couverture de composite époxy-fibres de carbone, d’une contenance de 172 l (± 10 %) et d’un poids à vide n’excédant pas 64 kg</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7616 99 10</w:t>
            </w:r>
          </w:p>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60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BE"/>
              </w:rPr>
            </w:pPr>
            <w:r>
              <w:rPr>
                <w:noProof/>
                <w:lang w:val="fr-BE"/>
              </w:rPr>
              <w:t>Support de moteur en aluminium:</w:t>
            </w:r>
          </w:p>
          <w:tbl>
            <w:tblPr>
              <w:tblStyle w:val="Listdash"/>
              <w:tblW w:w="0" w:type="auto"/>
              <w:tblLook w:val="0000" w:firstRow="0" w:lastRow="0" w:firstColumn="0" w:lastColumn="0" w:noHBand="0" w:noVBand="0"/>
            </w:tblPr>
            <w:tblGrid>
              <w:gridCol w:w="220"/>
              <w:gridCol w:w="327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comprise entre 10 mm et 200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comprise entre 10 mm et 200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comprise entre 10 mm et 200 mm,</w:t>
                  </w:r>
                </w:p>
              </w:tc>
            </w:tr>
          </w:tbl>
          <w:p>
            <w:pPr>
              <w:pStyle w:val="Paragraph"/>
              <w:rPr>
                <w:noProof/>
                <w:lang w:val="fr-BE"/>
              </w:rPr>
            </w:pPr>
            <w:r>
              <w:rPr>
                <w:noProof/>
                <w:lang w:val="fr-BE"/>
              </w:rPr>
              <w:t>équipé d’au moins deux trous de fixation en alliage d’aluminium EN AC-46100 ou EN AC-42100 (sur la base de la norme EN 1706) et présentant les caractéristiques suivantes:</w:t>
            </w:r>
          </w:p>
          <w:tbl>
            <w:tblPr>
              <w:tblStyle w:val="Listdash"/>
              <w:tblW w:w="0" w:type="auto"/>
              <w:tblLook w:val="0000" w:firstRow="0" w:lastRow="0" w:firstColumn="0" w:lastColumn="0" w:noHBand="0" w:noVBand="0"/>
            </w:tblPr>
            <w:tblGrid>
              <w:gridCol w:w="220"/>
              <w:gridCol w:w="25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porosité interne n’excédant pas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porosité externe n’excédant pas 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dureté Rockwell de 10 HRB ou plus</w:t>
                  </w:r>
                </w:p>
              </w:tc>
            </w:tr>
          </w:tbl>
          <w:p>
            <w:pPr>
              <w:pStyle w:val="Paragraph"/>
              <w:rPr>
                <w:noProof/>
                <w:lang w:val="fr-BE"/>
              </w:rPr>
            </w:pPr>
            <w:r>
              <w:rPr>
                <w:noProof/>
                <w:lang w:val="fr-BE"/>
              </w:rPr>
              <w:t>du type utilisé dans la production de systèmes de suspension pour les moteurs de véhicules automobiles </w:t>
            </w: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7616 99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Blocs d’aluminium aéronautique, du type utilisé dans la fabrication de pièces d’aéronefs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7616 99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Feuilles métallisées: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comprenant au moins huit couches d'aluminium  (CAS RN 7429-90-5) d'une pureté de 99,8 % ou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densité optique maximale de 3,0 par couche d'aluminium,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chaque couche d'aluminium est séparée par une couche de résine,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sur une pellicule de support en PET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sur des rouleaux d'une longueur maximale de 50 000 mètres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7616 99 90</w:t>
            </w:r>
          </w:p>
          <w:p>
            <w:pPr>
              <w:pStyle w:val="Paragraph"/>
              <w:rPr>
                <w:noProof/>
              </w:rPr>
            </w:pPr>
            <w:r>
              <w:rPr>
                <w:noProof/>
              </w:rPr>
              <w:t>ex 8482 80 00</w:t>
            </w:r>
          </w:p>
          <w:p>
            <w:pPr>
              <w:pStyle w:val="Paragraph"/>
              <w:rPr>
                <w:noProof/>
              </w:rPr>
            </w:pPr>
            <w:r>
              <w:rPr>
                <w:noProof/>
              </w:rPr>
              <w:t>ex 8803 30 00</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Éléments de liaison destiné à la fabrication des arbres rotor arrière d’hélicoptères</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Pr>
          <w:p>
            <w:pPr>
              <w:pStyle w:val="Paragraph"/>
              <w:rPr>
                <w:noProof/>
              </w:rPr>
            </w:pPr>
            <w:r>
              <w:rPr>
                <w:noProof/>
              </w:rPr>
              <w:t>ex 8101 96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Fils en tungstène contenant en poids 99 % ou plus de tungstène: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dimension maximale de la section transversale n'excède pas 50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résistance de 40 ohm/m ou plus mais n'excédant pas 300 ohm/m,</w:t>
                  </w:r>
                </w:p>
              </w:tc>
            </w:tr>
          </w:tbl>
          <w:p>
            <w:pPr>
              <w:pStyle w:val="Paragraph"/>
              <w:rPr>
                <w:noProof/>
                <w:lang w:val="fr-BE"/>
              </w:rPr>
            </w:pPr>
            <w:r>
              <w:rPr>
                <w:noProof/>
                <w:lang w:val="fr-BE"/>
              </w:rPr>
              <w:t>du type utilisé pour la production de pare-brise chauffants pour voitures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8101 96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Fils en tungstène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99,95 % en poids ou plus de tungstène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 diamètre maximal de la section transversale n'excède pas 1,02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8102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Molybdène en poudre</w:t>
            </w:r>
          </w:p>
          <w:tbl>
            <w:tblPr>
              <w:tblStyle w:val="Listdash"/>
              <w:tblW w:w="0" w:type="auto"/>
              <w:tblLook w:val="0000" w:firstRow="0" w:lastRow="0" w:firstColumn="0" w:lastColumn="0" w:noHBand="0" w:noVBand="0"/>
            </w:tblPr>
            <w:tblGrid>
              <w:gridCol w:w="220"/>
              <w:gridCol w:w="4295"/>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pureté en poids de 99 % ou plus,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granulométrie de 1,0 µm ou plus mais n'exédant pas 5,0 µm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8103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Cible de pulvérisation en tantale:</w:t>
            </w:r>
          </w:p>
          <w:tbl>
            <w:tblPr>
              <w:tblStyle w:val="Listdash"/>
              <w:tblW w:w="0" w:type="auto"/>
              <w:tblLook w:val="0000" w:firstRow="0" w:lastRow="0" w:firstColumn="0" w:lastColumn="0" w:noHBand="0" w:noVBand="0"/>
            </w:tblPr>
            <w:tblGrid>
              <w:gridCol w:w="220"/>
              <w:gridCol w:w="347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plaque arrière en alliage de cuivre et de chrome,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312 mm, et</w:t>
                  </w:r>
                </w:p>
              </w:tc>
            </w:tr>
            <w:tr>
              <w:tc>
                <w:tcPr>
                  <w:tcW w:w="0" w:type="auto"/>
                </w:tcPr>
                <w:p>
                  <w:pPr>
                    <w:pStyle w:val="Paragraph"/>
                    <w:rPr>
                      <w:noProof/>
                    </w:rPr>
                  </w:pPr>
                  <w:r>
                    <w:rPr>
                      <w:noProof/>
                    </w:rPr>
                    <w:t>—</w:t>
                  </w:r>
                </w:p>
              </w:tc>
              <w:tc>
                <w:tcPr>
                  <w:tcW w:w="0" w:type="auto"/>
                </w:tcPr>
                <w:p>
                  <w:pPr>
                    <w:pStyle w:val="Paragraph"/>
                    <w:rPr>
                      <w:noProof/>
                    </w:rPr>
                  </w:pPr>
                  <w:r>
                    <w:rPr>
                      <w:noProof/>
                    </w:rPr>
                    <w:t>d'une épaisseur de 6,3 mm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8104 30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Poudre de magnésium</w:t>
            </w:r>
          </w:p>
          <w:tbl>
            <w:tblPr>
              <w:tblStyle w:val="Listdash"/>
              <w:tblW w:w="0" w:type="auto"/>
              <w:tblLook w:val="0000" w:firstRow="0" w:lastRow="0" w:firstColumn="0" w:lastColumn="0" w:noHBand="0" w:noVBand="0"/>
            </w:tblPr>
            <w:tblGrid>
              <w:gridCol w:w="220"/>
              <w:gridCol w:w="327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pureté de 99,5 % en poids au minimum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granulométrie comprise entre 0,2 et 0,8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8104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Plaque de magnésium doucie et polie, de dimensions n’excédant pas 1500 mm × 2000 mm, revêtue sur une face de résine époxy insensible à la lumière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8105 90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Barres ou fils en alliage de cobalt contenant en poids :</w:t>
            </w:r>
          </w:p>
          <w:tbl>
            <w:tblPr>
              <w:tblStyle w:val="Listdash"/>
              <w:tblW w:w="0" w:type="auto"/>
              <w:tblLook w:val="0000" w:firstRow="0" w:lastRow="0" w:firstColumn="0" w:lastColumn="0" w:noHBand="0" w:noVBand="0"/>
            </w:tblPr>
            <w:tblGrid>
              <w:gridCol w:w="220"/>
              <w:gridCol w:w="1788"/>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35 % (± 2 %) de cobalt,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25 % (± 1 %)  de nickel,</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19 % (± 1 %) de chrome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7 % (± 2 %)  de fer</w:t>
                  </w:r>
                </w:p>
              </w:tc>
            </w:tr>
          </w:tbl>
          <w:p>
            <w:pPr>
              <w:pStyle w:val="Paragraph"/>
              <w:rPr>
                <w:noProof/>
                <w:lang w:val="fr-BE"/>
              </w:rPr>
            </w:pPr>
            <w:r>
              <w:rPr>
                <w:noProof/>
                <w:lang w:val="fr-BE"/>
              </w:rPr>
              <w:t>conformes aux spécifications AMS 5842, du type utilisé dans l’aéronautique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8108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Titane spongieux</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8108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Titane sous forme de poudre, dont le taux de passage dans une ouverture de maille de 0,224 mm est supérieur ou égal à 90 %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Lingot d'alliage de titane,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minimale de 17,8 cm, d'une longueur minimale de 180 cm et d'une largeur minimale de 48,3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minimal de 680 kg,</w:t>
                  </w:r>
                </w:p>
              </w:tc>
            </w:tr>
          </w:tbl>
          <w:p>
            <w:pPr>
              <w:pStyle w:val="Paragraph"/>
              <w:rPr>
                <w:noProof/>
                <w:lang w:val="fr-BE"/>
              </w:rPr>
            </w:pPr>
            <w:r>
              <w:rPr>
                <w:noProof/>
                <w:lang w:val="fr-BE"/>
              </w:rPr>
              <w:t>contenant, en poids, les éléments d'alliage, suivants:</w:t>
            </w:r>
          </w:p>
          <w:tbl>
            <w:tblPr>
              <w:tblStyle w:val="Listdash"/>
              <w:tblW w:w="0" w:type="auto"/>
              <w:tblLook w:val="0000" w:firstRow="0" w:lastRow="0" w:firstColumn="0" w:lastColumn="0" w:noHBand="0" w:noVBand="0"/>
            </w:tblPr>
            <w:tblGrid>
              <w:gridCol w:w="220"/>
              <w:gridCol w:w="332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3 % ou plus mais pas plus de 6 % d'aluminium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2,5 % ou plus mais pas plus de 5 % d'étain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2,5 % ou plus mais pas plus de 4,5 % de zirconium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0,2 % ou plus mais pas plus de 1 % de niobium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0,1 % ou plus mais pas plus de 1 % de molybdène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0,1 % ou plus mais pas plus de 0,5 % de silicium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Lingot d'alliage de titane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minimale de 17,8 cm, d'une longueur minimale de 180 cm et d'une largeur minimale de 48,3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minimal de 680 kg,</w:t>
                  </w:r>
                </w:p>
              </w:tc>
            </w:tr>
          </w:tbl>
          <w:p>
            <w:pPr>
              <w:pStyle w:val="Paragraph"/>
              <w:rPr>
                <w:noProof/>
                <w:lang w:val="fr-BE"/>
              </w:rPr>
            </w:pPr>
            <w:r>
              <w:rPr>
                <w:noProof/>
                <w:lang w:val="fr-BE"/>
              </w:rPr>
              <w:t>contenant, en poids, les éléments d'alliage suivants:</w:t>
            </w:r>
          </w:p>
          <w:tbl>
            <w:tblPr>
              <w:tblStyle w:val="Listdash"/>
              <w:tblW w:w="0" w:type="auto"/>
              <w:tblLook w:val="0000" w:firstRow="0" w:lastRow="0" w:firstColumn="0" w:lastColumn="0" w:noHBand="0" w:noVBand="0"/>
            </w:tblPr>
            <w:tblGrid>
              <w:gridCol w:w="220"/>
              <w:gridCol w:w="318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3 % ou plus, mais pas plus de 7 % d'aluminium,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5 % d’étain,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3 % ou plus, mais pas plus de 5 % de zinc,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4 % ou plus, mais pas plus de 8 % de molybdène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Lingot d'alliage de titane: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minimal de 63,5 cm et d'une longueur minimale de 450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minimal de 6 350 kg,</w:t>
                  </w:r>
                </w:p>
              </w:tc>
            </w:tr>
          </w:tbl>
          <w:p>
            <w:pPr>
              <w:pStyle w:val="Paragraph"/>
              <w:rPr>
                <w:noProof/>
                <w:lang w:val="fr-BE"/>
              </w:rPr>
            </w:pPr>
            <w:r>
              <w:rPr>
                <w:noProof/>
                <w:lang w:val="fr-BE"/>
              </w:rPr>
              <w:t>contenant, en poids, les éléments d'alliage suivants:</w:t>
            </w:r>
          </w:p>
          <w:tbl>
            <w:tblPr>
              <w:tblStyle w:val="Listdash"/>
              <w:tblW w:w="0" w:type="auto"/>
              <w:tblLook w:val="0000" w:firstRow="0" w:lastRow="0" w:firstColumn="0" w:lastColumn="0" w:noHBand="0" w:noVBand="0"/>
            </w:tblPr>
            <w:tblGrid>
              <w:gridCol w:w="220"/>
              <w:gridCol w:w="336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5,5 % ou plus, mais pas plus de 6,7 % d'aluminium,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3,7 % ou plus, mais pas plus de 4,9 % de vanadium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8108 20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Feuille calandrée en alliage de titane présentant les caractéristiques suivantes:</w:t>
            </w:r>
          </w:p>
          <w:tbl>
            <w:tblPr>
              <w:tblStyle w:val="Listdash"/>
              <w:tblW w:w="0" w:type="auto"/>
              <w:tblLook w:val="0000" w:firstRow="0" w:lastRow="0" w:firstColumn="0" w:lastColumn="0" w:noHBand="0" w:noVBand="0"/>
            </w:tblPr>
            <w:tblGrid>
              <w:gridCol w:w="220"/>
              <w:gridCol w:w="400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hauteur de 20,3 cm ou plus mais pas plus de 23,3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de 246,1 cm ou plus mais pas plus de 289,6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de 40,6 cm ou plus mais pas plus de 46,7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de 820 kg ou plus mais pas plus de 965 kg,</w:t>
                  </w:r>
                </w:p>
              </w:tc>
            </w:tr>
          </w:tbl>
          <w:p>
            <w:pPr>
              <w:pStyle w:val="Paragraph"/>
              <w:rPr>
                <w:noProof/>
                <w:lang w:val="fr-BE"/>
              </w:rPr>
            </w:pPr>
            <w:r>
              <w:rPr>
                <w:noProof/>
                <w:lang w:val="fr-BE"/>
              </w:rPr>
              <w:t>contenant, en poids, les éléments d'alliage suivants:</w:t>
            </w:r>
          </w:p>
          <w:tbl>
            <w:tblPr>
              <w:tblStyle w:val="Listdash"/>
              <w:tblW w:w="0" w:type="auto"/>
              <w:tblLook w:val="0000" w:firstRow="0" w:lastRow="0" w:firstColumn="0" w:lastColumn="0" w:noHBand="0" w:noVBand="0"/>
            </w:tblPr>
            <w:tblGrid>
              <w:gridCol w:w="220"/>
              <w:gridCol w:w="332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5,2 % ou plus mais pas plus de 6,2 % d'aluminium,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2,5 % ou plus mais pas plus de 4,8 % de vanadium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8108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Déchets et débris de titane et d’alliages de titane, exceptés ceux contenant en poids 1 % ou plus mais pas plus de 2 % d’aluminium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Barres en alliage de titane conformes aux normes EN 2002-1, EN 4267 ou DIN 65040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Fils ou barres en alliage de titane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section transversale pleine et constante en forme disque,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0,8 mm mais pas plus de 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aluminium de 0,3 % en poids mais pas plus de 0,7 %,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silicone de 0,3 % en poids mais pas plus de 0,6 %,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niobium de 0,1 % en poids mais pas plus de 0,3 %,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teneur en fer n'excédant pas 0,2 % en poids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Barres, tiges et fil en alliage de titane, aluminium et vanadium (TiAl6V4) conformes aux normes AMS 4928, 4965 ou 4967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Titane sous forme de billettes forgées cylindriques,</w:t>
            </w:r>
          </w:p>
          <w:tbl>
            <w:tblPr>
              <w:tblStyle w:val="Listdash"/>
              <w:tblW w:w="0" w:type="auto"/>
              <w:tblLook w:val="0000" w:firstRow="0" w:lastRow="0" w:firstColumn="0" w:lastColumn="0" w:noHBand="0" w:noVBand="0"/>
            </w:tblPr>
            <w:tblGrid>
              <w:gridCol w:w="220"/>
              <w:gridCol w:w="416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pureté égale ou supérieure à 99,995 %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140 mm ou plus mais n’excédant pas 200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de 5 kg ou plus mais n’excédant pas 300 kg</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8108 90 30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Fil composé d'un alliage de titane contenant en poids:</w:t>
            </w:r>
          </w:p>
          <w:tbl>
            <w:tblPr>
              <w:tblStyle w:val="Listdash"/>
              <w:tblW w:w="0" w:type="auto"/>
              <w:tblLook w:val="0000" w:firstRow="0" w:lastRow="0" w:firstColumn="0" w:lastColumn="0" w:noHBand="0" w:noVBand="0"/>
            </w:tblPr>
            <w:tblGrid>
              <w:gridCol w:w="220"/>
              <w:gridCol w:w="1939"/>
            </w:tblGrid>
            <w:tr>
              <w:tc>
                <w:tcPr>
                  <w:tcW w:w="0" w:type="auto"/>
                </w:tcPr>
                <w:p>
                  <w:pPr>
                    <w:pStyle w:val="Paragraph"/>
                    <w:rPr>
                      <w:noProof/>
                    </w:rPr>
                  </w:pPr>
                  <w:r>
                    <w:rPr>
                      <w:noProof/>
                    </w:rPr>
                    <w:t>—</w:t>
                  </w:r>
                </w:p>
              </w:tc>
              <w:tc>
                <w:tcPr>
                  <w:tcW w:w="0" w:type="auto"/>
                </w:tcPr>
                <w:p>
                  <w:pPr>
                    <w:pStyle w:val="Paragraph"/>
                    <w:rPr>
                      <w:noProof/>
                    </w:rPr>
                  </w:pPr>
                  <w:r>
                    <w:rPr>
                      <w:noProof/>
                    </w:rPr>
                    <w:t>22 % (± 1 %) de vanadium et</w:t>
                  </w:r>
                </w:p>
              </w:tc>
            </w:tr>
            <w:tr>
              <w:tc>
                <w:tcPr>
                  <w:tcW w:w="0" w:type="auto"/>
                </w:tcPr>
                <w:p>
                  <w:pPr>
                    <w:pStyle w:val="Paragraph"/>
                    <w:rPr>
                      <w:noProof/>
                    </w:rPr>
                  </w:pPr>
                  <w:r>
                    <w:rPr>
                      <w:noProof/>
                    </w:rPr>
                    <w:t>—</w:t>
                  </w:r>
                </w:p>
              </w:tc>
              <w:tc>
                <w:tcPr>
                  <w:tcW w:w="0" w:type="auto"/>
                </w:tcPr>
                <w:p>
                  <w:pPr>
                    <w:pStyle w:val="Paragraph"/>
                    <w:rPr>
                      <w:noProof/>
                    </w:rPr>
                  </w:pPr>
                  <w:r>
                    <w:rPr>
                      <w:noProof/>
                    </w:rPr>
                    <w:t>4 % (± 0,5 %) d'aluminium</w:t>
                  </w:r>
                </w:p>
              </w:tc>
            </w:tr>
          </w:tbl>
          <w:p>
            <w:pPr>
              <w:pStyle w:val="Paragraph"/>
              <w:rPr>
                <w:noProof/>
              </w:rPr>
            </w:pPr>
            <w:r>
              <w:rPr>
                <w:noProof/>
              </w:rPr>
              <w:t>ou</w:t>
            </w:r>
          </w:p>
          <w:tbl>
            <w:tblPr>
              <w:tblStyle w:val="Listdash"/>
              <w:tblW w:w="0" w:type="auto"/>
              <w:tblLook w:val="0000" w:firstRow="0" w:lastRow="0" w:firstColumn="0" w:lastColumn="0" w:noHBand="0" w:noVBand="0"/>
            </w:tblPr>
            <w:tblGrid>
              <w:gridCol w:w="220"/>
              <w:gridCol w:w="1828"/>
            </w:tblGrid>
            <w:tr>
              <w:tc>
                <w:tcPr>
                  <w:tcW w:w="0" w:type="auto"/>
                </w:tcPr>
                <w:p>
                  <w:pPr>
                    <w:pStyle w:val="Paragraph"/>
                    <w:rPr>
                      <w:noProof/>
                    </w:rPr>
                  </w:pPr>
                  <w:r>
                    <w:rPr>
                      <w:noProof/>
                    </w:rPr>
                    <w:t>—</w:t>
                  </w:r>
                </w:p>
              </w:tc>
              <w:tc>
                <w:tcPr>
                  <w:tcW w:w="0" w:type="auto"/>
                </w:tcPr>
                <w:p>
                  <w:pPr>
                    <w:pStyle w:val="Paragraph"/>
                    <w:rPr>
                      <w:noProof/>
                    </w:rPr>
                  </w:pPr>
                  <w:r>
                    <w:rPr>
                      <w:noProof/>
                    </w:rPr>
                    <w:t>15 % (± 1 %) de vanadium,</w:t>
                  </w:r>
                </w:p>
              </w:tc>
            </w:tr>
            <w:tr>
              <w:tc>
                <w:tcPr>
                  <w:tcW w:w="0" w:type="auto"/>
                </w:tcPr>
                <w:p>
                  <w:pPr>
                    <w:pStyle w:val="Paragraph"/>
                    <w:rPr>
                      <w:noProof/>
                    </w:rPr>
                  </w:pPr>
                  <w:r>
                    <w:rPr>
                      <w:noProof/>
                    </w:rPr>
                    <w:t>—</w:t>
                  </w:r>
                </w:p>
              </w:tc>
              <w:tc>
                <w:tcPr>
                  <w:tcW w:w="0" w:type="auto"/>
                </w:tcPr>
                <w:p>
                  <w:pPr>
                    <w:pStyle w:val="Paragraph"/>
                    <w:rPr>
                      <w:noProof/>
                    </w:rPr>
                  </w:pPr>
                  <w:r>
                    <w:rPr>
                      <w:noProof/>
                    </w:rPr>
                    <w:t>3 % (± 0,5 %) de chrome,</w:t>
                  </w:r>
                </w:p>
              </w:tc>
            </w:tr>
            <w:tr>
              <w:tc>
                <w:tcPr>
                  <w:tcW w:w="0" w:type="auto"/>
                </w:tcPr>
                <w:p>
                  <w:pPr>
                    <w:pStyle w:val="Paragraph"/>
                    <w:rPr>
                      <w:noProof/>
                    </w:rPr>
                  </w:pPr>
                  <w:r>
                    <w:rPr>
                      <w:noProof/>
                    </w:rPr>
                    <w:t>—</w:t>
                  </w:r>
                </w:p>
              </w:tc>
              <w:tc>
                <w:tcPr>
                  <w:tcW w:w="0" w:type="auto"/>
                </w:tcPr>
                <w:p>
                  <w:pPr>
                    <w:pStyle w:val="Paragraph"/>
                    <w:rPr>
                      <w:noProof/>
                    </w:rPr>
                  </w:pPr>
                  <w:r>
                    <w:rPr>
                      <w:noProof/>
                    </w:rPr>
                    <w:t>3 % (± 0,5 %) d’étain et</w:t>
                  </w:r>
                </w:p>
              </w:tc>
            </w:tr>
            <w:tr>
              <w:tc>
                <w:tcPr>
                  <w:tcW w:w="0" w:type="auto"/>
                </w:tcPr>
                <w:p>
                  <w:pPr>
                    <w:pStyle w:val="Paragraph"/>
                    <w:rPr>
                      <w:noProof/>
                    </w:rPr>
                  </w:pPr>
                  <w:r>
                    <w:rPr>
                      <w:noProof/>
                    </w:rPr>
                    <w:t>—</w:t>
                  </w:r>
                </w:p>
              </w:tc>
              <w:tc>
                <w:tcPr>
                  <w:tcW w:w="0" w:type="auto"/>
                </w:tcPr>
                <w:p>
                  <w:pPr>
                    <w:pStyle w:val="Paragraph"/>
                    <w:rPr>
                      <w:noProof/>
                    </w:rPr>
                  </w:pPr>
                  <w:r>
                    <w:rPr>
                      <w:noProof/>
                    </w:rPr>
                    <w:t>3 % (± 0,5 %) d’aluminium</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Tôles, bandes et feuilles de titane non allié laminées à froid ou à chaud présentant:</w:t>
            </w:r>
          </w:p>
          <w:tbl>
            <w:tblPr>
              <w:tblStyle w:val="Listdash"/>
              <w:tblW w:w="0" w:type="auto"/>
              <w:tblLook w:val="0000" w:firstRow="0" w:lastRow="0" w:firstColumn="0" w:lastColumn="0" w:noHBand="0" w:noVBand="0"/>
            </w:tblPr>
            <w:tblGrid>
              <w:gridCol w:w="220"/>
              <w:gridCol w:w="385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de 0,4 mm ou plus mais pas plus de 100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n'excédant pas 14 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n'excédant pas 4 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Tôles, bandes et feuilles en alliage de titane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Tôles, bandes et feuilles de titane non allié</w:t>
            </w:r>
          </w:p>
          <w:tbl>
            <w:tblPr>
              <w:tblStyle w:val="Listdash"/>
              <w:tblW w:w="0" w:type="auto"/>
              <w:tblLook w:val="0000" w:firstRow="0" w:lastRow="0" w:firstColumn="0" w:lastColumn="0" w:noHBand="0" w:noVBand="0"/>
            </w:tblPr>
            <w:tblGrid>
              <w:gridCol w:w="220"/>
              <w:gridCol w:w="228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supérieure à 750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maximal de 3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8108 90 50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Feuilles de titane non allié :</w:t>
            </w:r>
          </w:p>
          <w:tbl>
            <w:tblPr>
              <w:tblStyle w:val="Listdash"/>
              <w:tblW w:w="0" w:type="auto"/>
              <w:tblLook w:val="0000" w:firstRow="0" w:lastRow="0" w:firstColumn="0" w:lastColumn="0" w:noHBand="0" w:noVBand="0"/>
            </w:tblPr>
            <w:tblGrid>
              <w:gridCol w:w="220"/>
              <w:gridCol w:w="390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plus de 0,07 % en poids d'oxygène (O</w:t>
                  </w:r>
                  <w:r>
                    <w:rPr>
                      <w:noProof/>
                      <w:vertAlign w:val="subscript"/>
                      <w:lang w:val="fr-BE"/>
                    </w:rPr>
                    <w:t>2</w:t>
                  </w:r>
                  <w:r>
                    <w:rPr>
                      <w:noProof/>
                      <w:lang w:val="fr-BE"/>
                    </w:rPr>
                    <w: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0,4 mm ou plus mais pas plus de 2,5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dureté Vickers HV1 de moins de 170</w:t>
                  </w:r>
                </w:p>
              </w:tc>
            </w:tr>
          </w:tbl>
          <w:p>
            <w:pPr>
              <w:pStyle w:val="Paragraph"/>
              <w:rPr>
                <w:noProof/>
                <w:lang w:val="fr-BE"/>
              </w:rPr>
            </w:pPr>
            <w:r>
              <w:rPr>
                <w:noProof/>
                <w:lang w:val="fr-BE"/>
              </w:rPr>
              <w:t>du type utilisé pour la fabrication de tubes soudés pour condenseurs de centrales nucléaires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8108 90 60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Tubes et tuyaux sans soudure en titane ou alliage de titane présentant les caractéristiques suivantes:</w:t>
            </w:r>
          </w:p>
          <w:tbl>
            <w:tblPr>
              <w:tblStyle w:val="Listdash"/>
              <w:tblW w:w="0" w:type="auto"/>
              <w:tblLook w:val="0000" w:firstRow="0" w:lastRow="0" w:firstColumn="0" w:lastColumn="0" w:noHBand="0" w:noVBand="0"/>
            </w:tblPr>
            <w:tblGrid>
              <w:gridCol w:w="220"/>
              <w:gridCol w:w="390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de 19 mm mais pas plus de 159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de paroi de 0,4 mm mais pas plus de 8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maximale de 18 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noProof/>
              </w:rPr>
              <w:t>ex 8108 90 90</w:t>
            </w:r>
          </w:p>
          <w:p>
            <w:pPr>
              <w:pStyle w:val="Paragraph"/>
              <w:rPr>
                <w:noProof/>
              </w:rPr>
            </w:pPr>
            <w:r>
              <w:rPr>
                <w:noProof/>
              </w:rPr>
              <w:t>ex 9003 90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Parties de montures de lunettes, y compris:</w:t>
            </w:r>
          </w:p>
          <w:tbl>
            <w:tblPr>
              <w:tblStyle w:val="Listdash"/>
              <w:tblW w:w="0" w:type="auto"/>
              <w:tblLook w:val="0000" w:firstRow="0" w:lastRow="0" w:firstColumn="0" w:lastColumn="0" w:noHBand="0" w:noVBand="0"/>
            </w:tblPr>
            <w:tblGrid>
              <w:gridCol w:w="220"/>
              <w:gridCol w:w="4206"/>
            </w:tblGrid>
            <w:tr>
              <w:tc>
                <w:tcPr>
                  <w:tcW w:w="0" w:type="auto"/>
                </w:tcPr>
                <w:p>
                  <w:pPr>
                    <w:pStyle w:val="Paragraph"/>
                    <w:rPr>
                      <w:noProof/>
                    </w:rPr>
                  </w:pPr>
                  <w:r>
                    <w:rPr>
                      <w:noProof/>
                    </w:rPr>
                    <w:t>—</w:t>
                  </w:r>
                </w:p>
              </w:tc>
              <w:tc>
                <w:tcPr>
                  <w:tcW w:w="0" w:type="auto"/>
                </w:tcPr>
                <w:p>
                  <w:pPr>
                    <w:pStyle w:val="Paragraph"/>
                    <w:rPr>
                      <w:noProof/>
                    </w:rPr>
                  </w:pPr>
                  <w:r>
                    <w:rPr>
                      <w:noProof/>
                    </w:rPr>
                    <w:t>les branches de lunettes,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les ébauches utilisées pour la fabrication de pièces de lunettes,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les boulons des types utilisés pour les montures de lunettes,</w:t>
                  </w:r>
                </w:p>
              </w:tc>
            </w:tr>
          </w:tbl>
          <w:p>
            <w:pPr>
              <w:pStyle w:val="Paragraph"/>
              <w:rPr>
                <w:noProof/>
              </w:rPr>
            </w:pPr>
            <w:r>
              <w:rPr>
                <w:noProof/>
              </w:rPr>
              <w:t>composées d'un alliage de titane</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8109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Zirconium non allié, sous forme d'éponges ou de lingots, contenant plus de 0,01 % en poids de hafnium destiné à être utilisé dans la fabrication de tubes, barres ou lingots obtenus par refusion pour l'industrie chimique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8110 10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Antimoine sous forme de lingots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8112 99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Alliage de niobium (columbium) et titane, sous forme de barres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8113 00 20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Cermets en forme de blocs, contenant en poids 60 % ou plus d'aluminium et 5 % ou plus de carbure de bore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8113 00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Plaque de support en aluminium-carbure de silicium (AlSiC-9) pour circuits électroniques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8113 00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Entretoises sous forme de pavés droits en composite d'aluminium-carbure de silicium (AlSiC) utilisées dans les modules IGBT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8207 19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Inserts pour outils de forage avec partie travaillante en aggloméré de diamants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8207 30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Jeu d'outils de presse transfert et/ou de presse tandem, pour le forçage à froid, la compression, l'étirage, la coupe, la découpe, le pliage, le bordage et le poinçonnage des tôles, destiné à la fabrication de pièces de châssis de véhicules à moteur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noProof/>
              </w:rPr>
              <w:t>ex 8301 60 00</w:t>
            </w:r>
          </w:p>
          <w:p>
            <w:pPr>
              <w:pStyle w:val="Paragraph"/>
              <w:rPr>
                <w:noProof/>
              </w:rPr>
            </w:pPr>
            <w:r>
              <w:rPr>
                <w:noProof/>
              </w:rPr>
              <w:t>ex 8413 91 00</w:t>
            </w:r>
          </w:p>
          <w:p>
            <w:pPr>
              <w:pStyle w:val="Paragraph"/>
              <w:rPr>
                <w:noProof/>
              </w:rPr>
            </w:pPr>
            <w:r>
              <w:rPr>
                <w:noProof/>
              </w:rPr>
              <w:t>ex 8419 90 85</w:t>
            </w:r>
          </w:p>
          <w:p>
            <w:pPr>
              <w:pStyle w:val="Paragraph"/>
              <w:rPr>
                <w:noProof/>
              </w:rPr>
            </w:pPr>
            <w:r>
              <w:rPr>
                <w:noProof/>
              </w:rPr>
              <w:t>ex 8438 90 00</w:t>
            </w:r>
          </w:p>
          <w:p>
            <w:pPr>
              <w:pStyle w:val="Paragraph"/>
              <w:rPr>
                <w:noProof/>
              </w:rPr>
            </w:pPr>
            <w:r>
              <w:rPr>
                <w:noProof/>
              </w:rPr>
              <w:t>ex 8468 90 00</w:t>
            </w:r>
          </w:p>
          <w:p>
            <w:pPr>
              <w:pStyle w:val="Paragraph"/>
              <w:rPr>
                <w:noProof/>
              </w:rPr>
            </w:pPr>
            <w:r>
              <w:rPr>
                <w:noProof/>
              </w:rPr>
              <w:t>ex 8476 90 90</w:t>
            </w:r>
          </w:p>
          <w:p>
            <w:pPr>
              <w:pStyle w:val="Paragraph"/>
              <w:rPr>
                <w:noProof/>
              </w:rPr>
            </w:pPr>
            <w:r>
              <w:rPr>
                <w:noProof/>
              </w:rPr>
              <w:t>ex 8479 90 70</w:t>
            </w:r>
          </w:p>
          <w:p>
            <w:pPr>
              <w:pStyle w:val="Paragraph"/>
              <w:rPr>
                <w:noProof/>
              </w:rPr>
            </w:pPr>
            <w:r>
              <w:rPr>
                <w:noProof/>
              </w:rPr>
              <w:t>ex 8481 90 00</w:t>
            </w:r>
          </w:p>
          <w:p>
            <w:pPr>
              <w:pStyle w:val="Paragraph"/>
              <w:rPr>
                <w:noProof/>
              </w:rPr>
            </w:pPr>
            <w:r>
              <w:rPr>
                <w:noProof/>
              </w:rPr>
              <w:t>ex 8503 00 99</w:t>
            </w:r>
          </w:p>
          <w:p>
            <w:pPr>
              <w:pStyle w:val="Paragraph"/>
              <w:rPr>
                <w:noProof/>
              </w:rPr>
            </w:pPr>
            <w:r>
              <w:rPr>
                <w:noProof/>
              </w:rPr>
              <w:t>ex 8515 90 80</w:t>
            </w:r>
          </w:p>
          <w:p>
            <w:pPr>
              <w:pStyle w:val="Paragraph"/>
              <w:rPr>
                <w:noProof/>
              </w:rPr>
            </w:pPr>
            <w:r>
              <w:rPr>
                <w:noProof/>
              </w:rPr>
              <w:t>ex 8536 90 95</w:t>
            </w:r>
          </w:p>
          <w:p>
            <w:pPr>
              <w:pStyle w:val="Paragraph"/>
              <w:rPr>
                <w:noProof/>
              </w:rPr>
            </w:pPr>
            <w:r>
              <w:rPr>
                <w:noProof/>
              </w:rPr>
              <w:t>ex 8537 10 98</w:t>
            </w:r>
          </w:p>
          <w:p>
            <w:pPr>
              <w:pStyle w:val="Paragraph"/>
              <w:rPr>
                <w:noProof/>
              </w:rPr>
            </w:pPr>
            <w:r>
              <w:rPr>
                <w:noProof/>
              </w:rPr>
              <w:t>ex 8708 91 20</w:t>
            </w:r>
          </w:p>
          <w:p>
            <w:pPr>
              <w:pStyle w:val="Paragraph"/>
              <w:rPr>
                <w:noProof/>
              </w:rPr>
            </w:pPr>
            <w:r>
              <w:rPr>
                <w:noProof/>
              </w:rPr>
              <w:t>ex 8708 91 99</w:t>
            </w:r>
          </w:p>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83</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30</w:t>
            </w:r>
          </w:p>
          <w:p>
            <w:pPr>
              <w:pStyle w:val="Paragraph"/>
              <w:jc w:val="center"/>
              <w:rPr>
                <w:noProof/>
              </w:rPr>
            </w:pPr>
            <w:r>
              <w:rPr>
                <w:noProof/>
              </w:rPr>
              <w:t>95</w:t>
            </w:r>
          </w:p>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50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Claviers en silicone ou plastique,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comprenant ou non des parties en métal, plastique, résine époxy renforcée de fibre de verre ou bois,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même imprimés ou traités en surface,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conducteurs électriques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membrane collée sur le clavier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pellicule protectrice</w:t>
                  </w:r>
                </w:p>
              </w:tc>
            </w:tr>
            <w:tr>
              <w:tc>
                <w:tcPr>
                  <w:tcW w:w="0" w:type="auto"/>
                </w:tcPr>
                <w:p>
                  <w:pPr>
                    <w:pStyle w:val="Paragraph"/>
                    <w:rPr>
                      <w:noProof/>
                    </w:rPr>
                  </w:pPr>
                  <w:r>
                    <w:rPr>
                      <w:noProof/>
                    </w:rPr>
                    <w:t>—</w:t>
                  </w:r>
                </w:p>
              </w:tc>
              <w:tc>
                <w:tcPr>
                  <w:tcW w:w="0" w:type="auto"/>
                </w:tcPr>
                <w:p>
                  <w:pPr>
                    <w:pStyle w:val="Paragraph"/>
                    <w:rPr>
                      <w:noProof/>
                    </w:rPr>
                  </w:pPr>
                  <w:r>
                    <w:rPr>
                      <w:noProof/>
                    </w:rPr>
                    <w:t>mono- ou multicouche</w:t>
                  </w:r>
                </w:p>
              </w:tc>
            </w:tr>
          </w:tbl>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t>ex 8302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Roulettes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extérieur de 21 mm ou plus, mais n'excédant pas 23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avec vis de 19 mm ou plus, mais n'excédant pas 23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anneau extérieur en plastique en forme de 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une vis d'assemblage montée sur le diamètre intérieur et servant de bague intérieure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8309 90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Fonds de boîtes en aluminium:</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99,00mm ou plus, mais n’excédant pas 136,5 mm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pourvus ou non d’une ouverture à «anneau tracteur»</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8401 30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Cartouche de combustible à réseau hexagonal non irradié utilisée dans les réacteurs nucléaires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8401 40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Barres de commande absorbantes en acier inoxydable, contenant des éléments chimiques absorbeurs de neutrons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8405 90 00</w:t>
            </w:r>
          </w:p>
          <w:p>
            <w:pPr>
              <w:pStyle w:val="Paragraph"/>
              <w:rPr>
                <w:noProof/>
              </w:rPr>
            </w:pPr>
            <w:r>
              <w:rPr>
                <w:noProof/>
              </w:rPr>
              <w:t>ex 8708 21 10</w:t>
            </w:r>
          </w:p>
          <w:p>
            <w:pPr>
              <w:pStyle w:val="Paragraph"/>
              <w:rPr>
                <w:noProof/>
              </w:rPr>
            </w:pPr>
            <w:r>
              <w:rPr>
                <w:noProof/>
              </w:rPr>
              <w:t>ex 8708 21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Corps métallique pour générateurs de gaz pour les pré- tendeurs de ceintures de sécurité pour véhicules automobiles</w:t>
            </w: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8407 33 20</w:t>
            </w:r>
          </w:p>
          <w:p>
            <w:pPr>
              <w:pStyle w:val="Paragraph"/>
              <w:rPr>
                <w:noProof/>
              </w:rPr>
            </w:pPr>
            <w:r>
              <w:rPr>
                <w:noProof/>
              </w:rPr>
              <w:t>ex 8407 33 80</w:t>
            </w:r>
          </w:p>
          <w:p>
            <w:pPr>
              <w:pStyle w:val="Paragraph"/>
              <w:rPr>
                <w:noProof/>
              </w:rPr>
            </w:pPr>
            <w:r>
              <w:rPr>
                <w:noProof/>
              </w:rPr>
              <w:t>ex 8407 90 80</w:t>
            </w:r>
          </w:p>
          <w:p>
            <w:pPr>
              <w:pStyle w:val="Paragraph"/>
              <w:rPr>
                <w:noProof/>
              </w:rPr>
            </w:pPr>
            <w:r>
              <w:rPr>
                <w:noProof/>
              </w:rPr>
              <w:t>ex 8407 90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Moteurs à piston alternatif ou rotatif, à allumage par étincelles, d’une cylindrée de 300 cm³ ou plus et d’une puissance de 6 kW ou plus mais n ’excédant pas 20,0 kW, destinés à la fabrication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tondeuses à gazon autopropulsées équipées d’un siège (tracto-tondeuses) de la sous- position 8433 11 51, et de tondeuses à gazon à main de la position 8433 11 90,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tracteurs de la sous-position 8701 91 90, servant principalement de tondeuse à gazon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tondeuses avec un moteur à 4 temps d’une cylindrée de 300 cm³ minimum, et relevant de la sous-position 8433 20 10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chasse-neige relevant de la sous-position 8430 20</w:t>
                  </w:r>
                </w:p>
              </w:tc>
            </w:tr>
          </w:tbl>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p>
            <w:pPr>
              <w:pStyle w:val="Paragraph"/>
              <w:rPr>
                <w:noProof/>
              </w:rPr>
            </w:pPr>
          </w:p>
        </w:tc>
      </w:tr>
      <w:tr>
        <w:tc>
          <w:tcPr>
            <w:tcW w:w="0" w:type="auto"/>
          </w:tcPr>
          <w:p>
            <w:pPr>
              <w:pStyle w:val="Paragraph"/>
              <w:rPr>
                <w:noProof/>
              </w:rPr>
            </w:pPr>
            <w:r>
              <w:rPr>
                <w:noProof/>
              </w:rPr>
              <w:t>ex 8407 90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Moteurs à essence à quatre temps, d’une cylindrée n’excédant pas 250cm³, destinés à la fabrication d'outils de jardinage des positions 8432, 8433, 8436 ou 8508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8407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Moteur compact à gaz de pétrole liquéfié(GPL),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6 cylindres,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de 75 kW au minimum et de 80 kW au maximum,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soupapes d’admission et de refoulement modifiées de façon à fonctionner en continu pour les applications nécessitant une grande puissance,</w:t>
                  </w:r>
                </w:p>
              </w:tc>
            </w:tr>
          </w:tbl>
          <w:p>
            <w:pPr>
              <w:pStyle w:val="Paragraph"/>
              <w:rPr>
                <w:noProof/>
                <w:lang w:val="fr-BE"/>
              </w:rPr>
            </w:pPr>
            <w:r>
              <w:rPr>
                <w:noProof/>
                <w:lang w:val="fr-BE"/>
              </w:rPr>
              <w:t>utilisé dans la construction de véhicules relevant de la position 8427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8408 90 41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Moteurs diesel, d’une puissance n’excédant pas 15 kW, à deux ou trois cylindres, destinés à être utilisés dans la fabrication de systèmes de régulation de la température installés dans des véhicules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8408 90 43</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Moteurs diesel, d’une puissance n’excédant pas 30 kW, à 4 cylindres, destinés à être utilisés dans la fabrication de systèmes de régulation de la température installés dans des véhicules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8408 90 43</w:t>
            </w:r>
          </w:p>
          <w:p>
            <w:pPr>
              <w:pStyle w:val="Paragraph"/>
              <w:rPr>
                <w:noProof/>
              </w:rPr>
            </w:pPr>
            <w:r>
              <w:rPr>
                <w:noProof/>
              </w:rPr>
              <w:t>ex 8408 90 45</w:t>
            </w:r>
          </w:p>
          <w:p>
            <w:pPr>
              <w:pStyle w:val="Paragraph"/>
              <w:rPr>
                <w:noProof/>
              </w:rPr>
            </w:pPr>
            <w:r>
              <w:rPr>
                <w:noProof/>
              </w:rPr>
              <w:t>ex 8408 90 47</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BE"/>
              </w:rPr>
            </w:pPr>
            <w:r>
              <w:rPr>
                <w:noProof/>
                <w:lang w:val="fr-BE"/>
              </w:rPr>
              <w:t>Moteur quadricylindre à quatre cycles, à allumage par compression et à refroidissement par liquide, d’une: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cylindrée maximale de 3 850 cm³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nominale de 15 kW ou plus, mais n'excedant pas 85 kW,</w:t>
                  </w:r>
                </w:p>
              </w:tc>
            </w:tr>
          </w:tbl>
          <w:p>
            <w:pPr>
              <w:pStyle w:val="Paragraph"/>
              <w:rPr>
                <w:noProof/>
                <w:lang w:val="fr-BE"/>
              </w:rPr>
            </w:pPr>
            <w:r>
              <w:rPr>
                <w:noProof/>
                <w:lang w:val="fr-BE"/>
              </w:rPr>
              <w:t>destiné à la fabrication des véhicules de la position 8427</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tc>
      </w:tr>
      <w:tr>
        <w:tc>
          <w:tcPr>
            <w:tcW w:w="0" w:type="auto"/>
          </w:tcPr>
          <w:p>
            <w:pPr>
              <w:pStyle w:val="Paragraph"/>
              <w:rPr>
                <w:noProof/>
              </w:rPr>
            </w:pPr>
            <w:r>
              <w:rPr>
                <w:noProof/>
              </w:rPr>
              <w:t>ex 8409 91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Injecteur de carburant à valve électro-magnétique pour une atomisation optimisée dans la chambre de combustion des moteurs à piston à allumage par étincelles (moteurs à explosion), destiné à être utilisé dans la fabrication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8409 91 00</w:t>
            </w:r>
          </w:p>
          <w:p>
            <w:pPr>
              <w:pStyle w:val="Paragraph"/>
              <w:rPr>
                <w:noProof/>
              </w:rPr>
            </w:pPr>
            <w:r>
              <w:rPr>
                <w:noProof/>
              </w:rPr>
              <w:t>ex 8409 99 00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55</w:t>
            </w:r>
          </w:p>
        </w:tc>
        <w:tc>
          <w:tcPr>
            <w:tcW w:w="0" w:type="auto"/>
            <w:vMerge w:val="restart"/>
            <w:tcBorders>
              <w:left w:val="single" w:sz="2" w:space="0" w:color="auto"/>
            </w:tcBorders>
          </w:tcPr>
          <w:p>
            <w:pPr>
              <w:pStyle w:val="Paragraph"/>
              <w:rPr>
                <w:noProof/>
                <w:lang w:val="fr-BE"/>
              </w:rPr>
            </w:pPr>
            <w:r>
              <w:rPr>
                <w:noProof/>
                <w:lang w:val="fr-BE"/>
              </w:rPr>
              <w:t>Collecteur d’échappement avec élément de turbine à gaz en forme de spirale utilisé dans les turbocompresseurs,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à la chaleur n'excédant pas 1 050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du trou laissé pour insérer la roue de la turbine de 28 mm ou plus mais n'excédant pas 181 mm</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noProof/>
              </w:rPr>
              <w:t>ex 8409 99 00</w:t>
            </w:r>
          </w:p>
          <w:p>
            <w:pPr>
              <w:pStyle w:val="Paragraph"/>
              <w:rPr>
                <w:noProof/>
              </w:rPr>
            </w:pPr>
            <w:r>
              <w:rPr>
                <w:noProof/>
              </w:rPr>
              <w:t>ex 8479 90 70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85</w:t>
            </w:r>
          </w:p>
        </w:tc>
        <w:tc>
          <w:tcPr>
            <w:tcW w:w="0" w:type="auto"/>
            <w:vMerge w:val="restart"/>
            <w:tcBorders>
              <w:left w:val="single" w:sz="2" w:space="0" w:color="auto"/>
            </w:tcBorders>
          </w:tcPr>
          <w:p>
            <w:pPr>
              <w:pStyle w:val="Paragraph"/>
              <w:rPr>
                <w:noProof/>
                <w:lang w:val="fr-BE"/>
              </w:rPr>
            </w:pPr>
            <w:r>
              <w:rPr>
                <w:noProof/>
                <w:lang w:val="fr-BE"/>
              </w:rPr>
              <w:t>Injecteurs à valve solénoïde pour une atomisation optimisée dans la chambre de combustion du moteur</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8409 99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Couvre-culasse en plastique ou en aluminium doté:</w:t>
            </w:r>
          </w:p>
          <w:tbl>
            <w:tblPr>
              <w:tblStyle w:val="Listdash"/>
              <w:tblW w:w="0" w:type="auto"/>
              <w:tblLook w:val="0000" w:firstRow="0" w:lastRow="0" w:firstColumn="0" w:lastColumn="0" w:noHBand="0" w:noVBand="0"/>
            </w:tblPr>
            <w:tblGrid>
              <w:gridCol w:w="220"/>
              <w:gridCol w:w="379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capteur de position de l’arbre à cames (CMPS),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fixations métalliques pour le montage sur un moteur,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deux ou plusieurs joints d’étanchéité,</w:t>
                  </w:r>
                </w:p>
              </w:tc>
            </w:tr>
          </w:tbl>
          <w:p>
            <w:pPr>
              <w:pStyle w:val="Paragraph"/>
              <w:rPr>
                <w:noProof/>
                <w:lang w:val="fr-BE"/>
              </w:rPr>
            </w:pPr>
            <w:r>
              <w:rPr>
                <w:noProof/>
                <w:lang w:val="fr-BE"/>
              </w:rPr>
              <w:t>destiné à être utilisé dans la construction de moteurs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8409 99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Collecteur d'admission qui alimente en air les cylindres du moteur, comprenant au moins:</w:t>
            </w:r>
          </w:p>
          <w:tbl>
            <w:tblPr>
              <w:tblStyle w:val="Listdash"/>
              <w:tblW w:w="0" w:type="auto"/>
              <w:tblLook w:val="0000" w:firstRow="0" w:lastRow="0" w:firstColumn="0" w:lastColumn="0" w:noHBand="0" w:noVBand="0"/>
            </w:tblPr>
            <w:tblGrid>
              <w:gridCol w:w="220"/>
              <w:gridCol w:w="2877"/>
            </w:tblGrid>
            <w:tr>
              <w:tc>
                <w:tcPr>
                  <w:tcW w:w="0" w:type="auto"/>
                </w:tcPr>
                <w:p>
                  <w:pPr>
                    <w:pStyle w:val="Paragraph"/>
                    <w:rPr>
                      <w:noProof/>
                    </w:rPr>
                  </w:pPr>
                  <w:r>
                    <w:rPr>
                      <w:noProof/>
                    </w:rPr>
                    <w:t>—</w:t>
                  </w:r>
                </w:p>
              </w:tc>
              <w:tc>
                <w:tcPr>
                  <w:tcW w:w="0" w:type="auto"/>
                </w:tcPr>
                <w:p>
                  <w:pPr>
                    <w:pStyle w:val="Paragraph"/>
                    <w:rPr>
                      <w:noProof/>
                    </w:rPr>
                  </w:pPr>
                  <w:r>
                    <w:rPr>
                      <w:noProof/>
                    </w:rPr>
                    <w:t>un régulateur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capteur de la pression de suralimentation</w:t>
                  </w:r>
                </w:p>
              </w:tc>
            </w:tr>
          </w:tbl>
          <w:p>
            <w:pPr>
              <w:pStyle w:val="Paragraph"/>
              <w:rPr>
                <w:noProof/>
                <w:lang w:val="fr-BE"/>
              </w:rPr>
            </w:pPr>
            <w:r>
              <w:rPr>
                <w:noProof/>
                <w:lang w:val="fr-BE"/>
              </w:rPr>
              <w:t>destiné à être utilisé dans la construction de moteurs à allumage par compression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8409 99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Soupape d'admission et d'échappement en alliage métallique présentant une dureté Rockwell de 20 HRC mais pas plus de 50 HRC, destinée à être utilisée dans la construction de moteurs à allumage par compression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8409 99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Injecteur d'huile à haute pression destiné au refroidissement et à la lubrification des pistons du moteur présentant:</w:t>
            </w:r>
          </w:p>
          <w:tbl>
            <w:tblPr>
              <w:tblStyle w:val="Listdash"/>
              <w:tblW w:w="0" w:type="auto"/>
              <w:tblLook w:val="0000" w:firstRow="0" w:lastRow="0" w:firstColumn="0" w:lastColumn="0" w:noHBand="0" w:noVBand="0"/>
            </w:tblPr>
            <w:tblGrid>
              <w:gridCol w:w="220"/>
              <w:gridCol w:w="374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pression d'ouverture de 1 bar mais pas plus de 3 bars,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pression de fermeture supérieure à 0,7 bar,</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une valve unidirectionnelle</w:t>
                  </w:r>
                </w:p>
              </w:tc>
            </w:tr>
          </w:tbl>
          <w:p>
            <w:pPr>
              <w:pStyle w:val="Paragraph"/>
              <w:rPr>
                <w:noProof/>
                <w:lang w:val="fr-BE"/>
              </w:rPr>
            </w:pPr>
            <w:r>
              <w:rPr>
                <w:noProof/>
                <w:lang w:val="fr-BE"/>
              </w:rPr>
              <w:t>destiné à être utilisé dans la construction de moteurs à allumage par compression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8411 99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Composant de turbine à gaz en forme de roue à aubages, du type utilisé dans les turbocompresseurs: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en alliage à base de nickel (fonderie de précision) conforme aux normes DIN G- NiCr13Al6MoNb ou DIN G- NiCr13Al16MoNb ou DIN G- NiCo10W10Cr9AlTi ou DIN G- NiCr12Al6MoNb ou AMS AISI:686,</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résistance à la chaleur n'excédant pas 1 100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28 mm, mais pas plus de 180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de 20 mm ou plus, mais pas plus de 150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8411 99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Élément de turbine à gaz en forme de spirale utilisé dans les turbocompresseurs,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à la chaleur n'excédant pas 1 050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du trou laissé pour insérer la roue de la turbine de  28 mm ou plus mais n'excédant pas 181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8411 99 00</w:t>
            </w:r>
          </w:p>
          <w:p>
            <w:pPr>
              <w:pStyle w:val="Paragraph"/>
              <w:rPr>
                <w:noProof/>
              </w:rPr>
            </w:pPr>
            <w:r>
              <w:rPr>
                <w:noProof/>
              </w:rPr>
              <w:t>ex 8412 39 00</w:t>
            </w:r>
          </w:p>
        </w:tc>
        <w:tc>
          <w:tcPr>
            <w:tcW w:w="0" w:type="auto"/>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Actionneur destiné à un turbocompresseur monoétage: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soupape et manchon de raccordement, dont la course est comprise entre 20 et 40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maximale de 350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n'excédant pas 75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n'excédant pas 110 mm</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8413 30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Pompe à haute pression monocylindre à piston radial pour injection directe d’essence: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pression de 200 bars ou plus mais ne dépassant pas 350 bars,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équipée d’un régulateur de débit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munie d’une soupape de surpression,</w:t>
                  </w:r>
                </w:p>
              </w:tc>
            </w:tr>
          </w:tbl>
          <w:p>
            <w:pPr>
              <w:pStyle w:val="Paragraph"/>
              <w:rPr>
                <w:noProof/>
                <w:lang w:val="fr-BE"/>
              </w:rPr>
            </w:pPr>
            <w:r>
              <w:rPr>
                <w:noProof/>
                <w:lang w:val="fr-BE"/>
              </w:rPr>
              <w:t>destinée à la fabrication de moteurs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8413 70 35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Pompe centrifuge monocellulaire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débit minimal de 400 cm</w:t>
                  </w:r>
                  <w:r>
                    <w:rPr>
                      <w:noProof/>
                      <w:vertAlign w:val="superscript"/>
                      <w:lang w:val="fr-BE"/>
                    </w:rPr>
                    <w:t>3</w:t>
                  </w:r>
                  <w:r>
                    <w:rPr>
                      <w:noProof/>
                      <w:lang w:val="fr-BE"/>
                    </w:rPr>
                    <w:t xml:space="preserve"> de liquide par minute,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niveau sonore limité à 6 dBA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diamètre interne de l’ouverture d’aspiration et de l’orifice de refoulement n’excédant pas 15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fonctionnelle jusqu’à une température ambiante de -10°C</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8413 91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Couvercle de pompe à carburant: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composé d'alliages d’aluminium,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38 mm ou de 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deux rainures concentriques et annulaires gravées sur sa surface,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anodisés,</w:t>
                  </w:r>
                </w:p>
              </w:tc>
            </w:tr>
          </w:tbl>
          <w:p>
            <w:pPr>
              <w:pStyle w:val="Paragraph"/>
              <w:rPr>
                <w:noProof/>
                <w:lang w:val="fr-BE"/>
              </w:rPr>
            </w:pPr>
            <w:r>
              <w:rPr>
                <w:noProof/>
                <w:lang w:val="fr-BE"/>
              </w:rPr>
              <w:t>du type utilisé dans les véhicules automobiles équipés d'un moteur à essence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8414 30 81</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Compresseur électrique hermétique ou semi-hermétique à spirale et à vitesse variable, d’une puissance nominale de 0,5 kW ou plus, mais pas plus de 10 kW, d’une cylindrée n’excédant pas 35 cm</w:t>
            </w:r>
            <w:r>
              <w:rPr>
                <w:noProof/>
                <w:vertAlign w:val="superscript"/>
                <w:lang w:val="fr-BE"/>
              </w:rPr>
              <w:t>3</w:t>
            </w:r>
            <w:r>
              <w:rPr>
                <w:noProof/>
                <w:lang w:val="fr-BE"/>
              </w:rPr>
              <w:t>, du type utilisé dans les équipements frigorifiques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8414 30 81</w:t>
            </w:r>
          </w:p>
          <w:p>
            <w:pPr>
              <w:pStyle w:val="Paragraph"/>
              <w:rPr>
                <w:noProof/>
              </w:rPr>
            </w:pPr>
            <w:r>
              <w:rPr>
                <w:noProof/>
              </w:rPr>
              <w:t>ex 8414 80 73</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Compresseurs rotatifs hermétiques pour fluides réfrigérants à base d'hydrocarbures fluorés (HFC):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alimentés par moteur à  courant alternatif monophasé «on-off» ou par moteur à courant continu sans balais (BLDC , BrushLess direct current) à vitesse variable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nominale inférieure ou égale à 1,5 kW </w:t>
                  </w:r>
                </w:p>
              </w:tc>
            </w:tr>
          </w:tbl>
          <w:p>
            <w:pPr>
              <w:pStyle w:val="Paragraph"/>
              <w:rPr>
                <w:noProof/>
                <w:lang w:val="fr-BE"/>
              </w:rPr>
            </w:pPr>
            <w:r>
              <w:rPr>
                <w:noProof/>
                <w:lang w:val="fr-BE"/>
              </w:rPr>
              <w:t>du type de ceux utilisés pour la production de  sèche-linge domestiques  à tambour avec pompe à chaleur</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ex 8414 30 89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Élément de système de climatisation des véhicules, consistant en un compresseur alternatif à arbre ouvert, d’une puissance supérieure à 0,4 kW mais ne dépassant pas 10 kW</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8414 59 25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Ventilateur hélicoïde équipé d'un moteur électrique, d'une puissance n'excédant pas 2 W, utilisé dans la fabrication de produits relevant de la position 8521 ou 8528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8414 80 22</w:t>
            </w:r>
          </w:p>
          <w:p>
            <w:pPr>
              <w:pStyle w:val="Paragraph"/>
              <w:rPr>
                <w:noProof/>
              </w:rPr>
            </w:pPr>
            <w:r>
              <w:rPr>
                <w:noProof/>
              </w:rPr>
              <w:t>ex 8414 80 80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Compresseur d'air à membrane présentant les caractéristiques suivantes:</w:t>
            </w:r>
          </w:p>
          <w:tbl>
            <w:tblPr>
              <w:tblStyle w:val="Listdash"/>
              <w:tblW w:w="0" w:type="auto"/>
              <w:tblLook w:val="0000" w:firstRow="0" w:lastRow="0" w:firstColumn="0" w:lastColumn="0" w:noHBand="0" w:noVBand="0"/>
            </w:tblPr>
            <w:tblGrid>
              <w:gridCol w:w="220"/>
              <w:gridCol w:w="318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flux de 4,5 l/min mais pas plus de 7 l/min,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d'entrée n'excédant pas 8,1 W,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surpression n'excédant pas 400 hPa (0,4 bar)</w:t>
                  </w:r>
                </w:p>
              </w:tc>
            </w:tr>
          </w:tbl>
          <w:p>
            <w:pPr>
              <w:pStyle w:val="Paragraph"/>
              <w:rPr>
                <w:noProof/>
                <w:lang w:val="fr-BE"/>
              </w:rPr>
            </w:pPr>
            <w:r>
              <w:rPr>
                <w:noProof/>
                <w:lang w:val="fr-BE"/>
              </w:rPr>
              <w:t>d'un type utilisé dans la fabrication de sièges de véhicules automobiles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noProof/>
              </w:rPr>
              <w:t>ex 8414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Piston en aluminium, destiné à être incorporé dans un compresseur d’appareil pour le conditionnement de l’air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8414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Système régulateur de pression, destiné à être incorporé dans un compresseur d’appareil pour le conditionnement de l’air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8414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Partie d’entraînement, utilisée pour compresseurs d’air intégrés dans des climatiseurs pour véhicules automobiles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8415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Récepteur/déshydrateur amovible, en aluminium, fabriqué par soudure à l’arc électrique, équipé d'un bloc raccord, comprenant des éléments en polyamide et en céramique: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166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70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capacité interne d'au moins 280 cm³;</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degré d'absorption d'eau d'au moins 17 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pureté interne exprimée en quantité d’impuretés admissible inférieure ou égale à 0,9 mg/dm²;</w:t>
                  </w:r>
                </w:p>
              </w:tc>
            </w:tr>
          </w:tbl>
          <w:p>
            <w:pPr>
              <w:pStyle w:val="Paragraph"/>
              <w:rPr>
                <w:noProof/>
                <w:lang w:val="fr-BE"/>
              </w:rPr>
            </w:pPr>
            <w:r>
              <w:rPr>
                <w:noProof/>
                <w:lang w:val="fr-BE"/>
              </w:rPr>
              <w:t>du type utilisé dans les systèmes de climatisation pour voiture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8415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Bloc d’aluminium muni de connecteurs pliés et extrudés, fabriqué par brasage à la flamme, du type utilisé dans les systèmes de climatisation pour voitures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8415 90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Récepteur/déshydrateur amovible en aluminium, fabriqué par soudure à l’arc électrique, comprenant des éléments en polyamide et en céramique: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143 mm mais pas plus de 292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31 mm mais pas plus de 99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grain n’excédant pas 0,2 mm et d'une épaisseur n’excédant pas 0,06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particule solide n’excédant pas 0,06 mm,</w:t>
                  </w:r>
                </w:p>
              </w:tc>
            </w:tr>
          </w:tbl>
          <w:p>
            <w:pPr>
              <w:pStyle w:val="Paragraph"/>
              <w:rPr>
                <w:noProof/>
                <w:lang w:val="fr-BE"/>
              </w:rPr>
            </w:pPr>
            <w:r>
              <w:rPr>
                <w:noProof/>
                <w:lang w:val="fr-BE"/>
              </w:rPr>
              <w:t>du type utilisé dans les systèmes de climatisation pour voiture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8418 99 10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Evaporateur constitué d’ailettes en aluminium et d’un serpentin en cuivre du type utilisé dans les équipements frigorifiques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8418 99 10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Condenseur formé de deux tubes concentriques en cuivre du type utilisé dans les équipements frigorifiques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8418 99 10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Évaporateur en aluminium, destiné à la fabrication des machines et appareils de climatisation pour les automobiles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8421 21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Système de prétraitement de l’eau comprenant un ou plusieurs des éléments suivants, intégrant ou non des modules de stérilisation et de désinfection de ces éléments:</w:t>
            </w:r>
          </w:p>
          <w:tbl>
            <w:tblPr>
              <w:tblStyle w:val="Listdash"/>
              <w:tblW w:w="0" w:type="auto"/>
              <w:tblLook w:val="0000" w:firstRow="0" w:lastRow="0" w:firstColumn="0" w:lastColumn="0" w:noHBand="0" w:noVBand="0"/>
            </w:tblPr>
            <w:tblGrid>
              <w:gridCol w:w="220"/>
              <w:gridCol w:w="2131"/>
            </w:tblGrid>
            <w:tr>
              <w:tc>
                <w:tcPr>
                  <w:tcW w:w="0" w:type="auto"/>
                </w:tcPr>
                <w:p>
                  <w:pPr>
                    <w:pStyle w:val="Paragraph"/>
                    <w:rPr>
                      <w:noProof/>
                    </w:rPr>
                  </w:pPr>
                  <w:r>
                    <w:rPr>
                      <w:noProof/>
                    </w:rPr>
                    <w:t>—</w:t>
                  </w:r>
                </w:p>
              </w:tc>
              <w:tc>
                <w:tcPr>
                  <w:tcW w:w="0" w:type="auto"/>
                </w:tcPr>
                <w:p>
                  <w:pPr>
                    <w:pStyle w:val="Paragraph"/>
                    <w:rPr>
                      <w:noProof/>
                    </w:rPr>
                  </w:pPr>
                  <w:r>
                    <w:rPr>
                      <w:noProof/>
                    </w:rPr>
                    <w:t>Système d’ultrafiltration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Système de filtration au carbone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Système adoucisseur d’eau</w:t>
                  </w:r>
                </w:p>
              </w:tc>
            </w:tr>
          </w:tbl>
          <w:p>
            <w:pPr>
              <w:pStyle w:val="Paragraph"/>
              <w:rPr>
                <w:noProof/>
                <w:lang w:val="fr-BE"/>
              </w:rPr>
            </w:pPr>
            <w:r>
              <w:rPr>
                <w:noProof/>
                <w:lang w:val="fr-BE"/>
              </w:rPr>
              <w:t>destiné à une utilisation dans un laboratoire biopharmaceutique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8421 99 90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Parties d’appareils pour la purification de l’eau par osmose inverse, se composant d’un faisceau de fibres creuses en matière plastique artificielle et à parois perméables, noyé à une extrémité dans un bloc de matière plastique artificielle et traversant, à l’autre extrémité, un bloc de matière plastique artificielle, le tout étant inséré ou non dans un cylindre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8424 89 70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Lave-phares mécanique pour voiture particulière équipé d'un tuyau télescopique, de buses haute pression et de colliers de montage, utilisé dans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8431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 Essieu moteur avec différentiel, boîte de réduction, couronne d’entraînement et arbre de transmission, destiné à être utilisé dans la fabrication de véhicules du position 8427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8431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Radiateur à âme en aluminium et réservoir en plastique avec structure de support intégrale en acier et corps ouvert à dessin carré à 9 ailettes par pouce, destiné à la fabrication de véhicules relevant de la position 8427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8436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Partie comportant:</w:t>
            </w:r>
          </w:p>
          <w:tbl>
            <w:tblPr>
              <w:tblStyle w:val="Listdash"/>
              <w:tblW w:w="0" w:type="auto"/>
              <w:tblLook w:val="0000" w:firstRow="0" w:lastRow="0" w:firstColumn="0" w:lastColumn="0" w:noHBand="0" w:noVBand="0"/>
            </w:tblPr>
            <w:tblGrid>
              <w:gridCol w:w="220"/>
              <w:gridCol w:w="277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moteur monophasé à courant alternatif,</w:t>
                  </w:r>
                </w:p>
              </w:tc>
            </w:tr>
            <w:tr>
              <w:tc>
                <w:tcPr>
                  <w:tcW w:w="0" w:type="auto"/>
                </w:tcPr>
                <w:p>
                  <w:pPr>
                    <w:pStyle w:val="Paragraph"/>
                    <w:rPr>
                      <w:noProof/>
                    </w:rPr>
                  </w:pPr>
                  <w:r>
                    <w:rPr>
                      <w:noProof/>
                    </w:rPr>
                    <w:t>—</w:t>
                  </w:r>
                </w:p>
              </w:tc>
              <w:tc>
                <w:tcPr>
                  <w:tcW w:w="0" w:type="auto"/>
                </w:tcPr>
                <w:p>
                  <w:pPr>
                    <w:pStyle w:val="Paragraph"/>
                    <w:rPr>
                      <w:noProof/>
                    </w:rPr>
                  </w:pPr>
                  <w:r>
                    <w:rPr>
                      <w:noProof/>
                    </w:rPr>
                    <w:t>un train épicycloïdal,</w:t>
                  </w:r>
                </w:p>
              </w:tc>
            </w:tr>
            <w:tr>
              <w:tc>
                <w:tcPr>
                  <w:tcW w:w="0" w:type="auto"/>
                </w:tcPr>
                <w:p>
                  <w:pPr>
                    <w:pStyle w:val="Paragraph"/>
                    <w:rPr>
                      <w:noProof/>
                    </w:rPr>
                  </w:pPr>
                  <w:r>
                    <w:rPr>
                      <w:noProof/>
                    </w:rPr>
                    <w:t>—</w:t>
                  </w:r>
                </w:p>
              </w:tc>
              <w:tc>
                <w:tcPr>
                  <w:tcW w:w="0" w:type="auto"/>
                </w:tcPr>
                <w:p>
                  <w:pPr>
                    <w:pStyle w:val="Paragraph"/>
                    <w:rPr>
                      <w:noProof/>
                    </w:rPr>
                  </w:pPr>
                  <w:r>
                    <w:rPr>
                      <w:noProof/>
                    </w:rPr>
                    <w:t>une lame coupante</w:t>
                  </w:r>
                </w:p>
              </w:tc>
            </w:tr>
            <w:tr>
              <w:tc>
                <w:tcPr>
                  <w:tcW w:w="0" w:type="auto"/>
                </w:tcPr>
                <w:p>
                  <w:pPr>
                    <w:pStyle w:val="Paragraph"/>
                    <w:rPr>
                      <w:noProof/>
                    </w:rPr>
                  </w:pPr>
                  <w:r>
                    <w:rPr>
                      <w:noProof/>
                    </w:rPr>
                    <w:t>—</w:t>
                  </w:r>
                </w:p>
              </w:tc>
              <w:tc>
                <w:tcPr>
                  <w:tcW w:w="0" w:type="auto"/>
                </w:tcPr>
                <w:p>
                  <w:pPr>
                    <w:pStyle w:val="Paragraph"/>
                    <w:rPr>
                      <w:noProof/>
                    </w:rPr>
                  </w:pPr>
                  <w:r>
                    <w:rPr>
                      <w:noProof/>
                    </w:rPr>
                    <w:t>et contenant ou non:</w:t>
                  </w:r>
                </w:p>
              </w:tc>
            </w:tr>
            <w:tr>
              <w:tc>
                <w:tcPr>
                  <w:tcW w:w="0" w:type="auto"/>
                </w:tcPr>
                <w:p>
                  <w:pPr>
                    <w:pStyle w:val="Paragraph"/>
                    <w:rPr>
                      <w:noProof/>
                    </w:rPr>
                  </w:pPr>
                  <w:r>
                    <w:rPr>
                      <w:noProof/>
                    </w:rPr>
                    <w:t>—</w:t>
                  </w:r>
                </w:p>
              </w:tc>
              <w:tc>
                <w:tcPr>
                  <w:tcW w:w="0" w:type="auto"/>
                </w:tcPr>
                <w:p>
                  <w:pPr>
                    <w:pStyle w:val="Paragraph"/>
                    <w:rPr>
                      <w:noProof/>
                    </w:rPr>
                  </w:pPr>
                  <w:r>
                    <w:rPr>
                      <w:noProof/>
                    </w:rPr>
                    <w:t>un condensateur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partie équipée d'un boulon fileté</w:t>
                  </w:r>
                </w:p>
              </w:tc>
            </w:tr>
          </w:tbl>
          <w:p>
            <w:pPr>
              <w:pStyle w:val="Paragraph"/>
              <w:rPr>
                <w:noProof/>
                <w:lang w:val="fr-BE"/>
              </w:rPr>
            </w:pPr>
            <w:r>
              <w:rPr>
                <w:noProof/>
                <w:lang w:val="fr-BE"/>
              </w:rPr>
              <w:t>destinée à la fabrication de broyeurs de végétaux</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8439 99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Rouleaux aspirants en acier allié, non perforés, moulés par centrifugation, d’une longueur de 3 000 mm ou plus et d’un diamètre extérieur de 550 mm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8467 99 00</w:t>
            </w:r>
          </w:p>
          <w:p>
            <w:pPr>
              <w:pStyle w:val="Paragraph"/>
              <w:rPr>
                <w:noProof/>
              </w:rPr>
            </w:pPr>
            <w:r>
              <w:rPr>
                <w:noProof/>
              </w:rPr>
              <w:t>ex 8536 50 11</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35</w:t>
            </w:r>
          </w:p>
        </w:tc>
        <w:tc>
          <w:tcPr>
            <w:tcW w:w="0" w:type="auto"/>
            <w:vMerge w:val="restart"/>
            <w:tcBorders>
              <w:left w:val="single" w:sz="2" w:space="0" w:color="auto"/>
            </w:tcBorders>
          </w:tcPr>
          <w:p>
            <w:pPr>
              <w:pStyle w:val="Paragraph"/>
              <w:rPr>
                <w:noProof/>
                <w:lang w:val="fr-BE"/>
              </w:rPr>
            </w:pPr>
            <w:r>
              <w:rPr>
                <w:noProof/>
                <w:lang w:val="fr-BE"/>
              </w:rPr>
              <w:t>Interrupteurs mécaniques pour connecter des circuits électriques avec:</w:t>
            </w:r>
          </w:p>
          <w:tbl>
            <w:tblPr>
              <w:tblStyle w:val="Listdash"/>
              <w:tblW w:w="0" w:type="auto"/>
              <w:tblLook w:val="0000" w:firstRow="0" w:lastRow="0" w:firstColumn="0" w:lastColumn="0" w:noHBand="0" w:noVBand="0"/>
            </w:tblPr>
            <w:tblGrid>
              <w:gridCol w:w="220"/>
              <w:gridCol w:w="270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voltage compris entre 14,4 V et 42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ampérage compris entre 10 A et 42 A,</w:t>
                  </w:r>
                </w:p>
              </w:tc>
            </w:tr>
          </w:tbl>
          <w:p>
            <w:pPr>
              <w:pStyle w:val="Paragraph"/>
              <w:rPr>
                <w:noProof/>
                <w:lang w:val="fr-BE"/>
              </w:rPr>
            </w:pPr>
            <w:r>
              <w:rPr>
                <w:noProof/>
                <w:lang w:val="fr-BE"/>
              </w:rPr>
              <w:t>entrant dans la fabrication de machines classées dans la position 8467</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8475 29 00</w:t>
            </w:r>
          </w:p>
          <w:p>
            <w:pPr>
              <w:pStyle w:val="Paragraph"/>
              <w:rPr>
                <w:noProof/>
              </w:rPr>
            </w:pPr>
            <w:r>
              <w:rPr>
                <w:noProof/>
              </w:rPr>
              <w:t>ex 8514 10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Four de fusion pour la production de filaments de verre équipé d'un bassin de fusion/four-filière: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chauffé électriquement,</w:t>
                  </w:r>
                </w:p>
              </w:tc>
            </w:tr>
            <w:tr>
              <w:tc>
                <w:tcPr>
                  <w:tcW w:w="0" w:type="auto"/>
                </w:tcPr>
                <w:p>
                  <w:pPr>
                    <w:pStyle w:val="Paragraph"/>
                    <w:rPr>
                      <w:noProof/>
                    </w:rPr>
                  </w:pPr>
                  <w:r>
                    <w:rPr>
                      <w:noProof/>
                    </w:rPr>
                    <w:t>—</w:t>
                  </w:r>
                </w:p>
              </w:tc>
              <w:tc>
                <w:tcPr>
                  <w:tcW w:w="0" w:type="auto"/>
                </w:tcPr>
                <w:p>
                  <w:pPr>
                    <w:pStyle w:val="Paragraph"/>
                    <w:rPr>
                      <w:noProof/>
                    </w:rPr>
                  </w:pPr>
                  <w:r>
                    <w:rPr>
                      <w:noProof/>
                    </w:rPr>
                    <w:t>avec ouverture,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de nombreuses plaquettes (orifices) en alliage platine-rhodium,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utilisé pour la fusion du mélange vitrifiable et le conditionnement du verre fondu,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utilisé pour l'obtention de fibres continues par étirage</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8477 80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Machines à couler ou à modifier la surface des membranes plastiques de la position 3921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8479 89 97</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Unité mécanique assurant le mouvement de l'arbre à cames, comprenant:</w:t>
            </w:r>
          </w:p>
          <w:tbl>
            <w:tblPr>
              <w:tblStyle w:val="Listdash"/>
              <w:tblW w:w="0" w:type="auto"/>
              <w:tblLook w:val="0000" w:firstRow="0" w:lastRow="0" w:firstColumn="0" w:lastColumn="0" w:noHBand="0" w:noVBand="0"/>
            </w:tblPr>
            <w:tblGrid>
              <w:gridCol w:w="220"/>
              <w:gridCol w:w="4034"/>
            </w:tblGrid>
            <w:tr>
              <w:tc>
                <w:tcPr>
                  <w:tcW w:w="0" w:type="auto"/>
                </w:tcPr>
                <w:p>
                  <w:pPr>
                    <w:pStyle w:val="Paragraph"/>
                    <w:rPr>
                      <w:noProof/>
                    </w:rPr>
                  </w:pPr>
                  <w:r>
                    <w:rPr>
                      <w:noProof/>
                    </w:rPr>
                    <w:t>—</w:t>
                  </w:r>
                </w:p>
              </w:tc>
              <w:tc>
                <w:tcPr>
                  <w:tcW w:w="0" w:type="auto"/>
                </w:tcPr>
                <w:p>
                  <w:pPr>
                    <w:pStyle w:val="Paragraph"/>
                    <w:rPr>
                      <w:noProof/>
                    </w:rPr>
                  </w:pPr>
                  <w:r>
                    <w:rPr>
                      <w:noProof/>
                    </w:rPr>
                    <w:t>8 chambres d’huile,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gamme de phase d'au moins 38° mais n’excédant pas 62°,</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roue dentée en acier et/ou en alliage d'acier,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rotor en acier et/ou en alliage d'acier</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8479 89 97</w:t>
            </w:r>
          </w:p>
          <w:p>
            <w:pPr>
              <w:pStyle w:val="Paragraph"/>
              <w:rPr>
                <w:noProof/>
              </w:rPr>
            </w:pPr>
            <w:r>
              <w:rPr>
                <w:noProof/>
              </w:rPr>
              <w:t>ex 8479 90 20</w:t>
            </w:r>
          </w:p>
          <w:p>
            <w:pPr>
              <w:pStyle w:val="Paragraph"/>
              <w:rPr>
                <w:noProof/>
              </w:rPr>
            </w:pPr>
            <w:r>
              <w:rPr>
                <w:noProof/>
              </w:rPr>
              <w:t>ex 8479 90 70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80</w:t>
            </w:r>
          </w:p>
          <w:p>
            <w:pPr>
              <w:pStyle w:val="Paragraph"/>
              <w:jc w:val="center"/>
              <w:rPr>
                <w:noProof/>
              </w:rPr>
            </w:pPr>
            <w:r>
              <w:rPr>
                <w:noProof/>
              </w:rPr>
              <w:t>80</w:t>
            </w:r>
          </w:p>
        </w:tc>
        <w:tc>
          <w:tcPr>
            <w:tcW w:w="0" w:type="auto"/>
            <w:vMerge w:val="restart"/>
            <w:tcBorders>
              <w:left w:val="single" w:sz="2" w:space="0" w:color="auto"/>
            </w:tcBorders>
          </w:tcPr>
          <w:p>
            <w:pPr>
              <w:pStyle w:val="Paragraph"/>
              <w:rPr>
                <w:noProof/>
                <w:lang w:val="fr-BE"/>
              </w:rPr>
            </w:pPr>
            <w:r>
              <w:rPr>
                <w:noProof/>
                <w:lang w:val="fr-BE"/>
              </w:rPr>
              <w:t>Machines constitutives d’une chaîne de production servant à la fabrication de batteries lithium-ion destinées à équiper des voitures particulières électriques, utilisées pour la réalisation de cette chaîne de production</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0" w:type="auto"/>
          </w:tcPr>
          <w:p>
            <w:pPr>
              <w:pStyle w:val="Paragraph"/>
              <w:rPr>
                <w:noProof/>
              </w:rPr>
            </w:pPr>
            <w:r>
              <w:rPr>
                <w:noProof/>
              </w:rPr>
              <w:t>ex 8479 89 97</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Bioréacteur pour la culture biopharmaceutique de cellules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les surfaces intérieures sont en acier inoxydable austénitique,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une capacité de traitement allant jusqu’à 15 000 litres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combiné ou non avec un système de «nettoyage en cours de processus» et/ou un récipient de culture spécial couplé</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8479 89 97</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Machine destinée à aligner et à fixer avec précision des lentilles à un ensemble caméra, pouvant réaliser l'alignement sur cinq axes, et destinée à les fixer en position au moyen d’un durcisseur époxy à deux composants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8479 89 97</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Machines pour la production d'un composant partiellement assemblé (conducteur anodique et bouchon du pôle négatif) pour la fabrication de piles alcalines AA et/ou AAA</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8479 89 97</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Presse de compression à haute pression pour matériaux durs («Link Press»):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d'une pression de 16 000 tonnes;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plateau d'un diamètre de 1 100 mm (± 1mm);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cylindre principal de 1 400 mm (± 1mm);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une trame de liaison fixe et flottante, un accumulateur hydraulique haute pression à pompes multiples et un système de pression;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dispositif de commande à double bras et des raccords pour les systèmes électriques et de canalisation;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total de 310 tonnes (± 10 tonnes);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créant une pression de 30 000 atmosphères à 1 500 °C, au moyen d'un courant alternatif à basse fréquence (16 000 ampères) </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8479 90 70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lang w:val="fr-BE"/>
              </w:rPr>
            </w:pPr>
            <w:r>
              <w:rPr>
                <w:noProof/>
                <w:lang w:val="fr-BE"/>
              </w:rPr>
              <w:t>Tuyau de carburant pour moteurs à explosion à pistons avec capteur de température du carburant, doté d'au moins deux tuyaux d’entrée et de trois tuyaux de sortie, destiné à être utilisé dans la fabrication de moteurs d’automobiles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8481 10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Régulateur de pression électromagnétique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avec un noyau-plongeur,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étanchéité interne d’au moins 275 mPa,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 d'un connecteur en matière plastique à 2 broches en étain ou en argent</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8481 10 99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Détendeurs dans un coffret en laiton :</w:t>
            </w:r>
          </w:p>
          <w:tbl>
            <w:tblPr>
              <w:tblStyle w:val="Listdash"/>
              <w:tblW w:w="0" w:type="auto"/>
              <w:tblLook w:val="0000" w:firstRow="0" w:lastRow="0" w:firstColumn="0" w:lastColumn="0" w:noHBand="0" w:noVBand="0"/>
            </w:tblPr>
            <w:tblGrid>
              <w:gridCol w:w="220"/>
              <w:gridCol w:w="320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n’excédant pas 18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n’excédant pas 30 mm (± 1 mm),</w:t>
                  </w:r>
                </w:p>
              </w:tc>
            </w:tr>
          </w:tbl>
          <w:p>
            <w:pPr>
              <w:pStyle w:val="Paragraph"/>
              <w:rPr>
                <w:noProof/>
                <w:lang w:val="fr-BE"/>
              </w:rPr>
            </w:pPr>
            <w:r>
              <w:rPr>
                <w:noProof/>
                <w:lang w:val="fr-BE"/>
              </w:rPr>
              <w:t>du type destiné à être incorporé dans les modules d’alimentation en carburant des véhicules à moteur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8481 30 91</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Clapets de non-retour en acier avec:</w:t>
            </w:r>
          </w:p>
          <w:tbl>
            <w:tblPr>
              <w:tblStyle w:val="Listdash"/>
              <w:tblW w:w="0" w:type="auto"/>
              <w:tblLook w:val="0000" w:firstRow="0" w:lastRow="0" w:firstColumn="0" w:lastColumn="0" w:noHBand="0" w:noVBand="0"/>
            </w:tblPr>
            <w:tblGrid>
              <w:gridCol w:w="220"/>
              <w:gridCol w:w="307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pression d’ouverture maximale de 800 kPa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extérieur maximal de 37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8481 80 59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Vanne de régulation d'air, constituée d'un moteur pas à pas et d'un pointeau de vanne, pour la régulation du ralenti dans des moteurs à injection de carburant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8481 80 59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Vanne régulatrice de pression, destinée à être incorporée dans les compresseurs à piston d'appareils pour le conditionnement de l'air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8481 80 59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Vanne de commande de débit bidirectionnelle avec boîtier,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5, mais pas plus de 9, orifices de sortie d’un diamètre égal ou supérieur à 0,110 mm mais n'excédant pas 0,134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débit d'au moins 640 cm3 / minute mais n’excédant pas 805 cm3 / minute,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pression de fonctionnement d'au moins 19 MPa mais n’excédant pas 300 MPa</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8481 80 59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Vanne de commande de débit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fabriquée en acier,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l’orifice de sortie présente un diamètre d’au moins 0,175 mm mais n’excède pas 0,185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l’orifice d’entrée présente un diamètre d’au moins 0,255 mm mais n’excède pas 0,265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revêtue de nitrure de chrome,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rugosité de surface est de 0,4 Rp</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8481 80 59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Vanne électromagnétique de régulation quantitative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 noyau-plongeur,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revêtement en carbone amorphe (DLC),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solénoïde d'une résistance d'au moins 2,6 ohm, mais n’excédant pas 3 ohm,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d’alimentation de 12 V</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8481 80 59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Vanne électromagnétique de régulation quantitative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comportant un solénoïde présentant une résistance d’au moins 0,19 ohm, mais n’excédant pas 0,52 omh, et une inductance d’au moins 0,083 mH, mais n’excédant pas 0,172 mH,</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tension d’alimentation de 24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fonctionnant sur un courant continu d’au moins 15,5 A, mais n’excédant pas 16,5 A</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8481 80 69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Vanne à quatre voies pour réfrigérants,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valve de pilotage solénoïde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corps de vanne en laiton comprenant un tiroir et des connexions en cuivre</w:t>
                  </w:r>
                </w:p>
              </w:tc>
            </w:tr>
          </w:tbl>
          <w:p>
            <w:pPr>
              <w:pStyle w:val="Paragraph"/>
              <w:rPr>
                <w:noProof/>
                <w:lang w:val="fr-BE"/>
              </w:rPr>
            </w:pPr>
            <w:r>
              <w:rPr>
                <w:noProof/>
                <w:lang w:val="fr-BE"/>
              </w:rPr>
              <w:t>d’une pression de service pouvant atteindre 4,5 MPa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w:t>
            </w:r>
            <w:r>
              <w:rPr>
                <w:noProof/>
              </w:rPr>
              <w:t>ex 8481 80 73</w:t>
            </w:r>
          </w:p>
          <w:p>
            <w:pPr>
              <w:pStyle w:val="Paragraph"/>
              <w:rPr>
                <w:noProof/>
              </w:rPr>
            </w:pPr>
            <w:r>
              <w:rPr>
                <w:noProof/>
              </w:rPr>
              <w:t>ex 8481 80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70</w:t>
            </w:r>
          </w:p>
        </w:tc>
        <w:tc>
          <w:tcPr>
            <w:tcW w:w="0" w:type="auto"/>
            <w:vMerge w:val="restart"/>
            <w:tcBorders>
              <w:left w:val="single" w:sz="2" w:space="0" w:color="auto"/>
            </w:tcBorders>
          </w:tcPr>
          <w:p>
            <w:pPr>
              <w:pStyle w:val="Paragraph"/>
              <w:rPr>
                <w:noProof/>
                <w:lang w:val="fr-BE"/>
              </w:rPr>
            </w:pPr>
            <w:r>
              <w:rPr>
                <w:noProof/>
                <w:lang w:val="fr-BE"/>
              </w:rPr>
              <w:t>Soupape de réglage de pression et de débit commandée par électroaimant externe:</w:t>
            </w:r>
          </w:p>
          <w:tbl>
            <w:tblPr>
              <w:tblStyle w:val="Listdash"/>
              <w:tblW w:w="0" w:type="auto"/>
              <w:tblLook w:val="0000" w:firstRow="0" w:lastRow="0" w:firstColumn="0" w:lastColumn="0" w:noHBand="0" w:noVBand="0"/>
            </w:tblPr>
            <w:tblGrid>
              <w:gridCol w:w="220"/>
              <w:gridCol w:w="392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en acier et/ou alliage(s) d'acier,</w:t>
                  </w:r>
                </w:p>
              </w:tc>
            </w:tr>
            <w:tr>
              <w:tc>
                <w:tcPr>
                  <w:tcW w:w="0" w:type="auto"/>
                </w:tcPr>
                <w:p>
                  <w:pPr>
                    <w:pStyle w:val="Paragraph"/>
                    <w:rPr>
                      <w:noProof/>
                    </w:rPr>
                  </w:pPr>
                  <w:r>
                    <w:rPr>
                      <w:noProof/>
                    </w:rPr>
                    <w:t>—</w:t>
                  </w:r>
                </w:p>
              </w:tc>
              <w:tc>
                <w:tcPr>
                  <w:tcW w:w="0" w:type="auto"/>
                </w:tcPr>
                <w:p>
                  <w:pPr>
                    <w:pStyle w:val="Paragraph"/>
                    <w:rPr>
                      <w:noProof/>
                    </w:rPr>
                  </w:pPr>
                  <w:r>
                    <w:rPr>
                      <w:noProof/>
                    </w:rPr>
                    <w:t>sans circuit intégré,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pression de fonctionnement n’excédant pas 1 000 kPa,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débit n’excédant pas 5 l/min,</w:t>
                  </w:r>
                </w:p>
              </w:tc>
            </w:tr>
            <w:tr>
              <w:tc>
                <w:tcPr>
                  <w:tcW w:w="0" w:type="auto"/>
                </w:tcPr>
                <w:p>
                  <w:pPr>
                    <w:pStyle w:val="Paragraph"/>
                    <w:rPr>
                      <w:noProof/>
                    </w:rPr>
                  </w:pPr>
                  <w:r>
                    <w:rPr>
                      <w:noProof/>
                    </w:rPr>
                    <w:t>—</w:t>
                  </w:r>
                </w:p>
              </w:tc>
              <w:tc>
                <w:tcPr>
                  <w:tcW w:w="0" w:type="auto"/>
                </w:tcPr>
                <w:p>
                  <w:pPr>
                    <w:pStyle w:val="Paragraph"/>
                    <w:rPr>
                      <w:noProof/>
                    </w:rPr>
                  </w:pPr>
                  <w:r>
                    <w:rPr>
                      <w:noProof/>
                    </w:rPr>
                    <w:t>sans électro-aimant</w:t>
                  </w:r>
                </w:p>
              </w:tc>
            </w:tr>
          </w:tbl>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ex 8481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Soupape:</w:t>
            </w:r>
          </w:p>
          <w:tbl>
            <w:tblPr>
              <w:tblStyle w:val="Listdash"/>
              <w:tblW w:w="0" w:type="auto"/>
              <w:tblLook w:val="0000" w:firstRow="0" w:lastRow="0" w:firstColumn="0" w:lastColumn="0" w:noHBand="0" w:noVBand="0"/>
            </w:tblPr>
            <w:tblGrid>
              <w:gridCol w:w="220"/>
              <w:gridCol w:w="264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servant à contrôler le débit de carburant,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constituée d'une tige et d'une tête,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percée de 8 trous sur la tête,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 métal et/ou alliage(s) métallique(s)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8482 10 10</w:t>
            </w:r>
          </w:p>
          <w:p>
            <w:pPr>
              <w:pStyle w:val="Paragraph"/>
              <w:rPr>
                <w:noProof/>
              </w:rPr>
            </w:pPr>
            <w:r>
              <w:rPr>
                <w:noProof/>
              </w:rPr>
              <w:t>ex 8482 10 90</w:t>
            </w:r>
          </w:p>
          <w:p>
            <w:pPr>
              <w:pStyle w:val="Paragraph"/>
              <w:rPr>
                <w:noProof/>
              </w:rPr>
            </w:pPr>
            <w:r>
              <w:rPr>
                <w:noProof/>
              </w:rPr>
              <w:t>ex 8482 50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Roulements à billes et à cylindres: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 diamètre extérieur de 28 mm ou plus, mais n'excédant pas 140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supportant une contrainte thermique supérieure à 150 °C à une pression de fonctionnement n'excédant pas 14 MPa,</w:t>
                  </w:r>
                </w:p>
              </w:tc>
            </w:tr>
          </w:tbl>
          <w:p>
            <w:pPr>
              <w:pStyle w:val="Paragraph"/>
              <w:rPr>
                <w:noProof/>
                <w:lang w:val="fr-BE"/>
              </w:rPr>
            </w:pPr>
            <w:r>
              <w:rPr>
                <w:noProof/>
                <w:lang w:val="fr-BE"/>
              </w:rPr>
              <w:t>pour la fabrication de machines destinées à la protection et au contrôle des réacteurs nucléaires dans les centrales nucléaires</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8482 10 10</w:t>
            </w:r>
          </w:p>
          <w:p>
            <w:pPr>
              <w:pStyle w:val="Paragraph"/>
              <w:rPr>
                <w:noProof/>
              </w:rPr>
            </w:pPr>
            <w:r>
              <w:rPr>
                <w:noProof/>
              </w:rPr>
              <w:t>ex 8482 10 90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rPr>
            </w:pPr>
            <w:r>
              <w:rPr>
                <w:noProof/>
              </w:rPr>
              <w:t>Roulement à billes:</w:t>
            </w:r>
          </w:p>
          <w:tbl>
            <w:tblPr>
              <w:tblStyle w:val="Listdash"/>
              <w:tblW w:w="0" w:type="auto"/>
              <w:tblLook w:val="0000" w:firstRow="0" w:lastRow="0" w:firstColumn="0" w:lastColumn="0" w:noHBand="0" w:noVBand="0"/>
            </w:tblPr>
            <w:tblGrid>
              <w:gridCol w:w="220"/>
              <w:gridCol w:w="316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intérieur de 3 mm ou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extérieur n’excédant pas 100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n'excédant pas 40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pare-poussière,</w:t>
                  </w:r>
                </w:p>
              </w:tc>
            </w:tr>
          </w:tbl>
          <w:p>
            <w:pPr>
              <w:pStyle w:val="Paragraph"/>
              <w:rPr>
                <w:noProof/>
                <w:lang w:val="fr-BE"/>
              </w:rPr>
            </w:pPr>
            <w:r>
              <w:rPr>
                <w:noProof/>
                <w:lang w:val="fr-BE"/>
              </w:rPr>
              <w:t>destiné à être utilisé dans la fabrication de systèmes de direction à entraînement par courroie de moteurs, de systèmes de direction électriques, d'appareils de direction ou de vis d'assemblage à billes pour appareils de direction</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8483 30 32</w:t>
            </w:r>
          </w:p>
          <w:p>
            <w:pPr>
              <w:pStyle w:val="Paragraph"/>
              <w:rPr>
                <w:noProof/>
              </w:rPr>
            </w:pPr>
            <w:r>
              <w:rPr>
                <w:noProof/>
              </w:rPr>
              <w:t>ex 8483 30 38</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60</w:t>
            </w:r>
          </w:p>
        </w:tc>
        <w:tc>
          <w:tcPr>
            <w:tcW w:w="0" w:type="auto"/>
            <w:vMerge w:val="restart"/>
            <w:tcBorders>
              <w:left w:val="single" w:sz="2" w:space="0" w:color="auto"/>
            </w:tcBorders>
          </w:tcPr>
          <w:p>
            <w:pPr>
              <w:pStyle w:val="Paragraph"/>
              <w:rPr>
                <w:noProof/>
                <w:lang w:val="fr-BE"/>
              </w:rPr>
            </w:pPr>
            <w:r>
              <w:rPr>
                <w:noProof/>
                <w:lang w:val="fr-BE"/>
              </w:rPr>
              <w:t>Corps de palier du type utilisé dans les turbocompresseurs: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en fonte grise (fonderie de précision) conforme à la norme DIN EN 1561, ou en fonte ductile (fonderie de précision) conforme à la norme DIN 1560</w:t>
                  </w:r>
                </w:p>
              </w:tc>
            </w:tr>
            <w:tr>
              <w:tc>
                <w:tcPr>
                  <w:tcW w:w="0" w:type="auto"/>
                </w:tcPr>
                <w:p>
                  <w:pPr>
                    <w:pStyle w:val="Paragraph"/>
                    <w:rPr>
                      <w:noProof/>
                    </w:rPr>
                  </w:pPr>
                  <w:r>
                    <w:rPr>
                      <w:noProof/>
                    </w:rPr>
                    <w:t>—</w:t>
                  </w:r>
                </w:p>
              </w:tc>
              <w:tc>
                <w:tcPr>
                  <w:tcW w:w="0" w:type="auto"/>
                </w:tcPr>
                <w:p>
                  <w:pPr>
                    <w:pStyle w:val="Paragraph"/>
                    <w:rPr>
                      <w:noProof/>
                    </w:rPr>
                  </w:pPr>
                  <w:r>
                    <w:rPr>
                      <w:noProof/>
                    </w:rPr>
                    <w:t>doté de chambres d’huile,</w:t>
                  </w:r>
                </w:p>
              </w:tc>
            </w:tr>
            <w:tr>
              <w:tc>
                <w:tcPr>
                  <w:tcW w:w="0" w:type="auto"/>
                </w:tcPr>
                <w:p>
                  <w:pPr>
                    <w:pStyle w:val="Paragraph"/>
                    <w:rPr>
                      <w:noProof/>
                    </w:rPr>
                  </w:pPr>
                  <w:r>
                    <w:rPr>
                      <w:noProof/>
                    </w:rPr>
                    <w:t>—</w:t>
                  </w:r>
                </w:p>
              </w:tc>
              <w:tc>
                <w:tcPr>
                  <w:tcW w:w="0" w:type="auto"/>
                </w:tcPr>
                <w:p>
                  <w:pPr>
                    <w:pStyle w:val="Paragraph"/>
                    <w:rPr>
                      <w:noProof/>
                    </w:rPr>
                  </w:pPr>
                  <w:r>
                    <w:rPr>
                      <w:noProof/>
                    </w:rPr>
                    <w:t>sans roulements,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50 mm ou plus, mais n'excédant pas  250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de 40 mm ou plus, mais n'excédant pas 150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chambres d’eau et raccordements</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noProof/>
              </w:rPr>
              <w:t>ex 8483 40 29</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Train d’engrenage de type roue cycloïdale, aux caractéristiques suivantes:</w:t>
            </w:r>
          </w:p>
          <w:tbl>
            <w:tblPr>
              <w:tblStyle w:val="Listdash"/>
              <w:tblW w:w="0" w:type="auto"/>
              <w:tblLook w:val="0000" w:firstRow="0" w:lastRow="0" w:firstColumn="0" w:lastColumn="0" w:noHBand="0" w:noVBand="0"/>
            </w:tblPr>
            <w:tblGrid>
              <w:gridCol w:w="220"/>
              <w:gridCol w:w="428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couple nominal de 50 Nm ou plus mais n’excédant pas 9 000 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rapports standards de 1:50 ou plus mais n’excédant pas 1:475,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rattrapage n’excédant pas un arc minute,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rendement supérieur à 80 %</w:t>
                  </w:r>
                </w:p>
              </w:tc>
            </w:tr>
          </w:tbl>
          <w:p>
            <w:pPr>
              <w:pStyle w:val="Paragraph"/>
              <w:rPr>
                <w:noProof/>
                <w:lang w:val="fr-BE"/>
              </w:rPr>
            </w:pPr>
            <w:r>
              <w:rPr>
                <w:noProof/>
                <w:lang w:val="fr-BE"/>
              </w:rPr>
              <w:t>d’un type utilisé pour les bras de robots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8483 40 29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Train épicycloïdal, d’un type utilisé dans les outils manuels électroportatifs, avec pour caractéristiques: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couple nominal de 25 Nm ou plus mais n’excédant pas 70 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rapports standards de 1:12,7 ou plus mais n’excédant pas 1:64,3.</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8483 40 51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Boîte de vitesses, dotée d’un différentiel avec essieu, destinée à être utilisée dans la fabrication de tondeuses à gazon autopropulsées équipées d’un siège de la sous-position 8433 11 51</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8483 40 59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Variateur de vitesse hydrostatique, doté d’une pompe hydraulique et d’un différentiel avec essieu, destiné à être utilisé dans la fabrication de tondeuses à gazon autopropulsées équipées d’un siège de la sous-position 8433 11 51</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8483 40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Transmission hydrostatique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mesurant (sans les arbres) pas plus de 154 mm x 115 mm x 108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n'excédant pas 3,3 kg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vitesse de rotation maximale de l'arbre d'entrée de 2 700 tr / min mais pas plus de 3 200 tr/min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 couple de l'arbre de sortie n'excède pas 10,4 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vitesse de rotation de l'arbre de sortie n'excède pas 930 tr / min à une vitesse d'entrée de 2 800 tr / 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ayant une plage de températures de fonctionnement allant de -5 °C ou plus à +40 °C au maximum</w:t>
                  </w:r>
                </w:p>
              </w:tc>
            </w:tr>
          </w:tbl>
          <w:p>
            <w:pPr>
              <w:pStyle w:val="Paragraph"/>
              <w:rPr>
                <w:noProof/>
                <w:lang w:val="fr-BE"/>
              </w:rPr>
            </w:pPr>
            <w:r>
              <w:rPr>
                <w:noProof/>
                <w:lang w:val="fr-BE"/>
              </w:rPr>
              <w:t>destinée à être utilisée dans la fabrication de tondeuses à gazon à main de la position 8433 11 90</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8483 40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Transmission hydrostatique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réduction de 20,63:1 ou plus mais pas plus de 22,68:1,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vitesse d'entrée d'au moins 1 800 tr / min en charge et pas plus de 3 000 tr / min à vide,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couple de sortie continu de 142 Nm ou plus mais pas plus de 156 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couple de sortie intermittent de 264 Nm ou plus mais pas plus de 291 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de l'arbre de l'essieu de 19,02 mm ou plus mais pas plus de 19,06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ventilateur turbine ou avec une poulie avec ventilateur turbine intégré</w:t>
                  </w:r>
                </w:p>
              </w:tc>
            </w:tr>
          </w:tbl>
          <w:p>
            <w:pPr>
              <w:pStyle w:val="Paragraph"/>
              <w:rPr>
                <w:noProof/>
                <w:lang w:val="fr-BE"/>
              </w:rPr>
            </w:pPr>
            <w:r>
              <w:rPr>
                <w:noProof/>
                <w:lang w:val="fr-BE"/>
              </w:rPr>
              <w:t>destinée à être utilisée dans la fabrication de tondeuses à gazon autopropulsées équipées d'un siège de la sous-position 8433 11 51 et de tracteurs de la sous-position 8701 91 90, dont la fonction principale est celle d'une tondeuse à gazon</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8483 40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Boîte de transmission comportant</w:t>
            </w:r>
          </w:p>
          <w:tbl>
            <w:tblPr>
              <w:tblStyle w:val="Listdash"/>
              <w:tblW w:w="0" w:type="auto"/>
              <w:tblLook w:val="0000" w:firstRow="0" w:lastRow="0" w:firstColumn="0" w:lastColumn="0" w:noHBand="0" w:noVBand="0"/>
            </w:tblPr>
            <w:tblGrid>
              <w:gridCol w:w="220"/>
              <w:gridCol w:w="2660"/>
            </w:tblGrid>
            <w:tr>
              <w:tc>
                <w:tcPr>
                  <w:tcW w:w="0" w:type="auto"/>
                </w:tcPr>
                <w:p>
                  <w:pPr>
                    <w:pStyle w:val="Paragraph"/>
                    <w:rPr>
                      <w:noProof/>
                    </w:rPr>
                  </w:pPr>
                  <w:r>
                    <w:rPr>
                      <w:noProof/>
                    </w:rPr>
                    <w:t>—</w:t>
                  </w:r>
                </w:p>
              </w:tc>
              <w:tc>
                <w:tcPr>
                  <w:tcW w:w="0" w:type="auto"/>
                </w:tcPr>
                <w:p>
                  <w:pPr>
                    <w:pStyle w:val="Paragraph"/>
                    <w:rPr>
                      <w:noProof/>
                    </w:rPr>
                  </w:pPr>
                  <w:r>
                    <w:rPr>
                      <w:noProof/>
                    </w:rPr>
                    <w:t>au maximum 3 rapports,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système de décélération automatique,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système de marche arrière,</w:t>
                  </w:r>
                </w:p>
              </w:tc>
            </w:tr>
          </w:tbl>
          <w:p>
            <w:pPr>
              <w:pStyle w:val="Paragraph"/>
              <w:rPr>
                <w:noProof/>
                <w:lang w:val="fr-BE"/>
              </w:rPr>
            </w:pPr>
            <w:r>
              <w:rPr>
                <w:noProof/>
                <w:lang w:val="fr-BE"/>
              </w:rPr>
              <w:t>destinée à la construction de produits relevant de la position 8427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8484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Joint d’arbre mécanique destiné à être incorporé dans les compresseurs rotatifs utilisé dans la fabrication d’appareils pour le conditionnement de l’air de véhicules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8501 10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Moteur synchrone pour lave-vaisselle équipé d'un mécanisme de contrôle du débit de l'eau, ayant: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axe non compris, de 24 mm(+/- 0,3),</w:t>
                  </w:r>
                </w:p>
              </w:tc>
            </w:tr>
            <w:tr>
              <w:tc>
                <w:tcPr>
                  <w:tcW w:w="0" w:type="auto"/>
                </w:tcPr>
                <w:p>
                  <w:pPr>
                    <w:pStyle w:val="Paragraph"/>
                    <w:rPr>
                      <w:noProof/>
                    </w:rPr>
                  </w:pPr>
                  <w:r>
                    <w:rPr>
                      <w:noProof/>
                    </w:rPr>
                    <w:t>—</w:t>
                  </w:r>
                </w:p>
              </w:tc>
              <w:tc>
                <w:tcPr>
                  <w:tcW w:w="0" w:type="auto"/>
                </w:tcPr>
                <w:p>
                  <w:pPr>
                    <w:pStyle w:val="Paragraph"/>
                    <w:rPr>
                      <w:noProof/>
                    </w:rPr>
                  </w:pPr>
                  <w:r>
                    <w:rPr>
                      <w:noProof/>
                    </w:rPr>
                    <w:t>un diamètre de 49,3 mm (+/- 0,3),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nominale de 220 V ou plus mais n’excédant pas 240 V en courant alternatif,</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fréquence nominale de 50 Hz ou plus mais n’excédant pas 60 Hz,</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d'entrée n’excédant pas 4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vitesse de rotation de 4 tr/min ou plus mais n’excédant pas 4,8 tr/min,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couple de sortie non inférieur à 10 kgf/cm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56</w:t>
            </w:r>
          </w:p>
        </w:tc>
        <w:tc>
          <w:tcPr>
            <w:tcW w:w="0" w:type="auto"/>
            <w:tcBorders>
              <w:left w:val="single" w:sz="2" w:space="0" w:color="auto"/>
            </w:tcBorders>
          </w:tcPr>
          <w:p>
            <w:pPr>
              <w:pStyle w:val="Paragraph"/>
              <w:rPr>
                <w:noProof/>
              </w:rPr>
            </w:pPr>
            <w:r>
              <w:rPr>
                <w:noProof/>
              </w:rPr>
              <w:t>Moteur à courant continu:</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régime de rotor n’excédant pas 7 000 tours/minute (à vide),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nominale de 12 V (± 4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maximale de 13,78 W (à 3,09 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plage de température spécifiée s'étend de - 40°C à + 160°C,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 pignon de raccordement,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d'une interface de fixation mécanique,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de 2 broches de connexions électriques,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 couple maximum est de 100 Nm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57</w:t>
            </w:r>
          </w:p>
        </w:tc>
        <w:tc>
          <w:tcPr>
            <w:tcW w:w="0" w:type="auto"/>
            <w:tcBorders>
              <w:left w:val="single" w:sz="2" w:space="0" w:color="auto"/>
            </w:tcBorders>
          </w:tcPr>
          <w:p>
            <w:pPr>
              <w:pStyle w:val="Paragraph"/>
              <w:rPr>
                <w:noProof/>
              </w:rPr>
            </w:pPr>
            <w:r>
              <w:rPr>
                <w:noProof/>
              </w:rPr>
              <w:t>Moteur à courant continu:</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régime de rotor n'excédant pas 6 500 tours/mn à vide,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nominale de 12,0 V (+/- 0,1);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plage de température spécifiée s'étend au moins de - 40 °C à + 165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ou non d'un pignon de raccordement,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fiche moteur</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58</w:t>
            </w:r>
          </w:p>
        </w:tc>
        <w:tc>
          <w:tcPr>
            <w:tcW w:w="0" w:type="auto"/>
            <w:tcBorders>
              <w:left w:val="single" w:sz="2" w:space="0" w:color="auto"/>
            </w:tcBorders>
          </w:tcPr>
          <w:p>
            <w:pPr>
              <w:pStyle w:val="Paragraph"/>
              <w:rPr>
                <w:noProof/>
              </w:rPr>
            </w:pPr>
            <w:r>
              <w:rPr>
                <w:noProof/>
              </w:rPr>
              <w:t>Moteur à courant continu:</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régime de rotor n’excédant pas 6 500 tours/minute (à vide),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nominale de 12 V (± 4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maximale inférieure à 20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plage de température spécifiée s'étend de - 40°C à + 160°C,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d'une vis sans fin,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d'une interface de fixation mécanique,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de 2 broches de connexions électriques,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 couple maximum est de 75 Nm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Moteur à courant continu:</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vitesse de rotation comprise entre 3 500 tours/mn et 5 000 tours/mn en charge et jusqu'à 6 500 tours/mn à vide,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d’alimentation comprise entre 100 volts et 240 volts en courant continu </w:t>
                  </w:r>
                </w:p>
              </w:tc>
            </w:tr>
          </w:tbl>
          <w:p>
            <w:pPr>
              <w:pStyle w:val="Paragraph"/>
              <w:rPr>
                <w:noProof/>
                <w:lang w:val="fr-BE"/>
              </w:rPr>
            </w:pPr>
            <w:r>
              <w:rPr>
                <w:noProof/>
                <w:lang w:val="fr-BE"/>
              </w:rPr>
              <w:t>destiné à la fabrication de friteuse électrique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Vérin électrique, utilisé dans les turbochargeurs: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moteur à courant continu,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système de vitesse intégré,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générant une force de traction d'au moins 200 N à une température ambiante minimale élevée à 140°C,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générant une force de traction d'au moins 250 N dans chacune de ses positions,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ayant un battement effectif de 15 mm mais n’excédant pas 25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interface de diagnostic embarqué</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8501 10 99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Moteur pas à pas à courant continu,</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à angle de pas de 7,5 ° (± 0,5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à enroulement à deux phases,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tension nominale est égale ou supérieure à 9 V, sans toutefois dépasser 16,0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plage de température spécifiée s'étend au moins de - 40 °C à + 105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éventuellement avec pignon de raccordement,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fiche moteur</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Moteur à courant continu à excitation permanente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à enroulement à plusieurs phases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extérieur supérieur ou égal à 28 mm mais n'excédant pas 35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vitesse de rotation nominale n’excédant pas 12 000 tr/min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d'alimentation supérieure ou égale à 8V mais n'excédant pas 27 V</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8501 10 99</w:t>
            </w:r>
          </w:p>
        </w:tc>
        <w:tc>
          <w:tcPr>
            <w:tcW w:w="0" w:type="auto"/>
            <w:tcBorders>
              <w:left w:val="single" w:sz="2" w:space="0" w:color="auto"/>
            </w:tcBorders>
          </w:tcPr>
          <w:p>
            <w:pPr>
              <w:pStyle w:val="Paragraph"/>
              <w:jc w:val="center"/>
              <w:rPr>
                <w:noProof/>
              </w:rPr>
            </w:pPr>
            <w:r>
              <w:rPr>
                <w:noProof/>
              </w:rPr>
              <w:t>79</w:t>
            </w:r>
          </w:p>
        </w:tc>
        <w:tc>
          <w:tcPr>
            <w:tcW w:w="0" w:type="auto"/>
            <w:tcBorders>
              <w:left w:val="single" w:sz="2" w:space="0" w:color="auto"/>
            </w:tcBorders>
          </w:tcPr>
          <w:p>
            <w:pPr>
              <w:pStyle w:val="Paragraph"/>
              <w:rPr>
                <w:noProof/>
                <w:lang w:val="fr-BE"/>
              </w:rPr>
            </w:pPr>
            <w:r>
              <w:rPr>
                <w:noProof/>
                <w:lang w:val="fr-BE"/>
              </w:rPr>
              <w:t>Moteur à courant continu avec balais et rotor interne avec un enroulement à trois phases, équipé ou non d’un entraînement à vis sans fin, dont la plage de température spécifiée s’étend au moins de – 20 °C à + 70 °C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8501 10 99</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Moteur pas à pas à courant continu,</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à angle de pas de 7,5° (±0,5°),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 moment de renversement est, à 25°C, supérieur ou égal à 25mNm,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fréquence d’excitation supérieure ou égale à 1 500 impulsions par seconde (ips),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à enroulement à deux phases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tension nominale est 10,5V ou plus, mais n’éxcedant pas 16,0V</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lang w:val="fr-BE"/>
              </w:rPr>
            </w:pPr>
            <w:r>
              <w:rPr>
                <w:noProof/>
                <w:lang w:val="fr-BE"/>
              </w:rPr>
              <w:t>Moteur à courant continu sans balai, d’un diamètre extérieur ne dépassant pas 29 mm, d’une vitesse nominale de 1 500 (±15 %) à 6 800 (±15 %) tpm et d’une tension d’alimentation de 2 V ou 8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8501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Moteur universel CA/CC:</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nominale de 1,2 kW,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une tension d'alimentation de 230 V et</w:t>
                  </w:r>
                </w:p>
              </w:tc>
            </w:tr>
            <w:tr>
              <w:tc>
                <w:tcPr>
                  <w:tcW w:w="0" w:type="auto"/>
                </w:tcPr>
                <w:p>
                  <w:pPr>
                    <w:pStyle w:val="Paragraph"/>
                    <w:rPr>
                      <w:noProof/>
                    </w:rPr>
                  </w:pPr>
                  <w:r>
                    <w:rPr>
                      <w:noProof/>
                    </w:rPr>
                    <w:t>—</w:t>
                  </w:r>
                </w:p>
              </w:tc>
              <w:tc>
                <w:tcPr>
                  <w:tcW w:w="0" w:type="auto"/>
                </w:tcPr>
                <w:p>
                  <w:pPr>
                    <w:pStyle w:val="Paragraph"/>
                    <w:rPr>
                      <w:noProof/>
                    </w:rPr>
                  </w:pPr>
                  <w:r>
                    <w:rPr>
                      <w:noProof/>
                    </w:rPr>
                    <w:t>muni d'un frein moteur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assemblé à un réducteur avec arbre de sortie, contenu dans un boîtier en plastique</w:t>
                  </w:r>
                </w:p>
              </w:tc>
            </w:tr>
          </w:tbl>
          <w:p>
            <w:pPr>
              <w:pStyle w:val="Paragraph"/>
              <w:rPr>
                <w:noProof/>
                <w:lang w:val="fr-BE"/>
              </w:rPr>
            </w:pPr>
            <w:r>
              <w:rPr>
                <w:noProof/>
                <w:lang w:val="fr-BE"/>
              </w:rPr>
              <w:t>destiné à être utilisé comme entraînement électrique des lames de tondeuses à gazon</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Moteur à courant continu, sans balais, avec un enroulement à trois phases, d’un diamètre extérieur de à 85 mm ou plus, mais n’excédant pas 115 mm, d’un couple nominal égal à 2,23 Nm (± 1,0 Nm), d’une puissance d’entraînement calculée à 1 550 t/m (± 350 t/m) de 120 W ou plus, mais n’excédant pas 520 W, fonctionnant à une tension d’alimentation de 12 V, équipé d’un circuit électronique muni de capteurs à effet Hall, destiné à être utilisé avec un dispositif de direction à assistance électrique (moteur pour servodirection électrique)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8501 31 00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fr-BE"/>
              </w:rPr>
            </w:pPr>
            <w:r>
              <w:rPr>
                <w:noProof/>
                <w:lang w:val="fr-BE"/>
              </w:rPr>
              <w:t>Moteur à courant continu à excitation permanente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enroulement à plusieurs phases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extérieur de 30 mm ou plus mais n’excédant pas 80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vitesse de rotation nominale n’excédant pas 15 000 tr/min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de 45 W ou plus mais n’excédant pas 300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d’alimentation de 9 V ou plus mais n’excédant pas 50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disque menant</w:t>
                  </w:r>
                </w:p>
              </w:tc>
            </w:tr>
            <w:tr>
              <w:tc>
                <w:tcPr>
                  <w:tcW w:w="0" w:type="auto"/>
                </w:tcPr>
                <w:p>
                  <w:pPr>
                    <w:pStyle w:val="Paragraph"/>
                    <w:rPr>
                      <w:noProof/>
                    </w:rPr>
                  </w:pPr>
                  <w:r>
                    <w:rPr>
                      <w:noProof/>
                    </w:rPr>
                    <w:t>—</w:t>
                  </w:r>
                </w:p>
              </w:tc>
              <w:tc>
                <w:tcPr>
                  <w:tcW w:w="0" w:type="auto"/>
                </w:tcPr>
                <w:p>
                  <w:pPr>
                    <w:pStyle w:val="Paragraph"/>
                    <w:rPr>
                      <w:noProof/>
                    </w:rPr>
                  </w:pPr>
                  <w:r>
                    <w:rPr>
                      <w:noProof/>
                    </w:rPr>
                    <w:t>avec ou sans carter</w:t>
                  </w:r>
                </w:p>
              </w:tc>
            </w:tr>
            <w:tr>
              <w:tc>
                <w:tcPr>
                  <w:tcW w:w="0" w:type="auto"/>
                </w:tcPr>
                <w:p>
                  <w:pPr>
                    <w:pStyle w:val="Paragraph"/>
                    <w:rPr>
                      <w:noProof/>
                    </w:rPr>
                  </w:pPr>
                  <w:r>
                    <w:rPr>
                      <w:noProof/>
                    </w:rPr>
                    <w:t>—</w:t>
                  </w:r>
                </w:p>
              </w:tc>
              <w:tc>
                <w:tcPr>
                  <w:tcW w:w="0" w:type="auto"/>
                </w:tcPr>
                <w:p>
                  <w:pPr>
                    <w:pStyle w:val="Paragraph"/>
                    <w:rPr>
                      <w:noProof/>
                    </w:rPr>
                  </w:pPr>
                  <w:r>
                    <w:rPr>
                      <w:noProof/>
                    </w:rPr>
                    <w:t>avec ou sans ventilateur</w:t>
                  </w:r>
                </w:p>
              </w:tc>
            </w:tr>
            <w:tr>
              <w:tc>
                <w:tcPr>
                  <w:tcW w:w="0" w:type="auto"/>
                </w:tcPr>
                <w:p>
                  <w:pPr>
                    <w:pStyle w:val="Paragraph"/>
                    <w:rPr>
                      <w:noProof/>
                    </w:rPr>
                  </w:pPr>
                  <w:r>
                    <w:rPr>
                      <w:noProof/>
                    </w:rPr>
                    <w:t>—</w:t>
                  </w:r>
                </w:p>
              </w:tc>
              <w:tc>
                <w:tcPr>
                  <w:tcW w:w="0" w:type="auto"/>
                </w:tcPr>
                <w:p>
                  <w:pPr>
                    <w:pStyle w:val="Paragraph"/>
                    <w:rPr>
                      <w:noProof/>
                    </w:rPr>
                  </w:pPr>
                  <w:r>
                    <w:rPr>
                      <w:noProof/>
                    </w:rPr>
                    <w:t>avec ou sans bouchon</w:t>
                  </w:r>
                </w:p>
              </w:tc>
            </w:tr>
            <w:tr>
              <w:tc>
                <w:tcPr>
                  <w:tcW w:w="0" w:type="auto"/>
                </w:tcPr>
                <w:p>
                  <w:pPr>
                    <w:pStyle w:val="Paragraph"/>
                    <w:rPr>
                      <w:noProof/>
                    </w:rPr>
                  </w:pPr>
                  <w:r>
                    <w:rPr>
                      <w:noProof/>
                    </w:rPr>
                    <w:t>—</w:t>
                  </w:r>
                </w:p>
              </w:tc>
              <w:tc>
                <w:tcPr>
                  <w:tcW w:w="0" w:type="auto"/>
                </w:tcPr>
                <w:p>
                  <w:pPr>
                    <w:pStyle w:val="Paragraph"/>
                    <w:rPr>
                      <w:noProof/>
                    </w:rPr>
                  </w:pPr>
                  <w:r>
                    <w:rPr>
                      <w:noProof/>
                    </w:rPr>
                    <w:t>avec ou sans planétaire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encodeur de vitesse et de rotation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capteur de vitesse ou de rotation du type résolveur ou capteur à effet Hall</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8501 31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Moteur à courant continu, sans balai,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diamètre extérieur égal ou supérieur à 90 mm, mais n’excédant pas 110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vitesse de rotation n’excédant pas 3 680 tr/min,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développant, une puissance égale ou supérieure à 600 W sans excéder 740 W à 2 300 tr/min, à 80 °C,</w:t>
                  </w:r>
                </w:p>
              </w:tc>
            </w:tr>
            <w:tr>
              <w:tc>
                <w:tcPr>
                  <w:tcW w:w="0" w:type="auto"/>
                </w:tcPr>
                <w:p>
                  <w:pPr>
                    <w:pStyle w:val="Paragraph"/>
                    <w:rPr>
                      <w:noProof/>
                    </w:rPr>
                  </w:pPr>
                  <w:r>
                    <w:rPr>
                      <w:noProof/>
                    </w:rPr>
                    <w:t>—</w:t>
                  </w:r>
                </w:p>
              </w:tc>
              <w:tc>
                <w:tcPr>
                  <w:tcW w:w="0" w:type="auto"/>
                </w:tcPr>
                <w:p>
                  <w:pPr>
                    <w:pStyle w:val="Paragraph"/>
                    <w:rPr>
                      <w:noProof/>
                    </w:rPr>
                  </w:pPr>
                  <w:r>
                    <w:rPr>
                      <w:noProof/>
                    </w:rPr>
                    <w:t>tension d’alimentation de 12 V,</w:t>
                  </w:r>
                </w:p>
              </w:tc>
            </w:tr>
            <w:tr>
              <w:tc>
                <w:tcPr>
                  <w:tcW w:w="0" w:type="auto"/>
                </w:tcPr>
                <w:p>
                  <w:pPr>
                    <w:pStyle w:val="Paragraph"/>
                    <w:rPr>
                      <w:noProof/>
                    </w:rPr>
                  </w:pPr>
                  <w:r>
                    <w:rPr>
                      <w:noProof/>
                    </w:rPr>
                    <w:t>—</w:t>
                  </w:r>
                </w:p>
              </w:tc>
              <w:tc>
                <w:tcPr>
                  <w:tcW w:w="0" w:type="auto"/>
                </w:tcPr>
                <w:p>
                  <w:pPr>
                    <w:pStyle w:val="Paragraph"/>
                    <w:rPr>
                      <w:noProof/>
                    </w:rPr>
                  </w:pPr>
                  <w:r>
                    <w:rPr>
                      <w:noProof/>
                    </w:rPr>
                    <w:t>couple n'excédant pas 5,67 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 capteur de couple magnétique,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relais électronique de mise à la terre,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destiné à être utilisé avec un module de servocommande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Moteurs à courant continu sans balai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extérieur de 80 mm ou plus, mais n'excédant pas 200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tension d'alimentation de 9 V ou plus, mais n'excédant pas 16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développant à 20 °C une puissance minimale comprise entre 300 et 750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développant à 20 °C un couple compris entre 2,00 et 7,00 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atteignant à 20 °C une vitesse nominale comprise entre 600 et 3 100 tr/min,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équipés ou non de capteurs de position angulaire du rotor de type résolveur ou à effet Hall,</w:t>
                  </w:r>
                </w:p>
              </w:tc>
            </w:tr>
          </w:tbl>
          <w:p>
            <w:pPr>
              <w:pStyle w:val="Paragraph"/>
              <w:rPr>
                <w:noProof/>
                <w:lang w:val="fr-BE"/>
              </w:rPr>
            </w:pPr>
            <w:r>
              <w:rPr>
                <w:noProof/>
                <w:lang w:val="fr-BE"/>
              </w:rPr>
              <w:t>du type utilisé dans les colonnes de direction destinées aux voitures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8501 31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Moteur à courant continu avec commutateur avec pour caractéristiques: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extérieur de 27,5 mm ou plus, mais ne dépassant pas 42,5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vitesse de rotation de 11 000 tr/min ou plus, mais ne dépassant pas 23 200 tr/min,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d’alimentation nominale de 3,6 V ou plus, mais ne dépassant pas 230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de sortie ne dépassant pas 529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consommation à vide ne dépassant pas 3,1 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efficacité maximale de 57 % ou plus</w:t>
                  </w:r>
                </w:p>
              </w:tc>
            </w:tr>
          </w:tbl>
          <w:p>
            <w:pPr>
              <w:pStyle w:val="Paragraph"/>
              <w:rPr>
                <w:noProof/>
                <w:lang w:val="fr-BE"/>
              </w:rPr>
            </w:pPr>
            <w:r>
              <w:rPr>
                <w:noProof/>
                <w:lang w:val="fr-BE"/>
              </w:rPr>
              <w:t>utilisé dans les outils manuels électroportatifs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rStyle w:val="FootnoteReference"/>
                <w:noProof/>
              </w:rPr>
              <w:t>*</w:t>
            </w:r>
            <w:r>
              <w:rPr>
                <w:noProof/>
              </w:rPr>
              <w:t>ex 8501 31 00</w:t>
            </w:r>
          </w:p>
          <w:p>
            <w:pPr>
              <w:pStyle w:val="Paragraph"/>
              <w:rPr>
                <w:noProof/>
              </w:rPr>
            </w:pPr>
            <w:r>
              <w:rPr>
                <w:noProof/>
              </w:rPr>
              <w:t>ex 8501 32 00</w:t>
            </w:r>
          </w:p>
        </w:tc>
        <w:tc>
          <w:tcPr>
            <w:tcW w:w="0" w:type="auto"/>
            <w:tcBorders>
              <w:left w:val="single" w:sz="2" w:space="0" w:color="auto"/>
              <w:bottom w:val="nil"/>
            </w:tcBorders>
          </w:tcPr>
          <w:p>
            <w:pPr>
              <w:pStyle w:val="Paragraph"/>
              <w:jc w:val="center"/>
              <w:rPr>
                <w:noProof/>
              </w:rPr>
            </w:pPr>
            <w:r>
              <w:rPr>
                <w:noProof/>
              </w:rPr>
              <w:t>71</w:t>
            </w:r>
          </w:p>
          <w:p>
            <w:pPr>
              <w:pStyle w:val="Paragraph"/>
              <w:jc w:val="center"/>
              <w:rPr>
                <w:noProof/>
              </w:rPr>
            </w:pPr>
            <w:r>
              <w:rPr>
                <w:noProof/>
              </w:rPr>
              <w:t>77</w:t>
            </w:r>
          </w:p>
        </w:tc>
        <w:tc>
          <w:tcPr>
            <w:tcW w:w="0" w:type="auto"/>
            <w:vMerge w:val="restart"/>
            <w:tcBorders>
              <w:left w:val="single" w:sz="2" w:space="0" w:color="auto"/>
            </w:tcBorders>
          </w:tcPr>
          <w:p>
            <w:pPr>
              <w:pStyle w:val="Paragraph"/>
              <w:rPr>
                <w:noProof/>
                <w:lang w:val="fr-BE"/>
              </w:rPr>
            </w:pPr>
            <w:r>
              <w:rPr>
                <w:noProof/>
                <w:lang w:val="fr-BE"/>
              </w:rPr>
              <w:t>Moteur à courant continu, convenant à l'automobile, sans balais, à excitation permanente,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régime spécifié de maximum 4 100 tr/min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minimale de 400 W mais n'excédant pas 1,3 kW (à 12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de bride de 90 mm ou plus mais n'excédant pas 150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mesurée du début de l'arbre à son extrémité extérieure, n'excédant pas 210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du carter, mesurée de la bride à son extrémité extérieure, n'excédant pas 160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carter en aluminium, moulé sous pression ou en tôle d'acier, comportant au maximum deux éléments (carter de base comprenant les composants électriques et bride avec au minimum 2 et au maximum 11 points de vissage), avec ou sans raccordement d'étanchéité (rainure avec joint torique et graisse de protection)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stator à dent unique en forme de T avec enroulement concentré sur bobine unique, avec une topologie 9/6 ou 12/8</w:t>
                  </w:r>
                </w:p>
              </w:tc>
            </w:tr>
            <w:tr>
              <w:tc>
                <w:tcPr>
                  <w:tcW w:w="0" w:type="auto"/>
                </w:tcPr>
                <w:p>
                  <w:pPr>
                    <w:pStyle w:val="Paragraph"/>
                    <w:rPr>
                      <w:noProof/>
                    </w:rPr>
                  </w:pPr>
                  <w:r>
                    <w:rPr>
                      <w:noProof/>
                    </w:rPr>
                    <w:t>—</w:t>
                  </w:r>
                </w:p>
              </w:tc>
              <w:tc>
                <w:tcPr>
                  <w:tcW w:w="0" w:type="auto"/>
                </w:tcPr>
                <w:p>
                  <w:pPr>
                    <w:pStyle w:val="Paragraph"/>
                    <w:rPr>
                      <w:noProof/>
                    </w:rPr>
                  </w:pPr>
                  <w:r>
                    <w:rPr>
                      <w:noProof/>
                    </w:rPr>
                    <w:t>des aimants superficiels</w:t>
                  </w:r>
                </w:p>
              </w:tc>
            </w:tr>
          </w:tbl>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8501 31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Groupe moteur à courant continu sans balais comprenant le moteur et la transmission,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commande électronique fonctionnant au moyen de capteurs de position à effet Hall,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tension d'entrée de 9 V, mais pas plus de 16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diamètre extérieur du moteur de 70 mm, mais pas plus de 80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puissance de sortie du moteur de 350 W, mais pas plus de 550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couple de sortie maximal de 50 Nm, mais pas plus de 52 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vitesse maximale de rotation de sortie de 280 tr/min, mais pas plus de 300 tr/min,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cannelures mâles coaxiales de sortie d'un diamètre extérieur de 20 mm (+/- 1 mm), avec 17 dents d'une longueur minimale de 25 mm (+/- 1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distance entre les bases des cannelures de 119 mm (+/- 1 mm)</w:t>
                  </w:r>
                </w:p>
              </w:tc>
            </w:tr>
          </w:tbl>
          <w:p>
            <w:pPr>
              <w:pStyle w:val="Paragraph"/>
              <w:rPr>
                <w:noProof/>
                <w:lang w:val="fr-BE"/>
              </w:rPr>
            </w:pPr>
            <w:r>
              <w:rPr>
                <w:noProof/>
                <w:lang w:val="fr-BE"/>
              </w:rPr>
              <w:t>destiné à la fabrication de véhicules tout terrain ou utilitaires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8501 32 00</w:t>
            </w:r>
          </w:p>
          <w:p>
            <w:pPr>
              <w:pStyle w:val="Paragraph"/>
              <w:rPr>
                <w:noProof/>
              </w:rPr>
            </w:pPr>
            <w:r>
              <w:rPr>
                <w:noProof/>
              </w:rPr>
              <w:t>ex 8501 33 00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15</w:t>
            </w:r>
          </w:p>
        </w:tc>
        <w:tc>
          <w:tcPr>
            <w:tcW w:w="0" w:type="auto"/>
            <w:vMerge w:val="restart"/>
            <w:tcBorders>
              <w:left w:val="single" w:sz="2" w:space="0" w:color="auto"/>
            </w:tcBorders>
          </w:tcPr>
          <w:p>
            <w:pPr>
              <w:pStyle w:val="Paragraph"/>
              <w:rPr>
                <w:noProof/>
              </w:rPr>
            </w:pPr>
            <w:r>
              <w:rPr>
                <w:noProof/>
              </w:rPr>
              <w:t>Moteur à traction: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couple de 200 Nm ou plus, mais n'excédant pas 300 Nm,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totale de 50 kW ou plus, mais n'excédant pas 100 kW,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vitesse nominale de 12 500 tours/minute</w:t>
                  </w:r>
                </w:p>
              </w:tc>
            </w:tr>
          </w:tbl>
          <w:p>
            <w:pPr>
              <w:pStyle w:val="Paragraph"/>
              <w:rPr>
                <w:noProof/>
                <w:lang w:val="fr-BE"/>
              </w:rPr>
            </w:pPr>
            <w:r>
              <w:rPr>
                <w:noProof/>
                <w:lang w:val="fr-BE"/>
              </w:rPr>
              <w:t>destiné à la fabrication de véhicules électriques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8501 33 00</w:t>
            </w:r>
          </w:p>
          <w:p>
            <w:pPr>
              <w:pStyle w:val="Paragraph"/>
              <w:rPr>
                <w:noProof/>
              </w:rPr>
            </w:pPr>
            <w:r>
              <w:rPr>
                <w:noProof/>
              </w:rPr>
              <w:t>ex 8501 40 80</w:t>
            </w:r>
          </w:p>
          <w:p>
            <w:pPr>
              <w:pStyle w:val="Paragraph"/>
              <w:rPr>
                <w:noProof/>
              </w:rPr>
            </w:pPr>
            <w:r>
              <w:rPr>
                <w:noProof/>
              </w:rPr>
              <w:t>ex 8501 53 50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Entraînement électrique pour véhicules à moteur, d’une puissance n’excédant pas 315 kW,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moteur à courant alternatif ou à courant continu avec ou sans transmission,</w:t>
                  </w:r>
                </w:p>
              </w:tc>
            </w:tr>
            <w:tr>
              <w:tc>
                <w:tcPr>
                  <w:tcW w:w="0" w:type="auto"/>
                </w:tcPr>
                <w:p>
                  <w:pPr>
                    <w:pStyle w:val="Paragraph"/>
                    <w:rPr>
                      <w:noProof/>
                    </w:rPr>
                  </w:pPr>
                  <w:r>
                    <w:rPr>
                      <w:noProof/>
                    </w:rPr>
                    <w:t>—</w:t>
                  </w:r>
                </w:p>
              </w:tc>
              <w:tc>
                <w:tcPr>
                  <w:tcW w:w="0" w:type="auto"/>
                </w:tcPr>
                <w:p>
                  <w:pPr>
                    <w:pStyle w:val="Paragraph"/>
                    <w:rPr>
                      <w:noProof/>
                    </w:rPr>
                  </w:pPr>
                  <w:r>
                    <w:rPr>
                      <w:noProof/>
                    </w:rPr>
                    <w:t>une électronique de puissance</w:t>
                  </w:r>
                </w:p>
              </w:tc>
            </w:tr>
          </w:tbl>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8501 51 00</w:t>
            </w:r>
          </w:p>
          <w:p>
            <w:pPr>
              <w:pStyle w:val="Paragraph"/>
              <w:rPr>
                <w:noProof/>
              </w:rPr>
            </w:pPr>
            <w:r>
              <w:rPr>
                <w:noProof/>
              </w:rPr>
              <w:t>ex 8501 52 20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BE"/>
              </w:rPr>
            </w:pPr>
            <w:r>
              <w:rPr>
                <w:noProof/>
                <w:lang w:val="fr-BE"/>
              </w:rPr>
              <w:t>Servomoteur synchrone AC avec résolveur et frein pour une vitesse n’excédant pas 6 000 rpm, doté: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de 340 W ou plus mais ne dépassant pas 7,4 kW,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bride dont les dimensions n’excèdent pas 180 mm × 180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la bride à l’extrémité du résolveur n’excédant pas 271 mm</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8501 61 20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Module de pile à combustible, générateur de courant alternatif d’une puissance de 7,5 kVA ou moins, comportant: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générateur d'hydrogène (dispositif de désulfuration, de reformage et de purification)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bloc de pile à combustible PEM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onduleur (Inverter)</w:t>
                  </w:r>
                </w:p>
              </w:tc>
            </w:tr>
          </w:tbl>
          <w:p>
            <w:pPr>
              <w:pStyle w:val="Paragraph"/>
              <w:rPr>
                <w:noProof/>
                <w:lang w:val="fr-BE"/>
              </w:rPr>
            </w:pPr>
            <w:r>
              <w:rPr>
                <w:noProof/>
                <w:lang w:val="fr-BE"/>
              </w:rPr>
              <w:t>utilisé en tant qu'élément d'un appareil de chauffage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8501 62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Système avec piles à combustible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comprenant au moins des piles à combustible à acide phosphorique (type: PAFC)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un boîtier avec une gestion de l'eau intégrée et un traitement des gaz</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destiné à la fourniture d'énergie fixe permanente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w:t>
            </w:r>
            <w:r>
              <w:rPr>
                <w:noProof/>
              </w:rPr>
              <w:t>ex 8503 00 91</w:t>
            </w:r>
          </w:p>
          <w:p>
            <w:pPr>
              <w:pStyle w:val="Paragraph"/>
              <w:rPr>
                <w:noProof/>
              </w:rPr>
            </w:pPr>
            <w:r>
              <w:rPr>
                <w:noProof/>
              </w:rPr>
              <w:t>ex 8503 00 99</w:t>
            </w:r>
          </w:p>
        </w:tc>
        <w:tc>
          <w:tcPr>
            <w:tcW w:w="0" w:type="auto"/>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32</w:t>
            </w:r>
          </w:p>
        </w:tc>
        <w:tc>
          <w:tcPr>
            <w:tcW w:w="0" w:type="auto"/>
            <w:vMerge w:val="restart"/>
            <w:tcBorders>
              <w:left w:val="single" w:sz="2" w:space="0" w:color="auto"/>
            </w:tcBorders>
          </w:tcPr>
          <w:p>
            <w:pPr>
              <w:pStyle w:val="Paragraph"/>
              <w:rPr>
                <w:noProof/>
                <w:lang w:val="fr-BE"/>
              </w:rPr>
            </w:pPr>
            <w:r>
              <w:rPr>
                <w:noProof/>
                <w:lang w:val="fr-BE"/>
              </w:rPr>
              <w:t>Rotor, muni à l'intérieur d'un ou de deux anneaux magnétiques (fermés ou ouverts) incorporés ou non dans un anneau en acier</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rStyle w:val="FootnoteReference"/>
                <w:noProof/>
              </w:rPr>
              <w:t>*</w:t>
            </w:r>
            <w:r>
              <w:rPr>
                <w:noProof/>
              </w:rPr>
              <w:t>ex 8503 00 99</w:t>
            </w:r>
          </w:p>
        </w:tc>
        <w:tc>
          <w:tcPr>
            <w:tcW w:w="0" w:type="auto"/>
            <w:tcBorders>
              <w:left w:val="single" w:sz="2" w:space="0" w:color="auto"/>
            </w:tcBorders>
          </w:tcPr>
          <w:p>
            <w:pPr>
              <w:pStyle w:val="Paragraph"/>
              <w:jc w:val="center"/>
              <w:rPr>
                <w:noProof/>
              </w:rPr>
            </w:pPr>
            <w:r>
              <w:rPr>
                <w:noProof/>
              </w:rPr>
              <w:t>31</w:t>
            </w:r>
          </w:p>
        </w:tc>
        <w:tc>
          <w:tcPr>
            <w:tcW w:w="0" w:type="auto"/>
            <w:tcBorders>
              <w:left w:val="single" w:sz="2" w:space="0" w:color="auto"/>
            </w:tcBorders>
          </w:tcPr>
          <w:p>
            <w:pPr>
              <w:pStyle w:val="Paragraph"/>
              <w:rPr>
                <w:noProof/>
                <w:lang w:val="fr-BE"/>
              </w:rPr>
            </w:pPr>
            <w:r>
              <w:rPr>
                <w:noProof/>
                <w:lang w:val="fr-BE"/>
              </w:rPr>
              <w:t>Collecteur estampé d’un moteur électrique, ayant un diamètre extérieur n’excédant pas 16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Stator pour moteur sans balai à servodirection électrique assistée avec une tolérance d’ovalisation de 50 </w:t>
            </w:r>
            <w:r>
              <w:rPr>
                <w:noProof/>
              </w:rPr>
              <w:t>μ</w:t>
            </w:r>
            <w:r>
              <w:rPr>
                <w:noProof/>
                <w:lang w:val="fr-BE"/>
              </w:rPr>
              <w:t>m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lang w:val="fr-BE"/>
              </w:rPr>
            </w:pPr>
            <w:r>
              <w:rPr>
                <w:noProof/>
                <w:lang w:val="fr-BE"/>
              </w:rPr>
              <w:t>Rotor pour moteur sans balai à servodirection électrique assistée avec une tolérance d’ovalisation de 50 </w:t>
            </w:r>
            <w:r>
              <w:rPr>
                <w:noProof/>
              </w:rPr>
              <w:t>μ</w:t>
            </w:r>
            <w:r>
              <w:rPr>
                <w:noProof/>
                <w:lang w:val="fr-BE"/>
              </w:rPr>
              <w:t>m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Résolveur transmetteur pour moteur sans balais de direction assistée électrique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8503 00 99</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fr-BE"/>
              </w:rPr>
            </w:pPr>
            <w:r>
              <w:rPr>
                <w:noProof/>
                <w:lang w:val="fr-BE"/>
              </w:rPr>
              <w:t>Rotor pour moteur électrique, le corps cylindrique du rotor étant constitué de ferrite agglomérée et de matière plastique et l'arbre de métal, présentant les dimensions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diamètre du corps du rotor: 17 mm ou plus mais pas plus de 37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longueur du corps du rotor: 12 mm ou plus mais pas plus de 36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longueur de l'arbre: 52 mm ou plus mais pas plus de 82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Membranes pour piles à combustible, en rouleaux ou en feuilles, d'une largeur de 150 cm ou moins, du type utilisé exclusivement pour la fabrication de piles à combustible de la position 8501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8503 00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Cache pour moteur de système de direction à entraînement par courroie électronique, en acier galvanisé, d'une épaisseur inférieure ou égale à 2,5 mm (± 0,25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8504 31 80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Transformateur électrique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capacité de 192 ou 216 Watts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dimensions n'excédant pas 27,1 x 26,6 x 18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plage de température de fonctionnement de - 40 °C ou plus mais n’excédant pas + 125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 ou 4 enroulements en cuivre à couplage inductif</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9 broches de connexion dans la partie inférieure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8504 31 80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Transformateur électrique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une capacité de 432 Watts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dimensions n'excédant pas 24 x 21 x 19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plage de température de fonctionnement de - 20 °C ou plus mais ne dépassant pas + 85 °C</w:t>
                  </w:r>
                </w:p>
              </w:tc>
            </w:tr>
            <w:tr>
              <w:tc>
                <w:tcPr>
                  <w:tcW w:w="0" w:type="auto"/>
                </w:tcPr>
                <w:p>
                  <w:pPr>
                    <w:pStyle w:val="Paragraph"/>
                    <w:rPr>
                      <w:noProof/>
                    </w:rPr>
                  </w:pPr>
                  <w:r>
                    <w:rPr>
                      <w:noProof/>
                    </w:rPr>
                    <w:t>—</w:t>
                  </w:r>
                </w:p>
              </w:tc>
              <w:tc>
                <w:tcPr>
                  <w:tcW w:w="0" w:type="auto"/>
                </w:tcPr>
                <w:p>
                  <w:pPr>
                    <w:pStyle w:val="Paragraph"/>
                    <w:rPr>
                      <w:noProof/>
                    </w:rPr>
                  </w:pPr>
                  <w:r>
                    <w:rPr>
                      <w:noProof/>
                    </w:rPr>
                    <w:t>deux enroulements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5 broches de connexion dans la partie inférieure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8504 31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Transformateurs de commutation, d’une capacité de puissance ne dépassant pas 1 kVA, destinés à la fabrication des convertisseurs statiques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8504 31 80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Transformateur électrique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une capacité de 433 Watts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dimensions n'excédant pas 37,3 x 38,2 x 28,5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plage de température de fonctionnement de - 40 °C ou plus mais n’excédant pas + 125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4 enroulements en cuivre à couplage inductif</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13 broches de connexion dans la partie inférieure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8504 31 80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Transformateurs électriques</w:t>
            </w:r>
          </w:p>
          <w:tbl>
            <w:tblPr>
              <w:tblStyle w:val="Listdash"/>
              <w:tblW w:w="0" w:type="auto"/>
              <w:tblLook w:val="0000" w:firstRow="0" w:lastRow="0" w:firstColumn="0" w:lastColumn="0" w:noHBand="0" w:noVBand="0"/>
            </w:tblPr>
            <w:tblGrid>
              <w:gridCol w:w="220"/>
              <w:gridCol w:w="288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inférieure ou égale à 1 kVA</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sans prises ni câbles</w:t>
                  </w:r>
                </w:p>
              </w:tc>
            </w:tr>
          </w:tbl>
          <w:p>
            <w:pPr>
              <w:pStyle w:val="Paragraph"/>
              <w:rPr>
                <w:noProof/>
                <w:lang w:val="fr-BE"/>
              </w:rPr>
            </w:pPr>
            <w:r>
              <w:rPr>
                <w:noProof/>
                <w:lang w:val="fr-BE"/>
              </w:rPr>
              <w:t>destinés à être utilisés dans les décodeurs et les téléviseurs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w:t>
            </w:r>
            <w:r>
              <w:rPr>
                <w:noProof/>
              </w:rPr>
              <w:t>ex 8504 31 80</w:t>
            </w:r>
          </w:p>
          <w:p>
            <w:pPr>
              <w:pStyle w:val="Paragraph"/>
              <w:rPr>
                <w:noProof/>
              </w:rPr>
            </w:pPr>
            <w:r>
              <w:rPr>
                <w:noProof/>
              </w:rPr>
              <w:t>ex 8504 50 95</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15</w:t>
            </w:r>
          </w:p>
        </w:tc>
        <w:tc>
          <w:tcPr>
            <w:tcW w:w="0" w:type="auto"/>
            <w:vMerge w:val="restart"/>
            <w:tcBorders>
              <w:left w:val="single" w:sz="2" w:space="0" w:color="auto"/>
            </w:tcBorders>
          </w:tcPr>
          <w:p>
            <w:pPr>
              <w:pStyle w:val="Paragraph"/>
              <w:rPr>
                <w:noProof/>
                <w:lang w:val="fr-BE"/>
              </w:rPr>
            </w:pPr>
            <w:r>
              <w:rPr>
                <w:noProof/>
                <w:lang w:val="fr-BE"/>
              </w:rPr>
              <w:t>Transformateur électrique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une capacité de 0,2 Watts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dimensions n'excédant pas 15 x 15,5 x 14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plage de température de fonctionnement de - 10 °C ou plus mais n’excédant pas + 125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 enroulements en cuivre à couplage inductif</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5 broches de connexion dans la partie inférieure</w:t>
                  </w:r>
                </w:p>
              </w:tc>
            </w:tr>
            <w:tr>
              <w:tc>
                <w:tcPr>
                  <w:tcW w:w="0" w:type="auto"/>
                </w:tcPr>
                <w:p>
                  <w:pPr>
                    <w:pStyle w:val="Paragraph"/>
                    <w:rPr>
                      <w:noProof/>
                    </w:rPr>
                  </w:pPr>
                  <w:r>
                    <w:rPr>
                      <w:noProof/>
                    </w:rPr>
                    <w:t>—</w:t>
                  </w:r>
                </w:p>
              </w:tc>
              <w:tc>
                <w:tcPr>
                  <w:tcW w:w="0" w:type="auto"/>
                </w:tcPr>
                <w:p>
                  <w:pPr>
                    <w:pStyle w:val="Paragraph"/>
                    <w:rPr>
                      <w:noProof/>
                    </w:rPr>
                  </w:pPr>
                  <w:r>
                    <w:rPr>
                      <w:noProof/>
                    </w:rPr>
                    <w:t>un blindage en cuivre</w:t>
                  </w:r>
                </w:p>
              </w:tc>
            </w:tr>
          </w:tbl>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8504 31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Transformateurs pour la fabrication d'équipements et de blocs électroniques ainsi que de sources lumineuses à diodes électroluminescentes (DEL) destinés au secteur de l'éclairage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8504 40 82</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Circuit imprimé pourvu d’un redresseur de pont ainsi que d’autres composants actifs et passifs et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deux douilles de sortie;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deux douilles d’entrée pouvant être branchées et utilisées en même temps;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mode de fonctionnement réglable entre clair et sombre;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d’entrée de 40 V (+ 25 % -15 %) ou de 42 V (+ 25 % -15 %) en mode clair et une tension d’entrée de 30 V (± 4 V) en mode sombre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d’entrée de 230 V (+ 20 % -15 %) en mode clair et une tension d’entrée de 160 V (± 15 %) en mode sombre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d’entrée de 120 V (+ 15 % -35 %) ou de 42 V (+ 25 % -15 %) en mode clair et une tension d’entrée de 60 V (± 20 %) en mode sombre;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courant d’entrée qui atteint 80 % de sa valeur nominale dans les 20 ms;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fréquence d’entrée de 45 Hz ou plus mais n’excédant pas 65 Hz pour 42 V et 230 V et allant de 45 Hz à 70 Hz pour 120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pointe maximale du courant transitoire ne dépassant pas 250 % du courant transitoire;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pointe du courant transitoire ne durant pas plus de 100 ms;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sous-oscillation du courant transitoire n’étant pas inférieure à 50 % du courant d’entrée;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sous-oscillation du courant transitoire ne durant pas plus de 20 ms;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courant de sortie pouvant être préréglé;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courant de sortie qui atteint 90 % de sa valeur nominale préréglée dans les 50 ms;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courant de sortie qui atteint la valeur zéro dans les 30 ms après la coupure du courant d’entrée;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statut d’erreur défini en cas de charge excessive ou absente (fonction fin de vie)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8504 40 82</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Redresseur électrique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d'entrée (courant alternatif) de 100-240 V à une fréquence de 50-60 Hz,</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deux tensions de sortie (courant continu) de 9 V ou plus mais pas plus de 12 V et de 396 V ou plus mais pas plus de 420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câbles de sortie sans connecteurs,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un boîtier en matières plastiques mesurant 110 mm (±0,5 mm) x 60 mm (±0,5 mm) x 38 mm (±1 mm)</w:t>
                  </w:r>
                </w:p>
              </w:tc>
            </w:tr>
          </w:tbl>
          <w:p>
            <w:pPr>
              <w:pStyle w:val="Paragraph"/>
              <w:rPr>
                <w:noProof/>
                <w:lang w:val="fr-BE"/>
              </w:rPr>
            </w:pPr>
            <w:r>
              <w:rPr>
                <w:noProof/>
                <w:lang w:val="fr-BE"/>
              </w:rPr>
              <w:t>destiné à être utilisé dans la fabrication d'appareils à IPL («lumière intense pulsée»)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8504 40 88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Onduleur convertissant le courant continu en courant alternatif, destiné à être utilisé dans la fabrication de véhicules électriques pour la commande des moteurs de traction</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Module d'alimentation à semi-conducteur (appelé «Smart Power Module») destiné à convertir une tension d'entrée alternative monophasée en tension AV bi- ou triphasée, utilisée pour alimenter les équipements électroniques CA polyphasés à vitesse variable, dans un boîtier doté d'un ou de plusieurs circuits intégrés, d'IGBT, de diodes et de thermistors, ayant une tension de sortie de 600 VAC ou 650 VAC, et un courant nominal supérieur ou égal à 4 A, mais n'excédant pas 30 A</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Convertisseur de courant continu en courant continu</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sans boîtier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boîtier muni de broches de connexion, de tiges de connexion, de connecteurs à vis, de branchements non protégés, d’éléments de connexion permettant le montage sur un circuit imprimé par brasage ou par tout autre procédé, ou d’autres connexions de câblage nécessitant une transformation ultérieure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8504 40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Convertisseur statique comprenant un circuit de commutation de puissance avec transistors bipolaires à grille isolée (IGBTs), enserré dans un boîtier, destiné à la fabrication de fours à micro-ondes de la sous-position 8516 50 00</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8504 40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Modules de puissance à semi-conducteurs: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comprenant des transistors de puissance,</w:t>
                  </w:r>
                </w:p>
              </w:tc>
            </w:tr>
            <w:tr>
              <w:tc>
                <w:tcPr>
                  <w:tcW w:w="0" w:type="auto"/>
                </w:tcPr>
                <w:p>
                  <w:pPr>
                    <w:pStyle w:val="Paragraph"/>
                    <w:rPr>
                      <w:noProof/>
                    </w:rPr>
                  </w:pPr>
                  <w:r>
                    <w:rPr>
                      <w:noProof/>
                    </w:rPr>
                    <w:t>—</w:t>
                  </w:r>
                </w:p>
              </w:tc>
              <w:tc>
                <w:tcPr>
                  <w:tcW w:w="0" w:type="auto"/>
                </w:tcPr>
                <w:p>
                  <w:pPr>
                    <w:pStyle w:val="Paragraph"/>
                    <w:rPr>
                      <w:noProof/>
                    </w:rPr>
                  </w:pPr>
                  <w:r>
                    <w:rPr>
                      <w:noProof/>
                    </w:rPr>
                    <w:t>contenant des circuits intégrés,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ou non des diodes et contenant ou non des thermistors,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tension de fonctionnement de 600V au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dotés de trois sorties électriques au maximum munies chacune de deux interrupteurs [MOSFET (transistor à effet de champ à oxydes métalliques) ou IGBT (transistor bipolaire à grille isolée)] et d’unités internes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affichant un courant nominal (valeur quadratique moyenne) n’excédant pas 15,7A</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8504 40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Dispositif de commande pour robots industriels, composé: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une à six sorties moteur triphasées de maximum 3 x 32 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alimentation principale de 220 V CA ou plus, mais n'excédant pas 480 V CA, ou de 280 V CC ou plus, mais n'excédant pas 800 V CC,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alimentation logique de 24 V CC,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interface de communication EtherCat,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mesurant 150 x 140 x 120 mm ou plus, mais pas plus de 335 x 430 x 179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8504 40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Module permettant de transformer le courant alternatif en courant continu et le courant continu en courant continu,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nominale n’excédant pas 100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à l’entrée de 80 V ou plus, mais n’excédant pas 305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fréquence d’entrée agréée de 47 Hz ou plus, mais n’excédant pas 440 Hz,</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ou plusieurs sorties à tension constante,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plage de températures de fonctionnement allant de -40 °C à +85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broches pour montage sur circuit imprimé</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8504 40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Convertisseur de puissance incluant:</w:t>
            </w:r>
          </w:p>
          <w:tbl>
            <w:tblPr>
              <w:tblStyle w:val="Listdash"/>
              <w:tblW w:w="0" w:type="auto"/>
              <w:tblLook w:val="0000" w:firstRow="0" w:lastRow="0" w:firstColumn="0" w:lastColumn="0" w:noHBand="0" w:noVBand="0"/>
            </w:tblPr>
            <w:tblGrid>
              <w:gridCol w:w="220"/>
              <w:gridCol w:w="3174"/>
            </w:tblGrid>
            <w:tr>
              <w:tc>
                <w:tcPr>
                  <w:tcW w:w="0" w:type="auto"/>
                </w:tcPr>
                <w:p>
                  <w:pPr>
                    <w:pStyle w:val="Paragraph"/>
                    <w:rPr>
                      <w:noProof/>
                    </w:rPr>
                  </w:pPr>
                  <w:r>
                    <w:rPr>
                      <w:noProof/>
                    </w:rPr>
                    <w:t>—</w:t>
                  </w:r>
                </w:p>
              </w:tc>
              <w:tc>
                <w:tcPr>
                  <w:tcW w:w="0" w:type="auto"/>
                </w:tcPr>
                <w:p>
                  <w:pPr>
                    <w:pStyle w:val="Paragraph"/>
                    <w:rPr>
                      <w:noProof/>
                    </w:rPr>
                  </w:pPr>
                  <w:r>
                    <w:rPr>
                      <w:noProof/>
                    </w:rPr>
                    <w:t>un convertisseur continu-continu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chargeur d’une capacité n’excédant pas 7 kW</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des fonctions de commutation</w:t>
                  </w:r>
                </w:p>
              </w:tc>
            </w:tr>
          </w:tbl>
          <w:p>
            <w:pPr>
              <w:pStyle w:val="Paragraph"/>
              <w:rPr>
                <w:noProof/>
                <w:lang w:val="fr-BE"/>
              </w:rPr>
            </w:pPr>
            <w:r>
              <w:rPr>
                <w:noProof/>
                <w:lang w:val="fr-BE"/>
              </w:rPr>
              <w:t>destiné à la fabrication de véhicules électriques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8504 50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Bobine de réactance comportant au moins un enroulement et ayant une inductance n’excédant pas 62 mH</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8504 50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Bobine d’arrêt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une inductance de 4,7 μH (± 20 %),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c.c. n’excédant pas 0,1 Ohm,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d’isolement de 100 MOhms ou davantage à 500 V (c.c.),</w:t>
                  </w:r>
                </w:p>
              </w:tc>
            </w:tr>
          </w:tbl>
          <w:p>
            <w:pPr>
              <w:pStyle w:val="Paragraph"/>
              <w:rPr>
                <w:noProof/>
                <w:lang w:val="fr-BE"/>
              </w:rPr>
            </w:pPr>
            <w:r>
              <w:rPr>
                <w:noProof/>
                <w:lang w:val="fr-BE"/>
              </w:rPr>
              <w:t>utilisée dans la fabrication de cartes d’alimentation de modules LCD et LED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8504 50 95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Bobine solénoïde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consommation électrique inférieure ou égale à 6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d'isolement supérieure à 100 M ohms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trou central mesurant au minimum 11,4 mm et au maximum 11,8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8504 50 95</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Bobines de réactance avec un ou plusieurs bobinages, ayant chacune une inductance n’excédant pas 350 mH, destinées à être utilisées dans la fabrication de dispositifs de régulation électronique, de commandes électroniques et de sources lumineuses à diodes électroluminescentes (DEL) pour le secteur de l'éclairage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8504 50 95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Bobine solénoïde ayant: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nominale supérieure à 10 W mais n’excédant pas 15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d’isolement de 100 M ohms ou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c.c. n’excédant pas 34,8 ohms (± 10 %) à 20°C,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courant nominal n’excédant pas 1,22 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nominale n'excédant pas 25 V</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8504 50 95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Bobine de réactance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à un ou plusieurs enroulements, d’une inductance par enroulement n’excédant pas 62 mH, reliée à un ou plusieurs éléments porteurs,</w:t>
                  </w:r>
                </w:p>
              </w:tc>
            </w:tr>
            <w:tr>
              <w:tc>
                <w:tcPr>
                  <w:tcW w:w="0" w:type="auto"/>
                </w:tcPr>
                <w:p>
                  <w:pPr>
                    <w:pStyle w:val="Paragraph"/>
                    <w:rPr>
                      <w:noProof/>
                    </w:rPr>
                  </w:pPr>
                  <w:r>
                    <w:rPr>
                      <w:noProof/>
                    </w:rPr>
                    <w:t>—</w:t>
                  </w:r>
                </w:p>
              </w:tc>
              <w:tc>
                <w:tcPr>
                  <w:tcW w:w="0" w:type="auto"/>
                </w:tcPr>
                <w:p>
                  <w:pPr>
                    <w:pStyle w:val="Paragraph"/>
                    <w:rPr>
                      <w:noProof/>
                    </w:rPr>
                  </w:pPr>
                  <w:r>
                    <w:rPr>
                      <w:noProof/>
                    </w:rPr>
                    <w:t>équipée de ferrites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d'une ou plusieurs résistances à coefficient de température négatif servant de capteur thermique,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coquilles isolantes, cales et câbles de connexion</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8504 90 11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Noyaux en ferrite, autres que pour collets de déviation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8504 90 11</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Cœurs de réacteur destinés à être utilisés dans des convertisseurs à thyristors fonctionnant en courant continu à haute tension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8504 90 99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Thyristor à commutation par gâchette symétrique (Symmetric Gate-Commutated Thyristor SGCT) avec commande de gâchette intégrée: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étant un circuit électronique de puissance monté sur la carte de circuits imprimés, équipé d'un thyristor SGCT et de composants électriques et électroniques,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ayant une capacité à bloquer la tension - 6 500 V - dans les deux sens (sens de conduction et sens inverse)</w:t>
                  </w:r>
                </w:p>
              </w:tc>
            </w:tr>
          </w:tbl>
          <w:p>
            <w:pPr>
              <w:pStyle w:val="Paragraph"/>
              <w:rPr>
                <w:noProof/>
                <w:lang w:val="fr-BE"/>
              </w:rPr>
            </w:pPr>
            <w:r>
              <w:rPr>
                <w:noProof/>
                <w:lang w:val="fr-BE"/>
              </w:rPr>
              <w:t>du type utilisé dans les convertisseurs moyenne tensionstatiques(redresseurs et ondulateurs)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Articles de forme triangulaire, carrée ou rectangulaire, même façonnés ou aux angles arrondis, destinés à devenir des aimants permanents après magnétisation et contenant du néodyme, du fer et du bore, de dimensions suivantes:</w:t>
            </w:r>
          </w:p>
          <w:tbl>
            <w:tblPr>
              <w:tblStyle w:val="Listdash"/>
              <w:tblW w:w="0" w:type="auto"/>
              <w:tblLook w:val="0000" w:firstRow="0" w:lastRow="0" w:firstColumn="0" w:lastColumn="0" w:noHBand="0" w:noVBand="0"/>
            </w:tblPr>
            <w:tblGrid>
              <w:gridCol w:w="220"/>
              <w:gridCol w:w="373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longueur de 9 mm ou plus, mais n'excédant pas 105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largeur de 5 mm ou plus, mais n'excédant pas 105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hauteur de 2 mm au plus, mais n'excédant pas 55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Barreaux de forme spécifique, destinés à servir d'aimants permanents après magnétisation, contenant du néodyme, du fer et du bore, dont les dimensions sont les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égale ou supérieure à 15 mm, mais n'excédant pas 52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largueur égale ou supérieure à 5 mm, mais n'excédant pas 42 mm,</w:t>
                  </w:r>
                </w:p>
              </w:tc>
            </w:tr>
          </w:tbl>
          <w:p>
            <w:pPr>
              <w:pStyle w:val="Paragraph"/>
              <w:rPr>
                <w:noProof/>
                <w:lang w:val="fr-BE"/>
              </w:rPr>
            </w:pPr>
            <w:r>
              <w:rPr>
                <w:noProof/>
                <w:lang w:val="fr-BE"/>
              </w:rPr>
              <w:t>du type utilisé pour la fabrication de servomoteurs électriques destinés à l'automatisation industrielle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8505 11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fr-BE"/>
              </w:rPr>
            </w:pPr>
            <w:r>
              <w:rPr>
                <w:noProof/>
                <w:lang w:val="fr-BE"/>
              </w:rPr>
              <w:t>Aimants permanents cylindriques en alliage de néodyme, munis d'un trou à alésage fileté à une extrémité:</w:t>
            </w:r>
          </w:p>
          <w:tbl>
            <w:tblPr>
              <w:tblStyle w:val="Listdash"/>
              <w:tblW w:w="0" w:type="auto"/>
              <w:tblLook w:val="0000" w:firstRow="0" w:lastRow="0" w:firstColumn="0" w:lastColumn="0" w:noHBand="0" w:noVBand="0"/>
            </w:tblPr>
            <w:tblGrid>
              <w:gridCol w:w="220"/>
              <w:gridCol w:w="419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97,5 mm ou plus mais n'excédant pas 225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19 mm ou plus, mais n'excédant pas 25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8505 11 00</w:t>
            </w:r>
          </w:p>
          <w:p>
            <w:pPr>
              <w:pStyle w:val="Paragraph"/>
              <w:rPr>
                <w:noProof/>
              </w:rPr>
            </w:pPr>
            <w:r>
              <w:rPr>
                <w:noProof/>
              </w:rPr>
              <w:t>ex 8505 19 90</w:t>
            </w:r>
          </w:p>
        </w:tc>
        <w:tc>
          <w:tcPr>
            <w:tcW w:w="0" w:type="auto"/>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rPr>
            </w:pPr>
            <w:r>
              <w:rPr>
                <w:noProof/>
              </w:rPr>
              <w:t>Barres plates en alliage de samarium et de cobalt:</w:t>
            </w:r>
          </w:p>
          <w:tbl>
            <w:tblPr>
              <w:tblStyle w:val="Listdash"/>
              <w:tblW w:w="0" w:type="auto"/>
              <w:tblLook w:val="0000" w:firstRow="0" w:lastRow="0" w:firstColumn="0" w:lastColumn="0" w:noHBand="0" w:noVBand="0"/>
            </w:tblPr>
            <w:tblGrid>
              <w:gridCol w:w="220"/>
              <w:gridCol w:w="269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30,4 mm (± 0,05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12,5 mm (± 0,15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6,9 mm (± 0,05 mm),</w:t>
                  </w:r>
                </w:p>
              </w:tc>
            </w:tr>
          </w:tbl>
          <w:p>
            <w:pPr>
              <w:pStyle w:val="Paragraph"/>
              <w:rPr>
                <w:noProof/>
                <w:lang w:val="fr-BE"/>
              </w:rPr>
            </w:pPr>
            <w:r>
              <w:rPr>
                <w:noProof/>
                <w:lang w:val="fr-BE"/>
              </w:rPr>
              <w:t>ou composées de ferrites, ayant la forme d'un manchon:</w:t>
            </w:r>
          </w:p>
          <w:tbl>
            <w:tblPr>
              <w:tblStyle w:val="Listdash"/>
              <w:tblW w:w="0" w:type="auto"/>
              <w:tblLook w:val="0000" w:firstRow="0" w:lastRow="0" w:firstColumn="0" w:lastColumn="0" w:noHBand="0" w:noVBand="0"/>
            </w:tblPr>
            <w:tblGrid>
              <w:gridCol w:w="220"/>
              <w:gridCol w:w="257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46 mm (± 0,75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29,7 mm (± 0,2 mm),</w:t>
                  </w:r>
                </w:p>
              </w:tc>
            </w:tr>
          </w:tbl>
          <w:p>
            <w:pPr>
              <w:pStyle w:val="Paragraph"/>
              <w:rPr>
                <w:noProof/>
                <w:lang w:val="fr-BE"/>
              </w:rPr>
            </w:pPr>
            <w:r>
              <w:rPr>
                <w:noProof/>
                <w:lang w:val="fr-BE"/>
              </w:rPr>
              <w:t>destinées à devenir des aimants permanents après aimantation, des types utilisés dans les démarreurs d'automobiles et les dispositifs de suralimentation des voitures électriques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lang w:val="fr-BE"/>
              </w:rPr>
            </w:pPr>
            <w:r>
              <w:rPr>
                <w:noProof/>
                <w:lang w:val="fr-BE"/>
              </w:rPr>
              <w:t>Anneaux, tubes, manchons ou colliers en alliage de néodyme, de fer et de bore,</w:t>
            </w:r>
          </w:p>
          <w:tbl>
            <w:tblPr>
              <w:tblStyle w:val="Listdash"/>
              <w:tblW w:w="0" w:type="auto"/>
              <w:tblLook w:val="0000" w:firstRow="0" w:lastRow="0" w:firstColumn="0" w:lastColumn="0" w:noHBand="0" w:noVBand="0"/>
            </w:tblPr>
            <w:tblGrid>
              <w:gridCol w:w="220"/>
              <w:gridCol w:w="2548"/>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diamètre inférieur ou égal à 45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hauteur n’excédant pas 45 mm,</w:t>
                  </w:r>
                </w:p>
              </w:tc>
            </w:tr>
          </w:tbl>
          <w:p>
            <w:pPr>
              <w:pStyle w:val="Paragraph"/>
              <w:rPr>
                <w:noProof/>
                <w:lang w:val="fr-BE"/>
              </w:rPr>
            </w:pPr>
            <w:r>
              <w:rPr>
                <w:noProof/>
                <w:lang w:val="fr-BE"/>
              </w:rPr>
              <w:t>du type utilisé pour la fabrication d'aimants permanents, après magnétisation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8505 11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Aimants permanents en alliage de néodyme, de fer et de bore, ayant la forme soit d'un rectangle à angles arrondis ou non avec une section rectangulaire ou trapézoïdale</w:t>
            </w:r>
          </w:p>
          <w:tbl>
            <w:tblPr>
              <w:tblStyle w:val="Listdash"/>
              <w:tblW w:w="0" w:type="auto"/>
              <w:tblLook w:val="0000" w:firstRow="0" w:lastRow="0" w:firstColumn="0" w:lastColumn="0" w:noHBand="0" w:noVBand="0"/>
            </w:tblPr>
            <w:tblGrid>
              <w:gridCol w:w="220"/>
              <w:gridCol w:w="258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n'excédant pas 140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n'excédant pas 90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n'excédant pas 55 mm,</w:t>
                  </w:r>
                </w:p>
              </w:tc>
            </w:tr>
          </w:tbl>
          <w:p>
            <w:pPr>
              <w:pStyle w:val="Paragraph"/>
              <w:rPr>
                <w:noProof/>
                <w:lang w:val="fr-BE"/>
              </w:rPr>
            </w:pPr>
            <w:r>
              <w:rPr>
                <w:noProof/>
                <w:lang w:val="fr-BE"/>
              </w:rPr>
              <w:t>soit d'un rectangle incurvé (forme de type tuile)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n'excédant pas 75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n'excédant pas 40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n'excédant pas 7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rayon de courbure de plus de 86 mm mais n'excédant pas 241 mm,</w:t>
                  </w:r>
                </w:p>
              </w:tc>
            </w:tr>
          </w:tbl>
          <w:p>
            <w:pPr>
              <w:pStyle w:val="Paragraph"/>
              <w:rPr>
                <w:noProof/>
                <w:lang w:val="fr-BE"/>
              </w:rPr>
            </w:pPr>
            <w:r>
              <w:rPr>
                <w:noProof/>
                <w:lang w:val="fr-BE"/>
              </w:rPr>
              <w:t>soit d'un disque, dont le diamètre n'excède pas 90 mm, comportant ou non un trou concentrique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8505 11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Disque en alliage de néodyme, de fer et de bore, revêtu de nickel ou de zinc et destiné à devenir, après magnétisation, un aimant permanent</w:t>
            </w:r>
          </w:p>
          <w:tbl>
            <w:tblPr>
              <w:tblStyle w:val="Listdash"/>
              <w:tblW w:w="0" w:type="auto"/>
              <w:tblLook w:val="0000" w:firstRow="0" w:lastRow="0" w:firstColumn="0" w:lastColumn="0" w:noHBand="0" w:noVBand="0"/>
            </w:tblPr>
            <w:tblGrid>
              <w:gridCol w:w="220"/>
              <w:gridCol w:w="267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comportant ou non un trou concentrique,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 diamètre n’excède pas 90 mm,</w:t>
                  </w:r>
                </w:p>
              </w:tc>
            </w:tr>
          </w:tbl>
          <w:p>
            <w:pPr>
              <w:pStyle w:val="Paragraph"/>
              <w:rPr>
                <w:noProof/>
                <w:lang w:val="fr-BE"/>
              </w:rPr>
            </w:pPr>
            <w:r>
              <w:rPr>
                <w:noProof/>
                <w:lang w:val="fr-BE"/>
              </w:rPr>
              <w:t>du type utilisé dans les haut-parleurs pour voiture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8505 11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Quart de manchon, destiné à servir d’aimant permanent après aimantation,</w:t>
            </w:r>
          </w:p>
          <w:tbl>
            <w:tblPr>
              <w:tblStyle w:val="Listdash"/>
              <w:tblW w:w="0" w:type="auto"/>
              <w:tblLook w:val="0000" w:firstRow="0" w:lastRow="0" w:firstColumn="0" w:lastColumn="0" w:noHBand="0" w:noVBand="0"/>
            </w:tblPr>
            <w:tblGrid>
              <w:gridCol w:w="220"/>
              <w:gridCol w:w="418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composé au moins de néodyme, de fer et de bore,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9,1 mm ou plus mais n’excédant pas 10,5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20 mm ou plus mais n’excédant pas 30,1 mm,</w:t>
                  </w:r>
                </w:p>
              </w:tc>
            </w:tr>
          </w:tbl>
          <w:p>
            <w:pPr>
              <w:pStyle w:val="Paragraph"/>
              <w:rPr>
                <w:noProof/>
                <w:lang w:val="fr-BE"/>
              </w:rPr>
            </w:pPr>
            <w:r>
              <w:rPr>
                <w:noProof/>
                <w:lang w:val="fr-BE"/>
              </w:rPr>
              <w:t>du type utilisé sur les rotors pour la fabrication de pompes à carburant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8505 19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Articles en ferrite agglomérée, ayant la forme de disques d'un diamètre inférieur ou égal à 120 mm, pourvus d'un trou en leurs centres et destinés, après magnétisation, à devenir des aimants permanents dont la rémanence est comprise entre 245 mT et 470 mT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8505 19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Article en ferrite agglomérée, se présentant sous la forme d'un pavé droit, destiné à devenir un aimant permanent après aimantation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arêtes biseautées,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27 mm ou plus mais pas plus de 32 mm (+/- 0,15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8,5 mm ou plus mais pas plus de 9,5 mm (+ 0,05 mm / - 0,09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5,5 mm ou plus mais pas plus de 5,8 mm (+ 0/- 0,2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de 6,1 g ou plus mais pas plus de 8,3 g</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8505 19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Article en ferrite agglomérée, se présentant sous la forme d'un demi-manchon ou d'un quart de manchon, destiné à servir d'aimant permanent après aimantation,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30 mm ou plus mais n'excédant pas 50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33 mm ou plus mais n'excédant pas 55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de 12,5 mm ou plus mais n'excédant pas 21,5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3,85 mm ou plus mais n'excédant pas 6,8 mm (± 0,15 mm), et présentant un rayon extérieur de 19 mm ou plus mais n'excédant pas 29,4 mm (± 0,2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8505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Embrayage électromagnétique utilisé comme composant de compresseurs intégrés dans des climatiseurs pour véhicules automobiles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8505 90 29</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Bobine  pour vanne électromagnétique:</w:t>
            </w:r>
          </w:p>
          <w:tbl>
            <w:tblPr>
              <w:tblStyle w:val="Listdash"/>
              <w:tblW w:w="0" w:type="auto"/>
              <w:tblLook w:val="0000" w:firstRow="0" w:lastRow="0" w:firstColumn="0" w:lastColumn="0" w:noHBand="0" w:noVBand="0"/>
            </w:tblPr>
            <w:tblGrid>
              <w:gridCol w:w="220"/>
              <w:gridCol w:w="3277"/>
            </w:tblGrid>
            <w:tr>
              <w:tc>
                <w:tcPr>
                  <w:tcW w:w="0" w:type="auto"/>
                </w:tcPr>
                <w:p>
                  <w:pPr>
                    <w:pStyle w:val="Paragraph"/>
                    <w:rPr>
                      <w:noProof/>
                    </w:rPr>
                  </w:pPr>
                  <w:r>
                    <w:rPr>
                      <w:noProof/>
                    </w:rPr>
                    <w:t>—</w:t>
                  </w:r>
                </w:p>
              </w:tc>
              <w:tc>
                <w:tcPr>
                  <w:tcW w:w="0" w:type="auto"/>
                </w:tcPr>
                <w:p>
                  <w:pPr>
                    <w:pStyle w:val="Paragraph"/>
                    <w:rPr>
                      <w:noProof/>
                    </w:rPr>
                  </w:pPr>
                  <w:r>
                    <w:rPr>
                      <w:noProof/>
                    </w:rPr>
                    <w:t>dotée d'un piston</w:t>
                  </w:r>
                </w:p>
              </w:tc>
            </w:tr>
            <w:tr>
              <w:tc>
                <w:tcPr>
                  <w:tcW w:w="0" w:type="auto"/>
                </w:tcPr>
                <w:p>
                  <w:pPr>
                    <w:pStyle w:val="Paragraph"/>
                    <w:rPr>
                      <w:noProof/>
                    </w:rPr>
                  </w:pPr>
                  <w:r>
                    <w:rPr>
                      <w:noProof/>
                    </w:rPr>
                    <w:t>—</w:t>
                  </w:r>
                </w:p>
              </w:tc>
              <w:tc>
                <w:tcPr>
                  <w:tcW w:w="0" w:type="auto"/>
                </w:tcPr>
                <w:p>
                  <w:pPr>
                    <w:pStyle w:val="Paragraph"/>
                    <w:rPr>
                      <w:noProof/>
                    </w:rPr>
                  </w:pPr>
                  <w:r>
                    <w:rPr>
                      <w:noProof/>
                    </w:rPr>
                    <w:t>d'un diamètre de 12,9 mm (+/- 0,1),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sans le piston de  20,5 mm (+/- 0,1),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dotée d'un câble électrique avec mandrin, et</w:t>
                  </w:r>
                </w:p>
              </w:tc>
            </w:tr>
          </w:tbl>
          <w:p>
            <w:pPr>
              <w:pStyle w:val="Paragraph"/>
              <w:rPr>
                <w:noProof/>
                <w:lang w:val="fr-BE"/>
              </w:rPr>
            </w:pPr>
            <w:r>
              <w:rPr>
                <w:noProof/>
                <w:lang w:val="fr-BE"/>
              </w:rPr>
              <w:t>dans un boîtier métallique cylindrique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8506 50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Piles cylindriques au lithium,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égal ou supérieur à 14,0 mm, mais n'excédant pas 26,0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égale ou supérieure à 2,2 mm, mais n'excédant pas 51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égale ou supérieure à 1,5 V, mais n'excédant pas 3,6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nominale égale ou supérieure à 0,15 Ah, mais n'excédant pas 5,00 Ah</w:t>
                  </w:r>
                </w:p>
              </w:tc>
            </w:tr>
          </w:tbl>
          <w:p>
            <w:pPr>
              <w:pStyle w:val="Paragraph"/>
              <w:rPr>
                <w:noProof/>
                <w:lang w:val="fr-BE"/>
              </w:rPr>
            </w:pPr>
            <w:r>
              <w:rPr>
                <w:noProof/>
                <w:lang w:val="fr-BE"/>
              </w:rPr>
              <w:t>destinées à la fabrication d'appareils de télémétrie, d'appareils médicaux, de compteurs électroniques ou de télécommandes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8506 50 30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Pile au lithium-dioxyde de manganèse,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de 20 mm ou plus mais n’excédant pas 25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de 3 mm ou plus, mais n’excédant pas 6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3 V ou plus, mais n’excédant pas 3,4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capacité de 200 mAh ou plus, mais n'excédant pas 600 mAh,</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plage de température pour les essais automobiles comprise entre -40 °C et +125 °C,</w:t>
                  </w:r>
                </w:p>
              </w:tc>
            </w:tr>
          </w:tbl>
          <w:p>
            <w:pPr>
              <w:pStyle w:val="Paragraph"/>
              <w:rPr>
                <w:noProof/>
                <w:lang w:val="fr-BE"/>
              </w:rPr>
            </w:pPr>
            <w:r>
              <w:rPr>
                <w:noProof/>
                <w:lang w:val="fr-BE"/>
              </w:rPr>
              <w:t>destinée à servir de composant dans la fabrication de systèmes de contrôle de la pression des pneumatiques (TPMS)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8506 50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Pile au lithium-iode dont les dimensions n’excèdent pas 9 mm × 23 mm × 45 mm, d’une tension n’excédant pas 2,8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8506 50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Pile lithium-iode ou lithium-argent-oxyde de vanadium de dimensions n’excédant pas 28 mm × 45 mm × 15 mm et d’une capacité de 1,05 Ah ou plus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8507 10 20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Batterie de démarrage au plomb-acide,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capacité de charge au moins égale à 200 % de celle d’une batterie à électrolyte liquide classique équivalente durant les cinq premières secondes de charge,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électrolyte liquide,</w:t>
                  </w:r>
                </w:p>
              </w:tc>
            </w:tr>
          </w:tbl>
          <w:p>
            <w:pPr>
              <w:pStyle w:val="Paragraph"/>
              <w:rPr>
                <w:noProof/>
                <w:lang w:val="fr-BE"/>
              </w:rPr>
            </w:pPr>
            <w:r>
              <w:rPr>
                <w:noProof/>
                <w:lang w:val="fr-BE"/>
              </w:rPr>
              <w:t>destinée à la construction de voitures particulières et de véhicules commerciaux légers utilisant des régulateurs d’alternateur à haute régénération ou des systèmes marche/arrêt équipés de régulateurs d’alternateur à haute régénération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8507 50 00</w:t>
            </w:r>
          </w:p>
          <w:p>
            <w:pPr>
              <w:pStyle w:val="Paragraph"/>
              <w:rPr>
                <w:noProof/>
              </w:rPr>
            </w:pPr>
            <w:r>
              <w:rPr>
                <w:noProof/>
              </w:rPr>
              <w:t>ex 8507 60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Accumulateur ou module au nickel-cadmium, de forme rectangulaire, d’une longueur n’excédant pas 69 mm, d’une largeur n’excédant pas 36 mm et d’une épaisseur n’excédant pas 12 mm, destiné à la fabrication de batteries rechargeables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8507 50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Batterie d'accumulateurs au nickel-hydrure métallique (Ni-MH), présentant:</w:t>
            </w:r>
          </w:p>
          <w:tbl>
            <w:tblPr>
              <w:tblStyle w:val="Listdash"/>
              <w:tblW w:w="0" w:type="auto"/>
              <w:tblLook w:val="0000" w:firstRow="0" w:lastRow="0" w:firstColumn="0" w:lastColumn="0" w:noHBand="0" w:noVBand="0"/>
            </w:tblPr>
            <w:tblGrid>
              <w:gridCol w:w="220"/>
              <w:gridCol w:w="412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190 V ou plus, mais n'excédant pas 210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de 220 mm ou plus, mais n'excédant pas 280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de 500 mm ou plus, mais n'excédant pas 600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hauteur de 100 mm ou plus, mais n'excédant pas 150 mm</w:t>
                  </w:r>
                </w:p>
              </w:tc>
            </w:tr>
          </w:tbl>
          <w:p>
            <w:pPr>
              <w:pStyle w:val="Paragraph"/>
              <w:rPr>
                <w:noProof/>
                <w:lang w:val="fr-BE"/>
              </w:rPr>
            </w:pPr>
            <w:r>
              <w:rPr>
                <w:noProof/>
                <w:lang w:val="fr-BE"/>
              </w:rPr>
              <w:t>utilisée dans la construction des véhicules à moteur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Accumulateurs ou modules au lithium-ion de forme cylindrique: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capacité nominale égale ou supérieure à 8,8 Ah ou plus, mais n’excédant pas 18 Ah,</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nominale égale ou supérieure à 36 V, mais n’excédant pas 48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égale ou supérieure à 300 Wh, mais n’excédant pas 648 Wh,</w:t>
                  </w:r>
                </w:p>
              </w:tc>
            </w:tr>
          </w:tbl>
          <w:p>
            <w:pPr>
              <w:pStyle w:val="Paragraph"/>
              <w:rPr>
                <w:noProof/>
                <w:lang w:val="fr-BE"/>
              </w:rPr>
            </w:pPr>
            <w:r>
              <w:rPr>
                <w:noProof/>
                <w:lang w:val="fr-BE"/>
              </w:rPr>
              <w:t>utilisés pour la fabrication de bicyclettes électriques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17</w:t>
            </w:r>
          </w:p>
        </w:tc>
        <w:tc>
          <w:tcPr>
            <w:tcW w:w="0" w:type="auto"/>
            <w:tcBorders>
              <w:left w:val="single" w:sz="2" w:space="0" w:color="auto"/>
            </w:tcBorders>
          </w:tcPr>
          <w:p>
            <w:pPr>
              <w:pStyle w:val="Paragraph"/>
              <w:rPr>
                <w:noProof/>
                <w:lang w:val="fr-BE"/>
              </w:rPr>
            </w:pPr>
            <w:r>
              <w:rPr>
                <w:noProof/>
                <w:lang w:val="fr-BE"/>
              </w:rPr>
              <w:t>Batterie de démarrage au lithium-ion composée de 4 éléments secondaires rechargeables au lithium-ion,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nominale de 12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de 350 mm ou plus, sans n'excédant pas 355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de 170 mm ou plus, mais n'excédant pas 180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hauteur de 180 mm ou plus, mais n'excédant pas 195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de 10 kg ou plus, mais n'excédant pas 15 kg,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charge nominale de 60 Ah ou plus, mais n'excédant pas 80 Ah,</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23</w:t>
            </w:r>
          </w:p>
        </w:tc>
        <w:tc>
          <w:tcPr>
            <w:tcW w:w="0" w:type="auto"/>
            <w:tcBorders>
              <w:left w:val="single" w:sz="2" w:space="0" w:color="auto"/>
            </w:tcBorders>
          </w:tcPr>
          <w:p>
            <w:pPr>
              <w:pStyle w:val="Paragraph"/>
              <w:rPr>
                <w:noProof/>
                <w:lang w:val="fr-BE"/>
              </w:rPr>
            </w:pPr>
            <w:r>
              <w:rPr>
                <w:noProof/>
                <w:lang w:val="fr-BE"/>
              </w:rPr>
              <w:t>Accumulateur ou module au lithium-ion possédant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capacité nominale de 72 Ah ou plus, mais n’excédant pas 100 Ah;</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nominale de 3,2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de 1,9 kg ou plus, mais n’excédant pas 3,4 kg</w:t>
                  </w:r>
                </w:p>
              </w:tc>
            </w:tr>
          </w:tbl>
          <w:p>
            <w:pPr>
              <w:pStyle w:val="Paragraph"/>
              <w:rPr>
                <w:noProof/>
                <w:lang w:val="fr-BE"/>
              </w:rPr>
            </w:pPr>
            <w:r>
              <w:rPr>
                <w:noProof/>
                <w:lang w:val="fr-BE"/>
              </w:rPr>
              <w:t>utilisé pour la fabrication de batteries rechargeables pour les véhicules électriques hybrides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Modules rectangulaires constitutifs de batteries d’accumulateurs électriques lithium-ion rechargeables:</w:t>
            </w:r>
          </w:p>
          <w:tbl>
            <w:tblPr>
              <w:tblStyle w:val="Listdash"/>
              <w:tblW w:w="0" w:type="auto"/>
              <w:tblLook w:val="0000" w:firstRow="0" w:lastRow="0" w:firstColumn="0" w:lastColumn="0" w:noHBand="0" w:noVBand="0"/>
            </w:tblPr>
            <w:tblGrid>
              <w:gridCol w:w="220"/>
              <w:gridCol w:w="398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352,5mm (±1mm) ou 367,1mm (±1mm),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300mm (±2mm) ou 272,6mm (±1mm),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de: 268,9mm (±1,4 mm) ou 229,5mm (±1mm),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de: 45,9kg ou 46,3kg,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capacité de: 75Ah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nominale de: 60V</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BE"/>
              </w:rPr>
            </w:pPr>
            <w:r>
              <w:rPr>
                <w:noProof/>
                <w:lang w:val="fr-BE"/>
              </w:rPr>
              <w:t>Accumulateur au lithium-ion de forme cylindrique possédant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capacité nominale de 10 Ah ou plus, mais n’excédant pas 20 Ah;</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nominale de 12,8 V (± 0,05) ou plus, mais n’excédant pas 15,2 V (± 0,05);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de 128 Wh ou plus, mais n’excédant pas 256 Wh</w:t>
                  </w:r>
                </w:p>
              </w:tc>
            </w:tr>
          </w:tbl>
          <w:p>
            <w:pPr>
              <w:pStyle w:val="Paragraph"/>
              <w:rPr>
                <w:noProof/>
                <w:lang w:val="fr-BE"/>
              </w:rPr>
            </w:pPr>
            <w:r>
              <w:rPr>
                <w:noProof/>
                <w:lang w:val="fr-BE"/>
              </w:rPr>
              <w:t>utilisé pour la fabrication de transmissions électriques pour bicyclettes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Accumulateur ou module au lithium-ion, de forme cylindrique, d’une longueur de 63 mm ou plus et d’un diamètre de 17,2 mm ou plus, ayant une capacité nominale de 1 200 mAh ou plus, destiné à la fabrication de batteries rechargeables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Accumulateur au lithium-ion,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de 150 mm ou plus, mais n'excédant pas 300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de 700 mm ou plus, mais n'excédant pas 1 000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hauteur de 1 100 mm ou plus, mais n'excédant pas 1 500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de 75 kg ou plus, mais n'excédant pas 160 kg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capacité nominale d'au moins 150 Ah, mais n'excédant pas 500 Ah</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fr-BE"/>
              </w:rPr>
            </w:pPr>
            <w:r>
              <w:rPr>
                <w:noProof/>
                <w:lang w:val="fr-BE"/>
              </w:rPr>
              <w:t>Accumulateur au lithium-ion,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de 1 200 mm ou plus, mais n'excédant pas 2 000mm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de 800 mm ou plus, mais n'excédant pas 1 300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hauteur de 2 000 mm ou plus, mais n'excédant pas 2 800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de 1 800 kg ou plus, mais n'excédant pas 3 000 kg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capacité nominale de 2 800 Ah ou plus, mais n'excédant pas 7 200 Ah</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fr-BE"/>
              </w:rPr>
            </w:pPr>
            <w:r>
              <w:rPr>
                <w:noProof/>
                <w:lang w:val="fr-BE"/>
              </w:rPr>
              <w:t>Accumulateurs au lithium-ion, présentant les caractéristiques suivantes:</w:t>
            </w:r>
          </w:p>
          <w:tbl>
            <w:tblPr>
              <w:tblStyle w:val="Listdash"/>
              <w:tblW w:w="0" w:type="auto"/>
              <w:tblLook w:val="0000" w:firstRow="0" w:lastRow="0" w:firstColumn="0" w:lastColumn="0" w:noHBand="0" w:noVBand="0"/>
            </w:tblPr>
            <w:tblGrid>
              <w:gridCol w:w="220"/>
              <w:gridCol w:w="256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n'excédant pas 4,15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n'excédant pas 245,15 mm,</w:t>
                  </w:r>
                </w:p>
              </w:tc>
            </w:tr>
            <w:tr>
              <w:tc>
                <w:tcPr>
                  <w:tcW w:w="0" w:type="auto"/>
                </w:tcPr>
                <w:p>
                  <w:pPr>
                    <w:pStyle w:val="Paragraph"/>
                    <w:rPr>
                      <w:noProof/>
                    </w:rPr>
                  </w:pPr>
                  <w:r>
                    <w:rPr>
                      <w:noProof/>
                    </w:rPr>
                    <w:t>—</w:t>
                  </w:r>
                </w:p>
              </w:tc>
              <w:tc>
                <w:tcPr>
                  <w:tcW w:w="0" w:type="auto"/>
                </w:tcPr>
                <w:p>
                  <w:pPr>
                    <w:pStyle w:val="Paragraph"/>
                    <w:rPr>
                      <w:noProof/>
                    </w:rPr>
                  </w:pPr>
                  <w:r>
                    <w:rPr>
                      <w:noProof/>
                    </w:rPr>
                    <w:t>une longueur n'excédant 90,15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n'excédant pas 250 g,</w:t>
                  </w:r>
                </w:p>
              </w:tc>
            </w:tr>
          </w:tbl>
          <w:p>
            <w:pPr>
              <w:pStyle w:val="Paragraph"/>
              <w:rPr>
                <w:noProof/>
                <w:lang w:val="fr-BE"/>
              </w:rPr>
            </w:pPr>
            <w:r>
              <w:rPr>
                <w:noProof/>
                <w:lang w:val="fr-BE"/>
              </w:rPr>
              <w:t>utilisés pour la fabrication de produits de la sous-position 8471 30 00</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8507 60 00</w:t>
            </w:r>
          </w:p>
          <w:p>
            <w:pPr>
              <w:pStyle w:val="Paragraph"/>
              <w:rPr>
                <w:noProof/>
              </w:rPr>
            </w:pPr>
            <w:r>
              <w:rPr>
                <w:noProof/>
              </w:rPr>
              <w:t>ex 8507 80 00</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Batterie lithium-ion polymère rechargeable: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capacité nominale de 1 060 mAh (généralement),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nominale de 7,4 V (tension moyenne à une décharge de 0,2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de charge de 8,4 V (± 0,05),</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d'une longueur de 86,4 mm (± 0,1),</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d'une largeur de 45 mm (± 0,1),</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d'une hauteur de 11 mm (± 0,1),</w:t>
                  </w:r>
                </w:p>
              </w:tc>
            </w:tr>
          </w:tbl>
          <w:p>
            <w:pPr>
              <w:pStyle w:val="Paragraph"/>
              <w:rPr>
                <w:noProof/>
                <w:lang w:val="fr-BE"/>
              </w:rPr>
            </w:pPr>
            <w:r>
              <w:rPr>
                <w:noProof/>
                <w:lang w:val="fr-BE"/>
              </w:rPr>
              <w:t>destinée à la fabrication de caisses enregistreuses.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8507 60 00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Accumulateurs au lithium-ion,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épaisseur n'excédant pas 6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n'excédant pas 100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n'excédant pas 150,15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capacité nominale de 1 000 mAh ou plus mais n'excédant pas 10 000 mAh</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n'excédant pas 150 g</w:t>
                  </w:r>
                </w:p>
              </w:tc>
            </w:tr>
          </w:tbl>
          <w:p>
            <w:pPr>
              <w:pStyle w:val="Paragraph"/>
              <w:rPr>
                <w:noProof/>
                <w:lang w:val="fr-BE"/>
              </w:rPr>
            </w:pPr>
            <w:r>
              <w:rPr>
                <w:noProof/>
                <w:lang w:val="fr-BE"/>
              </w:rPr>
              <w:t>utilisés pour la fabrication de produits de la sous-position 8517 12 00</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Modules pour l'assemblage de batteries d'accumulateurs électriques au lithium-ion ayant les caractéristiques suivantes:</w:t>
            </w:r>
          </w:p>
          <w:tbl>
            <w:tblPr>
              <w:tblStyle w:val="Listdash"/>
              <w:tblW w:w="0" w:type="auto"/>
              <w:tblLook w:val="0000" w:firstRow="0" w:lastRow="0" w:firstColumn="0" w:lastColumn="0" w:noHBand="0" w:noVBand="0"/>
            </w:tblPr>
            <w:tblGrid>
              <w:gridCol w:w="220"/>
              <w:gridCol w:w="396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de 298 mm ou plus, mais pas plus de 408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de 33,5 mm ou plus, mais pas plus de 209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hauteur de 138 mm ou plus, mais pas plus de 228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de 3,6 kg ou plus, mais pas plus de 17 kg,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de 458 Wh ou plus mais pas plus de 2 158 Wh</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fr-BE"/>
              </w:rPr>
            </w:pPr>
            <w:r>
              <w:rPr>
                <w:noProof/>
                <w:lang w:val="fr-BE"/>
              </w:rPr>
              <w:t>Batteries d’accumulateurs électriques au lithium-ion ou module rechargeables:</w:t>
            </w:r>
          </w:p>
          <w:tbl>
            <w:tblPr>
              <w:tblStyle w:val="Listdash"/>
              <w:tblW w:w="0" w:type="auto"/>
              <w:tblLook w:val="0000" w:firstRow="0" w:lastRow="0" w:firstColumn="0" w:lastColumn="0" w:noHBand="0" w:noVBand="0"/>
            </w:tblPr>
            <w:tblGrid>
              <w:gridCol w:w="220"/>
              <w:gridCol w:w="328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comprise entre 1 203 et 1 297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comprise entre 282 et 772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comprise entre 792 et 839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compris entre 253 et 293 kg,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comprise entre 22 et 26 kWh</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sous forme de 24 ou 48 modules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Batteries d’accumulateurs électriques au lithium-ion rechargeables,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1 213 mm ou plus, mais n’excédant pas 1 575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245 mm ou plus, mais n’excédant pas 1 200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de 265 mm ou plus, mais n’excédant pas 755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de 265 kg ou plus, mais n’excédant pas 294 kg,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capacité nominale de 66,6 Ah,</w:t>
                  </w:r>
                </w:p>
              </w:tc>
            </w:tr>
          </w:tbl>
          <w:p>
            <w:pPr>
              <w:pStyle w:val="Paragraph"/>
              <w:rPr>
                <w:noProof/>
                <w:lang w:val="fr-BE"/>
              </w:rPr>
            </w:pPr>
            <w:r>
              <w:rPr>
                <w:noProof/>
                <w:lang w:val="fr-BE"/>
              </w:rPr>
              <w:t>sous forme de packs de 48 modules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Batterie cylindrique lithium-ion comprenant:</w:t>
            </w:r>
          </w:p>
          <w:tbl>
            <w:tblPr>
              <w:tblStyle w:val="Listdash"/>
              <w:tblW w:w="0" w:type="auto"/>
              <w:tblLook w:val="0000" w:firstRow="0" w:lastRow="0" w:firstColumn="0" w:lastColumn="0" w:noHBand="0" w:noVBand="0"/>
            </w:tblPr>
            <w:tblGrid>
              <w:gridCol w:w="220"/>
              <w:gridCol w:w="257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tension 3,5 VDC à 3,8 VDC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capacité 300 mAH à 900 mAh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10 mm à 14,5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71</w:t>
            </w:r>
          </w:p>
        </w:tc>
        <w:tc>
          <w:tcPr>
            <w:tcW w:w="0" w:type="auto"/>
            <w:tcBorders>
              <w:left w:val="single" w:sz="2" w:space="0" w:color="auto"/>
            </w:tcBorders>
          </w:tcPr>
          <w:p>
            <w:pPr>
              <w:pStyle w:val="Paragraph"/>
              <w:rPr>
                <w:noProof/>
                <w:lang w:val="fr-BE"/>
              </w:rPr>
            </w:pPr>
            <w:r>
              <w:rPr>
                <w:noProof/>
                <w:lang w:val="fr-BE"/>
              </w:rPr>
              <w:t>Batteries d’accumulateurs électriques au lithium-ion rechargeables:</w:t>
            </w:r>
          </w:p>
          <w:tbl>
            <w:tblPr>
              <w:tblStyle w:val="Listdash"/>
              <w:tblW w:w="0" w:type="auto"/>
              <w:tblLook w:val="0000" w:firstRow="0" w:lastRow="0" w:firstColumn="0" w:lastColumn="0" w:noHBand="0" w:noVBand="0"/>
            </w:tblPr>
            <w:tblGrid>
              <w:gridCol w:w="220"/>
              <w:gridCol w:w="312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comprise entre 700 et 2 820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comprise entre 935 et 1 660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comprise entre 85 et 700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compris entre 250 et 700 kg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n'excédant pas 175 kWh</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Accumulateur au lithium-ion de forme rectangulaire:</w:t>
            </w:r>
          </w:p>
          <w:tbl>
            <w:tblPr>
              <w:tblStyle w:val="Listdash"/>
              <w:tblW w:w="0" w:type="auto"/>
              <w:tblLook w:val="0000" w:firstRow="0" w:lastRow="0" w:firstColumn="0" w:lastColumn="0" w:noHBand="0" w:noVBand="0"/>
            </w:tblPr>
            <w:tblGrid>
              <w:gridCol w:w="220"/>
              <w:gridCol w:w="2757"/>
            </w:tblGrid>
            <w:tr>
              <w:tc>
                <w:tcPr>
                  <w:tcW w:w="0" w:type="auto"/>
                </w:tcPr>
                <w:p>
                  <w:pPr>
                    <w:pStyle w:val="Paragraph"/>
                    <w:rPr>
                      <w:noProof/>
                    </w:rPr>
                  </w:pPr>
                  <w:r>
                    <w:rPr>
                      <w:noProof/>
                    </w:rPr>
                    <w:t>—</w:t>
                  </w:r>
                </w:p>
              </w:tc>
              <w:tc>
                <w:tcPr>
                  <w:tcW w:w="0" w:type="auto"/>
                </w:tcPr>
                <w:p>
                  <w:pPr>
                    <w:pStyle w:val="Paragraph"/>
                    <w:rPr>
                      <w:noProof/>
                    </w:rPr>
                  </w:pPr>
                  <w:r>
                    <w:rPr>
                      <w:noProof/>
                    </w:rPr>
                    <w:t>équipé d’un boîtier métallique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173 mm (± 0,15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21 mm (± 0,1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de 91 mm (± 0,15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nominale de 3,3 V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capacité nominale de 21 Ah ou plus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8507 60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Accumulateur ou module au lithium-ion de forme rectangulaire,</w:t>
            </w:r>
          </w:p>
          <w:tbl>
            <w:tblPr>
              <w:tblStyle w:val="Listdash"/>
              <w:tblW w:w="0" w:type="auto"/>
              <w:tblLook w:val="0000" w:firstRow="0" w:lastRow="0" w:firstColumn="0" w:lastColumn="0" w:noHBand="0" w:noVBand="0"/>
            </w:tblPr>
            <w:tblGrid>
              <w:gridCol w:w="220"/>
              <w:gridCol w:w="2477"/>
            </w:tblGrid>
            <w:tr>
              <w:tc>
                <w:tcPr>
                  <w:tcW w:w="0" w:type="auto"/>
                </w:tcPr>
                <w:p>
                  <w:pPr>
                    <w:pStyle w:val="Paragraph"/>
                    <w:rPr>
                      <w:noProof/>
                    </w:rPr>
                  </w:pPr>
                  <w:r>
                    <w:rPr>
                      <w:noProof/>
                    </w:rPr>
                    <w:t>—</w:t>
                  </w:r>
                </w:p>
              </w:tc>
              <w:tc>
                <w:tcPr>
                  <w:tcW w:w="0" w:type="auto"/>
                </w:tcPr>
                <w:p>
                  <w:pPr>
                    <w:pStyle w:val="Paragraph"/>
                    <w:rPr>
                      <w:noProof/>
                    </w:rPr>
                  </w:pPr>
                  <w:r>
                    <w:rPr>
                      <w:noProof/>
                    </w:rPr>
                    <w:t>doté d’un carter métallique,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171 mm (± 3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45,5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de 115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nominale de 3,75 V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capacité nominale de 50 Ah</w:t>
                  </w:r>
                </w:p>
              </w:tc>
            </w:tr>
          </w:tbl>
          <w:p>
            <w:pPr>
              <w:pStyle w:val="Paragraph"/>
              <w:rPr>
                <w:noProof/>
                <w:lang w:val="fr-BE"/>
              </w:rPr>
            </w:pPr>
            <w:r>
              <w:rPr>
                <w:noProof/>
                <w:lang w:val="fr-BE"/>
              </w:rPr>
              <w:t>pour la fabrication de batteries rechargeables des véhicules à moteur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8507 60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Modules rectangulaires au lithium-ion constitutifs de batteries d’accumulateurs électriques lithium-ion rechargeables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300 mm ou plus mais n'excédant pas 350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79,8 mm ou plus mais n'excédant pas 225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de 35 mm ou plus mais n'excédant pas 168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de 3,95 kg ou plus mais n'excédant pas 8,85 kg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capacité nominale de 66,6 Ah ou plus mais n'excédant  pas 129 Ah </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8507 90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Plaque découpée dans une feuille de cuivre plaquée de nickel,</w:t>
            </w:r>
          </w:p>
          <w:tbl>
            <w:tblPr>
              <w:tblStyle w:val="Listdash"/>
              <w:tblW w:w="0" w:type="auto"/>
              <w:tblLook w:val="0000" w:firstRow="0" w:lastRow="0" w:firstColumn="0" w:lastColumn="0" w:noHBand="0" w:noVBand="0"/>
            </w:tblPr>
            <w:tblGrid>
              <w:gridCol w:w="220"/>
              <w:gridCol w:w="29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70 mm (± 5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0,4 mm (± 0,2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inférieure ou égale à 55 mm,</w:t>
                  </w:r>
                </w:p>
              </w:tc>
            </w:tr>
          </w:tbl>
          <w:p>
            <w:pPr>
              <w:pStyle w:val="Paragraph"/>
              <w:rPr>
                <w:noProof/>
                <w:lang w:val="fr-BE"/>
              </w:rPr>
            </w:pPr>
            <w:r>
              <w:rPr>
                <w:noProof/>
                <w:lang w:val="fr-BE"/>
              </w:rPr>
              <w:t>destinée à la fabrication de batteries lithium-ion devant équiper des véhicules électriques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8508 70 00</w:t>
            </w:r>
          </w:p>
          <w:p>
            <w:pPr>
              <w:pStyle w:val="Paragraph"/>
              <w:rPr>
                <w:noProof/>
              </w:rPr>
            </w:pPr>
            <w:r>
              <w:rPr>
                <w:noProof/>
              </w:rPr>
              <w:t>ex 8537 10 98</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96</w:t>
            </w:r>
          </w:p>
        </w:tc>
        <w:tc>
          <w:tcPr>
            <w:tcW w:w="0" w:type="auto"/>
            <w:vMerge w:val="restart"/>
            <w:tcBorders>
              <w:left w:val="single" w:sz="2" w:space="0" w:color="auto"/>
            </w:tcBorders>
          </w:tcPr>
          <w:p>
            <w:pPr>
              <w:pStyle w:val="Paragraph"/>
              <w:rPr>
                <w:noProof/>
                <w:lang w:val="fr-BE"/>
              </w:rPr>
            </w:pPr>
            <w:r>
              <w:rPr>
                <w:noProof/>
                <w:lang w:val="fr-BE"/>
              </w:rPr>
              <w:t>Circuit électronique sans boîtier destiné à mettre en marche et à commander des brosses d’aspirateurs, alimenté par un moteur dont la puissance n’excède pas 300W</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8508 70 00</w:t>
            </w:r>
          </w:p>
          <w:p>
            <w:pPr>
              <w:pStyle w:val="Paragraph"/>
              <w:rPr>
                <w:noProof/>
              </w:rPr>
            </w:pPr>
            <w:r>
              <w:rPr>
                <w:noProof/>
              </w:rPr>
              <w:t>ex 8537 10 98</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98</w:t>
            </w:r>
          </w:p>
        </w:tc>
        <w:tc>
          <w:tcPr>
            <w:tcW w:w="0" w:type="auto"/>
            <w:vMerge w:val="restart"/>
            <w:tcBorders>
              <w:left w:val="single" w:sz="2" w:space="0" w:color="auto"/>
            </w:tcBorders>
          </w:tcPr>
          <w:p>
            <w:pPr>
              <w:pStyle w:val="Paragraph"/>
              <w:rPr>
                <w:noProof/>
              </w:rPr>
            </w:pPr>
            <w:r>
              <w:rPr>
                <w:noProof/>
              </w:rPr>
              <w:t>Cartes de circuits électroniques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raccordées entre elles ainsi qu’à la carte de commande de moteur par liaison filaire ou par radiofréquence, et qui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régulent le fonctionnement (marche/arrêt et force d’aspiration) des aspirateurs conformément à un programme enregistré,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munies ou non d’indicateurs donnant des informations sur le fonctionnement de l’aspirateur (force d’aspiration et/ou indicateur de sac plein et/ou de filtre saturé)</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8511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Assemblage de bobines à allumage intégré, avec:</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 allumeur,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assemblage de bobines d'allumage avec un support de fixation intégré,</w:t>
                  </w:r>
                </w:p>
              </w:tc>
            </w:tr>
            <w:tr>
              <w:tc>
                <w:tcPr>
                  <w:tcW w:w="0" w:type="auto"/>
                </w:tcPr>
                <w:p>
                  <w:pPr>
                    <w:pStyle w:val="Paragraph"/>
                    <w:rPr>
                      <w:noProof/>
                    </w:rPr>
                  </w:pPr>
                  <w:r>
                    <w:rPr>
                      <w:noProof/>
                    </w:rPr>
                    <w:t>—</w:t>
                  </w:r>
                </w:p>
              </w:tc>
              <w:tc>
                <w:tcPr>
                  <w:tcW w:w="0" w:type="auto"/>
                </w:tcPr>
                <w:p>
                  <w:pPr>
                    <w:pStyle w:val="Paragraph"/>
                    <w:rPr>
                      <w:noProof/>
                    </w:rPr>
                  </w:pPr>
                  <w:r>
                    <w:rPr>
                      <w:noProof/>
                    </w:rPr>
                    <w:t>un boîtier,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90 mm ou plus mais n'excédant pas 200 mm (± 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température de fonctionnement de -40 °C ou plus mais n’excédant pas +130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10,5 V ou plus mais n'excédantpas 16 V</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8511 30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Bobine d’allumage: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50 mm ou plus, mais pas plus de 200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température de fonctionnement de - 40 °C ou plus mais pas plus de + 140 °C,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de fonctionnement de 9 V ou plus mais pas plus de 16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câble de raccordement,</w:t>
                  </w:r>
                </w:p>
              </w:tc>
            </w:tr>
          </w:tbl>
          <w:p>
            <w:pPr>
              <w:pStyle w:val="Paragraph"/>
              <w:rPr>
                <w:noProof/>
                <w:lang w:val="fr-BE"/>
              </w:rPr>
            </w:pPr>
            <w:r>
              <w:rPr>
                <w:noProof/>
                <w:lang w:val="fr-BE"/>
              </w:rPr>
              <w:t>utilisé dans la construction de véhicules automobiles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8511 80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Bougie de préchauffage pour moteurs diesel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température de fonctionnement supérieure à 800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égale ou supérieure à 5 V mais n'excédant pas 16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tige de préchauffage contenant du nitrure de silicium (Si</w:t>
                  </w:r>
                  <w:r>
                    <w:rPr>
                      <w:noProof/>
                      <w:vertAlign w:val="subscript"/>
                      <w:lang w:val="fr-BE"/>
                    </w:rPr>
                    <w:t>3</w:t>
                  </w:r>
                  <w:r>
                    <w:rPr>
                      <w:noProof/>
                      <w:lang w:val="fr-BE"/>
                    </w:rPr>
                    <w:t>N</w:t>
                  </w:r>
                  <w:r>
                    <w:rPr>
                      <w:noProof/>
                      <w:vertAlign w:val="subscript"/>
                      <w:lang w:val="fr-BE"/>
                    </w:rPr>
                    <w:t>4</w:t>
                  </w:r>
                  <w:r>
                    <w:rPr>
                      <w:noProof/>
                      <w:lang w:val="fr-BE"/>
                    </w:rPr>
                    <w:t>) et du disiliciure de molybdène (MoSi</w:t>
                  </w:r>
                  <w:r>
                    <w:rPr>
                      <w:noProof/>
                      <w:vertAlign w:val="subscript"/>
                      <w:lang w:val="fr-BE"/>
                    </w:rPr>
                    <w:t>2</w:t>
                  </w:r>
                  <w:r>
                    <w:rPr>
                      <w:noProof/>
                      <w:lang w:val="fr-BE"/>
                    </w:rPr>
                    <w:t>),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boîtier métallique</w:t>
                  </w:r>
                </w:p>
              </w:tc>
            </w:tr>
          </w:tbl>
          <w:p>
            <w:pPr>
              <w:pStyle w:val="Paragraph"/>
              <w:rPr>
                <w:noProof/>
                <w:lang w:val="fr-BE"/>
              </w:rPr>
            </w:pPr>
            <w:r>
              <w:rPr>
                <w:noProof/>
                <w:lang w:val="fr-BE"/>
              </w:rPr>
              <w:t>destinée à la fabrication de moteurs diesel de véhicules à moteur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8512 20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Écran d'information affichant au moins l'heure, la date et l'état des dispositifs de sécurité du véhicule, d'une tension de fonctionnement de 12 V au minimum, mais non supérieure à 14,4 V, du type utilisé dans la fabrication de marchandises relevant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8512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Module d'éclairage, essentiellement composé de: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deux DEL,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lentilles en verre ou en matière plastique qui focalisent/dispersent la lumière émise par les DEL,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réflecteurs qui redirigent la lumière émise par les DEL,</w:t>
                  </w:r>
                </w:p>
              </w:tc>
            </w:tr>
          </w:tbl>
          <w:p>
            <w:pPr>
              <w:pStyle w:val="Paragraph"/>
              <w:rPr>
                <w:noProof/>
                <w:lang w:val="fr-BE"/>
              </w:rPr>
            </w:pPr>
            <w:r>
              <w:rPr>
                <w:noProof/>
                <w:lang w:val="fr-BE"/>
              </w:rPr>
              <w:t>dans un boîtier en aluminium contenant également un radiateur, monté sur un support et doté d'un actionneur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8512 20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 xml:space="preserve">Phare antibrouillard galvanisé sur la face intérieure, comprenant: </w:t>
            </w:r>
          </w:p>
          <w:tbl>
            <w:tblPr>
              <w:tblStyle w:val="Listdash"/>
              <w:tblW w:w="0" w:type="auto"/>
              <w:tblLook w:val="0000" w:firstRow="0" w:lastRow="0" w:firstColumn="0" w:lastColumn="0" w:noHBand="0" w:noVBand="0"/>
            </w:tblPr>
            <w:tblGrid>
              <w:gridCol w:w="220"/>
              <w:gridCol w:w="429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support en plastique muni d'au moins trois attaches de fixation,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une ampoule de 12 V</w:t>
                  </w:r>
                </w:p>
              </w:tc>
            </w:tr>
            <w:tr>
              <w:tc>
                <w:tcPr>
                  <w:tcW w:w="0" w:type="auto"/>
                </w:tcPr>
                <w:p>
                  <w:pPr>
                    <w:pStyle w:val="Paragraph"/>
                    <w:rPr>
                      <w:noProof/>
                    </w:rPr>
                  </w:pPr>
                  <w:r>
                    <w:rPr>
                      <w:noProof/>
                    </w:rPr>
                    <w:t>—</w:t>
                  </w:r>
                </w:p>
              </w:tc>
              <w:tc>
                <w:tcPr>
                  <w:tcW w:w="0" w:type="auto"/>
                </w:tcPr>
                <w:p>
                  <w:pPr>
                    <w:pStyle w:val="Paragraph"/>
                    <w:rPr>
                      <w:noProof/>
                    </w:rPr>
                  </w:pPr>
                  <w:r>
                    <w:rPr>
                      <w:noProof/>
                    </w:rPr>
                    <w:t>un connecteur,</w:t>
                  </w:r>
                </w:p>
              </w:tc>
            </w:tr>
            <w:tr>
              <w:tc>
                <w:tcPr>
                  <w:tcW w:w="0" w:type="auto"/>
                </w:tcPr>
                <w:p>
                  <w:pPr>
                    <w:pStyle w:val="Paragraph"/>
                    <w:rPr>
                      <w:noProof/>
                    </w:rPr>
                  </w:pPr>
                  <w:r>
                    <w:rPr>
                      <w:noProof/>
                    </w:rPr>
                    <w:t>—</w:t>
                  </w:r>
                </w:p>
              </w:tc>
              <w:tc>
                <w:tcPr>
                  <w:tcW w:w="0" w:type="auto"/>
                </w:tcPr>
                <w:p>
                  <w:pPr>
                    <w:pStyle w:val="Paragraph"/>
                    <w:rPr>
                      <w:noProof/>
                    </w:rPr>
                  </w:pPr>
                  <w:r>
                    <w:rPr>
                      <w:noProof/>
                    </w:rPr>
                    <w:t>un couvercle en plastique,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câble de raccordement,</w:t>
                  </w:r>
                </w:p>
              </w:tc>
            </w:tr>
          </w:tbl>
          <w:p>
            <w:pPr>
              <w:pStyle w:val="Paragraph"/>
              <w:rPr>
                <w:noProof/>
                <w:lang w:val="fr-BE"/>
              </w:rPr>
            </w:pPr>
            <w:r>
              <w:rPr>
                <w:noProof/>
                <w:lang w:val="fr-BE"/>
              </w:rPr>
              <w:t>utilisé dans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8512 30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Avertisseur sonore assemblé fonctionnant selon un principe piézo-mécanique en vue de générer un signal sonore spécifique, d'une tension de 12 V, comprenant:</w:t>
            </w:r>
          </w:p>
          <w:tbl>
            <w:tblPr>
              <w:tblStyle w:val="Listdash"/>
              <w:tblW w:w="0" w:type="auto"/>
              <w:tblLook w:val="0000" w:firstRow="0" w:lastRow="0" w:firstColumn="0" w:lastColumn="0" w:noHBand="0" w:noVBand="0"/>
            </w:tblPr>
            <w:tblGrid>
              <w:gridCol w:w="220"/>
              <w:gridCol w:w="4202"/>
            </w:tblGrid>
            <w:tr>
              <w:tc>
                <w:tcPr>
                  <w:tcW w:w="0" w:type="auto"/>
                </w:tcPr>
                <w:p>
                  <w:pPr>
                    <w:pStyle w:val="Paragraph"/>
                    <w:rPr>
                      <w:noProof/>
                    </w:rPr>
                  </w:pPr>
                  <w:r>
                    <w:rPr>
                      <w:noProof/>
                    </w:rPr>
                    <w:t>—</w:t>
                  </w:r>
                </w:p>
              </w:tc>
              <w:tc>
                <w:tcPr>
                  <w:tcW w:w="0" w:type="auto"/>
                </w:tcPr>
                <w:p>
                  <w:pPr>
                    <w:pStyle w:val="Paragraph"/>
                    <w:rPr>
                      <w:noProof/>
                    </w:rPr>
                  </w:pPr>
                  <w:r>
                    <w:rPr>
                      <w:noProof/>
                    </w:rPr>
                    <w:t>une bobine,</w:t>
                  </w:r>
                </w:p>
              </w:tc>
            </w:tr>
            <w:tr>
              <w:tc>
                <w:tcPr>
                  <w:tcW w:w="0" w:type="auto"/>
                </w:tcPr>
                <w:p>
                  <w:pPr>
                    <w:pStyle w:val="Paragraph"/>
                    <w:rPr>
                      <w:noProof/>
                    </w:rPr>
                  </w:pPr>
                  <w:r>
                    <w:rPr>
                      <w:noProof/>
                    </w:rPr>
                    <w:t>—</w:t>
                  </w:r>
                </w:p>
              </w:tc>
              <w:tc>
                <w:tcPr>
                  <w:tcW w:w="0" w:type="auto"/>
                </w:tcPr>
                <w:p>
                  <w:pPr>
                    <w:pStyle w:val="Paragraph"/>
                    <w:rPr>
                      <w:noProof/>
                    </w:rPr>
                  </w:pPr>
                  <w:r>
                    <w:rPr>
                      <w:noProof/>
                    </w:rPr>
                    <w:t>un aimant,</w:t>
                  </w:r>
                </w:p>
              </w:tc>
            </w:tr>
            <w:tr>
              <w:tc>
                <w:tcPr>
                  <w:tcW w:w="0" w:type="auto"/>
                </w:tcPr>
                <w:p>
                  <w:pPr>
                    <w:pStyle w:val="Paragraph"/>
                    <w:rPr>
                      <w:noProof/>
                    </w:rPr>
                  </w:pPr>
                  <w:r>
                    <w:rPr>
                      <w:noProof/>
                    </w:rPr>
                    <w:t>—</w:t>
                  </w:r>
                </w:p>
              </w:tc>
              <w:tc>
                <w:tcPr>
                  <w:tcW w:w="0" w:type="auto"/>
                </w:tcPr>
                <w:p>
                  <w:pPr>
                    <w:pStyle w:val="Paragraph"/>
                    <w:rPr>
                      <w:noProof/>
                    </w:rPr>
                  </w:pPr>
                  <w:r>
                    <w:rPr>
                      <w:noProof/>
                    </w:rPr>
                    <w:t>une membrane métallique,</w:t>
                  </w:r>
                </w:p>
              </w:tc>
            </w:tr>
            <w:tr>
              <w:tc>
                <w:tcPr>
                  <w:tcW w:w="0" w:type="auto"/>
                </w:tcPr>
                <w:p>
                  <w:pPr>
                    <w:pStyle w:val="Paragraph"/>
                    <w:rPr>
                      <w:noProof/>
                    </w:rPr>
                  </w:pPr>
                  <w:r>
                    <w:rPr>
                      <w:noProof/>
                    </w:rPr>
                    <w:t>—</w:t>
                  </w:r>
                </w:p>
              </w:tc>
              <w:tc>
                <w:tcPr>
                  <w:tcW w:w="0" w:type="auto"/>
                </w:tcPr>
                <w:p>
                  <w:pPr>
                    <w:pStyle w:val="Paragraph"/>
                    <w:rPr>
                      <w:noProof/>
                    </w:rPr>
                  </w:pPr>
                  <w:r>
                    <w:rPr>
                      <w:noProof/>
                    </w:rPr>
                    <w:t>un connecteur,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support destiné à être intégré dans des véhicules automobiles,</w:t>
                  </w:r>
                </w:p>
              </w:tc>
            </w:tr>
          </w:tbl>
          <w:p>
            <w:pPr>
              <w:pStyle w:val="Paragraph"/>
              <w:rPr>
                <w:noProof/>
                <w:lang w:val="fr-BE"/>
              </w:rPr>
            </w:pPr>
            <w:r>
              <w:rPr>
                <w:noProof/>
                <w:lang w:val="fr-BE"/>
              </w:rPr>
              <w:t>du type utilisé dans la fabrication de marchandises relevant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8512 30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Avertisseur sonore pour capteurs d'aide au stationnement, logé dans un boîtier en plastique, fonctionnant selon un principe piézo-mécanique et comprenant:</w:t>
            </w:r>
          </w:p>
          <w:tbl>
            <w:tblPr>
              <w:tblStyle w:val="Listdash"/>
              <w:tblW w:w="0" w:type="auto"/>
              <w:tblLook w:val="0000" w:firstRow="0" w:lastRow="0" w:firstColumn="0" w:lastColumn="0" w:noHBand="0" w:noVBand="0"/>
            </w:tblPr>
            <w:tblGrid>
              <w:gridCol w:w="220"/>
              <w:gridCol w:w="3259"/>
            </w:tblGrid>
            <w:tr>
              <w:tc>
                <w:tcPr>
                  <w:tcW w:w="0" w:type="auto"/>
                </w:tcPr>
                <w:p>
                  <w:pPr>
                    <w:pStyle w:val="Paragraph"/>
                    <w:rPr>
                      <w:noProof/>
                    </w:rPr>
                  </w:pPr>
                  <w:r>
                    <w:rPr>
                      <w:noProof/>
                    </w:rPr>
                    <w:t>—</w:t>
                  </w:r>
                </w:p>
              </w:tc>
              <w:tc>
                <w:tcPr>
                  <w:tcW w:w="0" w:type="auto"/>
                </w:tcPr>
                <w:p>
                  <w:pPr>
                    <w:pStyle w:val="Paragraph"/>
                    <w:rPr>
                      <w:noProof/>
                    </w:rPr>
                  </w:pPr>
                  <w:r>
                    <w:rPr>
                      <w:noProof/>
                    </w:rPr>
                    <w:t>un circuit imprimé;</w:t>
                  </w:r>
                </w:p>
              </w:tc>
            </w:tr>
            <w:tr>
              <w:tc>
                <w:tcPr>
                  <w:tcW w:w="0" w:type="auto"/>
                </w:tcPr>
                <w:p>
                  <w:pPr>
                    <w:pStyle w:val="Paragraph"/>
                    <w:rPr>
                      <w:noProof/>
                    </w:rPr>
                  </w:pPr>
                  <w:r>
                    <w:rPr>
                      <w:noProof/>
                    </w:rPr>
                    <w:t>—</w:t>
                  </w:r>
                </w:p>
              </w:tc>
              <w:tc>
                <w:tcPr>
                  <w:tcW w:w="0" w:type="auto"/>
                </w:tcPr>
                <w:p>
                  <w:pPr>
                    <w:pStyle w:val="Paragraph"/>
                    <w:rPr>
                      <w:noProof/>
                    </w:rPr>
                  </w:pPr>
                  <w:r>
                    <w:rPr>
                      <w:noProof/>
                    </w:rPr>
                    <w:t>un connecteur;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support de fixation métallique (le cas échéant),</w:t>
                  </w:r>
                </w:p>
              </w:tc>
            </w:tr>
          </w:tbl>
          <w:p>
            <w:pPr>
              <w:pStyle w:val="Paragraph"/>
              <w:rPr>
                <w:noProof/>
                <w:lang w:val="fr-BE"/>
              </w:rPr>
            </w:pPr>
            <w:r>
              <w:rPr>
                <w:noProof/>
                <w:lang w:val="fr-BE"/>
              </w:rPr>
              <w:t>du type utilisé dans la fabrication de marchandises relevant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8512 30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Dispositif d’alarme sonore pour la protection contre le vol dans le véhicule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température de fonctionnement de - 45 °C ou plus mais n’excédant pas + 95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de fonctionnement de 9 V ou plus mais n'excédant pas 16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un boîtier en matière plastique,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 ou non d’un support de fixation métallique,</w:t>
                  </w:r>
                </w:p>
              </w:tc>
            </w:tr>
          </w:tbl>
          <w:p>
            <w:pPr>
              <w:pStyle w:val="Paragraph"/>
              <w:rPr>
                <w:noProof/>
                <w:lang w:val="fr-BE"/>
              </w:rPr>
            </w:pPr>
            <w:r>
              <w:rPr>
                <w:noProof/>
                <w:lang w:val="fr-BE"/>
              </w:rPr>
              <w:t>utilisé dans la construction de véhicules à moteur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w:t>
            </w:r>
            <w:r>
              <w:rPr>
                <w:noProof/>
              </w:rPr>
              <w:t>ex 8512 40 00</w:t>
            </w:r>
          </w:p>
          <w:p>
            <w:pPr>
              <w:pStyle w:val="Paragraph"/>
              <w:rPr>
                <w:noProof/>
              </w:rPr>
            </w:pPr>
            <w:r>
              <w:rPr>
                <w:noProof/>
              </w:rPr>
              <w:t>ex 8516 80 20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Feuille chauffante pour rétroviseurs de voitures: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munie de deux contacts électriques,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dotée d'une couche adhésive sur ses deux faces (du côté intérieur du rétroviseur et du côté du miroir),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recouverte d'un film protecteur en papier sur ses deux faces</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noProof/>
              </w:rPr>
              <w:t>ex 8514 20 80</w:t>
            </w:r>
          </w:p>
          <w:p>
            <w:pPr>
              <w:pStyle w:val="Paragraph"/>
              <w:rPr>
                <w:noProof/>
              </w:rPr>
            </w:pPr>
            <w:r>
              <w:rPr>
                <w:noProof/>
              </w:rPr>
              <w:t>ex 8516 50 00</w:t>
            </w:r>
          </w:p>
          <w:p>
            <w:pPr>
              <w:pStyle w:val="Paragraph"/>
              <w:rPr>
                <w:noProof/>
              </w:rPr>
            </w:pPr>
            <w:r>
              <w:rPr>
                <w:noProof/>
              </w:rPr>
              <w:t>ex 8516 60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rPr>
            </w:pPr>
            <w:r>
              <w:rPr>
                <w:noProof/>
              </w:rPr>
              <w:t>Enceinte comprenant au moins: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transformateur avec une tension d’entrée maximale de 240 V et une puissance de sortie maximale de 3 000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moteur de ventilation c.a./c.c. avec une puissance de sortie maximale de 42 watts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boîtier en acier inoxydable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magnétron d’une puissance de sortie de micro-ondes n’excédant pas 900 watts</w:t>
                  </w:r>
                </w:p>
              </w:tc>
            </w:tr>
          </w:tbl>
          <w:p>
            <w:pPr>
              <w:pStyle w:val="Paragraph"/>
              <w:rPr>
                <w:noProof/>
                <w:lang w:val="fr-BE"/>
              </w:rPr>
            </w:pPr>
            <w:r>
              <w:rPr>
                <w:noProof/>
                <w:lang w:val="fr-BE"/>
              </w:rPr>
              <w:t>utilisée dans la fabrication de produits encastrés des n</w:t>
            </w:r>
            <w:r>
              <w:rPr>
                <w:noProof/>
                <w:vertAlign w:val="superscript"/>
                <w:lang w:val="fr-BE"/>
              </w:rPr>
              <w:t>os</w:t>
            </w:r>
            <w:r>
              <w:rPr>
                <w:noProof/>
                <w:lang w:val="fr-BE"/>
              </w:rPr>
              <w:t xml:space="preserve"> 8514 2080, 8516 5000 et 8516 6080</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noProof/>
              </w:rPr>
              <w:t>ex 8516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Sous ensemble ventilation d’une friteuse électrique</w:t>
            </w:r>
          </w:p>
          <w:tbl>
            <w:tblPr>
              <w:tblStyle w:val="Listdash"/>
              <w:tblW w:w="0" w:type="auto"/>
              <w:tblLook w:val="0000" w:firstRow="0" w:lastRow="0" w:firstColumn="0" w:lastColumn="0" w:noHBand="0" w:noVBand="0"/>
            </w:tblPr>
            <w:tblGrid>
              <w:gridCol w:w="220"/>
              <w:gridCol w:w="403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 moteur d’une puissance de 8 W à 4 600 rpm,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piloté par une carte électronique,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travaillant à des températures ambiantes supérieures à 110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 d’un thermostat de régulation</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8516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Cuve: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comportant des orifices latéraux et un orifice central,</w:t>
                  </w:r>
                </w:p>
              </w:tc>
            </w:tr>
            <w:tr>
              <w:tc>
                <w:tcPr>
                  <w:tcW w:w="0" w:type="auto"/>
                </w:tcPr>
                <w:p>
                  <w:pPr>
                    <w:pStyle w:val="Paragraph"/>
                    <w:rPr>
                      <w:noProof/>
                    </w:rPr>
                  </w:pPr>
                  <w:r>
                    <w:rPr>
                      <w:noProof/>
                    </w:rPr>
                    <w:t>—</w:t>
                  </w:r>
                </w:p>
              </w:tc>
              <w:tc>
                <w:tcPr>
                  <w:tcW w:w="0" w:type="auto"/>
                </w:tcPr>
                <w:p>
                  <w:pPr>
                    <w:pStyle w:val="Paragraph"/>
                    <w:rPr>
                      <w:noProof/>
                    </w:rPr>
                  </w:pPr>
                  <w:r>
                    <w:rPr>
                      <w:noProof/>
                    </w:rPr>
                    <w:t>constitué d'aluminium recuit,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revêtement en céramique résistant à haute température de plus de 200° C</w:t>
                  </w:r>
                </w:p>
              </w:tc>
            </w:tr>
          </w:tbl>
          <w:p>
            <w:pPr>
              <w:pStyle w:val="Paragraph"/>
              <w:rPr>
                <w:noProof/>
                <w:lang w:val="fr-BE"/>
              </w:rPr>
            </w:pPr>
            <w:r>
              <w:rPr>
                <w:noProof/>
                <w:lang w:val="fr-BE"/>
              </w:rPr>
              <w:t>destinée à la fabrication de friteuse électrique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8516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Bloc-porte comprenant un élément d’étanchéité capacitif et un piège à ondes, du type utilisé dans la fabrication de produits encastrables des positions 8514 2080, 8516 5000 et 8516 6080</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8518 29 95</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Haut-parleurs: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impédance de 3 Ω ou plus mais n’excédant pas 16 Ω,</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nominale de 2 W ou plus mais n’excédant pas 20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arc plastique,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câble équipé de connecteurs,</w:t>
                  </w:r>
                </w:p>
              </w:tc>
            </w:tr>
          </w:tbl>
          <w:p>
            <w:pPr>
              <w:pStyle w:val="Paragraph"/>
              <w:rPr>
                <w:noProof/>
                <w:lang w:val="fr-BE"/>
              </w:rPr>
            </w:pPr>
            <w:r>
              <w:rPr>
                <w:noProof/>
                <w:lang w:val="fr-BE"/>
              </w:rPr>
              <w:t>du type utilisé pour la fabrication de postes de télévision et de moniteurs vidéo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8518 29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Haut-parleur</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impédance d'1,5 ohm ou plus, mais n'excédant pas 10 ohms,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25 mm ou plus, mais n'excédant pas 80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gamme de fréquences comprise entre 150 Hz et 20 kHz,</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nominale minimale de 5W, mais n'excédant pas 40W,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 ou non d'un câble électrique avec connecteur,</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même équipé d'un support</w:t>
                  </w:r>
                </w:p>
              </w:tc>
            </w:tr>
          </w:tbl>
          <w:p>
            <w:pPr>
              <w:pStyle w:val="Paragraph"/>
              <w:rPr>
                <w:noProof/>
                <w:lang w:val="fr-BE"/>
              </w:rPr>
            </w:pPr>
            <w:r>
              <w:rPr>
                <w:noProof/>
                <w:lang w:val="fr-BE"/>
              </w:rPr>
              <w:t>utilisé dans la fabrication des marchandises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8518 30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Écouteur pour appareils auditifs contenu dans un boîtier dont les dimensions extérieures mesurées compte non tenu des raccords n’excèdent pas 5 mm × 6 mm × 8 mm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8518 40 80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Sous-ensemble de circuit imprimé, comprenant le décodage du signal audio numérique, le traitement du signal audio et son amplification avec possibilités à 2 canaux et/ou multicanaux</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8518 40 80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fr-BE"/>
              </w:rPr>
            </w:pPr>
            <w:r>
              <w:rPr>
                <w:noProof/>
                <w:lang w:val="fr-BE"/>
              </w:rPr>
              <w:t>Sous-ensemble de carte de circuits imprimés, comprenant des circuits d’alimentation électrique, d’égalisation dynamique et d’amplification de puissance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8518 40 80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fr-BE"/>
              </w:rPr>
            </w:pPr>
            <w:r>
              <w:rPr>
                <w:noProof/>
                <w:lang w:val="fr-BE"/>
              </w:rPr>
              <w:t>Amplificateur audio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une puissance de 50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alimentation électrique supérieure à 9 V mais n’excédant pas 16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impédance électrique n’excédant pas 4 Ohm,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sensibilité supérieure à 80 dB,</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dans un boîtier métallique</w:t>
                  </w:r>
                </w:p>
              </w:tc>
            </w:tr>
          </w:tbl>
          <w:p>
            <w:pPr>
              <w:pStyle w:val="Paragraph"/>
              <w:rPr>
                <w:noProof/>
                <w:lang w:val="fr-BE"/>
              </w:rPr>
            </w:pPr>
            <w:r>
              <w:rPr>
                <w:noProof/>
                <w:lang w:val="fr-BE"/>
              </w:rPr>
              <w:t>utilisé dans la construction de véhicules à moteur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Système d'aimant constitué des éléments suivants: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plaque noyau en acier, sous forme d'un disque muni sur un côté d'un cylindre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aimant en néodyme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une plaque supérieure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une plaque inférieure</w:t>
                  </w:r>
                </w:p>
              </w:tc>
            </w:tr>
          </w:tbl>
          <w:p>
            <w:pPr>
              <w:pStyle w:val="Paragraph"/>
              <w:rPr>
                <w:noProof/>
                <w:lang w:val="fr-BE"/>
              </w:rPr>
            </w:pPr>
            <w:r>
              <w:rPr>
                <w:noProof/>
                <w:lang w:val="fr-BE"/>
              </w:rPr>
              <w:t>du type utilisé dans les haut-parleurs de voitures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Plaque métallique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en acier,</w:t>
                  </w:r>
                </w:p>
              </w:tc>
            </w:tr>
            <w:tr>
              <w:tc>
                <w:tcPr>
                  <w:tcW w:w="0" w:type="auto"/>
                </w:tcPr>
                <w:p>
                  <w:pPr>
                    <w:pStyle w:val="Paragraph"/>
                    <w:rPr>
                      <w:noProof/>
                    </w:rPr>
                  </w:pPr>
                  <w:r>
                    <w:rPr>
                      <w:noProof/>
                    </w:rPr>
                    <w:t>—</w:t>
                  </w:r>
                </w:p>
              </w:tc>
              <w:tc>
                <w:tcPr>
                  <w:tcW w:w="0" w:type="auto"/>
                </w:tcPr>
                <w:p>
                  <w:pPr>
                    <w:pStyle w:val="Paragraph"/>
                    <w:rPr>
                      <w:noProof/>
                    </w:rPr>
                  </w:pPr>
                  <w:r>
                    <w:rPr>
                      <w:noProof/>
                    </w:rPr>
                    <w:t>perforée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mesurant 60,30 mm (+0,00 mm / - 0,40 mm) x 15,5 mm (+0,00 mm / - 0,40 mm) x 4,40 mm (± 0,05 mm)</w:t>
                  </w:r>
                </w:p>
              </w:tc>
            </w:tr>
          </w:tbl>
          <w:p>
            <w:pPr>
              <w:pStyle w:val="Paragraph"/>
              <w:rPr>
                <w:noProof/>
                <w:lang w:val="fr-BE"/>
              </w:rPr>
            </w:pPr>
            <w:r>
              <w:rPr>
                <w:noProof/>
                <w:lang w:val="fr-BE"/>
              </w:rPr>
              <w:t>utilisée pour la fabrication des radiateurs passifs des hauts-parleurs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Cône de haut-parleur, fabriqué en pâte à papier ou en polypropylène, avec cache-poussière, du type utilisé dans les haut-parleurs de voitures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Diaphragme de haut-parleur à électroaimant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extérieur égal ou supérieur à 25 mm, mais n'excédant pas 250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fréquence de résonance égale ou supérieure à 20 Hz ou plus, mais n’excédant pas 150 Hz,</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totale égale ou supérieure à 5 mm, mais n'excédant pas 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bord égale ou supérieure à 0,1 mm, mais n'excédant pas 3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Plaque supérieure d'un système d’aimant pour haut-parleur intégralement en acier plaqué, poinçonné et estampé, qui se présente sous la forme d'un disque, comportant ou non un trou au centre, du type utilisé dans les haut-parleurs de voitures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8518 90 00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Protection intégrée pour haut-parleurs de voiture constituée: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armature pour haut-parleur et d'un  support de système d'aimants avec enveloppe protectrice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tissu anti-poussière gaufré</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8521 90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Enregistreur vidéo numérique: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sans disque dur,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DVD-RW,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détecteur de mouvements ou fonction de détection de mouvements associée à une connectivité IP via un réseau local (LAN),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port série USB,</w:t>
                  </w:r>
                </w:p>
              </w:tc>
            </w:tr>
          </w:tbl>
          <w:p>
            <w:pPr>
              <w:pStyle w:val="Paragraph"/>
              <w:rPr>
                <w:noProof/>
                <w:lang w:val="fr-BE"/>
              </w:rPr>
            </w:pPr>
            <w:r>
              <w:rPr>
                <w:noProof/>
                <w:lang w:val="fr-BE"/>
              </w:rPr>
              <w:t>utilisé dans la fabrication de système de surveillance par télévision en circuit fermé (CCTV)</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10</w:t>
            </w:r>
          </w:p>
          <w:p>
            <w:pPr>
              <w:pStyle w:val="Paragraph"/>
              <w:jc w:val="center"/>
              <w:rPr>
                <w:noProof/>
              </w:rPr>
            </w:pPr>
            <w:r>
              <w:rPr>
                <w:noProof/>
              </w:rPr>
              <w:t>25</w:t>
            </w:r>
          </w:p>
        </w:tc>
        <w:tc>
          <w:tcPr>
            <w:tcW w:w="0" w:type="auto"/>
            <w:vMerge w:val="restart"/>
            <w:tcBorders>
              <w:left w:val="single" w:sz="2" w:space="0" w:color="auto"/>
            </w:tcBorders>
          </w:tcPr>
          <w:p>
            <w:pPr>
              <w:pStyle w:val="Paragraph"/>
              <w:rPr>
                <w:noProof/>
                <w:lang w:val="fr-BE"/>
              </w:rPr>
            </w:pPr>
            <w:r>
              <w:rPr>
                <w:noProof/>
                <w:lang w:val="fr-BE"/>
              </w:rPr>
              <w:t>Circuit imprimé assemblé «PCBA»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syntoniseur radio (assurant la réception et la transformation de signaux radio et leur transmission aux autres composants du circuit) sans fonction de traitement du signal,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microprocesseur pouvant recevoir des signaux de télécommande et contrôler le jeu de puces du syntoniseur,</w:t>
                  </w:r>
                </w:p>
              </w:tc>
            </w:tr>
          </w:tbl>
          <w:p>
            <w:pPr>
              <w:pStyle w:val="Paragraph"/>
              <w:rPr>
                <w:noProof/>
                <w:lang w:val="fr-BE"/>
              </w:rPr>
            </w:pPr>
            <w:r>
              <w:rPr>
                <w:noProof/>
                <w:lang w:val="fr-BE"/>
              </w:rPr>
              <w:t>utilisé dans la fabrication de systèmes de divertissement à domicile</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0" w:type="auto"/>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20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Sous-ensemble de circuit imprimé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syntoniseur radio assurant la réception et la transformation de signaux radio et leur transmission aux autres composants du circuit, avec un décodeur de signal,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émetteur-récepteur RF de télécommande,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émetteur infrarouge pour signaux de télécommande,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générateur de signal SCART,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capteur d’état de téléviseur,</w:t>
                  </w:r>
                </w:p>
              </w:tc>
            </w:tr>
          </w:tbl>
          <w:p>
            <w:pPr>
              <w:pStyle w:val="Paragraph"/>
              <w:rPr>
                <w:noProof/>
                <w:lang w:val="fr-BE"/>
              </w:rPr>
            </w:pPr>
            <w:r>
              <w:rPr>
                <w:noProof/>
                <w:lang w:val="fr-BE"/>
              </w:rPr>
              <w:t>utilisé dans la fabrication de systèmes de divertissement à domicile</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8522 90 80</w:t>
            </w:r>
          </w:p>
          <w:p>
            <w:pPr>
              <w:pStyle w:val="Paragraph"/>
              <w:rPr>
                <w:noProof/>
              </w:rPr>
            </w:pPr>
            <w:r>
              <w:rPr>
                <w:noProof/>
              </w:rPr>
              <w:t>ex 8529 90 92</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57</w:t>
            </w:r>
          </w:p>
        </w:tc>
        <w:tc>
          <w:tcPr>
            <w:tcW w:w="0" w:type="auto"/>
            <w:vMerge w:val="restart"/>
            <w:tcBorders>
              <w:left w:val="single" w:sz="2" w:space="0" w:color="auto"/>
            </w:tcBorders>
          </w:tcPr>
          <w:p>
            <w:pPr>
              <w:pStyle w:val="Paragraph"/>
              <w:rPr>
                <w:noProof/>
                <w:lang w:val="fr-BE"/>
              </w:rPr>
            </w:pPr>
            <w:r>
              <w:rPr>
                <w:noProof/>
                <w:lang w:val="fr-BE"/>
              </w:rPr>
              <w:t>Support en métal, élément de fixation en métal ou renfort métallique interne, utilisé dans la production de téléviseurs, moniteurs et lecteurs vidéos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8522 90 80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Assemblage pour disques optiques, comprenant une unité optique ou plus et des moteurs à courant continu, capable ou non d’enregistrer en double couche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8522 90 80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Ensemble d’unités d’entraînement optiques à laser ("unités mécaniques") pour l’enregistrement et/ou la reproduction de signaux vidéo numériques et/ou audio, comprenant au moins une unité de lecture et/ou d’écriture optique à laser, un ou plusieurs moteurs à courant continu et ne contenant pas de circuit imprimé ou contenant un circuit imprimé incapable de traiter des signaux pour sons et images, destiné à être utilisé dans la fabrication de produits des positions 8519, 8521, 8526, 8527, 8528 ou 8543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8522 90 80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fr-BE"/>
              </w:rPr>
            </w:pPr>
            <w:r>
              <w:rPr>
                <w:noProof/>
                <w:lang w:val="fr-BE"/>
              </w:rPr>
              <w:t>Un mécanisme d’entraînement Blu-ray, inscriptible ou non, utilisable pour les disques Blu-ray, les DVD et les CD, comprenant au moins: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unité de lecture avec des diodes laser fonctionnant sous 3 longueurs d’onde différentes,</w:t>
                  </w:r>
                </w:p>
              </w:tc>
            </w:tr>
            <w:tr>
              <w:tc>
                <w:tcPr>
                  <w:tcW w:w="0" w:type="auto"/>
                </w:tcPr>
                <w:p>
                  <w:pPr>
                    <w:pStyle w:val="Paragraph"/>
                    <w:rPr>
                      <w:noProof/>
                    </w:rPr>
                  </w:pPr>
                  <w:r>
                    <w:rPr>
                      <w:noProof/>
                    </w:rPr>
                    <w:t>—</w:t>
                  </w:r>
                </w:p>
              </w:tc>
              <w:tc>
                <w:tcPr>
                  <w:tcW w:w="0" w:type="auto"/>
                </w:tcPr>
                <w:p>
                  <w:pPr>
                    <w:pStyle w:val="Paragraph"/>
                    <w:rPr>
                      <w:noProof/>
                    </w:rPr>
                  </w:pPr>
                  <w:r>
                    <w:rPr>
                      <w:noProof/>
                    </w:rPr>
                    <w:t>Un moteur d’entraînement axial,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moteur pas à pas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8522 90 80</w:t>
            </w:r>
          </w:p>
        </w:tc>
        <w:tc>
          <w:tcPr>
            <w:tcW w:w="0" w:type="auto"/>
            <w:tcBorders>
              <w:left w:val="single" w:sz="2" w:space="0" w:color="auto"/>
            </w:tcBorders>
          </w:tcPr>
          <w:p>
            <w:pPr>
              <w:pStyle w:val="Paragraph"/>
              <w:jc w:val="center"/>
              <w:rPr>
                <w:noProof/>
              </w:rPr>
            </w:pPr>
            <w:r>
              <w:rPr>
                <w:noProof/>
              </w:rPr>
              <w:t>97</w:t>
            </w:r>
          </w:p>
        </w:tc>
        <w:tc>
          <w:tcPr>
            <w:tcW w:w="0" w:type="auto"/>
            <w:tcBorders>
              <w:left w:val="single" w:sz="2" w:space="0" w:color="auto"/>
            </w:tcBorders>
          </w:tcPr>
          <w:p>
            <w:pPr>
              <w:pStyle w:val="Paragraph"/>
              <w:rPr>
                <w:noProof/>
                <w:lang w:val="fr-BE"/>
              </w:rPr>
            </w:pPr>
            <w:r>
              <w:rPr>
                <w:noProof/>
                <w:lang w:val="fr-BE"/>
              </w:rPr>
              <w:t>Syntoniseur transformant les signaux haute fréquence en signaux moyenne fréquence, destiné à être utilisé dans la fabrication de produits de la position 8521</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8525 80 19</w:t>
            </w:r>
          </w:p>
          <w:p>
            <w:pPr>
              <w:pStyle w:val="Paragraph"/>
              <w:rPr>
                <w:noProof/>
              </w:rPr>
            </w:pPr>
            <w:r>
              <w:rPr>
                <w:noProof/>
              </w:rPr>
              <w:t>ex 8525 80 91</w:t>
            </w:r>
          </w:p>
        </w:tc>
        <w:tc>
          <w:tcPr>
            <w:tcW w:w="0" w:type="auto"/>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rPr>
            </w:pPr>
            <w:r>
              <w:rPr>
                <w:noProof/>
              </w:rPr>
              <w:t>Caméra</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poids n’excédant pas 5,9 kg,</w:t>
                  </w:r>
                </w:p>
              </w:tc>
            </w:tr>
            <w:tr>
              <w:tc>
                <w:tcPr>
                  <w:tcW w:w="0" w:type="auto"/>
                </w:tcPr>
                <w:p>
                  <w:pPr>
                    <w:pStyle w:val="Paragraph"/>
                    <w:rPr>
                      <w:noProof/>
                    </w:rPr>
                  </w:pPr>
                  <w:r>
                    <w:rPr>
                      <w:noProof/>
                    </w:rPr>
                    <w:t>—</w:t>
                  </w:r>
                </w:p>
              </w:tc>
              <w:tc>
                <w:tcPr>
                  <w:tcW w:w="0" w:type="auto"/>
                </w:tcPr>
                <w:p>
                  <w:pPr>
                    <w:pStyle w:val="Paragraph"/>
                    <w:rPr>
                      <w:noProof/>
                    </w:rPr>
                  </w:pPr>
                  <w:r>
                    <w:rPr>
                      <w:noProof/>
                    </w:rPr>
                    <w:t>sans boîtier,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les dimensions n’excèdent pas 405 mm × 315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équipée d’un unique dispositif à transfert de charge (CCD) ou d’un capteur d’images à semiconducteurs à oxyde de métal (MOS) supplémentaire,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 nombre de pixels efficaces n’excède pas 5 mégapixels,</w:t>
                  </w:r>
                </w:p>
              </w:tc>
            </w:tr>
          </w:tbl>
          <w:p>
            <w:pPr>
              <w:pStyle w:val="Paragraph"/>
              <w:rPr>
                <w:noProof/>
                <w:lang w:val="fr-BE"/>
              </w:rPr>
            </w:pPr>
            <w:r>
              <w:rPr>
                <w:noProof/>
                <w:lang w:val="fr-BE"/>
              </w:rPr>
              <w:t>destinée à être utilisée dans les systèmes de surveillance par télévision en circuit fermé (CCTV) ou dans des appareils de contrôle visuel</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Caméras dotées d’une fonction de scannage d’images, présentant:</w:t>
            </w:r>
          </w:p>
          <w:tbl>
            <w:tblPr>
              <w:tblStyle w:val="Listdash"/>
              <w:tblW w:w="0" w:type="auto"/>
              <w:tblLook w:val="0000" w:firstRow="0" w:lastRow="0" w:firstColumn="0" w:lastColumn="0" w:noHBand="0" w:noVBand="0"/>
            </w:tblPr>
            <w:tblGrid>
              <w:gridCol w:w="220"/>
              <w:gridCol w:w="2980"/>
            </w:tblGrid>
            <w:tr>
              <w:tc>
                <w:tcPr>
                  <w:tcW w:w="0" w:type="auto"/>
                </w:tcPr>
                <w:p>
                  <w:pPr>
                    <w:pStyle w:val="Paragraph"/>
                    <w:rPr>
                      <w:noProof/>
                    </w:rPr>
                  </w:pPr>
                  <w:r>
                    <w:rPr>
                      <w:noProof/>
                    </w:rPr>
                    <w:t>—</w:t>
                  </w:r>
                </w:p>
              </w:tc>
              <w:tc>
                <w:tcPr>
                  <w:tcW w:w="0" w:type="auto"/>
                </w:tcPr>
                <w:p>
                  <w:pPr>
                    <w:pStyle w:val="Paragraph"/>
                    <w:rPr>
                      <w:noProof/>
                      <w:lang w:val="en-GB"/>
                    </w:rPr>
                  </w:pPr>
                  <w:r>
                    <w:rPr>
                      <w:noProof/>
                      <w:lang w:val="en-GB"/>
                    </w:rPr>
                    <w:t>un système «dynamic or static overlay lines»,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signal vidéo de sortie NTSC,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6,5 V ou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luminosité de 0,5 lux ou plus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Caméras utilisant une interface MIPI,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 capteur d’image,</w:t>
                  </w:r>
                </w:p>
              </w:tc>
            </w:tr>
            <w:tr>
              <w:tc>
                <w:tcPr>
                  <w:tcW w:w="0" w:type="auto"/>
                </w:tcPr>
                <w:p>
                  <w:pPr>
                    <w:pStyle w:val="Paragraph"/>
                    <w:rPr>
                      <w:noProof/>
                    </w:rPr>
                  </w:pPr>
                  <w:r>
                    <w:rPr>
                      <w:noProof/>
                    </w:rPr>
                    <w:t>—</w:t>
                  </w:r>
                </w:p>
              </w:tc>
              <w:tc>
                <w:tcPr>
                  <w:tcW w:w="0" w:type="auto"/>
                </w:tcPr>
                <w:p>
                  <w:pPr>
                    <w:pStyle w:val="Paragraph"/>
                    <w:rPr>
                      <w:noProof/>
                    </w:rPr>
                  </w:pPr>
                  <w:r>
                    <w:rPr>
                      <w:noProof/>
                    </w:rPr>
                    <w:t>un objectif (lentille),</w:t>
                  </w:r>
                </w:p>
              </w:tc>
            </w:tr>
            <w:tr>
              <w:tc>
                <w:tcPr>
                  <w:tcW w:w="0" w:type="auto"/>
                </w:tcPr>
                <w:p>
                  <w:pPr>
                    <w:pStyle w:val="Paragraph"/>
                    <w:rPr>
                      <w:noProof/>
                    </w:rPr>
                  </w:pPr>
                  <w:r>
                    <w:rPr>
                      <w:noProof/>
                    </w:rPr>
                    <w:t>—</w:t>
                  </w:r>
                </w:p>
              </w:tc>
              <w:tc>
                <w:tcPr>
                  <w:tcW w:w="0" w:type="auto"/>
                </w:tcPr>
                <w:p>
                  <w:pPr>
                    <w:pStyle w:val="Paragraph"/>
                    <w:rPr>
                      <w:noProof/>
                    </w:rPr>
                  </w:pPr>
                  <w:r>
                    <w:rPr>
                      <w:noProof/>
                    </w:rPr>
                    <w:t>un processeur couleur,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circuit imprimé souple ou un circuit imprimé,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réception audio</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module ne mesurant pas plus de 15 mm x15 mm x 15mm,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résolution d'au moins 2 méga pixels (1616*1232 pixels et plus);</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câblés ou non,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intégrés dans un boîtier</w:t>
                  </w:r>
                </w:p>
              </w:tc>
            </w:tr>
          </w:tbl>
          <w:p>
            <w:pPr>
              <w:pStyle w:val="Paragraph"/>
              <w:rPr>
                <w:noProof/>
                <w:lang w:val="fr-BE"/>
              </w:rPr>
            </w:pPr>
            <w:r>
              <w:rPr>
                <w:noProof/>
                <w:lang w:val="fr-BE"/>
              </w:rPr>
              <w:t>utilisées pour la fabrication de produits des sous-positions 8517 12 00 ou 8471 30 00</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8525 80 19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Caméra pour infrarouge de grande longueur d’onde (Caméra LWIR) (selon ISO/TS 16949), avec:</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sensibilité dans le domaine de longueurs d’onde de 7,5 µm ou plus, mais ne dépassant pas 17 µm,</w:t>
                  </w:r>
                </w:p>
              </w:tc>
            </w:tr>
            <w:tr>
              <w:tc>
                <w:tcPr>
                  <w:tcW w:w="0" w:type="auto"/>
                </w:tcPr>
                <w:p>
                  <w:pPr>
                    <w:pStyle w:val="Paragraph"/>
                    <w:rPr>
                      <w:noProof/>
                    </w:rPr>
                  </w:pPr>
                  <w:r>
                    <w:rPr>
                      <w:noProof/>
                    </w:rPr>
                    <w:t>—</w:t>
                  </w:r>
                </w:p>
              </w:tc>
              <w:tc>
                <w:tcPr>
                  <w:tcW w:w="0" w:type="auto"/>
                </w:tcPr>
                <w:p>
                  <w:pPr>
                    <w:pStyle w:val="Paragraph"/>
                    <w:rPr>
                      <w:noProof/>
                    </w:rPr>
                  </w:pPr>
                  <w:r>
                    <w:rPr>
                      <w:noProof/>
                    </w:rPr>
                    <w:t>une résolution jusqu’à 640 × 512 pixels,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poids n'excédant pas 400 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dimensions n'excédant pas 70 mm × 86 mm × 82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logé ou non dans un boîtier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prise qualifiée pour véhicules automobiles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déviation du signal de sortie sur la gamme entière de température de fonctionnement, n'excédant pas 20 %</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8526 10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Capteur radar équipé d'une unité de commande de système de freinage d'urgence autonome destiné à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8526 91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Unité de commande du système d'appels d'urgence contenant le module GSM et GPS, destinée à être utilisée dans la construction des marchandises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8527 91 99</w:t>
            </w:r>
          </w:p>
          <w:p>
            <w:pPr>
              <w:pStyle w:val="Paragraph"/>
              <w:rPr>
                <w:noProof/>
              </w:rPr>
            </w:pPr>
            <w:r>
              <w:rPr>
                <w:noProof/>
              </w:rPr>
              <w:t>ex 8529 90 65</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85</w:t>
            </w:r>
          </w:p>
        </w:tc>
        <w:tc>
          <w:tcPr>
            <w:tcW w:w="0" w:type="auto"/>
            <w:vMerge w:val="restart"/>
            <w:tcBorders>
              <w:left w:val="single" w:sz="2" w:space="0" w:color="auto"/>
            </w:tcBorders>
          </w:tcPr>
          <w:p>
            <w:pPr>
              <w:pStyle w:val="Paragraph"/>
              <w:rPr>
                <w:noProof/>
              </w:rPr>
            </w:pPr>
            <w:r>
              <w:rPr>
                <w:noProof/>
              </w:rPr>
              <w:t>Ensemble constitué d'au moins: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unité d'amplification de fréquence audio, comprenant au moins un amplificateur de fréquence audio et un générateur de son,</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transformateur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récepteur de radiodiffusion</w:t>
                  </w:r>
                </w:p>
              </w:tc>
            </w:tr>
          </w:tbl>
          <w:p>
            <w:pPr>
              <w:pStyle w:val="Paragraph"/>
              <w:rPr>
                <w:noProof/>
                <w:lang w:val="fr-BE"/>
              </w:rPr>
            </w:pPr>
            <w:r>
              <w:rPr>
                <w:noProof/>
                <w:lang w:val="fr-BE"/>
              </w:rPr>
              <w:t>utilisé dans la fabrication de produits électroniques de consommation </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8528 59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Moniteurs vidéo en couleurs à affichage à cristaux liquides, à l'exclusion de ceux qui sont combinés à d'autres appareils, présentant une tension d'entrée en courant continu égale ou supérieure à 7 V, mais n'excédant pas 30 V, une diagonale d'écran inférieure ou égale à 33,2 cm,</w:t>
            </w:r>
          </w:p>
          <w:tbl>
            <w:tblPr>
              <w:tblStyle w:val="Listdash"/>
              <w:tblW w:w="0" w:type="auto"/>
              <w:tblLook w:val="0000" w:firstRow="0" w:lastRow="0" w:firstColumn="0" w:lastColumn="0" w:noHBand="0" w:noVBand="0"/>
            </w:tblPr>
            <w:tblGrid>
              <w:gridCol w:w="220"/>
              <w:gridCol w:w="383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soit sans boîtier, avec panneau arrière et cadre de montage,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soit avec boîtier,</w:t>
                  </w:r>
                </w:p>
              </w:tc>
            </w:tr>
          </w:tbl>
          <w:p>
            <w:pPr>
              <w:pStyle w:val="Paragraph"/>
              <w:rPr>
                <w:noProof/>
                <w:lang w:val="fr-BE"/>
              </w:rPr>
            </w:pPr>
            <w:r>
              <w:rPr>
                <w:noProof/>
                <w:lang w:val="fr-BE"/>
              </w:rPr>
              <w:t>destinés à être intégrés ou fixés de manière permanente, pendant l'assemblage industriel, à des produits relevant des chapitres 84 à 90 et 94</w:t>
            </w:r>
          </w:p>
          <w:p>
            <w:pPr>
              <w:pStyle w:val="Paragraph"/>
              <w:rPr>
                <w:noProof/>
              </w:rPr>
            </w:pPr>
            <w:r>
              <w:rPr>
                <w:noProof/>
                <w:lang w:val="fr-BE"/>
              </w:rPr>
              <w:t> </w:t>
            </w:r>
            <w:r>
              <w:rPr>
                <w:rStyle w:val="FootnoteReference"/>
                <w:noProof/>
              </w:rPr>
              <w:t>(2)(6)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8528 59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Assemblage de moniteurs vidéo en couleurs à affichage à cristaux liquides montés sur une armature,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à l'exclusion de ceux combinés à d'autres appareils,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comprenant des dispositifs à écran tactile, un circuit imprimé équipé de circuits de commande et d’alimentation</w:t>
                  </w:r>
                </w:p>
              </w:tc>
            </w:tr>
          </w:tbl>
          <w:p>
            <w:pPr>
              <w:pStyle w:val="Paragraph"/>
              <w:rPr>
                <w:noProof/>
                <w:lang w:val="fr-BE"/>
              </w:rPr>
            </w:pPr>
            <w:r>
              <w:rPr>
                <w:noProof/>
                <w:lang w:val="fr-BE"/>
              </w:rPr>
              <w:t>destiné à être intégré de manière permanente à des systèmes de divertissements pour les véhicules ou à être monté sur ceux-ci de manière permanente</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8529 10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Filtres, à l’exception des filtres d’onde acoustique de surface, pour une fréquence centrale de 485 MHz ou plus mais n’excédent pas 1 990 MHz, avec une perte d’insertion n’excédent pas 3,5 dB, enserré dans un boîtier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8529 10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Filtres céramiques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une bande de fréquences applicable de 10 kHz ou plus mais n'excédant pas 100 mHz,</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boîtier constitué de plaques en céramiques munies d'électrodes,</w:t>
                  </w:r>
                </w:p>
              </w:tc>
            </w:tr>
          </w:tbl>
          <w:p>
            <w:pPr>
              <w:pStyle w:val="Paragraph"/>
              <w:rPr>
                <w:noProof/>
                <w:lang w:val="fr-BE"/>
              </w:rPr>
            </w:pPr>
            <w:r>
              <w:rPr>
                <w:noProof/>
                <w:lang w:val="fr-BE"/>
              </w:rPr>
              <w:t>du type  utilisé dans un transducteur ou résonateur électromécanique dans les équipements audiovisuels et de communication </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Assemblage électronique comportant au moins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 circuit imprimé,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processeurs pour les applications multimédia et le traitement des signaux vidéo,</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matrice prédiffusée programmable (Field Programmable Gate Array - FPGA),</w:t>
                  </w:r>
                </w:p>
              </w:tc>
            </w:tr>
            <w:tr>
              <w:tc>
                <w:tcPr>
                  <w:tcW w:w="0" w:type="auto"/>
                </w:tcPr>
                <w:p>
                  <w:pPr>
                    <w:pStyle w:val="Paragraph"/>
                    <w:rPr>
                      <w:noProof/>
                    </w:rPr>
                  </w:pPr>
                  <w:r>
                    <w:rPr>
                      <w:noProof/>
                    </w:rPr>
                    <w:t>—</w:t>
                  </w:r>
                </w:p>
              </w:tc>
              <w:tc>
                <w:tcPr>
                  <w:tcW w:w="0" w:type="auto"/>
                </w:tcPr>
                <w:p>
                  <w:pPr>
                    <w:pStyle w:val="Paragraph"/>
                    <w:rPr>
                      <w:noProof/>
                    </w:rPr>
                  </w:pPr>
                  <w:r>
                    <w:rPr>
                      <w:noProof/>
                    </w:rPr>
                    <w:t>une mémoire flash,</w:t>
                  </w:r>
                </w:p>
              </w:tc>
            </w:tr>
            <w:tr>
              <w:tc>
                <w:tcPr>
                  <w:tcW w:w="0" w:type="auto"/>
                </w:tcPr>
                <w:p>
                  <w:pPr>
                    <w:pStyle w:val="Paragraph"/>
                    <w:rPr>
                      <w:noProof/>
                    </w:rPr>
                  </w:pPr>
                  <w:r>
                    <w:rPr>
                      <w:noProof/>
                    </w:rPr>
                    <w:t>—</w:t>
                  </w:r>
                </w:p>
              </w:tc>
              <w:tc>
                <w:tcPr>
                  <w:tcW w:w="0" w:type="auto"/>
                </w:tcPr>
                <w:p>
                  <w:pPr>
                    <w:pStyle w:val="Paragraph"/>
                    <w:rPr>
                      <w:noProof/>
                    </w:rPr>
                  </w:pPr>
                  <w:r>
                    <w:rPr>
                      <w:noProof/>
                    </w:rPr>
                    <w:t>une mémoire vive,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interfaces HDMI, VGA, USB et RJ-45,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connecteurs pour un écran LCD, un éclairage à LED et un panneau de commande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8529 90 65</w:t>
            </w:r>
          </w:p>
          <w:p>
            <w:pPr>
              <w:pStyle w:val="Paragraph"/>
              <w:rPr>
                <w:noProof/>
              </w:rPr>
            </w:pPr>
            <w:r>
              <w:rPr>
                <w:noProof/>
              </w:rPr>
              <w:t>ex 8548 90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44</w:t>
            </w:r>
          </w:p>
        </w:tc>
        <w:tc>
          <w:tcPr>
            <w:tcW w:w="0" w:type="auto"/>
            <w:vMerge w:val="restart"/>
            <w:tcBorders>
              <w:left w:val="single" w:sz="2" w:space="0" w:color="auto"/>
            </w:tcBorders>
          </w:tcPr>
          <w:p>
            <w:pPr>
              <w:pStyle w:val="Paragraph"/>
              <w:rPr>
                <w:noProof/>
                <w:lang w:val="fr-BE"/>
              </w:rPr>
            </w:pPr>
            <w:r>
              <w:rPr>
                <w:noProof/>
                <w:lang w:val="fr-BE"/>
              </w:rPr>
              <w:t>Parties de récepteurs de télévision, ayant des fonctions de microprocesseur et de vidéoprocesseur, comportant au moins une micro-unité de commande et un vidéoprocesseur, montées sur une grille de connexion (leadframe) et enserrées dans un boîtier en matière plastique</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Module récepteur radio satellite qui transforme les signaux satellite haute fréquence en signaux audio numériques codés entrant dans la fabrication de produits classés dans la position 8527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Syntoniseur transformant les signaux haute fréquence en signaux moyenne fréquence, destiné à être utilisé dans la fabrication de produits de laposition 8528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8529 90 65</w:t>
            </w:r>
          </w:p>
          <w:p>
            <w:pPr>
              <w:pStyle w:val="Paragraph"/>
              <w:rPr>
                <w:noProof/>
              </w:rPr>
            </w:pPr>
            <w:r>
              <w:rPr>
                <w:noProof/>
              </w:rPr>
              <w:t>ex 8529 90 92</w:t>
            </w:r>
          </w:p>
        </w:tc>
        <w:tc>
          <w:tcPr>
            <w:tcW w:w="0" w:type="auto"/>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53</w:t>
            </w:r>
          </w:p>
        </w:tc>
        <w:tc>
          <w:tcPr>
            <w:tcW w:w="0" w:type="auto"/>
            <w:vMerge w:val="restart"/>
            <w:tcBorders>
              <w:left w:val="single" w:sz="2" w:space="0" w:color="auto"/>
            </w:tcBorders>
          </w:tcPr>
          <w:p>
            <w:pPr>
              <w:pStyle w:val="Paragraph"/>
              <w:rPr>
                <w:noProof/>
                <w:lang w:val="fr-BE"/>
              </w:rPr>
            </w:pPr>
            <w:r>
              <w:rPr>
                <w:noProof/>
                <w:lang w:val="fr-BE"/>
              </w:rPr>
              <w:t>Carte de circuits imprimés destinée à la fourniture de la tension d’alimentation et des signaux de commande directement à un circuit de commande situé sur une plaque de verre TFT d’un module LCD</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Modules comprenant au moins des puces semiconductrices pour:</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la production d’impulsions de synchronisation pour l’adressage des pixels,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pour commander l’adressage des pixels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8529 90 65</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Syntoniseur transformant les signaux haute fréquence en signaux numériques, destiné à être utilisé dans la fabrication de produits relevant de la position 8527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rStyle w:val="FootnoteReference"/>
                <w:noProof/>
              </w:rPr>
              <w:t>*</w:t>
            </w:r>
            <w:r>
              <w:rPr>
                <w:noProof/>
              </w:rPr>
              <w:t>ex 8529 90 92</w:t>
            </w:r>
          </w:p>
          <w:p>
            <w:pPr>
              <w:pStyle w:val="Paragraph"/>
              <w:rPr>
                <w:noProof/>
              </w:rPr>
            </w:pPr>
            <w:r>
              <w:rPr>
                <w:noProof/>
              </w:rPr>
              <w:t>ex 8548 90 90</w:t>
            </w:r>
          </w:p>
        </w:tc>
        <w:tc>
          <w:tcPr>
            <w:tcW w:w="0" w:type="auto"/>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60</w:t>
            </w:r>
          </w:p>
        </w:tc>
        <w:tc>
          <w:tcPr>
            <w:tcW w:w="0" w:type="auto"/>
            <w:vMerge w:val="restart"/>
            <w:tcBorders>
              <w:left w:val="single" w:sz="2" w:space="0" w:color="auto"/>
            </w:tcBorders>
          </w:tcPr>
          <w:p>
            <w:pPr>
              <w:pStyle w:val="Paragraph"/>
              <w:rPr>
                <w:noProof/>
              </w:rPr>
            </w:pPr>
            <w:r>
              <w:rPr>
                <w:noProof/>
              </w:rPr>
              <w:t>Module LCD,</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consistant exclusivement en une ou plusieurs cellules de verre ou de plastique TFT,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non combiné à un dispositif d'écran tactile,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 ou de plusieurs circuits imprimés munis d'une électronique de contrôle dont le seul but est l'adressage de la pixellisation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rétro-éclairage,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alimentation du rétro-éclairage(« inverter»)</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Modules LCD, non associés à des dispositifs à écran tactile, consistant exclusivement en:</w:t>
            </w:r>
          </w:p>
          <w:tbl>
            <w:tblPr>
              <w:tblStyle w:val="Listdash"/>
              <w:tblW w:w="0" w:type="auto"/>
              <w:tblLook w:val="0000" w:firstRow="0" w:lastRow="0" w:firstColumn="0" w:lastColumn="0" w:noHBand="0" w:noVBand="0"/>
            </w:tblPr>
            <w:tblGrid>
              <w:gridCol w:w="220"/>
              <w:gridCol w:w="421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ou plusieurs cellules de verre ou de plastique TFT,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dissipateur thermique moulé sous pression,</w:t>
                  </w:r>
                </w:p>
              </w:tc>
            </w:tr>
            <w:tr>
              <w:tc>
                <w:tcPr>
                  <w:tcW w:w="0" w:type="auto"/>
                </w:tcPr>
                <w:p>
                  <w:pPr>
                    <w:pStyle w:val="Paragraph"/>
                    <w:rPr>
                      <w:noProof/>
                    </w:rPr>
                  </w:pPr>
                  <w:r>
                    <w:rPr>
                      <w:noProof/>
                    </w:rPr>
                    <w:t>—</w:t>
                  </w:r>
                </w:p>
              </w:tc>
              <w:tc>
                <w:tcPr>
                  <w:tcW w:w="0" w:type="auto"/>
                </w:tcPr>
                <w:p>
                  <w:pPr>
                    <w:pStyle w:val="Paragraph"/>
                    <w:rPr>
                      <w:noProof/>
                    </w:rPr>
                  </w:pPr>
                  <w:r>
                    <w:rPr>
                      <w:noProof/>
                    </w:rPr>
                    <w:t>une unité de rétroéclairage,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carte de circuits imprimés avec microcontrôleur,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interface LVDS (signalisation différentielle à basse tension),</w:t>
                  </w:r>
                </w:p>
              </w:tc>
            </w:tr>
          </w:tbl>
          <w:p>
            <w:pPr>
              <w:pStyle w:val="Paragraph"/>
              <w:rPr>
                <w:noProof/>
                <w:lang w:val="fr-BE"/>
              </w:rPr>
            </w:pPr>
            <w:r>
              <w:rPr>
                <w:noProof/>
                <w:lang w:val="fr-BE"/>
              </w:rPr>
              <w:t>utilisés dans la fabrication de radios équipant les véhicules à moteur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Modules d’affichage à cristaux liquides (LCD) combinés à un dispositif d'écran tactile: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consistant uniquement en une ou plusieurs cellules TFT,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diagonale d’écran de 10,7 cm ou plus mais n’excédant pas 36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rétroéclairage LED,</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dotés d'un système électronique commandant exclusivement l’adressage des pixels,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sans mémoire EPROM (mémoire morte effaçable et programmable électriquement),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interface RVB (rouge, vert, bleu) numérique, interface écran tactile,</w:t>
                  </w:r>
                </w:p>
              </w:tc>
            </w:tr>
          </w:tbl>
          <w:p>
            <w:pPr>
              <w:pStyle w:val="Paragraph"/>
              <w:rPr>
                <w:noProof/>
                <w:lang w:val="fr-BE"/>
              </w:rPr>
            </w:pPr>
            <w:r>
              <w:rPr>
                <w:noProof/>
                <w:lang w:val="fr-BE"/>
              </w:rPr>
              <w:t>exclusivement destinés à être montés dans les véhicules à moteur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37</w:t>
            </w:r>
          </w:p>
        </w:tc>
        <w:tc>
          <w:tcPr>
            <w:tcW w:w="0" w:type="auto"/>
            <w:tcBorders>
              <w:left w:val="single" w:sz="2" w:space="0" w:color="auto"/>
            </w:tcBorders>
          </w:tcPr>
          <w:p>
            <w:pPr>
              <w:pStyle w:val="Paragraph"/>
              <w:rPr>
                <w:noProof/>
                <w:lang w:val="fr-BE"/>
              </w:rPr>
            </w:pPr>
            <w:r>
              <w:rPr>
                <w:noProof/>
                <w:lang w:val="fr-BE"/>
              </w:rPr>
              <w:t>Support de fixation avec cache en alliage d’aluminium:</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du silicium et du magnésium,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300 mm ou plus, mais n'excédant pas 2 200 mm,</w:t>
                  </w:r>
                </w:p>
              </w:tc>
            </w:tr>
          </w:tbl>
          <w:p>
            <w:pPr>
              <w:pStyle w:val="Paragraph"/>
              <w:rPr>
                <w:noProof/>
                <w:lang w:val="fr-BE"/>
              </w:rPr>
            </w:pPr>
            <w:r>
              <w:rPr>
                <w:noProof/>
                <w:lang w:val="fr-BE"/>
              </w:rPr>
              <w:t>spécialement conçu pour être utilisé dans la fabrication de téléviseurs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8529 90 92</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lang w:val="fr-BE"/>
              </w:rPr>
            </w:pPr>
            <w:r>
              <w:rPr>
                <w:noProof/>
                <w:lang w:val="fr-BE"/>
              </w:rPr>
              <w:t>Diffuseurs de chaleur et ailettes de refroidissement en aluminium, destinés à maintenir la température de fonctionnement de transistors et de circuits intégrés entrant dans la fabrication de produits du n° 8527 ou du n° 8528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8529 90 92</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lang w:val="fr-BE"/>
              </w:rPr>
            </w:pPr>
            <w:r>
              <w:rPr>
                <w:noProof/>
                <w:lang w:val="fr-BE"/>
              </w:rPr>
              <w:t>Module de visualisation à plasma comprenant exclusivement des électrodes d’adressage et d’affichage, avec ou sans pilote et/ou électronique de commande pour l’adressage de pixels uniquement et avec ou sans alimentation électrique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8529 90 92</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Ensemble circuit intégré avec une fonctionnalité de récepteur de TV comprenant une puce pour décodeur de canaux, une puce pour syntoniseur, une puce pour la commande de la puissance, des filtres GSM et des éléments de circuits passifs discrets et incorporés dans les circuits pour la réception de signaux numériques d’émission de formats TNT et DVB-H</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Détecteur mosaïque bidimensionnel (capteur CCD ou CMOS à transfert interligne et «balayage progressif») pour  caméra vidéo numérique, sous forme de circuit intégré monolithique analogue ou numérique avec pixels dont la taille ne dépasse pas 12 µm × 12 µm en version monochrome et apposition de microlentilles sur chaque pixel (réseau microlenticulaire) ou, en version polychrome, avec filtre couleur, également avec réseau de mini-lentilles, une mini-lentille étant apposée sur chaque pixel</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8529 90 92</w:t>
            </w:r>
          </w:p>
          <w:p>
            <w:pPr>
              <w:pStyle w:val="Paragraph"/>
              <w:rPr>
                <w:noProof/>
              </w:rPr>
            </w:pPr>
            <w:r>
              <w:rPr>
                <w:noProof/>
              </w:rPr>
              <w:t>ex 8536 69 90</w:t>
            </w:r>
          </w:p>
        </w:tc>
        <w:tc>
          <w:tcPr>
            <w:tcW w:w="0" w:type="auto"/>
            <w:tcBorders>
              <w:left w:val="single" w:sz="2" w:space="0" w:color="auto"/>
              <w:bottom w:val="nil"/>
            </w:tcBorders>
          </w:tcPr>
          <w:p>
            <w:pPr>
              <w:pStyle w:val="Paragraph"/>
              <w:jc w:val="center"/>
              <w:rPr>
                <w:noProof/>
              </w:rPr>
            </w:pPr>
            <w:r>
              <w:rPr>
                <w:noProof/>
              </w:rPr>
              <w:t>49</w:t>
            </w:r>
          </w:p>
          <w:p>
            <w:pPr>
              <w:pStyle w:val="Paragraph"/>
              <w:jc w:val="center"/>
              <w:rPr>
                <w:noProof/>
              </w:rPr>
            </w:pPr>
            <w:r>
              <w:rPr>
                <w:noProof/>
              </w:rPr>
              <w:t>83</w:t>
            </w:r>
          </w:p>
        </w:tc>
        <w:tc>
          <w:tcPr>
            <w:tcW w:w="0" w:type="auto"/>
            <w:vMerge w:val="restart"/>
            <w:tcBorders>
              <w:left w:val="single" w:sz="2" w:space="0" w:color="auto"/>
            </w:tcBorders>
          </w:tcPr>
          <w:p>
            <w:pPr>
              <w:pStyle w:val="Paragraph"/>
              <w:rPr>
                <w:noProof/>
                <w:lang w:val="fr-BE"/>
              </w:rPr>
            </w:pPr>
            <w:r>
              <w:rPr>
                <w:noProof/>
                <w:lang w:val="fr-BE"/>
              </w:rPr>
              <w:t>Prise d’alimentation secteur (</w:t>
            </w:r>
            <w:r>
              <w:rPr>
                <w:i/>
                <w:iCs/>
                <w:noProof/>
                <w:lang w:val="fr-BE"/>
              </w:rPr>
              <w:t>AC socket</w:t>
            </w:r>
            <w:r>
              <w:rPr>
                <w:noProof/>
                <w:lang w:val="fr-BE"/>
              </w:rPr>
              <w:t>) munie d’un filtre antibruit et composée: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prise d’alimentation secteur de 230 V (pour un câble d’alimentation),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filtre antibruit intégré composé de condensateurs et de bobines «selfs»,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connecteur de câble pour connecter la prise d’alimentation secteur au bloc d’alimentation d’un téléviseur à écran plasma,</w:t>
                  </w:r>
                </w:p>
              </w:tc>
            </w:tr>
          </w:tbl>
          <w:p>
            <w:pPr>
              <w:pStyle w:val="Paragraph"/>
              <w:rPr>
                <w:noProof/>
                <w:lang w:val="fr-BE"/>
              </w:rPr>
            </w:pPr>
            <w:r>
              <w:rPr>
                <w:noProof/>
                <w:lang w:val="fr-BE"/>
              </w:rPr>
              <w:t>d’un support métallique pour l’adaptation de la prise d’alimentation secteur au téléviseur à écran plasma, ou sans support métallique</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8529 90 92</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fr-BE"/>
              </w:rPr>
            </w:pPr>
            <w:r>
              <w:rPr>
                <w:noProof/>
                <w:lang w:val="fr-BE"/>
              </w:rPr>
              <w:t>Modules à diodes électroluminescentes organiques (OLED), consistant en une ou plusieurs cellules de verre ou de plastique TFT,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diagonale d'écran de 121 cm ou plus mais n'excédant pas 224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n'excédant pas 55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de la matière organique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dotés d'un système électronique commandant exclusivement l'adressage des pixels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dotés d'une interface V-by-One et munis ou non d'une fiche pour l'alimentation électrique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panneau arrière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 type utilisé pour la fabrication de téléviseurs et de moniteurs</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 xml:space="preserve">Modules à diodes électroluminescentes organiques (OLED), consistant en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ou plusieurs cellules de verre ou de plastique TFT contenant un matériau organique,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dispositif d'écran tactile combiné,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équipés d'un ou de plusieurs circuits imprimés munis d'une électronique de commande de l'adressage des pixels,</w:t>
                  </w:r>
                </w:p>
              </w:tc>
            </w:tr>
          </w:tbl>
          <w:p>
            <w:pPr>
              <w:pStyle w:val="Paragraph"/>
              <w:rPr>
                <w:noProof/>
                <w:lang w:val="fr-BE"/>
              </w:rPr>
            </w:pPr>
            <w:r>
              <w:rPr>
                <w:noProof/>
                <w:lang w:val="fr-BE"/>
              </w:rPr>
              <w:t>utilisés dans la fabrication de téléviseurs et de moniteurs ou dans la construction de véhicules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Module LCD:</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diagonale d’écran de 14,5 cm ou plus, mais n’excédant pas 38,5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fonction tactile,</w:t>
                  </w:r>
                </w:p>
              </w:tc>
            </w:tr>
            <w:tr>
              <w:tc>
                <w:tcPr>
                  <w:tcW w:w="0" w:type="auto"/>
                </w:tcPr>
                <w:p>
                  <w:pPr>
                    <w:pStyle w:val="Paragraph"/>
                    <w:rPr>
                      <w:noProof/>
                    </w:rPr>
                  </w:pPr>
                  <w:r>
                    <w:rPr>
                      <w:noProof/>
                    </w:rPr>
                    <w:t>—</w:t>
                  </w:r>
                </w:p>
              </w:tc>
              <w:tc>
                <w:tcPr>
                  <w:tcW w:w="0" w:type="auto"/>
                </w:tcPr>
                <w:p>
                  <w:pPr>
                    <w:pStyle w:val="Paragraph"/>
                    <w:rPr>
                      <w:noProof/>
                    </w:rPr>
                  </w:pPr>
                  <w:r>
                    <w:rPr>
                      <w:noProof/>
                    </w:rPr>
                    <w:t>avec rétro-éclairage LED,</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 d’un circuit imprimé avec EEPROM, microcontrôleur, récepteur LVDS et autres éléments actifs et passifs,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une fiche pour l’alimentation et interfaces CAN et LVDS,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composants électroniques pour l’ajustement dynamique de la couleur,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un boîtier, avec ou sans fonctions de commande mécanique, tactile ou sans contact, et avec ou sans système de refroidissement actif,</w:t>
                  </w:r>
                </w:p>
              </w:tc>
            </w:tr>
          </w:tbl>
          <w:p>
            <w:pPr>
              <w:pStyle w:val="Paragraph"/>
              <w:rPr>
                <w:noProof/>
                <w:lang w:val="fr-BE"/>
              </w:rPr>
            </w:pPr>
            <w:r>
              <w:rPr>
                <w:noProof/>
                <w:lang w:val="fr-BE"/>
              </w:rPr>
              <w:t>propre à être monté dans les véhicules à moteur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Écran OLED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la couche organique avec les LED organiques,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deux couches conductrices avec transfert d’électrons et trous d’électrons,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couches de transistors (TFT) d'une résolution de 1 920 x 1 080,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anode et une cathode pour l’alimentation électrique des diodes organiques,</w:t>
                  </w:r>
                </w:p>
              </w:tc>
            </w:tr>
            <w:tr>
              <w:tc>
                <w:tcPr>
                  <w:tcW w:w="0" w:type="auto"/>
                </w:tcPr>
                <w:p>
                  <w:pPr>
                    <w:pStyle w:val="Paragraph"/>
                    <w:rPr>
                      <w:noProof/>
                    </w:rPr>
                  </w:pPr>
                  <w:r>
                    <w:rPr>
                      <w:noProof/>
                    </w:rPr>
                    <w:t>—</w:t>
                  </w:r>
                </w:p>
              </w:tc>
              <w:tc>
                <w:tcPr>
                  <w:tcW w:w="0" w:type="auto"/>
                </w:tcPr>
                <w:p>
                  <w:pPr>
                    <w:pStyle w:val="Paragraph"/>
                    <w:rPr>
                      <w:noProof/>
                    </w:rPr>
                  </w:pPr>
                  <w:r>
                    <w:rPr>
                      <w:noProof/>
                    </w:rPr>
                    <w:t>un filtre RVB,</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protectrice en matière plastique ou en verre,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sans électronique pour  l'adressage des pixels,</w:t>
                  </w:r>
                </w:p>
              </w:tc>
            </w:tr>
          </w:tbl>
          <w:p>
            <w:pPr>
              <w:pStyle w:val="Paragraph"/>
              <w:rPr>
                <w:noProof/>
                <w:lang w:val="fr-BE"/>
              </w:rPr>
            </w:pPr>
            <w:r>
              <w:rPr>
                <w:noProof/>
                <w:lang w:val="fr-BE"/>
              </w:rPr>
              <w:t>destiné à être utilisé dans la fabrication de produits de la position 8528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fr-BE"/>
              </w:rPr>
            </w:pPr>
            <w:r>
              <w:rPr>
                <w:noProof/>
                <w:lang w:val="fr-BE"/>
              </w:rPr>
              <w:t>Écran couleur à cristaux liquides pour moniteurs LCD de la position 8528,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diagonale de l’écran mesure au minimum 14,48 cm et au maximum 31,24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écran tactile,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éclairage de fond, microcontrôleur,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contrôleur CAN (Controller Area Network) muni d’une ou plusieurs interfaces LVDS (Low Voltage Differential Signaling - signalisation différentielle à basse tension) et d’une ou plusieurs interfaces de connexion CAN/prises d’alimentation électrique, ou avec contrôleur APIX (Automotive Pixel Link) et interface APIX,</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un boîtier équipé ou non d’un dissipateur thermique à l’arrière,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sans module de traitement du signal,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retour d’informations tactile et acoustique,</w:t>
                  </w:r>
                </w:p>
              </w:tc>
            </w:tr>
          </w:tbl>
          <w:p>
            <w:pPr>
              <w:pStyle w:val="Paragraph"/>
              <w:rPr>
                <w:noProof/>
                <w:lang w:val="fr-BE"/>
              </w:rPr>
            </w:pPr>
            <w:r>
              <w:rPr>
                <w:noProof/>
                <w:lang w:val="fr-BE"/>
              </w:rPr>
              <w:t>utilisé dans la construction de véhicules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Cadre de fixation et de recouvrement de forme rectangulaire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en alliage d’aluminium contenant du silicium et du magnésium,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500 mm ou plus, mais n’excédant pas 2 200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300 mm ou plus, mais n’excédant pas 1 500 mm,</w:t>
                  </w:r>
                </w:p>
              </w:tc>
            </w:tr>
          </w:tbl>
          <w:p>
            <w:pPr>
              <w:pStyle w:val="Paragraph"/>
              <w:rPr>
                <w:noProof/>
                <w:lang w:val="fr-BE"/>
              </w:rPr>
            </w:pPr>
            <w:r>
              <w:rPr>
                <w:noProof/>
                <w:lang w:val="fr-BE"/>
              </w:rPr>
              <w:t>destiné à la fabrication de téléviseurs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8529 90 92</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Module LCD couleur dans un boîtier:</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diagonale d'écran égale ou supérieure à 14,48 cm, mais ne dépassant pas 26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non combiné à un dispositif d'écran tactile («TouchScreen»),</w:t>
                  </w:r>
                </w:p>
              </w:tc>
            </w:tr>
            <w:tr>
              <w:tc>
                <w:tcPr>
                  <w:tcW w:w="0" w:type="auto"/>
                </w:tcPr>
                <w:p>
                  <w:pPr>
                    <w:pStyle w:val="Paragraph"/>
                    <w:rPr>
                      <w:noProof/>
                    </w:rPr>
                  </w:pPr>
                  <w:r>
                    <w:rPr>
                      <w:noProof/>
                    </w:rPr>
                    <w:t>—</w:t>
                  </w:r>
                </w:p>
              </w:tc>
              <w:tc>
                <w:tcPr>
                  <w:tcW w:w="0" w:type="auto"/>
                </w:tcPr>
                <w:p>
                  <w:pPr>
                    <w:pStyle w:val="Paragraph"/>
                    <w:rPr>
                      <w:noProof/>
                    </w:rPr>
                  </w:pPr>
                  <w:r>
                    <w:rPr>
                      <w:noProof/>
                    </w:rPr>
                    <w:t>avec rétroéclairage et microcontrôleur,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 contrôleur CAN (Controller area network), d'une interface LVDS (Low-voltage differential signalling) et d'un connecteur CAN/alimentation électrique,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dépourvu de module de traitement des signaux,</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d'une électronique de contrôle dont le seul but est l'adressage de la pixellisation,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 mécanisme motorisé permettant de faire sortir ou rentrer l'unité d'affichage (dispositif de positionnement),</w:t>
                  </w:r>
                </w:p>
              </w:tc>
            </w:tr>
          </w:tbl>
          <w:p>
            <w:pPr>
              <w:pStyle w:val="Paragraph"/>
              <w:rPr>
                <w:noProof/>
                <w:lang w:val="fr-BE"/>
              </w:rPr>
            </w:pPr>
            <w:r>
              <w:rPr>
                <w:noProof/>
                <w:lang w:val="fr-BE"/>
              </w:rPr>
              <w:t>destiné à être intégré de manière permanente dans des véhicules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8535 90 00</w:t>
            </w:r>
          </w:p>
          <w:p>
            <w:pPr>
              <w:pStyle w:val="Paragraph"/>
              <w:rPr>
                <w:noProof/>
              </w:rPr>
            </w:pPr>
            <w:r>
              <w:rPr>
                <w:noProof/>
              </w:rPr>
              <w:t>ex 8536 50 80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83</w:t>
            </w:r>
          </w:p>
        </w:tc>
        <w:tc>
          <w:tcPr>
            <w:tcW w:w="0" w:type="auto"/>
            <w:vMerge w:val="restart"/>
            <w:tcBorders>
              <w:left w:val="single" w:sz="2" w:space="0" w:color="auto"/>
            </w:tcBorders>
          </w:tcPr>
          <w:p>
            <w:pPr>
              <w:pStyle w:val="Paragraph"/>
              <w:rPr>
                <w:noProof/>
                <w:lang w:val="fr-BE"/>
              </w:rPr>
            </w:pPr>
            <w:r>
              <w:rPr>
                <w:noProof/>
                <w:lang w:val="fr-BE"/>
              </w:rPr>
              <w:t>Interrupteur de module semiconducteur contenu dans un boîtier:</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consistant en une puce transistor IGBT et une puce de diodes sur une ou plusieurs grilles de connexion,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pour une tension de 600 V ou de 1 200 V</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8536 41 10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Relais photoélectrique (relais photovoltaïque) composé d’une diode électroluminescente GaAIA, d'un circuit intégré récepteur galvaniquement isolé avec générateur photovoltaïque et un Mosfet de puissance (comme commutateur de sortie), dans un boîtier de connexion, pour une tension inférieure ou égale à 60 Volts et une intensité de courant inférieure ou égale à 2 ampères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8536 41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Un relais de puissance: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doté d'une fonction de commutation électromécanique,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 courant de commutation est compris entre 3 et 16 ampères,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tension de commande est comprise entre 5 et 24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distance entre les broches de connecteur du circuit de charge n’excède pas 12,5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8536 41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Relais photoélectrique (relais photovoltaïque) composé d'une diode électroluminescente GAaIA, d'un circuit intégré récepteur galvaniquement isolé avec un ou deux générateur(s) photovoltaïque(s) et deux Mosfets de puissance (en tant que commutateur de sortie), dans un boîtier de connexion, pour une tension inférieure ou égale à 60 Volts et une intensité de plus de 2 ampères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8536 49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Relais dont la bobine présente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nominale de 12 V (courant continu),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maximale autorisée n'excédant pas 16 V (courant continu),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de 26,7 Ohm (± 10 %) à 20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d’amorçage n’excédant pas 8,5 V à 60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chute de 1 V ou plus à 20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de fonctionnement nominale de 5,4 watts à 20 °C,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les contacts présentent les propriétés suivantes: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commutation n'excédant pas 400 V (courant continu)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intensité maximale admissible continue n'excédant pas 120 A</w:t>
                  </w:r>
                </w:p>
              </w:tc>
            </w:tr>
          </w:tbl>
          <w:p>
            <w:pPr>
              <w:pStyle w:val="Paragraph"/>
              <w:rPr>
                <w:noProof/>
                <w:lang w:val="fr-BE"/>
              </w:rPr>
            </w:pPr>
            <w:r>
              <w:rPr>
                <w:noProof/>
                <w:lang w:val="fr-BE"/>
              </w:rPr>
              <w:t>utilisés pour la fabrication de batteries pour véhicules électriques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8536 49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Relais photoélectrique (ou relais photovoltaïque), composé de deux diodes émettrices de lumière GaAIA, deux récepteurs avec isolement galvanique avec générateur(s) photovoltaïque(s) et quatre transistors à effet de champ à grille métal-oxyde - MOFSET (comme commutateurs de sortie), dans un boîtier muni de connecteurs, pour une tension excédant 60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8536 50 11</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Interrupteur à bouton pour système de démarrage sans clé d'une tension de 12 V dans un boîtier en matière plastique, comprenant au minimum:</w:t>
            </w:r>
          </w:p>
          <w:tbl>
            <w:tblPr>
              <w:tblStyle w:val="Listdash"/>
              <w:tblW w:w="0" w:type="auto"/>
              <w:tblLook w:val="0000" w:firstRow="0" w:lastRow="0" w:firstColumn="0" w:lastColumn="0" w:noHBand="0" w:noVBand="0"/>
            </w:tblPr>
            <w:tblGrid>
              <w:gridCol w:w="220"/>
              <w:gridCol w:w="1625"/>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circuit imprimé,</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une diode DEL,</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connecteur,</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des supports de fixation,</w:t>
                  </w:r>
                </w:p>
              </w:tc>
            </w:tr>
          </w:tbl>
          <w:p>
            <w:pPr>
              <w:pStyle w:val="Paragraph"/>
              <w:rPr>
                <w:noProof/>
                <w:lang w:val="fr-BE"/>
              </w:rPr>
            </w:pPr>
            <w:r>
              <w:rPr>
                <w:noProof/>
                <w:lang w:val="fr-BE"/>
              </w:rPr>
              <w:t>utilisé dans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8536 50 19</w:t>
            </w:r>
          </w:p>
          <w:p>
            <w:pPr>
              <w:pStyle w:val="Paragraph"/>
              <w:rPr>
                <w:noProof/>
              </w:rPr>
            </w:pPr>
            <w:r>
              <w:rPr>
                <w:noProof/>
              </w:rPr>
              <w:t>ex 8536 50 80</w:t>
            </w:r>
          </w:p>
        </w:tc>
        <w:tc>
          <w:tcPr>
            <w:tcW w:w="0" w:type="auto"/>
            <w:tcBorders>
              <w:left w:val="single" w:sz="2" w:space="0" w:color="auto"/>
              <w:bottom w:val="nil"/>
            </w:tcBorders>
          </w:tcPr>
          <w:p>
            <w:pPr>
              <w:pStyle w:val="Paragraph"/>
              <w:jc w:val="center"/>
              <w:rPr>
                <w:noProof/>
              </w:rPr>
            </w:pPr>
            <w:r>
              <w:rPr>
                <w:noProof/>
              </w:rPr>
              <w:t>93</w:t>
            </w:r>
          </w:p>
          <w:p>
            <w:pPr>
              <w:pStyle w:val="Paragraph"/>
              <w:jc w:val="center"/>
              <w:rPr>
                <w:noProof/>
              </w:rPr>
            </w:pPr>
            <w:r>
              <w:rPr>
                <w:noProof/>
              </w:rPr>
              <w:t>97</w:t>
            </w:r>
          </w:p>
        </w:tc>
        <w:tc>
          <w:tcPr>
            <w:tcW w:w="0" w:type="auto"/>
            <w:vMerge w:val="restart"/>
            <w:tcBorders>
              <w:left w:val="single" w:sz="2" w:space="0" w:color="auto"/>
            </w:tcBorders>
          </w:tcPr>
          <w:p>
            <w:pPr>
              <w:pStyle w:val="Paragraph"/>
              <w:rPr>
                <w:noProof/>
                <w:lang w:val="fr-BE"/>
              </w:rPr>
            </w:pPr>
            <w:r>
              <w:rPr>
                <w:noProof/>
                <w:lang w:val="fr-BE"/>
              </w:rPr>
              <w:t>Unités à fonctions réglables de commande et de connexion, comportant un ou plusieurs circuits intégrés monolithiques associés ou non à des éléments à semi-conducteurs, montées ensembles sur une grille de connexion et enserrées dans un boîtier en matière plastique</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8536 50 80</w:t>
            </w:r>
          </w:p>
        </w:tc>
        <w:tc>
          <w:tcPr>
            <w:tcW w:w="0" w:type="auto"/>
            <w:tcBorders>
              <w:left w:val="single" w:sz="2" w:space="0" w:color="auto"/>
            </w:tcBorders>
          </w:tcPr>
          <w:p>
            <w:pPr>
              <w:pStyle w:val="Paragraph"/>
              <w:jc w:val="center"/>
              <w:rPr>
                <w:noProof/>
              </w:rPr>
            </w:pPr>
            <w:r>
              <w:rPr>
                <w:noProof/>
              </w:rPr>
              <w:t>81</w:t>
            </w:r>
          </w:p>
        </w:tc>
        <w:tc>
          <w:tcPr>
            <w:tcW w:w="0" w:type="auto"/>
            <w:tcBorders>
              <w:left w:val="single" w:sz="2" w:space="0" w:color="auto"/>
            </w:tcBorders>
          </w:tcPr>
          <w:p>
            <w:pPr>
              <w:pStyle w:val="Paragraph"/>
              <w:rPr>
                <w:noProof/>
                <w:lang w:val="fr-BE"/>
              </w:rPr>
            </w:pPr>
            <w:r>
              <w:rPr>
                <w:noProof/>
                <w:lang w:val="fr-BE"/>
              </w:rPr>
              <w:t>Commutateurs à régulateur de vitesse mécanique pour connecter des circuits électriques avec :</w:t>
            </w:r>
          </w:p>
          <w:tbl>
            <w:tblPr>
              <w:tblStyle w:val="Listdash"/>
              <w:tblW w:w="0" w:type="auto"/>
              <w:tblLook w:val="0000" w:firstRow="0" w:lastRow="0" w:firstColumn="0" w:lastColumn="0" w:noHBand="0" w:noVBand="0"/>
            </w:tblPr>
            <w:tblGrid>
              <w:gridCol w:w="220"/>
              <w:gridCol w:w="27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voltage compris entre 240 V et 250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ampérage compris entre 4 A et 6 A,</w:t>
                  </w:r>
                </w:p>
              </w:tc>
            </w:tr>
          </w:tbl>
          <w:p>
            <w:pPr>
              <w:pStyle w:val="Paragraph"/>
              <w:rPr>
                <w:noProof/>
                <w:lang w:val="fr-BE"/>
              </w:rPr>
            </w:pPr>
            <w:r>
              <w:rPr>
                <w:noProof/>
                <w:lang w:val="fr-BE"/>
              </w:rPr>
              <w:t>entrant dans la fabrication de machines classées dans la position 8467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8536 50 80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lang w:val="fr-BE"/>
              </w:rPr>
            </w:pPr>
            <w:r>
              <w:rPr>
                <w:noProof/>
                <w:lang w:val="fr-BE"/>
              </w:rPr>
              <w:t>Commutateurs mécaniques pour connecter des circuits électriques avec :</w:t>
            </w:r>
          </w:p>
          <w:tbl>
            <w:tblPr>
              <w:tblStyle w:val="Listdash"/>
              <w:tblW w:w="0" w:type="auto"/>
              <w:tblLook w:val="0000" w:firstRow="0" w:lastRow="0" w:firstColumn="0" w:lastColumn="0" w:noHBand="0" w:noVBand="0"/>
            </w:tblPr>
            <w:tblGrid>
              <w:gridCol w:w="220"/>
              <w:gridCol w:w="27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voltage compris entre 240 V et 300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ampérage compris entre 3 A et 15 A,</w:t>
                  </w:r>
                </w:p>
              </w:tc>
            </w:tr>
          </w:tbl>
          <w:p>
            <w:pPr>
              <w:pStyle w:val="Paragraph"/>
              <w:rPr>
                <w:noProof/>
                <w:lang w:val="fr-BE"/>
              </w:rPr>
            </w:pPr>
            <w:r>
              <w:rPr>
                <w:noProof/>
                <w:lang w:val="fr-BE"/>
              </w:rPr>
              <w:t>entrant dans la fabrication de machines classées dans la position 8467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51</w:t>
            </w:r>
          </w:p>
        </w:tc>
        <w:tc>
          <w:tcPr>
            <w:tcW w:w="0" w:type="auto"/>
            <w:tcBorders>
              <w:left w:val="single" w:sz="2" w:space="0" w:color="auto"/>
            </w:tcBorders>
          </w:tcPr>
          <w:p>
            <w:pPr>
              <w:pStyle w:val="Paragraph"/>
              <w:rPr>
                <w:noProof/>
                <w:lang w:val="fr-BE"/>
              </w:rPr>
            </w:pPr>
            <w:r>
              <w:rPr>
                <w:noProof/>
                <w:lang w:val="fr-BE"/>
              </w:rPr>
              <w:t>Connecteurs de type SCART (péritel), intégrés dans un boîtier en matière plastique ou métallique, présentant 21 broches sur 2 rangées, destinés à la fabrication de produits relevant des positions 8521 et 8528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Pièces de connexion électriques d’une longueur n’excédant pas 12,7 mm et d’un diamètre n’excédant pas 10,8mm, destinées à être utilisées dans la fabrication de prothèses auditives et de processeurs vocaux</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82</w:t>
            </w:r>
          </w:p>
        </w:tc>
        <w:tc>
          <w:tcPr>
            <w:tcW w:w="0" w:type="auto"/>
            <w:tcBorders>
              <w:left w:val="single" w:sz="2" w:space="0" w:color="auto"/>
            </w:tcBorders>
          </w:tcPr>
          <w:p>
            <w:pPr>
              <w:pStyle w:val="Paragraph"/>
              <w:rPr>
                <w:noProof/>
                <w:lang w:val="fr-BE"/>
              </w:rPr>
            </w:pPr>
            <w:r>
              <w:rPr>
                <w:noProof/>
                <w:lang w:val="fr-BE"/>
              </w:rPr>
              <w:t>Prise ou fiche modulaire pour réseau local, combinée ou non à d'autres supports, intégrant au moins: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transformateur d’impulsions, comprenant un tore ferrite à bande passante étendue,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Une bobine mode commun,</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Une résistance,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condensateur,</w:t>
                  </w:r>
                </w:p>
              </w:tc>
            </w:tr>
          </w:tbl>
          <w:p>
            <w:pPr>
              <w:pStyle w:val="Paragraph"/>
              <w:rPr>
                <w:noProof/>
                <w:lang w:val="fr-BE"/>
              </w:rPr>
            </w:pPr>
            <w:r>
              <w:rPr>
                <w:noProof/>
                <w:lang w:val="fr-BE"/>
              </w:rPr>
              <w:t>entrant dans la fabrication de produits classés dans les positions 8521 ou 8528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84</w:t>
            </w:r>
          </w:p>
        </w:tc>
        <w:tc>
          <w:tcPr>
            <w:tcW w:w="0" w:type="auto"/>
            <w:tcBorders>
              <w:left w:val="single" w:sz="2" w:space="0" w:color="auto"/>
            </w:tcBorders>
          </w:tcPr>
          <w:p>
            <w:pPr>
              <w:pStyle w:val="Paragraph"/>
              <w:rPr>
                <w:noProof/>
                <w:lang w:val="fr-BE"/>
              </w:rPr>
            </w:pPr>
            <w:r>
              <w:rPr>
                <w:noProof/>
                <w:lang w:val="fr-BE"/>
              </w:rPr>
              <w:t>Prise ou fiche USB (Universal serial bus) simple ou multiple pour le raccordement à d'autres dispositifs USB, entrant dans la fabrication de produits classés dans les positions 8521 ou 8528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Prise ou fiche, intégrée dans un boîtier en matière plastique ou métallique, avec 96 broches au maximum, entrant dans la fabrication de produits classés dans les positions 8521 ou 8528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8536 69 90</w:t>
            </w:r>
          </w:p>
        </w:tc>
        <w:tc>
          <w:tcPr>
            <w:tcW w:w="0" w:type="auto"/>
            <w:tcBorders>
              <w:left w:val="single" w:sz="2" w:space="0" w:color="auto"/>
            </w:tcBorders>
          </w:tcPr>
          <w:p>
            <w:pPr>
              <w:pStyle w:val="Paragraph"/>
              <w:jc w:val="center"/>
              <w:rPr>
                <w:noProof/>
              </w:rPr>
            </w:pPr>
            <w:r>
              <w:rPr>
                <w:noProof/>
              </w:rPr>
              <w:t>86</w:t>
            </w:r>
          </w:p>
        </w:tc>
        <w:tc>
          <w:tcPr>
            <w:tcW w:w="0" w:type="auto"/>
            <w:tcBorders>
              <w:left w:val="single" w:sz="2" w:space="0" w:color="auto"/>
            </w:tcBorders>
          </w:tcPr>
          <w:p>
            <w:pPr>
              <w:pStyle w:val="Paragraph"/>
              <w:rPr>
                <w:noProof/>
                <w:lang w:val="fr-BE"/>
              </w:rPr>
            </w:pPr>
            <w:r>
              <w:rPr>
                <w:noProof/>
                <w:lang w:val="fr-BE"/>
              </w:rPr>
              <w:t>Prise ou fiche électrique de type interface multimédia haute définition (HDMI), intégrée dans un boîtier en matière plastique ou métallique, avec 19 ou 20 broches sur 2 rangées, entrant dans la fabrication de produits classés dans la position 8521 ou 8528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8536 70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Prise, fiche ou connecteur optique entrant dans la fabrication de produits classés dans les positions 8521 ou 8528</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8536 90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Boîtier de puces à semi-conducteurs sous la forme d'un cadre en plastique équipé d'une grille de connexion munie de plots de contact, pour une tension n'excédant pas 1 000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8536 90 95</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Rivets de contact: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en cuivre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revêtement en alliage nickel-argent (AgNi10) ou en argent contenant en poids 11,2 % (± 1,0 %) d'oxyde d'étain et d'oxyde d'indium, conjointement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revêtement de 0,3 mm (-0/+0,015 mm)</w:t>
                  </w:r>
                </w:p>
              </w:tc>
            </w:tr>
            <w:tr>
              <w:tc>
                <w:tcPr>
                  <w:tcW w:w="0" w:type="auto"/>
                </w:tcPr>
                <w:p>
                  <w:pPr>
                    <w:pStyle w:val="Paragraph"/>
                    <w:rPr>
                      <w:noProof/>
                    </w:rPr>
                  </w:pPr>
                  <w:r>
                    <w:rPr>
                      <w:noProof/>
                    </w:rPr>
                    <w:t>—</w:t>
                  </w:r>
                </w:p>
              </w:tc>
              <w:tc>
                <w:tcPr>
                  <w:tcW w:w="0" w:type="auto"/>
                </w:tcPr>
                <w:p>
                  <w:pPr>
                    <w:pStyle w:val="Paragraph"/>
                    <w:rPr>
                      <w:noProof/>
                    </w:rPr>
                  </w:pPr>
                  <w:r>
                    <w:rPr>
                      <w:noProof/>
                    </w:rPr>
                    <w:t>même dorés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8536 90 95</w:t>
            </w:r>
          </w:p>
          <w:p>
            <w:pPr>
              <w:pStyle w:val="Paragraph"/>
              <w:rPr>
                <w:noProof/>
              </w:rPr>
            </w:pPr>
            <w:r>
              <w:rPr>
                <w:noProof/>
              </w:rPr>
              <w:t>ex 8544 49 93</w:t>
            </w:r>
          </w:p>
        </w:tc>
        <w:tc>
          <w:tcPr>
            <w:tcW w:w="0" w:type="auto"/>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Connecteur élastomérique, en caoutchouc ou en silicone, muni d’un ou plusieurs éléments conducteurs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8537 10 91</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Module de commande de fusibles dans un boîtier en plastique avec supports de fixation comportant: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des interfaces de connexion avec ou sans fusibles,</w:t>
                  </w:r>
                </w:p>
              </w:tc>
            </w:tr>
            <w:tr>
              <w:tc>
                <w:tcPr>
                  <w:tcW w:w="0" w:type="auto"/>
                </w:tcPr>
                <w:p>
                  <w:pPr>
                    <w:pStyle w:val="Paragraph"/>
                    <w:rPr>
                      <w:noProof/>
                    </w:rPr>
                  </w:pPr>
                  <w:r>
                    <w:rPr>
                      <w:noProof/>
                    </w:rPr>
                    <w:t>—</w:t>
                  </w:r>
                </w:p>
              </w:tc>
              <w:tc>
                <w:tcPr>
                  <w:tcW w:w="0" w:type="auto"/>
                </w:tcPr>
                <w:p>
                  <w:pPr>
                    <w:pStyle w:val="Paragraph"/>
                    <w:rPr>
                      <w:noProof/>
                    </w:rPr>
                  </w:pPr>
                  <w:r>
                    <w:rPr>
                      <w:noProof/>
                    </w:rPr>
                    <w:t>des ports de raccordement,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carte de circuits imprimés avec microprocesseur intégré, minirupteur et relais</w:t>
                  </w:r>
                </w:p>
              </w:tc>
            </w:tr>
          </w:tbl>
          <w:p>
            <w:pPr>
              <w:pStyle w:val="Paragraph"/>
              <w:rPr>
                <w:noProof/>
                <w:lang w:val="fr-BE"/>
              </w:rPr>
            </w:pPr>
            <w:r>
              <w:rPr>
                <w:noProof/>
                <w:lang w:val="fr-BE"/>
              </w:rPr>
              <w:t>des types utilisés pour la fabrication de marchandises relevant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8537 10 91</w:t>
            </w:r>
          </w:p>
          <w:p>
            <w:pPr>
              <w:pStyle w:val="Paragraph"/>
              <w:rPr>
                <w:noProof/>
              </w:rPr>
            </w:pPr>
            <w:r>
              <w:rPr>
                <w:noProof/>
              </w:rPr>
              <w:t>ex 8537 10 98</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45</w:t>
            </w:r>
          </w:p>
        </w:tc>
        <w:tc>
          <w:tcPr>
            <w:tcW w:w="0" w:type="auto"/>
            <w:vMerge w:val="restart"/>
            <w:tcBorders>
              <w:left w:val="single" w:sz="2" w:space="0" w:color="auto"/>
            </w:tcBorders>
          </w:tcPr>
          <w:p>
            <w:pPr>
              <w:pStyle w:val="Paragraph"/>
              <w:rPr>
                <w:noProof/>
                <w:lang w:val="fr-BE"/>
              </w:rPr>
            </w:pPr>
            <w:r>
              <w:rPr>
                <w:noProof/>
                <w:lang w:val="fr-BE"/>
              </w:rPr>
              <w:t>Unités de commande électroniques, fabriquées conformément à la classe 2 de la norme IPC-A-610E, présentant au moins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courant alternatif à l'entrée de 208 V ou plus, mais n'excédant pas 400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une entrée logique de 24 V en courant continu,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disjoncteur à ouverture automatique,</w:t>
                  </w:r>
                </w:p>
              </w:tc>
            </w:tr>
            <w:tr>
              <w:tc>
                <w:tcPr>
                  <w:tcW w:w="0" w:type="auto"/>
                </w:tcPr>
                <w:p>
                  <w:pPr>
                    <w:pStyle w:val="Paragraph"/>
                    <w:rPr>
                      <w:noProof/>
                    </w:rPr>
                  </w:pPr>
                  <w:r>
                    <w:rPr>
                      <w:noProof/>
                    </w:rPr>
                    <w:t>—</w:t>
                  </w:r>
                </w:p>
              </w:tc>
              <w:tc>
                <w:tcPr>
                  <w:tcW w:w="0" w:type="auto"/>
                </w:tcPr>
                <w:p>
                  <w:pPr>
                    <w:pStyle w:val="Paragraph"/>
                    <w:rPr>
                      <w:noProof/>
                    </w:rPr>
                  </w:pPr>
                  <w:r>
                    <w:rPr>
                      <w:noProof/>
                    </w:rPr>
                    <w:t>un interrupteur d'alimentation principal,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connecteurs et câbles électriques internes ou externes,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un boîtier mesurant 281 mm x 180 mm x 75 mm ou plus, mais n'excédant pas 630 mm x 420 mm x 230 mm,</w:t>
                  </w:r>
                </w:p>
              </w:tc>
            </w:tr>
          </w:tbl>
          <w:p>
            <w:pPr>
              <w:pStyle w:val="Paragraph"/>
              <w:rPr>
                <w:noProof/>
                <w:lang w:val="fr-BE"/>
              </w:rPr>
            </w:pPr>
            <w:r>
              <w:rPr>
                <w:noProof/>
                <w:lang w:val="fr-BE"/>
              </w:rPr>
              <w:t>du type utilisé pour la fabrication de machines de recyclage ou de triage</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Pr>
          <w:p>
            <w:pPr>
              <w:pStyle w:val="Paragraph"/>
              <w:rPr>
                <w:noProof/>
              </w:rPr>
            </w:pPr>
            <w:r>
              <w:rPr>
                <w:noProof/>
              </w:rPr>
              <w:t>ex 8537 10 91</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Unité de commande électronique pour optimiser les performances du moteur:</w:t>
            </w:r>
          </w:p>
          <w:tbl>
            <w:tblPr>
              <w:tblStyle w:val="Listdash"/>
              <w:tblW w:w="0" w:type="auto"/>
              <w:tblLook w:val="0000" w:firstRow="0" w:lastRow="0" w:firstColumn="0" w:lastColumn="0" w:noHBand="0" w:noVBand="0"/>
            </w:tblPr>
            <w:tblGrid>
              <w:gridCol w:w="220"/>
              <w:gridCol w:w="3633"/>
            </w:tblGrid>
            <w:tr>
              <w:tc>
                <w:tcPr>
                  <w:tcW w:w="0" w:type="auto"/>
                </w:tcPr>
                <w:p>
                  <w:pPr>
                    <w:pStyle w:val="Paragraph"/>
                    <w:rPr>
                      <w:noProof/>
                    </w:rPr>
                  </w:pPr>
                  <w:r>
                    <w:rPr>
                      <w:noProof/>
                    </w:rPr>
                    <w:t>—</w:t>
                  </w:r>
                </w:p>
              </w:tc>
              <w:tc>
                <w:tcPr>
                  <w:tcW w:w="0" w:type="auto"/>
                </w:tcPr>
                <w:p>
                  <w:pPr>
                    <w:pStyle w:val="Paragraph"/>
                    <w:rPr>
                      <w:noProof/>
                    </w:rPr>
                  </w:pPr>
                  <w:r>
                    <w:rPr>
                      <w:noProof/>
                    </w:rPr>
                    <w:t>à mémoire programmable,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de 8 V ou plus mais n’excédant pas 16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munie d’au moins un connecteur composite,</w:t>
                  </w:r>
                </w:p>
              </w:tc>
            </w:tr>
            <w:tr>
              <w:tc>
                <w:tcPr>
                  <w:tcW w:w="0" w:type="auto"/>
                </w:tcPr>
                <w:p>
                  <w:pPr>
                    <w:pStyle w:val="Paragraph"/>
                    <w:rPr>
                      <w:noProof/>
                    </w:rPr>
                  </w:pPr>
                  <w:r>
                    <w:rPr>
                      <w:noProof/>
                    </w:rPr>
                    <w:t>—</w:t>
                  </w:r>
                </w:p>
              </w:tc>
              <w:tc>
                <w:tcPr>
                  <w:tcW w:w="0" w:type="auto"/>
                </w:tcPr>
                <w:p>
                  <w:pPr>
                    <w:pStyle w:val="Paragraph"/>
                    <w:rPr>
                      <w:noProof/>
                    </w:rPr>
                  </w:pPr>
                  <w:r>
                    <w:rPr>
                      <w:noProof/>
                    </w:rPr>
                    <w:t>dans un boîtier métallique,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munie ou non de supports de fixation métalliques,</w:t>
                  </w:r>
                </w:p>
              </w:tc>
            </w:tr>
          </w:tbl>
          <w:p>
            <w:pPr>
              <w:pStyle w:val="Paragraph"/>
              <w:rPr>
                <w:noProof/>
                <w:lang w:val="fr-BE"/>
              </w:rPr>
            </w:pPr>
            <w:r>
              <w:rPr>
                <w:noProof/>
                <w:lang w:val="fr-BE"/>
              </w:rPr>
              <w:t>utilisée dans la construction de véhicules à moteur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8537 10 91</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Commande à mémoire programmable d'une tension n'excédant pas 1 000 V, permettant de faire fonctionner un moteur à combustion et/ou différents actionneurs fonctionnant avec un moteur à combustion, comprenant au moins</w:t>
            </w:r>
          </w:p>
          <w:tbl>
            <w:tblPr>
              <w:tblStyle w:val="Listdash"/>
              <w:tblW w:w="0" w:type="auto"/>
              <w:tblLook w:val="0000" w:firstRow="0" w:lastRow="0" w:firstColumn="0" w:lastColumn="0" w:noHBand="0" w:noVBand="0"/>
            </w:tblPr>
            <w:tblGrid>
              <w:gridCol w:w="220"/>
              <w:gridCol w:w="352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circuit imprimé pourvu d'éléments actifs et passifs,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boîtier en aluminium et,</w:t>
                  </w:r>
                </w:p>
              </w:tc>
            </w:tr>
            <w:tr>
              <w:tc>
                <w:tcPr>
                  <w:tcW w:w="0" w:type="auto"/>
                </w:tcPr>
                <w:p>
                  <w:pPr>
                    <w:pStyle w:val="Paragraph"/>
                    <w:rPr>
                      <w:noProof/>
                    </w:rPr>
                  </w:pPr>
                  <w:r>
                    <w:rPr>
                      <w:noProof/>
                    </w:rPr>
                    <w:t>—</w:t>
                  </w:r>
                </w:p>
              </w:tc>
              <w:tc>
                <w:tcPr>
                  <w:tcW w:w="0" w:type="auto"/>
                </w:tcPr>
                <w:p>
                  <w:pPr>
                    <w:pStyle w:val="Paragraph"/>
                    <w:rPr>
                      <w:noProof/>
                    </w:rPr>
                  </w:pPr>
                  <w:r>
                    <w:rPr>
                      <w:noProof/>
                    </w:rPr>
                    <w:t>de multiples connecteurs</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rStyle w:val="FootnoteReference"/>
                <w:noProof/>
              </w:rPr>
              <w:t>*</w:t>
            </w:r>
            <w:r>
              <w:rPr>
                <w:noProof/>
              </w:rPr>
              <w:t>ex 8537 10 98</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Contrôleur ‘pont H’ pour moteur électrique, sans mémoire programmable, constitué: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ou plusieurs circuits intégrés, non interconnectés, sur des grilles de connexion séparées,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de transistors discrets à effet de champ à structure métal-oxyde (MOSFET) pour le contrôle de moteurs à courant continu dans les automobiles,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monté dans un boîtier en matière plastique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8537 10 98</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Unité de contrôle électronique sans mémoire, d'une tension de 12 V, destinée aux systèmes d'échange d'informations dans les véhicules (pour la connexion des services audio, de la téléphonie, de la navigation, des caméras et des services sans fil dans les véhicules) et comportant: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2 boutons rotatifs;</w:t>
                  </w:r>
                </w:p>
              </w:tc>
            </w:tr>
            <w:tr>
              <w:tc>
                <w:tcPr>
                  <w:tcW w:w="0" w:type="auto"/>
                </w:tcPr>
                <w:p>
                  <w:pPr>
                    <w:pStyle w:val="Paragraph"/>
                    <w:rPr>
                      <w:noProof/>
                    </w:rPr>
                  </w:pPr>
                  <w:r>
                    <w:rPr>
                      <w:noProof/>
                    </w:rPr>
                    <w:t>—</w:t>
                  </w:r>
                </w:p>
              </w:tc>
              <w:tc>
                <w:tcPr>
                  <w:tcW w:w="0" w:type="auto"/>
                </w:tcPr>
                <w:p>
                  <w:pPr>
                    <w:pStyle w:val="Paragraph"/>
                    <w:rPr>
                      <w:noProof/>
                    </w:rPr>
                  </w:pPr>
                  <w:r>
                    <w:rPr>
                      <w:noProof/>
                    </w:rPr>
                    <w:t>au moins 27 boutons poussoirs;</w:t>
                  </w:r>
                </w:p>
              </w:tc>
            </w:tr>
            <w:tr>
              <w:tc>
                <w:tcPr>
                  <w:tcW w:w="0" w:type="auto"/>
                </w:tcPr>
                <w:p>
                  <w:pPr>
                    <w:pStyle w:val="Paragraph"/>
                    <w:rPr>
                      <w:noProof/>
                    </w:rPr>
                  </w:pPr>
                  <w:r>
                    <w:rPr>
                      <w:noProof/>
                    </w:rPr>
                    <w:t>—</w:t>
                  </w:r>
                </w:p>
              </w:tc>
              <w:tc>
                <w:tcPr>
                  <w:tcW w:w="0" w:type="auto"/>
                </w:tcPr>
                <w:p>
                  <w:pPr>
                    <w:pStyle w:val="Paragraph"/>
                    <w:rPr>
                      <w:noProof/>
                    </w:rPr>
                  </w:pPr>
                  <w:r>
                    <w:rPr>
                      <w:noProof/>
                    </w:rPr>
                    <w:t>plusieurs LED;</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 circuits intégrés pour la réception et l'émission de signaux de contrôle via le bus LIN</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8537 10 98</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Unité de commande électronique pour contrôler la pression des pneus comprenant un boîtier en plastique renfermant un circuit imprimé et muni ou non d'un support de fixation métallique:</w:t>
            </w:r>
          </w:p>
          <w:tbl>
            <w:tblPr>
              <w:tblStyle w:val="Listdash"/>
              <w:tblW w:w="0" w:type="auto"/>
              <w:tblLook w:val="0000" w:firstRow="0" w:lastRow="0" w:firstColumn="0" w:lastColumn="0" w:noHBand="0" w:noVBand="0"/>
            </w:tblPr>
            <w:tblGrid>
              <w:gridCol w:w="220"/>
              <w:gridCol w:w="411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50 mm ou plus, mais n'excédant pas 120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20 mm ou plus, mais n'excédant pas 40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de 30 mm ou plus, mais n'excédant pas 120 mm,</w:t>
                  </w:r>
                </w:p>
              </w:tc>
            </w:tr>
          </w:tbl>
          <w:p>
            <w:pPr>
              <w:pStyle w:val="Paragraph"/>
              <w:rPr>
                <w:noProof/>
                <w:lang w:val="fr-BE"/>
              </w:rPr>
            </w:pPr>
            <w:r>
              <w:rPr>
                <w:noProof/>
                <w:lang w:val="fr-BE"/>
              </w:rPr>
              <w:t>du type utilisé dans la fabrication de marchandises relevant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8537 10 98</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Unité de commande électronique BCM («Body Control Module», module de commande de carrosserie)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boîtier en plastique renfermant un circuit imprimé et muni d'un support de fixation métallique,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de fonctionnement égale ou supérieure à 9 V mais n'excédant pas 16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permettant de contrôler, évaluer et gérer des services d'aide à la conduite, parmi lesquels, notamment, la temporisation des essuie-glaces, le chauffage des vitres, l'éclairage intérieur, le rappel de bouclage de ceinture,</w:t>
                  </w:r>
                </w:p>
              </w:tc>
            </w:tr>
          </w:tbl>
          <w:p>
            <w:pPr>
              <w:pStyle w:val="Paragraph"/>
              <w:rPr>
                <w:noProof/>
                <w:lang w:val="fr-BE"/>
              </w:rPr>
            </w:pPr>
            <w:r>
              <w:rPr>
                <w:noProof/>
                <w:lang w:val="fr-BE"/>
              </w:rPr>
              <w:t>du type utilisé dans la fabrication de marchandises relevant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8537 10 98</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rPr>
            </w:pPr>
            <w:r>
              <w:rPr>
                <w:noProof/>
              </w:rPr>
              <w:t>Ensemble électronique composé: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d'un microprocesseur,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voyants à diodes électroluminescentes (DEL) ou à cristaux liquides (LCD),</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composants électroniques montés sur un circuit imprimé,</w:t>
                  </w:r>
                </w:p>
              </w:tc>
            </w:tr>
          </w:tbl>
          <w:p>
            <w:pPr>
              <w:pStyle w:val="Paragraph"/>
              <w:rPr>
                <w:noProof/>
                <w:lang w:val="fr-BE"/>
              </w:rPr>
            </w:pPr>
            <w:r>
              <w:rPr>
                <w:noProof/>
                <w:lang w:val="fr-BE"/>
              </w:rPr>
              <w:t>utilisé dans la fabrication de produits encastrables des positions 8514 20 80, 8516 50 00 et 8516 60 80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8537 10 98</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Manette pour module de commande sous volant: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comportant un ou plusieurs commutateurs électriques à position simple ou multiple (bouton-poussoir, commutateur rotatif ou autre),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équipée ou non de circuits imprimés et de câbles électriques,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de fonctionnement égale ou supérieure à 9 V mais n'excédant pas 16 V,</w:t>
                  </w:r>
                </w:p>
              </w:tc>
            </w:tr>
          </w:tbl>
          <w:p>
            <w:pPr>
              <w:pStyle w:val="Paragraph"/>
              <w:rPr>
                <w:noProof/>
                <w:lang w:val="fr-BE"/>
              </w:rPr>
            </w:pPr>
            <w:r>
              <w:rPr>
                <w:noProof/>
                <w:lang w:val="fr-BE"/>
              </w:rPr>
              <w:t>du type utilisé dans la fabrication des véhicules à moteur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8537 10 98</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Module de commande pour système d'accès et de démarrage sans clé du véhicule, avec appareil de commutation électrique, logé dans un boîtier plastique, pour une tension de 12 V, muni ou non des éléments suivants:</w:t>
            </w:r>
          </w:p>
          <w:tbl>
            <w:tblPr>
              <w:tblStyle w:val="Listdash"/>
              <w:tblW w:w="0" w:type="auto"/>
              <w:tblLook w:val="0000" w:firstRow="0" w:lastRow="0" w:firstColumn="0" w:lastColumn="0" w:noHBand="0" w:noVBand="0"/>
            </w:tblPr>
            <w:tblGrid>
              <w:gridCol w:w="220"/>
              <w:gridCol w:w="1296"/>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antenne,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connecteur,</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support métallique,</w:t>
                  </w:r>
                </w:p>
              </w:tc>
            </w:tr>
          </w:tbl>
          <w:p>
            <w:pPr>
              <w:pStyle w:val="Paragraph"/>
              <w:rPr>
                <w:noProof/>
                <w:lang w:val="fr-BE"/>
              </w:rPr>
            </w:pPr>
            <w:r>
              <w:rPr>
                <w:noProof/>
                <w:lang w:val="fr-BE"/>
              </w:rPr>
              <w:t>utilisé dans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8537 10 98</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fr-BE"/>
              </w:rPr>
            </w:pPr>
            <w:r>
              <w:rPr>
                <w:noProof/>
                <w:lang w:val="fr-BE"/>
              </w:rPr>
              <w:t>Unité de commande électronique pour une tension de 12 V, destinée à être utilisée dans la fabrication de systèmes de régulation de la température installés dans des véhicules </w:t>
            </w:r>
            <w:r>
              <w:rPr>
                <w:rStyle w:val="FootnoteReference"/>
                <w:noProof/>
                <w:lang w:val="fr-BE"/>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8538 90 91</w:t>
            </w:r>
          </w:p>
          <w:p>
            <w:pPr>
              <w:pStyle w:val="Paragraph"/>
              <w:rPr>
                <w:noProof/>
              </w:rPr>
            </w:pPr>
            <w:r>
              <w:rPr>
                <w:noProof/>
              </w:rPr>
              <w:t>ex 8538 90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BE"/>
              </w:rPr>
            </w:pPr>
            <w:r>
              <w:rPr>
                <w:noProof/>
                <w:lang w:val="fr-BE"/>
              </w:rPr>
              <w:t>Antenne intérieure destinée au système de verrouillage des portes de la voiture,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module antenne dans un boîtier en plastique,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câble de raccordement équipé d'une prise,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deux supports de fixation,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même des cartes de circuits imprimés (PCB) incluant des circuits intégrés, diodes et transistors</w:t>
                  </w:r>
                </w:p>
              </w:tc>
            </w:tr>
          </w:tbl>
          <w:p>
            <w:pPr>
              <w:pStyle w:val="Paragraph"/>
              <w:rPr>
                <w:noProof/>
                <w:lang w:val="fr-BE"/>
              </w:rPr>
            </w:pPr>
            <w:r>
              <w:rPr>
                <w:noProof/>
                <w:lang w:val="fr-BE"/>
              </w:rPr>
              <w:t>du type utilisé dans la fabrication des marchandises du code NC 8703</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8538 90 99</w:t>
            </w:r>
          </w:p>
          <w:p>
            <w:pPr>
              <w:pStyle w:val="Paragraph"/>
              <w:rPr>
                <w:noProof/>
              </w:rPr>
            </w:pPr>
            <w:r>
              <w:rPr>
                <w:noProof/>
              </w:rPr>
              <w:t>ex 8547 20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Supports et capots en polycarbonate ou acrylonitrile butadiène styrène pour les blocs de commandes au volant recouverts ou non sur la face extérieure d'une peinture résistante aux griffures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8538 90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Boutons d’interfaces de commandes en polycarbonate pour blocs de commandes au volant recouverts sur la face extérieure d'une peinture résistante aux griffures, en emballages immédiats de 500 pièces ou plus</w:t>
            </w:r>
          </w:p>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8538 90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Façade de panneau de commande se présentant sous la forme d'un boîtier plastique, comprenant des guides de lumière, des commutateurs rotatifs, des interrupteurs à pression et des boutons-poussoirs, ou d'autres types de commutateurs, sans composants électriques, du type utilisé sur le tableau de bord des véhicules à moteur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8538 90 99</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fr-BE"/>
              </w:rPr>
            </w:pPr>
            <w:r>
              <w:rPr>
                <w:noProof/>
                <w:lang w:val="fr-BE"/>
              </w:rPr>
              <w:t>Plaque de base en cuivre destinée à servir de dissipateur thermique dans la fabrication de modules IGBT contenant un plus grand nombre de composants que les puces et les diodes IGBT avec une tension égale ou supérieure à 650 V, mais n'excédant pas 1 200 V</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8540 20 80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rPr>
            </w:pPr>
            <w:r>
              <w:rPr>
                <w:noProof/>
              </w:rPr>
              <w:t>Photomultiplicateur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8540 71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Magnétron à effet continu, avec une fréquence fixe de 2 460 MHz, aimant permanent, sortie sonde, destiné à la fabrication de produits de la sous-position 8516 50 00</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8540 89 00</w:t>
            </w:r>
          </w:p>
        </w:tc>
        <w:tc>
          <w:tcPr>
            <w:tcW w:w="0" w:type="auto"/>
            <w:tcBorders>
              <w:left w:val="single" w:sz="2" w:space="0" w:color="auto"/>
            </w:tcBorders>
          </w:tcPr>
          <w:p>
            <w:pPr>
              <w:pStyle w:val="Paragraph"/>
              <w:jc w:val="center"/>
              <w:rPr>
                <w:noProof/>
              </w:rPr>
            </w:pPr>
            <w:r>
              <w:rPr>
                <w:noProof/>
              </w:rPr>
              <w:t>91</w:t>
            </w:r>
          </w:p>
        </w:tc>
        <w:tc>
          <w:tcPr>
            <w:tcW w:w="0" w:type="auto"/>
            <w:tcBorders>
              <w:left w:val="single" w:sz="2" w:space="0" w:color="auto"/>
            </w:tcBorders>
          </w:tcPr>
          <w:p>
            <w:pPr>
              <w:pStyle w:val="Paragraph"/>
              <w:rPr>
                <w:noProof/>
                <w:lang w:val="fr-BE"/>
              </w:rPr>
            </w:pPr>
            <w:r>
              <w:rPr>
                <w:noProof/>
                <w:lang w:val="fr-BE"/>
              </w:rPr>
              <w:t>Indicateurs, sous forme d’un tube consistant en un boîtier de verre monté sur un tableau de dimensions n’excédant pas 300 mm × 350 mm, câble non compris. Le tube contient une ou plusieurs rangées de caractères ou de lignes disposées en rangées. Chacun des caractères ou chacune des lignes est composé d’éléments fluorescents ou phosphorescents. Ces éléments sont montés sur un support métallisé qui est recouvert de substances fluorescentes ou de sels phosphorescents qui deviennent lumineux lorsqu’ils sont soumis à un bombardement d’électrons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8540 89 00</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fr-BE"/>
              </w:rPr>
            </w:pPr>
            <w:r>
              <w:rPr>
                <w:noProof/>
                <w:lang w:val="fr-BE"/>
              </w:rPr>
              <w:t>Tube de visualisation à vide, fluorescent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8540 91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Source thermoionique d’électrons (point émetteur) d'hexaborure de lanthane (CAS RN 12008-21-8) ou d'hexaborure de cérium (CAS RN 12008-02-5), dans un boîtier métallique muni de connecteurs électriques, doté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bouclier en carbone graphite monté dans un système de type mini-Vogel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blocs de carbone pyrolytique servant d'éléments de chauffage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température de cathode inférieure à 1800 K à un courant de chauffage de 1,26 A</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Film électrochrome, constitué de feuilles stratifiées, avec:</w:t>
            </w:r>
          </w:p>
          <w:tbl>
            <w:tblPr>
              <w:tblStyle w:val="Listdash"/>
              <w:tblW w:w="0" w:type="auto"/>
              <w:tblLook w:val="0000" w:firstRow="0" w:lastRow="0" w:firstColumn="0" w:lastColumn="0" w:noHBand="0" w:noVBand="0"/>
            </w:tblPr>
            <w:tblGrid>
              <w:gridCol w:w="220"/>
              <w:gridCol w:w="403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deux couches extérieures en polyester,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intermédiaire en polymère acrylique et silicone,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doté de deux bornes de raccordement électrique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8543 70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Amplificateur, constitué d’éléments actifs et passifs fixés sur un circuit imprimé, enserré dans un boîtier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Amplificateur haute fréquence constitué d’un ou de plusieurs circuits intégrés et d’un ou de plusieurs condensateurs distincts (puces), même avec des éléments de circuits passifs intégrés, monté sur un flasque métallique et intégré dans un boîtier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34</w:t>
            </w:r>
          </w:p>
        </w:tc>
        <w:tc>
          <w:tcPr>
            <w:tcW w:w="0" w:type="auto"/>
            <w:tcBorders>
              <w:left w:val="single" w:sz="2" w:space="0" w:color="auto"/>
            </w:tcBorders>
          </w:tcPr>
          <w:p>
            <w:pPr>
              <w:pStyle w:val="Paragraph"/>
              <w:rPr>
                <w:noProof/>
                <w:lang w:val="fr-BE"/>
              </w:rPr>
            </w:pPr>
            <w:r>
              <w:rPr>
                <w:noProof/>
                <w:lang w:val="fr-BE"/>
              </w:rPr>
              <w:t>Amplificateur à haute fréquence à nitrure de gallium (GaN) constitué d’un ou de plusieurs circuits intégrés, d'une ou plusieurs puces de condensateurs et de composants facultatifs passifs intégrés («IPD») montés sur une flasque métallique intégrée dans un boîtier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8543 70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Modulateur de fréquences radio (RF), opérant dans une gamme de fréquence de 43 MHz ou plus mais n’excédant pas 870 MHz, permettant la commutation de signaux VHF et UHF, constitué d’éléments actifs et passifs fixés sur un circuit imprimé, enserré dans un boîtier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8543 70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Oscillateur à cristal piézo-électrique à fréquence fixe, dans une bande de fréquence de 1,8 MHz à 67 MHz, enserré dans un boîtier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8543 70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lang w:val="fr-BE"/>
              </w:rPr>
            </w:pPr>
            <w:r>
              <w:rPr>
                <w:noProof/>
                <w:lang w:val="fr-BE"/>
              </w:rPr>
              <w:t>Circuit opto-électronique composé d’une ou de plusieurs diodes électro-luminescentes (DEL), équipées ou non d’un circuit de pilotage intégré, et d’une photodiode avec circuit amplificateur, avec ou sans circuit intégré de portes logiques, ou d’une ou de plusieurs diodes électro-luminescentes et d’au moins deux photodiodes avec circuit amplificateur, avec ou sans circuit intégré de portes logiques ou autres circuits intégrés, enserré dans un boîtier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8543 70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Oscillateur à compensation thermique, comprenant un circuit imprimé sur lequel sont montés au moins un cristal pièzo-électrique et un condensateur ajustable, enserré dans un boitier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8543 70 90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Oscillateur piloté en tension (VCO), à l’exception des oscillateurs à compensation thermique, constitué d’éléments actifs et passifs fixés sur un circuit imprimé, enserré dans un boîtier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95</w:t>
            </w:r>
          </w:p>
        </w:tc>
        <w:tc>
          <w:tcPr>
            <w:tcW w:w="0" w:type="auto"/>
            <w:tcBorders>
              <w:left w:val="single" w:sz="2" w:space="0" w:color="auto"/>
            </w:tcBorders>
          </w:tcPr>
          <w:p>
            <w:pPr>
              <w:pStyle w:val="Paragraph"/>
              <w:rPr>
                <w:noProof/>
                <w:lang w:val="fr-BE"/>
              </w:rPr>
            </w:pPr>
            <w:r>
              <w:rPr>
                <w:noProof/>
                <w:lang w:val="fr-BE"/>
              </w:rPr>
              <w:t>Module de visualisation et de commande de téléphone mobile, comportant: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prise d’alimentation secteur/interface de connexion CAN (Controller Area Network),</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port USB (Universal Serial Bus) et des ports d’entrée/sortie audio, et intégrant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dispositif de sélection vidéo pour l’interface entre les systèmes d’exploitation de téléphones intelligents et le réseau MOST (Media Orientated Systems Transport),</w:t>
                  </w:r>
                </w:p>
              </w:tc>
            </w:tr>
          </w:tbl>
          <w:p>
            <w:pPr>
              <w:pStyle w:val="Paragraph"/>
              <w:rPr>
                <w:noProof/>
                <w:lang w:val="fr-BE"/>
              </w:rPr>
            </w:pPr>
            <w:r>
              <w:rPr>
                <w:noProof/>
                <w:lang w:val="fr-BE"/>
              </w:rPr>
              <w:t>utilisé dans la construction de véhicules du chapitre 87 </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8544 20 00</w:t>
            </w:r>
          </w:p>
          <w:p>
            <w:pPr>
              <w:pStyle w:val="Paragraph"/>
              <w:rPr>
                <w:noProof/>
              </w:rPr>
            </w:pPr>
            <w:r>
              <w:rPr>
                <w:noProof/>
              </w:rPr>
              <w:t>ex 8544 42 90</w:t>
            </w:r>
          </w:p>
          <w:p>
            <w:pPr>
              <w:pStyle w:val="Paragraph"/>
              <w:rPr>
                <w:noProof/>
              </w:rPr>
            </w:pPr>
            <w:r>
              <w:rPr>
                <w:noProof/>
              </w:rPr>
              <w:t>ex 8544 49 93</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Câble flexible isolé en PET/PVC:</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tension n’excédant pas 60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intensité de courant n’excédant pas 1 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résistance à la chaleur n’excédant pas 105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fils individuels d’une épaisseur n’excédant pas 0,1 mm (± 0,01 mm) et d’une largeur n’excédant pas 0,8 mm (± 0,03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distance entre les conducteurs n’excédant pas 0,5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(distance d’axe à axe des conducteurs) n’excédant pas 1,25 mm</w:t>
                  </w:r>
                </w:p>
              </w:tc>
            </w:tr>
          </w:tbl>
          <w:p>
            <w:pPr>
              <w:pStyle w:val="Paragraph"/>
              <w:rPr>
                <w:noProof/>
                <w:lang w:val="fr-BE"/>
              </w:rPr>
            </w:pP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Pr>
          <w:p>
            <w:pPr>
              <w:pStyle w:val="Paragraph"/>
              <w:rPr>
                <w:noProof/>
              </w:rPr>
            </w:pPr>
            <w:r>
              <w:rPr>
                <w:noProof/>
              </w:rPr>
              <w:t>ex 8544 20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Câble de raccordement d'antenne destiné à la transmission du signal radio analogique (AM/FM) avec ou sans signal GPS, comportant: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un câble coaxial,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deux connecteurs,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3 pattes d'attache en matière plastique pour la fixation au tableau de bord</w:t>
                  </w:r>
                </w:p>
              </w:tc>
            </w:tr>
          </w:tbl>
          <w:p>
            <w:pPr>
              <w:pStyle w:val="Paragraph"/>
              <w:rPr>
                <w:noProof/>
                <w:lang w:val="fr-BE"/>
              </w:rPr>
            </w:pPr>
            <w:r>
              <w:rPr>
                <w:noProof/>
                <w:lang w:val="fr-BE"/>
              </w:rPr>
              <w:t>du type utilisé pour la fabrication de marchandises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8544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Faisceaux de fils électriques, de mesures variables, d’une tension minimale de 5 V et maximale de 90 V pouvant mesurer certaines ou l’ensemble des caractéristiques suivantes:</w:t>
            </w:r>
          </w:p>
          <w:tbl>
            <w:tblPr>
              <w:tblStyle w:val="Listdash"/>
              <w:tblW w:w="0" w:type="auto"/>
              <w:tblLook w:val="0000" w:firstRow="0" w:lastRow="0" w:firstColumn="0" w:lastColumn="0" w:noHBand="0" w:noVBand="0"/>
            </w:tblPr>
            <w:tblGrid>
              <w:gridCol w:w="220"/>
              <w:gridCol w:w="3206"/>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vitesse de parcours n’excédant pas 24 km/h</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régime moteur n’excédant pas 4 500 tr/min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pression hydraulique n’excédant pas 25 MPa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masse n’excédant pas 50 tonnes métriques</w:t>
                  </w:r>
                </w:p>
              </w:tc>
            </w:tr>
          </w:tbl>
          <w:p>
            <w:pPr>
              <w:pStyle w:val="Paragraph"/>
              <w:rPr>
                <w:noProof/>
                <w:lang w:val="fr-BE"/>
              </w:rPr>
            </w:pPr>
            <w:r>
              <w:rPr>
                <w:noProof/>
                <w:lang w:val="fr-BE"/>
              </w:rPr>
              <w:t>utilisés dans la fabrication de véhicules relevant de la position 8427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8544 30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rPr>
            </w:pPr>
            <w:r>
              <w:rPr>
                <w:noProof/>
              </w:rPr>
              <w:t>Faisceau de câbles: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de fonctionnement de 12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enveloppé dans du ruban ou recouvert d’une gaine annelée en matière plastique,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16 brins ou plus, tous équipés de bornes à étamer ou à garnir de connecteurs,</w:t>
                  </w:r>
                </w:p>
              </w:tc>
            </w:tr>
          </w:tbl>
          <w:p>
            <w:pPr>
              <w:pStyle w:val="Paragraph"/>
              <w:rPr>
                <w:noProof/>
                <w:lang w:val="fr-BE"/>
              </w:rPr>
            </w:pPr>
            <w:r>
              <w:rPr>
                <w:noProof/>
                <w:lang w:val="fr-BE"/>
              </w:rPr>
              <w:t>destiné à la fabrication de véhicules tout-terrain ou utilitaires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8544 30 00</w:t>
            </w:r>
          </w:p>
          <w:p>
            <w:pPr>
              <w:pStyle w:val="Paragraph"/>
              <w:rPr>
                <w:noProof/>
              </w:rPr>
            </w:pPr>
            <w:r>
              <w:rPr>
                <w:noProof/>
              </w:rPr>
              <w:t>ex 8544 42 90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Faisceau de fils électriques du système de direction disposant d'une tension d'utilisation de 12 V, équipé de connecteurs sur les deux côtés et d'au moins 3 mâchoires d'ancrage en plastique pour le montage du boîtier de direction de véhicules à moteur</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8544 30 00</w:t>
            </w:r>
          </w:p>
          <w:p>
            <w:pPr>
              <w:pStyle w:val="Paragraph"/>
              <w:rPr>
                <w:noProof/>
              </w:rPr>
            </w:pPr>
            <w:r>
              <w:rPr>
                <w:noProof/>
              </w:rPr>
              <w:t>ex 8544 42 90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BE"/>
              </w:rPr>
            </w:pPr>
            <w:r>
              <w:rPr>
                <w:noProof/>
                <w:lang w:val="fr-BE"/>
              </w:rPr>
              <w:t>Câble de raccordement à quatre conducteurs, destiné à la transmission des signaux numériques du système audio et de navigation vers un concentrateur USB, du type utilisé pour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8544 30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Faisceau de fils électriques de mesures variables:</w:t>
            </w:r>
          </w:p>
          <w:tbl>
            <w:tblPr>
              <w:tblStyle w:val="Listdash"/>
              <w:tblW w:w="0" w:type="auto"/>
              <w:tblLook w:val="0000" w:firstRow="0" w:lastRow="0" w:firstColumn="0" w:lastColumn="0" w:noHBand="0" w:noVBand="0"/>
            </w:tblPr>
            <w:tblGrid>
              <w:gridCol w:w="220"/>
              <w:gridCol w:w="258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comprise entre 5 et 90 V,</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pouvant transmettre des informations,</w:t>
                  </w:r>
                </w:p>
              </w:tc>
            </w:tr>
          </w:tbl>
          <w:p>
            <w:pPr>
              <w:pStyle w:val="Paragraph"/>
              <w:rPr>
                <w:noProof/>
                <w:lang w:val="fr-BE"/>
              </w:rPr>
            </w:pPr>
            <w:r>
              <w:rPr>
                <w:noProof/>
                <w:lang w:val="fr-BE"/>
              </w:rPr>
              <w:t>destiné à la fabrication des véhicules de la position 8711</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8544 30 00</w:t>
            </w:r>
          </w:p>
          <w:p>
            <w:pPr>
              <w:pStyle w:val="Paragraph"/>
              <w:rPr>
                <w:noProof/>
              </w:rPr>
            </w:pPr>
            <w:r>
              <w:rPr>
                <w:noProof/>
              </w:rPr>
              <w:t>ex 8544 42 90</w:t>
            </w:r>
          </w:p>
        </w:tc>
        <w:tc>
          <w:tcPr>
            <w:tcW w:w="0" w:type="auto"/>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65</w:t>
            </w:r>
          </w:p>
        </w:tc>
        <w:tc>
          <w:tcPr>
            <w:tcW w:w="0" w:type="auto"/>
            <w:vMerge w:val="restart"/>
            <w:tcBorders>
              <w:left w:val="single" w:sz="2" w:space="0" w:color="auto"/>
            </w:tcBorders>
          </w:tcPr>
          <w:p>
            <w:pPr>
              <w:pStyle w:val="Paragraph"/>
              <w:rPr>
                <w:noProof/>
                <w:lang w:val="fr-BE"/>
              </w:rPr>
            </w:pPr>
            <w:r>
              <w:rPr>
                <w:noProof/>
                <w:lang w:val="fr-BE"/>
              </w:rPr>
              <w:t>Câble d'extension à deux conducteurs équipé de deux connecteurs, incluant au minimum:</w:t>
            </w:r>
          </w:p>
          <w:tbl>
            <w:tblPr>
              <w:tblStyle w:val="Listdash"/>
              <w:tblW w:w="0" w:type="auto"/>
              <w:tblLook w:val="0000" w:firstRow="0" w:lastRow="0" w:firstColumn="0" w:lastColumn="0" w:noHBand="0" w:noVBand="0"/>
            </w:tblPr>
            <w:tblGrid>
              <w:gridCol w:w="220"/>
              <w:gridCol w:w="2224"/>
            </w:tblGrid>
            <w:tr>
              <w:tc>
                <w:tcPr>
                  <w:tcW w:w="0" w:type="auto"/>
                </w:tcPr>
                <w:p>
                  <w:pPr>
                    <w:pStyle w:val="Paragraph"/>
                    <w:rPr>
                      <w:noProof/>
                    </w:rPr>
                  </w:pPr>
                  <w:r>
                    <w:rPr>
                      <w:noProof/>
                    </w:rPr>
                    <w:t>—</w:t>
                  </w:r>
                </w:p>
              </w:tc>
              <w:tc>
                <w:tcPr>
                  <w:tcW w:w="0" w:type="auto"/>
                </w:tcPr>
                <w:p>
                  <w:pPr>
                    <w:pStyle w:val="Paragraph"/>
                    <w:rPr>
                      <w:noProof/>
                    </w:rPr>
                  </w:pPr>
                  <w:r>
                    <w:rPr>
                      <w:noProof/>
                    </w:rPr>
                    <w:t>un œillet en caoutchouc,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support de fixation métallique,</w:t>
                  </w:r>
                </w:p>
              </w:tc>
            </w:tr>
          </w:tbl>
          <w:p>
            <w:pPr>
              <w:pStyle w:val="Paragraph"/>
              <w:rPr>
                <w:noProof/>
                <w:lang w:val="fr-BE"/>
              </w:rPr>
            </w:pPr>
            <w:r>
              <w:rPr>
                <w:noProof/>
                <w:lang w:val="fr-BE"/>
              </w:rPr>
              <w:t>du type utilisé pour connecter les capteurs de vitesse dans la fabrication de marchandises relevant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rStyle w:val="FootnoteReference"/>
                <w:noProof/>
              </w:rPr>
              <w:t>*</w:t>
            </w:r>
            <w:r>
              <w:rPr>
                <w:noProof/>
              </w:rPr>
              <w:t>ex 8544 42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Câble de transmission de données pouvant supporter un débit de transmission de 600 Mbits/s ou plus: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fonctionnant à une tension de 1,25 V (+ 0,25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 à une ou aux deux extrémités de connecteurs dont au moins un est doté de broches espacées de1 mm,</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écranté (écran global),</w:t>
                  </w:r>
                </w:p>
              </w:tc>
            </w:tr>
          </w:tbl>
          <w:p>
            <w:pPr>
              <w:pStyle w:val="Paragraph"/>
              <w:rPr>
                <w:noProof/>
                <w:lang w:val="fr-BE"/>
              </w:rPr>
            </w:pPr>
            <w:r>
              <w:rPr>
                <w:noProof/>
                <w:lang w:val="fr-BE"/>
              </w:rPr>
              <w:t>utilisé uniquement pour la conmmunication entre un panneau LCD, un écran à plasma ou un écran OLED et des circuits électroniques de traitement vidéo</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8544 42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Câble souple isolé PVC à huit fils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n'excédant pas 2 100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fonctionnement de 5 V ou plus mais n’excédant pas 35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à la chaleur n'excédant pas 80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connecteur mâle DIN circulaire 7 broches à 270° surmoulé, un connecteur mâle A1101 6 broches ou un connecteur mâle A1001 8 broches à une extrémité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deux fils dénudés et étamés à l'autre extrémité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tampon de caoutchouc avec réducteur de tension intégré</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8544 42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Câble souple isolé PVC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n'excédant pas 1 800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fonctionnement de 5 V ou plus mais n’excédant pas 35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à la chaleur n'excédant pas 80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connecteur mâle MiniFit 8 broches surmoulé à une extrémité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connecteur femelle MiniFit 6 voies ou deux connecteurs AMP surmoulés à l'autre extrémité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surmoulée à l'intérieur du connecteur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réducteur de tension moulé sur le câble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diode surmoulée à l'intérieur d'un connecteur</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8544 42 90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Câble souple isolé PVC à six ou huit fils présentant les caractéristiques suivantes: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n'excédant pas 1 300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de fonctionnement de 5 V ou plus mais n’excédant pas 35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à la chaleur n'excédant pas 80 °C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connecteur mâle Mini-Fit 8 broches surmoulé ou un connecteur mâle DIN 6 broches surmoulé à une extrémité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connecteur femelle Mini-Fit 8 voies surmoulé ou un connecteur mâle Micro-Fit 8 broches à l'autre extrémité</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8544 42 90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Conducteurs électriques:</w:t>
            </w:r>
          </w:p>
          <w:tbl>
            <w:tblPr>
              <w:tblStyle w:val="Listdash"/>
              <w:tblW w:w="0" w:type="auto"/>
              <w:tblLook w:val="0000" w:firstRow="0" w:lastRow="0" w:firstColumn="0" w:lastColumn="0" w:noHBand="0" w:noVBand="0"/>
            </w:tblPr>
            <w:tblGrid>
              <w:gridCol w:w="220"/>
              <w:gridCol w:w="258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n'excédant pas 80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n’excédant pas 120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munis de pièces de connexion,</w:t>
                  </w:r>
                </w:p>
              </w:tc>
            </w:tr>
          </w:tbl>
          <w:p>
            <w:pPr>
              <w:pStyle w:val="Paragraph"/>
              <w:rPr>
                <w:noProof/>
                <w:lang w:val="fr-BE"/>
              </w:rPr>
            </w:pPr>
            <w:r>
              <w:rPr>
                <w:noProof/>
                <w:lang w:val="fr-BE"/>
              </w:rPr>
              <w:t>destinés à être utilisés dans la fabrication de prothèses auditives, de kits d'accessoires et de processeurs vocaux</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8544 42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 xml:space="preserve">Câble de raccordement à douze fils muni de deux connecteurs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d’une tension de 5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n’excédant pas 300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utilisé dans la fabrication des marchandises relevant du chapitre 87</w:t>
                  </w:r>
                </w:p>
              </w:tc>
            </w:tr>
          </w:tbl>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8544 49 91</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Fils électriques de cuivre isolés:</w:t>
            </w:r>
          </w:p>
          <w:tbl>
            <w:tblPr>
              <w:tblStyle w:val="Listdash"/>
              <w:tblW w:w="0" w:type="auto"/>
              <w:tblLook w:val="0000" w:firstRow="0" w:lastRow="0" w:firstColumn="0" w:lastColumn="0" w:noHBand="0" w:noVBand="0"/>
            </w:tblPr>
            <w:tblGrid>
              <w:gridCol w:w="220"/>
              <w:gridCol w:w="270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de brin excédant 0,51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pour une tension n'excédant pas 1 000 V,</w:t>
                  </w:r>
                </w:p>
              </w:tc>
            </w:tr>
          </w:tbl>
          <w:p>
            <w:pPr>
              <w:pStyle w:val="Paragraph"/>
              <w:rPr>
                <w:noProof/>
                <w:lang w:val="fr-BE"/>
              </w:rPr>
            </w:pPr>
            <w:r>
              <w:rPr>
                <w:noProof/>
                <w:lang w:val="fr-BE"/>
              </w:rPr>
              <w:t>destinés à être utilisés dans la fabrication de faisceaux de câbles pour automobiles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8544 49 93</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Conducteurs électriques:</w:t>
            </w:r>
          </w:p>
          <w:tbl>
            <w:tblPr>
              <w:tblStyle w:val="Listdash"/>
              <w:tblW w:w="0" w:type="auto"/>
              <w:tblLook w:val="0000" w:firstRow="0" w:lastRow="0" w:firstColumn="0" w:lastColumn="0" w:noHBand="0" w:noVBand="0"/>
            </w:tblPr>
            <w:tblGrid>
              <w:gridCol w:w="220"/>
              <w:gridCol w:w="298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d’une tension n'excédant pas 80 V, </w:t>
                  </w:r>
                </w:p>
              </w:tc>
            </w:tr>
            <w:tr>
              <w:tc>
                <w:tcPr>
                  <w:tcW w:w="0" w:type="auto"/>
                </w:tcPr>
                <w:p>
                  <w:pPr>
                    <w:pStyle w:val="Paragraph"/>
                    <w:rPr>
                      <w:noProof/>
                    </w:rPr>
                  </w:pPr>
                  <w:r>
                    <w:rPr>
                      <w:noProof/>
                    </w:rPr>
                    <w:t>—</w:t>
                  </w:r>
                </w:p>
              </w:tc>
              <w:tc>
                <w:tcPr>
                  <w:tcW w:w="0" w:type="auto"/>
                </w:tcPr>
                <w:p>
                  <w:pPr>
                    <w:pStyle w:val="Paragraph"/>
                    <w:rPr>
                      <w:noProof/>
                    </w:rPr>
                  </w:pPr>
                  <w:r>
                    <w:rPr>
                      <w:noProof/>
                    </w:rPr>
                    <w:t xml:space="preserve">en alliage platine-iridium,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revêtement en poly(tétrafluoroéthylène),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non munis de pièces de connexion,</w:t>
                  </w:r>
                </w:p>
              </w:tc>
            </w:tr>
          </w:tbl>
          <w:p>
            <w:pPr>
              <w:pStyle w:val="Paragraph"/>
              <w:rPr>
                <w:noProof/>
                <w:lang w:val="fr-BE"/>
              </w:rPr>
            </w:pPr>
            <w:r>
              <w:rPr>
                <w:noProof/>
                <w:lang w:val="fr-BE"/>
              </w:rPr>
              <w:t>destinés à être utilisés dans la fabrication de prothèses auditives, d'implants et de processeurs vocaux</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8545 90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Papier de fibres de carbone du type de celui qui est utilisé dans les couches de diffusion gazeuse des électrodes de piles à combustible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8548 10 29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Accumulateurs électriques usagés aux ions de lithium ou au nickelmétalhydrure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8548 90 90</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lang w:val="fr-BE"/>
              </w:rPr>
            </w:pPr>
            <w:r>
              <w:rPr>
                <w:noProof/>
                <w:lang w:val="fr-BE"/>
              </w:rPr>
              <w:t>Unité, constituée d’un résonateur opérant dans une gamme de fréquences de 1,8 MHz ou plus mais n’excédant pas 40 MHz et d’un condensateur, enserré dans un boîtier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8548 90 90</w:t>
            </w:r>
          </w:p>
        </w:tc>
        <w:tc>
          <w:tcPr>
            <w:tcW w:w="0" w:type="auto"/>
            <w:tcBorders>
              <w:left w:val="single" w:sz="2" w:space="0" w:color="auto"/>
            </w:tcBorders>
          </w:tcPr>
          <w:p>
            <w:pPr>
              <w:pStyle w:val="Paragraph"/>
              <w:jc w:val="center"/>
              <w:rPr>
                <w:noProof/>
              </w:rPr>
            </w:pPr>
            <w:r>
              <w:rPr>
                <w:noProof/>
              </w:rPr>
              <w:t>43</w:t>
            </w:r>
          </w:p>
        </w:tc>
        <w:tc>
          <w:tcPr>
            <w:tcW w:w="0" w:type="auto"/>
            <w:tcBorders>
              <w:left w:val="single" w:sz="2" w:space="0" w:color="auto"/>
            </w:tcBorders>
          </w:tcPr>
          <w:p>
            <w:pPr>
              <w:pStyle w:val="Paragraph"/>
              <w:rPr>
                <w:noProof/>
              </w:rPr>
            </w:pPr>
            <w:r>
              <w:rPr>
                <w:noProof/>
              </w:rPr>
              <w:t>Capteur d’image par contact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8548 90 90</w:t>
            </w:r>
          </w:p>
        </w:tc>
        <w:tc>
          <w:tcPr>
            <w:tcW w:w="0" w:type="auto"/>
            <w:tcBorders>
              <w:left w:val="single" w:sz="2" w:space="0" w:color="auto"/>
            </w:tcBorders>
          </w:tcPr>
          <w:p>
            <w:pPr>
              <w:pStyle w:val="Paragraph"/>
              <w:jc w:val="center"/>
              <w:rPr>
                <w:noProof/>
              </w:rPr>
            </w:pPr>
            <w:r>
              <w:rPr>
                <w:noProof/>
              </w:rPr>
              <w:t>48</w:t>
            </w:r>
          </w:p>
        </w:tc>
        <w:tc>
          <w:tcPr>
            <w:tcW w:w="0" w:type="auto"/>
            <w:tcBorders>
              <w:left w:val="single" w:sz="2" w:space="0" w:color="auto"/>
            </w:tcBorders>
          </w:tcPr>
          <w:p>
            <w:pPr>
              <w:pStyle w:val="Paragraph"/>
              <w:rPr>
                <w:noProof/>
              </w:rPr>
            </w:pPr>
            <w:r>
              <w:rPr>
                <w:noProof/>
              </w:rPr>
              <w:t>Bloc optique, comprenant au moins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diode laser et une photodiode, conçue pour des longueurs d’ondes classiques de 635 nm ou plus mais n’excédant pas 815 nm</w:t>
                  </w:r>
                </w:p>
              </w:tc>
            </w:tr>
            <w:tr>
              <w:tc>
                <w:tcPr>
                  <w:tcW w:w="0" w:type="auto"/>
                </w:tcPr>
                <w:p>
                  <w:pPr>
                    <w:pStyle w:val="Paragraph"/>
                    <w:rPr>
                      <w:noProof/>
                    </w:rPr>
                  </w:pPr>
                  <w:r>
                    <w:rPr>
                      <w:noProof/>
                    </w:rPr>
                    <w:t>—</w:t>
                  </w:r>
                </w:p>
              </w:tc>
              <w:tc>
                <w:tcPr>
                  <w:tcW w:w="0" w:type="auto"/>
                </w:tcPr>
                <w:p>
                  <w:pPr>
                    <w:pStyle w:val="Paragraph"/>
                    <w:rPr>
                      <w:noProof/>
                    </w:rPr>
                  </w:pPr>
                  <w:r>
                    <w:rPr>
                      <w:noProof/>
                    </w:rPr>
                    <w:t>une lentille optique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circuit intégré enregistreur à photodétecteur (PDIC)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vérin pour la mise au point ou le suivi</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8548 90 90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rPr>
            </w:pPr>
            <w:r>
              <w:rPr>
                <w:noProof/>
              </w:rPr>
              <w:t>Module LCD,</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consistant exclusivement en une ou plusieurs cellules de verre ou de plastique TFT,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combiné à un dispositif d'écran tactile,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 ou de plusieurs circuits imprimés munis d'une électronique de contrôle dont le seul but est l'adressage de la pixellisation,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rétro-éclairage,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alimentation du rétro-éclairage (« inverter»)</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8708 10 10</w:t>
            </w:r>
          </w:p>
          <w:p>
            <w:pPr>
              <w:pStyle w:val="Paragraph"/>
              <w:rPr>
                <w:noProof/>
              </w:rPr>
            </w:pPr>
            <w:r>
              <w:rPr>
                <w:noProof/>
              </w:rPr>
              <w:t>ex 8708 10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Couvercle plastique destiné à combler l’espace entre les feux antibrouillards et le pare-chocs, avec ou sans baguette chromée, utilisé dans la fabrication de marchandises relevant du chapitre 87</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8708 30 10</w:t>
            </w:r>
          </w:p>
          <w:p>
            <w:pPr>
              <w:pStyle w:val="Paragraph"/>
              <w:rPr>
                <w:noProof/>
              </w:rPr>
            </w:pPr>
            <w:r>
              <w:rPr>
                <w:noProof/>
              </w:rPr>
              <w:t>ex 8708 30 91</w:t>
            </w:r>
          </w:p>
          <w:p>
            <w:pPr>
              <w:pStyle w:val="Paragraph"/>
              <w:rPr>
                <w:noProof/>
              </w:rPr>
            </w:pPr>
            <w:r>
              <w:rPr>
                <w:noProof/>
              </w:rPr>
              <w:t>ex 8708 30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60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Unité de commande de frein composée: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d'une capacité de 13,5 V (± 0,5 V),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d'un mécanisme de vis à billes permettant de contrôler la pression du liquide de frein dans le maître-cylindre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destinée à être utilisée dans la fabrication de véhicules</w:t>
                  </w:r>
                </w:p>
              </w:tc>
            </w:tr>
          </w:tbl>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8708 30 10</w:t>
            </w:r>
          </w:p>
          <w:p>
            <w:pPr>
              <w:pStyle w:val="Paragraph"/>
              <w:rPr>
                <w:noProof/>
              </w:rPr>
            </w:pPr>
            <w:r>
              <w:rPr>
                <w:noProof/>
              </w:rPr>
              <w:t>ex 8708 30 91</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Corps du frein à disque dans la version équipée d'un mécanisme de rampe à billes (BIR) ou d'un frein de stationnement électronique (EPB) ou à fonctionnement hydraulique uniquement, pourvu d'ouvertures fonctionnelles et d'ouvertures de montage ainsi que de rainures de guidage, du type utilisé dans la fabrication de marchandises relevant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8708 30 10</w:t>
            </w:r>
          </w:p>
          <w:p>
            <w:pPr>
              <w:pStyle w:val="Paragraph"/>
              <w:rPr>
                <w:noProof/>
              </w:rPr>
            </w:pPr>
            <w:r>
              <w:rPr>
                <w:noProof/>
              </w:rPr>
              <w:t>ex 8708 30 91</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Frein de stationnement du type frein à tambour:</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intégré dans le disque du frein de service,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égal ou supérieur à 170 mm, mais n’excédant pas 195 mm</w:t>
                  </w:r>
                </w:p>
              </w:tc>
            </w:tr>
          </w:tbl>
          <w:p>
            <w:pPr>
              <w:pStyle w:val="Paragraph"/>
              <w:rPr>
                <w:noProof/>
                <w:lang w:val="fr-BE"/>
              </w:rPr>
            </w:pPr>
            <w:r>
              <w:rPr>
                <w:noProof/>
                <w:lang w:val="fr-BE"/>
              </w:rPr>
              <w:t>utilisé dans la construction de véhicules à moteur</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8708 30 10</w:t>
            </w:r>
          </w:p>
          <w:p>
            <w:pPr>
              <w:pStyle w:val="Paragraph"/>
              <w:rPr>
                <w:noProof/>
              </w:rPr>
            </w:pPr>
            <w:r>
              <w:rPr>
                <w:noProof/>
              </w:rPr>
              <w:t>ex 8708 30 91</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Plaquettes organiques sans amiante pour freins à disque, équipées d'un élément de friction fixé sur le plateau arrière en acier de la bande, utilisées dans la fabrication de marchandises relevant du chapitre 87</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8708 30 10</w:t>
            </w:r>
          </w:p>
          <w:p>
            <w:pPr>
              <w:pStyle w:val="Paragraph"/>
              <w:rPr>
                <w:noProof/>
              </w:rPr>
            </w:pPr>
            <w:r>
              <w:rPr>
                <w:noProof/>
              </w:rPr>
              <w:t>ex 8708 30 91</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Support d'étrier de frein en fonte ductile du type utilisé pour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8708 40 20</w:t>
            </w:r>
          </w:p>
          <w:p>
            <w:pPr>
              <w:pStyle w:val="Paragraph"/>
              <w:rPr>
                <w:noProof/>
              </w:rPr>
            </w:pPr>
            <w:r>
              <w:rPr>
                <w:noProof/>
              </w:rPr>
              <w:t>ex 8708 40 50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rPr>
            </w:pPr>
            <w:r>
              <w:rPr>
                <w:noProof/>
              </w:rPr>
              <w:t>Boîte de vitesses hydrodynamique automatique</w:t>
            </w:r>
          </w:p>
          <w:tbl>
            <w:tblPr>
              <w:tblStyle w:val="Listdash"/>
              <w:tblW w:w="0" w:type="auto"/>
              <w:tblLook w:val="0000" w:firstRow="0" w:lastRow="0" w:firstColumn="0" w:lastColumn="0" w:noHBand="0" w:noVBand="0"/>
            </w:tblPr>
            <w:tblGrid>
              <w:gridCol w:w="220"/>
              <w:gridCol w:w="2748"/>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convertisseur de couple hydraulique,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sans boîte de transfert et cardan,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différentiel avant,</w:t>
                  </w:r>
                </w:p>
              </w:tc>
            </w:tr>
          </w:tbl>
          <w:p>
            <w:pPr>
              <w:pStyle w:val="Paragraph"/>
              <w:rPr>
                <w:noProof/>
                <w:lang w:val="fr-BE"/>
              </w:rPr>
            </w:pPr>
            <w:r>
              <w:rPr>
                <w:noProof/>
                <w:lang w:val="fr-BE"/>
              </w:rPr>
              <w:t>utilisée dans la construction de véhicules automobiles du chapitre 87</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8708 40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Boîte de vitesse automatique avec convertisseur de couple hydraulique:</w:t>
            </w:r>
          </w:p>
          <w:tbl>
            <w:tblPr>
              <w:tblStyle w:val="Listdash"/>
              <w:tblW w:w="0" w:type="auto"/>
              <w:tblLook w:val="0000" w:firstRow="0" w:lastRow="0" w:firstColumn="0" w:lastColumn="0" w:noHBand="0" w:noVBand="0"/>
            </w:tblPr>
            <w:tblGrid>
              <w:gridCol w:w="220"/>
              <w:gridCol w:w="326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comportant au moins huit vitesses,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pour un couple de moteur d'au moins 400 Nm,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pour une installation transversale ou longitudinale</w:t>
                  </w:r>
                </w:p>
              </w:tc>
            </w:tr>
          </w:tbl>
          <w:p>
            <w:pPr>
              <w:pStyle w:val="Paragraph"/>
              <w:rPr>
                <w:noProof/>
                <w:lang w:val="fr-BE"/>
              </w:rPr>
            </w:pPr>
            <w:r>
              <w:rPr>
                <w:noProof/>
                <w:lang w:val="fr-BE"/>
              </w:rPr>
              <w:t>destinée à être utilisée dans la construction de véhicules automobiles du chapitre 8703</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noProof/>
              </w:rPr>
              <w:t>ex 8708 40 20</w:t>
            </w:r>
          </w:p>
          <w:p>
            <w:pPr>
              <w:pStyle w:val="Paragraph"/>
              <w:rPr>
                <w:noProof/>
              </w:rPr>
            </w:pPr>
            <w:r>
              <w:rPr>
                <w:noProof/>
              </w:rPr>
              <w:t>ex 8708 40 50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Ensemble boîte de transmission à une ou deux entrées et au moins trois sorties, logé dans un carter en fonte d'aluminium, dont les dimensions globales (hors arbres) n'excèdent pas 455 mm (largeur) x 462 mm (hauteur) x 680 mm (longueur), équipé au minimum:</w:t>
            </w:r>
          </w:p>
          <w:tbl>
            <w:tblPr>
              <w:tblStyle w:val="Listdash"/>
              <w:tblW w:w="0" w:type="auto"/>
              <w:tblLook w:val="0000" w:firstRow="0" w:lastRow="0" w:firstColumn="0" w:lastColumn="0" w:noHBand="0" w:noVBand="0"/>
            </w:tblPr>
            <w:tblGrid>
              <w:gridCol w:w="220"/>
              <w:gridCol w:w="415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arbre de sortie à pignons extérieurs,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commutateur rotatif indiquant la position de l'engrenage,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la possibilité d'insérer un différentiel,</w:t>
                  </w:r>
                </w:p>
              </w:tc>
            </w:tr>
          </w:tbl>
          <w:p>
            <w:pPr>
              <w:pStyle w:val="Paragraph"/>
              <w:rPr>
                <w:noProof/>
                <w:lang w:val="fr-BE"/>
              </w:rPr>
            </w:pPr>
            <w:r>
              <w:rPr>
                <w:noProof/>
                <w:lang w:val="fr-BE"/>
              </w:rPr>
              <w:t>destiné à la fabrication de véhicules tout terrain ou utilitaires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8708 40 20</w:t>
            </w:r>
          </w:p>
          <w:p>
            <w:pPr>
              <w:pStyle w:val="Paragraph"/>
              <w:rPr>
                <w:noProof/>
              </w:rPr>
            </w:pPr>
            <w:r>
              <w:rPr>
                <w:noProof/>
              </w:rPr>
              <w:t>ex 8708 40 50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Ensemble de transmission accueillant 3 autres arbres et offrant un interrupteur rotatif pour le changement de vitesse, constitué :</w:t>
            </w:r>
          </w:p>
          <w:tbl>
            <w:tblPr>
              <w:tblStyle w:val="Listdash"/>
              <w:tblW w:w="0" w:type="auto"/>
              <w:tblLook w:val="0000" w:firstRow="0" w:lastRow="0" w:firstColumn="0" w:lastColumn="0" w:noHBand="0" w:noVBand="0"/>
            </w:tblPr>
            <w:tblGrid>
              <w:gridCol w:w="220"/>
              <w:gridCol w:w="2540"/>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boîtier en aluminium coulé,</w:t>
                  </w:r>
                </w:p>
              </w:tc>
            </w:tr>
            <w:tr>
              <w:tc>
                <w:tcPr>
                  <w:tcW w:w="0" w:type="auto"/>
                </w:tcPr>
                <w:p>
                  <w:pPr>
                    <w:pStyle w:val="Paragraph"/>
                    <w:rPr>
                      <w:noProof/>
                    </w:rPr>
                  </w:pPr>
                  <w:r>
                    <w:rPr>
                      <w:noProof/>
                    </w:rPr>
                    <w:t>—</w:t>
                  </w:r>
                </w:p>
              </w:tc>
              <w:tc>
                <w:tcPr>
                  <w:tcW w:w="0" w:type="auto"/>
                </w:tcPr>
                <w:p>
                  <w:pPr>
                    <w:pStyle w:val="Paragraph"/>
                    <w:rPr>
                      <w:noProof/>
                    </w:rPr>
                  </w:pPr>
                  <w:r>
                    <w:rPr>
                      <w:noProof/>
                    </w:rPr>
                    <w:t>d’un différentiel,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2 moteurs électriques avec pignons,</w:t>
                  </w:r>
                </w:p>
              </w:tc>
            </w:tr>
          </w:tbl>
          <w:p>
            <w:pPr>
              <w:pStyle w:val="Paragraph"/>
              <w:rPr>
                <w:noProof/>
              </w:rPr>
            </w:pPr>
            <w:r>
              <w:rPr>
                <w:noProof/>
              </w:rPr>
              <w:t>présentant les dimensions suivantes :</w:t>
            </w:r>
          </w:p>
          <w:tbl>
            <w:tblPr>
              <w:tblStyle w:val="Listdash"/>
              <w:tblW w:w="0" w:type="auto"/>
              <w:tblLook w:val="0000" w:firstRow="0" w:lastRow="0" w:firstColumn="0" w:lastColumn="0" w:noHBand="0" w:noVBand="0"/>
            </w:tblPr>
            <w:tblGrid>
              <w:gridCol w:w="220"/>
              <w:gridCol w:w="415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largeur de 300 mm ou plus, mais n’excédant pas 350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hauteur de 420 mm ou plus, mais n’excédant pas 500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de 500 mm ou plus, mais n’excédant pas 600 mm,</w:t>
                  </w:r>
                </w:p>
              </w:tc>
            </w:tr>
          </w:tbl>
          <w:p>
            <w:pPr>
              <w:pStyle w:val="Paragraph"/>
              <w:rPr>
                <w:noProof/>
                <w:lang w:val="fr-BE"/>
              </w:rPr>
            </w:pPr>
            <w:r>
              <w:rPr>
                <w:noProof/>
                <w:lang w:val="fr-BE"/>
              </w:rPr>
              <w:t>utilisé dans la construction de véhicules automobiles relevant du chapitre 87</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noProof/>
              </w:rPr>
              <w:t>ex 8708 50 20</w:t>
            </w:r>
          </w:p>
          <w:p>
            <w:pPr>
              <w:pStyle w:val="Paragraph"/>
              <w:rPr>
                <w:noProof/>
              </w:rPr>
            </w:pPr>
            <w:r>
              <w:rPr>
                <w:noProof/>
              </w:rPr>
              <w:t>ex 8708 50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Arbre de transmission en plastique renforcé par fibres de carbone, constitué d’une seule pièce, sans joint central</w:t>
            </w:r>
          </w:p>
          <w:tbl>
            <w:tblPr>
              <w:tblStyle w:val="Listdash"/>
              <w:tblW w:w="0" w:type="auto"/>
              <w:tblLook w:val="0000" w:firstRow="0" w:lastRow="0" w:firstColumn="0" w:lastColumn="0" w:noHBand="0" w:noVBand="0"/>
            </w:tblPr>
            <w:tblGrid>
              <w:gridCol w:w="220"/>
              <w:gridCol w:w="208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mesurant entre 1 et 2 m de long </w:t>
                  </w:r>
                </w:p>
              </w:tc>
            </w:tr>
            <w:tr>
              <w:tc>
                <w:tcPr>
                  <w:tcW w:w="0" w:type="auto"/>
                </w:tcPr>
                <w:p>
                  <w:pPr>
                    <w:pStyle w:val="Paragraph"/>
                    <w:rPr>
                      <w:noProof/>
                    </w:rPr>
                  </w:pPr>
                  <w:r>
                    <w:rPr>
                      <w:noProof/>
                    </w:rPr>
                    <w:t>—</w:t>
                  </w:r>
                </w:p>
              </w:tc>
              <w:tc>
                <w:tcPr>
                  <w:tcW w:w="0" w:type="auto"/>
                </w:tcPr>
                <w:p>
                  <w:pPr>
                    <w:pStyle w:val="Paragraph"/>
                    <w:rPr>
                      <w:noProof/>
                    </w:rPr>
                  </w:pPr>
                  <w:r>
                    <w:rPr>
                      <w:noProof/>
                    </w:rPr>
                    <w:t>pesant entre 6 et 9 kg</w:t>
                  </w:r>
                </w:p>
              </w:tc>
            </w:tr>
          </w:tbl>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8708 50 20</w:t>
            </w:r>
          </w:p>
          <w:p>
            <w:pPr>
              <w:pStyle w:val="Paragraph"/>
              <w:rPr>
                <w:noProof/>
              </w:rPr>
            </w:pPr>
            <w:r>
              <w:rPr>
                <w:noProof/>
              </w:rPr>
              <w:t>ex 8708 50 99</w:t>
            </w:r>
          </w:p>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80</w:t>
            </w:r>
          </w:p>
        </w:tc>
        <w:tc>
          <w:tcPr>
            <w:tcW w:w="0" w:type="auto"/>
            <w:vMerge w:val="restart"/>
            <w:tcBorders>
              <w:left w:val="single" w:sz="2" w:space="0" w:color="auto"/>
            </w:tcBorders>
          </w:tcPr>
          <w:p>
            <w:pPr>
              <w:pStyle w:val="Paragraph"/>
              <w:rPr>
                <w:noProof/>
                <w:lang w:val="fr-BE"/>
              </w:rPr>
            </w:pPr>
            <w:r>
              <w:rPr>
                <w:noProof/>
                <w:lang w:val="fr-BE"/>
              </w:rPr>
              <w:t>Carter d'engrenage (transmission) à entrée simple et à double sortie, dans un boîtier en aluminium moulé, dont les dimensions globales n'excèdent pas 148 mm (± 1 mm) x 213 mm (± 1 mm) x 273 mm (± 1 mm), comprenant au moins: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deux embrayages électromagnétiques unidirectionnels dans un boîtier, travaillant de manière opposée,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arbre d'entrée ayant un diamètre extérieur de 24 mm (± 1 mm), se terminant par une cannelure à 22 dents,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bague de sortie coaxiale, d'un diamètre intérieur de 22 mm ou plus mais pas plus de 30 mm, se terminant par une cannelure à 22 dents ou plus mais pas plus de 28 dents,</w:t>
                  </w:r>
                </w:p>
              </w:tc>
            </w:tr>
          </w:tbl>
          <w:p>
            <w:pPr>
              <w:pStyle w:val="Paragraph"/>
              <w:rPr>
                <w:noProof/>
                <w:lang w:val="fr-BE"/>
              </w:rPr>
            </w:pPr>
            <w:r>
              <w:rPr>
                <w:noProof/>
                <w:lang w:val="fr-BE"/>
              </w:rPr>
              <w:t>destiné à être utilisé dans la fabrication de véhicules tout terrain ou utilitaires</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8708 50 20</w:t>
            </w:r>
          </w:p>
          <w:p>
            <w:pPr>
              <w:pStyle w:val="Paragraph"/>
              <w:rPr>
                <w:noProof/>
              </w:rPr>
            </w:pPr>
            <w:r>
              <w:rPr>
                <w:noProof/>
              </w:rPr>
              <w:t>ex 8708 50 55</w:t>
            </w:r>
          </w:p>
          <w:p>
            <w:pPr>
              <w:pStyle w:val="Paragraph"/>
              <w:rPr>
                <w:noProof/>
              </w:rPr>
            </w:pPr>
            <w:r>
              <w:rPr>
                <w:noProof/>
              </w:rPr>
              <w:t>ex 8708 50 91</w:t>
            </w:r>
          </w:p>
          <w:p>
            <w:pPr>
              <w:pStyle w:val="Paragraph"/>
              <w:rPr>
                <w:noProof/>
              </w:rPr>
            </w:pPr>
            <w:r>
              <w:rPr>
                <w:noProof/>
              </w:rPr>
              <w:t>ex 8708 50 99</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 xml:space="preserve">Roulement à double rangée de 3e génération, destiné aux véhicules à moteur, </w:t>
            </w:r>
          </w:p>
          <w:tbl>
            <w:tblPr>
              <w:tblStyle w:val="Listdash"/>
              <w:tblW w:w="0" w:type="auto"/>
              <w:tblLook w:val="0000" w:firstRow="0" w:lastRow="0" w:firstColumn="0" w:lastColumn="0" w:noHBand="0" w:noVBand="0"/>
            </w:tblPr>
            <w:tblGrid>
              <w:gridCol w:w="220"/>
              <w:gridCol w:w="3935"/>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roulement à billes double,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anneau (encodeur) à impulsion,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 avec ou sans capteur ABS (Système antiblocage des freins),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vis de fixation,</w:t>
                  </w:r>
                </w:p>
              </w:tc>
            </w:tr>
          </w:tbl>
          <w:p>
            <w:pPr>
              <w:pStyle w:val="Paragraph"/>
              <w:rPr>
                <w:noProof/>
                <w:lang w:val="fr-BE"/>
              </w:rPr>
            </w:pPr>
            <w:r>
              <w:rPr>
                <w:noProof/>
                <w:lang w:val="fr-BE"/>
              </w:rPr>
              <w:t>utilisé dans la construction de marchandises relevant du chapitre 87</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noProof/>
              </w:rPr>
              <w:t>ex 8708 80 20</w:t>
            </w:r>
          </w:p>
          <w:p>
            <w:pPr>
              <w:pStyle w:val="Paragraph"/>
              <w:rPr>
                <w:noProof/>
              </w:rPr>
            </w:pPr>
            <w:r>
              <w:rPr>
                <w:noProof/>
              </w:rPr>
              <w:t>ex 8708 80 35</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Palier supérieur de jambe de force comprenant</w:t>
            </w:r>
          </w:p>
          <w:tbl>
            <w:tblPr>
              <w:tblStyle w:val="Listdash"/>
              <w:tblW w:w="0" w:type="auto"/>
              <w:tblLook w:val="0000" w:firstRow="0" w:lastRow="0" w:firstColumn="0" w:lastColumn="0" w:noHBand="0" w:noVBand="0"/>
            </w:tblPr>
            <w:tblGrid>
              <w:gridCol w:w="220"/>
              <w:gridCol w:w="331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support métallique avec trois vis de montage,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tampon en caoutchouc</w:t>
                  </w:r>
                </w:p>
              </w:tc>
            </w:tr>
          </w:tbl>
          <w:p>
            <w:pPr>
              <w:pStyle w:val="Paragraph"/>
              <w:rPr>
                <w:noProof/>
                <w:lang w:val="fr-BE"/>
              </w:rPr>
            </w:pPr>
            <w:r>
              <w:rPr>
                <w:noProof/>
                <w:lang w:val="fr-BE"/>
              </w:rPr>
              <w:t>du type utilisé pour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8708 80 20</w:t>
            </w:r>
          </w:p>
          <w:p>
            <w:pPr>
              <w:pStyle w:val="Paragraph"/>
              <w:rPr>
                <w:noProof/>
              </w:rPr>
            </w:pPr>
            <w:r>
              <w:rPr>
                <w:noProof/>
              </w:rPr>
              <w:t>ex 8708 80 91</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Bras de châssis arrière avec un élément de protection en matière plastique, équipé de deux gaines métalliques dans lesquelles sont enfoncés des supports élastiques en caoutchouc, du type utilisé pour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8708 80 20</w:t>
            </w:r>
          </w:p>
          <w:p>
            <w:pPr>
              <w:pStyle w:val="Paragraph"/>
              <w:rPr>
                <w:noProof/>
              </w:rPr>
            </w:pPr>
            <w:r>
              <w:rPr>
                <w:noProof/>
              </w:rPr>
              <w:t>ex 8708 80 91</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Bras de châssis arrière équipé d’un pivot à bille et d'une gaine métallique dans laquelle est enfoncé un support élastique en caoutchouc, du type utilisé pour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8708 80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Barre de stabilisation de l’essieu avant, montée aux deux extrémités avec un pivot à bille, destinée à être utilisée dans la fabrication de marchandises relevant du chapitre 87</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8708 91 20</w:t>
            </w:r>
          </w:p>
          <w:p>
            <w:pPr>
              <w:pStyle w:val="Paragraph"/>
              <w:rPr>
                <w:noProof/>
              </w:rPr>
            </w:pPr>
            <w:r>
              <w:rPr>
                <w:noProof/>
              </w:rPr>
              <w:t>ex 8708 91 35</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Refroidisseur en aluminium à air comprimé avec un habillage cannelé du type utilisé dans la fabrication de marchandises relevant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8708 91 20</w:t>
            </w:r>
          </w:p>
          <w:p>
            <w:pPr>
              <w:pStyle w:val="Paragraph"/>
              <w:rPr>
                <w:noProof/>
              </w:rPr>
            </w:pPr>
            <w:r>
              <w:rPr>
                <w:noProof/>
              </w:rPr>
              <w:t>ex 8708 91 99</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Entrée ou sortie de réservoir d'air fabriquée selon la méthode gravimétrique pour l’alliage d’aluminium EN AC 42100,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planéité de surface isolée ne dépassant pas 0,1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quantité de particules admissibles de 0,3 mg/élément;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distance entre chaque pore d'au moins 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un seul pore d'une dimension admise de 0,4 mm,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moins de 3 pores mesurant plus de 0,2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 type utilisé dans les échangeurs thermiques des systèmes de refroidissement pour voiture</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91 99</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55</w:t>
            </w:r>
          </w:p>
        </w:tc>
        <w:tc>
          <w:tcPr>
            <w:tcW w:w="0" w:type="auto"/>
            <w:vMerge w:val="restart"/>
            <w:tcBorders>
              <w:left w:val="single" w:sz="2" w:space="0" w:color="auto"/>
            </w:tcBorders>
          </w:tcPr>
          <w:p>
            <w:pPr>
              <w:pStyle w:val="Paragraph"/>
              <w:rPr>
                <w:noProof/>
                <w:lang w:val="fr-BE"/>
              </w:rPr>
            </w:pPr>
            <w:r>
              <w:rPr>
                <w:noProof/>
                <w:lang w:val="fr-BE"/>
              </w:rPr>
              <w:t>Ensemble pour alimentation en air comprimé, même équipé d'un résonateur, comprenant au moins: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tube en aluminium solide même équipé d'un support de fixation,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buse en caoutchouc souple,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clip métallique</w:t>
                  </w:r>
                </w:p>
              </w:tc>
            </w:tr>
          </w:tbl>
          <w:p>
            <w:pPr>
              <w:pStyle w:val="Paragraph"/>
              <w:rPr>
                <w:noProof/>
                <w:lang w:val="fr-BE"/>
              </w:rPr>
            </w:pPr>
            <w:r>
              <w:rPr>
                <w:noProof/>
                <w:lang w:val="fr-BE"/>
              </w:rPr>
              <w:t>destiné à être utilisé dans la fabrication des marchandises du chapitre 87</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Borders>
              <w:bottom w:val="nil"/>
            </w:tcBorders>
          </w:tcPr>
          <w:p>
            <w:pPr>
              <w:pStyle w:val="Paragraph"/>
              <w:rPr>
                <w:noProof/>
              </w:rPr>
            </w:pPr>
            <w:r>
              <w:rPr>
                <w:noProof/>
              </w:rPr>
              <w:t>ex 8708 93 10</w:t>
            </w:r>
          </w:p>
          <w:p>
            <w:pPr>
              <w:pStyle w:val="Paragraph"/>
              <w:rPr>
                <w:noProof/>
              </w:rPr>
            </w:pPr>
            <w:r>
              <w:rPr>
                <w:noProof/>
              </w:rPr>
              <w:t>ex 8708 93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Embrayage centrifuge mécanique destiné à être utilisé avec une courroie élastomérique dans un environnement sec, logé dans une boîte de vitesse à transmission variable continue (CVT):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conçu de manière à être fixé par boulonnage sur un arbre cannelé d’un diamètre extérieur de 23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global n’excédant pas 266 mm (+/- 1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composé de deux poulies à face conique,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chaque poulie présentant une conicité de 13 degrés,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 ressort de compression principal utilisé pour résister au déplacement entre poulies,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comprenant une came ou un ressort permettant de maintenir une tension adéquate de la courroie</w:t>
                  </w:r>
                </w:p>
              </w:tc>
            </w:tr>
          </w:tbl>
          <w:p>
            <w:pPr>
              <w:pStyle w:val="Paragraph"/>
              <w:rPr>
                <w:noProof/>
                <w:lang w:val="fr-BE"/>
              </w:rPr>
            </w:pPr>
            <w:r>
              <w:rPr>
                <w:noProof/>
                <w:lang w:val="fr-BE"/>
              </w:rPr>
              <w:t>destiné à la fabrication de véhicules tout terrain ou utilitaires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8708 93 10</w:t>
            </w:r>
          </w:p>
          <w:p>
            <w:pPr>
              <w:pStyle w:val="Paragraph"/>
              <w:rPr>
                <w:noProof/>
              </w:rPr>
            </w:pPr>
            <w:r>
              <w:rPr>
                <w:noProof/>
              </w:rPr>
              <w:t>ex 8708 93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Embrayage centrifuge mécanique destiné à être utilisé avec une courroie élastomérique dans un environnement sec par transmission variable continue (CVT), équipé:</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d'éléments qui activent l'embrayage à une vitesse de rotation donnée et génèrent ainsi la force centrifuge,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arbre se terminant par un cône à au moins 5 degrés mais pas plus de 6 degrés,</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de 3 masselottes,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d'1 ressort de compression</w:t>
                  </w:r>
                </w:p>
              </w:tc>
            </w:tr>
          </w:tbl>
          <w:p>
            <w:pPr>
              <w:pStyle w:val="Paragraph"/>
              <w:rPr>
                <w:noProof/>
                <w:lang w:val="fr-BE"/>
              </w:rPr>
            </w:pPr>
            <w:r>
              <w:rPr>
                <w:noProof/>
                <w:lang w:val="fr-BE"/>
              </w:rPr>
              <w:t>destiné à la fabrication de véhicules tout terrain ou utilitaires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8708 94 20</w:t>
            </w:r>
          </w:p>
          <w:p>
            <w:pPr>
              <w:pStyle w:val="Paragraph"/>
              <w:rPr>
                <w:noProof/>
              </w:rPr>
            </w:pPr>
            <w:r>
              <w:rPr>
                <w:noProof/>
              </w:rPr>
              <w:t>ex 8708 94 35</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Boîtier de direction à crémaillère en habillage aluminium avec joints homocinétiques, du type utilisé dans la fabrication de marchandises relevant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noProof/>
              </w:rPr>
              <w:t>ex 8708 95 10</w:t>
            </w:r>
          </w:p>
          <w:p>
            <w:pPr>
              <w:pStyle w:val="Paragraph"/>
              <w:rPr>
                <w:noProof/>
              </w:rPr>
            </w:pPr>
            <w:r>
              <w:rPr>
                <w:noProof/>
              </w:rPr>
              <w:t>ex 8708 95 99</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Coussins gonflables de sécurité en tissu polyamide à haute résistance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cousus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pliés en trois dimensions, présentés sous forme de paquets indéformables en trois dimensions, fixés thermiquement</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8708 95 10</w:t>
            </w:r>
          </w:p>
          <w:p>
            <w:pPr>
              <w:pStyle w:val="Paragraph"/>
              <w:rPr>
                <w:noProof/>
              </w:rPr>
            </w:pPr>
            <w:r>
              <w:rPr>
                <w:noProof/>
              </w:rPr>
              <w:t>ex 8708 95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Coussins gonflables de sécurité en tissu polyamide à haute résistance: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cousus,</w:t>
                  </w:r>
                </w:p>
              </w:tc>
            </w:tr>
            <w:tr>
              <w:tc>
                <w:tcPr>
                  <w:tcW w:w="0" w:type="auto"/>
                </w:tcPr>
                <w:p>
                  <w:pPr>
                    <w:pStyle w:val="Paragraph"/>
                    <w:rPr>
                      <w:noProof/>
                    </w:rPr>
                  </w:pPr>
                  <w:r>
                    <w:rPr>
                      <w:noProof/>
                    </w:rPr>
                    <w:t>—</w:t>
                  </w:r>
                </w:p>
              </w:tc>
              <w:tc>
                <w:tcPr>
                  <w:tcW w:w="0" w:type="auto"/>
                </w:tcPr>
                <w:p>
                  <w:pPr>
                    <w:pStyle w:val="Paragraph"/>
                    <w:rPr>
                      <w:noProof/>
                    </w:rPr>
                  </w:pPr>
                  <w:r>
                    <w:rPr>
                      <w:noProof/>
                    </w:rPr>
                    <w:t>pliés,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pourvus d’un collage dans lequel la colle silicone est appliquée dans les trois dimensions, ce qui permet la formation de la chambre d’airbag et l’étanchéité du coussin gonflable en fonction de la charge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appropriés pour la technologie à gaz froid</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0" w:type="auto"/>
            <w:vMerge w:val="restart"/>
            <w:tcBorders>
              <w:left w:val="single" w:sz="2" w:space="0" w:color="auto"/>
            </w:tcBorders>
          </w:tcPr>
          <w:p>
            <w:pPr>
              <w:pStyle w:val="Paragraph"/>
              <w:rPr>
                <w:noProof/>
                <w:lang w:val="fr-BE"/>
              </w:rPr>
            </w:pPr>
            <w:r>
              <w:rPr>
                <w:noProof/>
                <w:lang w:val="fr-BE"/>
              </w:rPr>
              <w:t>Ensemble réservoir à carburant composite à six couches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dispositif d'arrivée de carburant,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ensemble bride de pompe (EBP),</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ventilation avec clapet antifuite sur la partie supérieure du réservoir,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 orifices filetés pour l’ensemble EBP,</w:t>
                  </w:r>
                </w:p>
              </w:tc>
            </w:tr>
          </w:tbl>
          <w:p>
            <w:pPr>
              <w:pStyle w:val="Paragraph"/>
              <w:rPr>
                <w:noProof/>
                <w:lang w:val="fr-BE"/>
              </w:rPr>
            </w:pPr>
            <w:r>
              <w:rPr>
                <w:noProof/>
                <w:lang w:val="fr-BE"/>
              </w:rPr>
              <w:t>destiné à la fabrication de véhicules tout terrain ou utilitaires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45</w:t>
            </w:r>
          </w:p>
        </w:tc>
        <w:tc>
          <w:tcPr>
            <w:tcW w:w="0" w:type="auto"/>
            <w:vMerge w:val="restart"/>
            <w:tcBorders>
              <w:left w:val="single" w:sz="2" w:space="0" w:color="auto"/>
            </w:tcBorders>
          </w:tcPr>
          <w:p>
            <w:pPr>
              <w:pStyle w:val="Paragraph"/>
              <w:rPr>
                <w:noProof/>
                <w:lang w:val="fr-BE"/>
              </w:rPr>
            </w:pPr>
            <w:r>
              <w:rPr>
                <w:noProof/>
                <w:lang w:val="fr-BE"/>
              </w:rPr>
              <w:t>Guidage d'air en plastique servant à diriger le flux d'air vers la surface du refroidisseur intermédiaire, destiné à la construction de véhicules à moteur</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35</w:t>
            </w:r>
          </w:p>
        </w:tc>
        <w:tc>
          <w:tcPr>
            <w:tcW w:w="0" w:type="auto"/>
            <w:vMerge w:val="restart"/>
            <w:tcBorders>
              <w:left w:val="single" w:sz="2" w:space="0" w:color="auto"/>
            </w:tcBorders>
          </w:tcPr>
          <w:p>
            <w:pPr>
              <w:pStyle w:val="Paragraph"/>
              <w:rPr>
                <w:noProof/>
                <w:lang w:val="fr-BE"/>
              </w:rPr>
            </w:pPr>
            <w:r>
              <w:rPr>
                <w:noProof/>
                <w:lang w:val="fr-BE"/>
              </w:rPr>
              <w:t>Support de radiateur ou d'échangeur thermique intermédiaire, avec ou sans caoutchouc amortissant, utilisé dans la fabrication de marchandises relevant du chapitre 87</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25</w:t>
            </w:r>
          </w:p>
        </w:tc>
        <w:tc>
          <w:tcPr>
            <w:tcW w:w="0" w:type="auto"/>
            <w:vMerge w:val="restart"/>
            <w:tcBorders>
              <w:left w:val="single" w:sz="2" w:space="0" w:color="auto"/>
            </w:tcBorders>
          </w:tcPr>
          <w:p>
            <w:pPr>
              <w:pStyle w:val="Paragraph"/>
              <w:rPr>
                <w:noProof/>
                <w:lang w:val="fr-BE"/>
              </w:rPr>
            </w:pPr>
            <w:r>
              <w:rPr>
                <w:noProof/>
                <w:lang w:val="fr-BE"/>
              </w:rPr>
              <w:t>Pièce de support en fer ou acier, munie de trous de fixation, avec ou sans écrous de serrage, servant à fixer la boîte de vitesses à la carrosserie, utilisée dans la fabrication des marchandises relevant du chapitre 87</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8708 99 97</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Éléments intérieurs ou extérieurs galvanisés, constitués: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copolymère d'acrylonitrile-butadiène-styrène (ABS), mélangé ou non à du polycarbonate,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couches de cuivre, de nickel et de chrome,</w:t>
                  </w:r>
                </w:p>
              </w:tc>
            </w:tr>
          </w:tbl>
          <w:p>
            <w:pPr>
              <w:pStyle w:val="Paragraph"/>
              <w:rPr>
                <w:noProof/>
                <w:lang w:val="fr-BE"/>
              </w:rPr>
            </w:pPr>
            <w:r>
              <w:rPr>
                <w:noProof/>
                <w:lang w:val="fr-BE"/>
              </w:rPr>
              <w:t>destinés à la fabrication de parties de véhicules à moteur des positions 8701 à 8705</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8714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Tubes intérieurs: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en acier au carbone de qualité SAE1541,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recouverts d’une couche de chrome dur de 20 µm (+ 15 µm/- 5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paroi égale ou supérieure à 1,45 mm, mais n’excédant pas 1,5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allongement à la rupture de 15 %</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percés</w:t>
                  </w:r>
                </w:p>
              </w:tc>
            </w:tr>
          </w:tbl>
          <w:p>
            <w:pPr>
              <w:pStyle w:val="Paragraph"/>
              <w:rPr>
                <w:noProof/>
                <w:lang w:val="fr-BE"/>
              </w:rPr>
            </w:pPr>
            <w:r>
              <w:rPr>
                <w:noProof/>
                <w:lang w:val="fr-BE"/>
              </w:rPr>
              <w:t>du type utilisé pour la fabrication de tubes de fourche de motocycles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8714 10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Radiateur du type utilisé sur les motocycles et adapté aux fixations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8714 10 90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Tubes d'amortisseur pour suspension:</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en alliage d'aluminium 7050-t73,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anodisé sur la surface intérieure,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rugosité moyenne (Ra) de la surface intérieure n'excède pas 0,4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rugosité absolue maximale (Rt) de la surface intérieure n'excède pas 4,0</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8714 91 10</w:t>
            </w:r>
          </w:p>
          <w:p>
            <w:pPr>
              <w:pStyle w:val="Paragraph"/>
              <w:rPr>
                <w:noProof/>
              </w:rPr>
            </w:pPr>
            <w:r>
              <w:rPr>
                <w:noProof/>
              </w:rPr>
              <w:t>ex 8714 91 10</w:t>
            </w:r>
          </w:p>
          <w:p>
            <w:pPr>
              <w:pStyle w:val="Paragraph"/>
              <w:rPr>
                <w:noProof/>
              </w:rPr>
            </w:pPr>
            <w:r>
              <w:rPr>
                <w:noProof/>
              </w:rPr>
              <w:t>ex 8714 91 10</w:t>
            </w:r>
          </w:p>
        </w:tc>
        <w:tc>
          <w:tcPr>
            <w:tcW w:w="0" w:type="auto"/>
            <w:tcBorders>
              <w:left w:val="single" w:sz="2" w:space="0" w:color="auto"/>
              <w:bottom w:val="nil"/>
            </w:tcBorders>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0" w:type="auto"/>
            <w:vMerge w:val="restart"/>
            <w:tcBorders>
              <w:left w:val="single" w:sz="2" w:space="0" w:color="auto"/>
            </w:tcBorders>
          </w:tcPr>
          <w:p>
            <w:pPr>
              <w:pStyle w:val="Paragraph"/>
              <w:rPr>
                <w:noProof/>
                <w:lang w:val="fr-BE"/>
              </w:rPr>
            </w:pPr>
            <w:r>
              <w:rPr>
                <w:noProof/>
                <w:lang w:val="fr-BE"/>
              </w:rPr>
              <w:t>Cadre, constitué d'aluminium ou de fibres d'aluminium et de carbone, destiné à la fabrication de bicyclettes (y compris électriques)</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8714 91 30</w:t>
            </w:r>
          </w:p>
          <w:p>
            <w:pPr>
              <w:pStyle w:val="Paragraph"/>
              <w:rPr>
                <w:noProof/>
              </w:rPr>
            </w:pPr>
            <w:r>
              <w:rPr>
                <w:noProof/>
              </w:rPr>
              <w:t>ex 8714 91 30</w:t>
            </w:r>
          </w:p>
          <w:p>
            <w:pPr>
              <w:pStyle w:val="Paragraph"/>
              <w:rPr>
                <w:noProof/>
              </w:rPr>
            </w:pPr>
            <w:r>
              <w:rPr>
                <w:noProof/>
              </w:rPr>
              <w:t>ex 8714 91 30</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35</w:t>
            </w:r>
          </w:p>
          <w:p>
            <w:pPr>
              <w:pStyle w:val="Paragraph"/>
              <w:jc w:val="center"/>
              <w:rPr>
                <w:noProof/>
              </w:rPr>
            </w:pPr>
            <w:r>
              <w:rPr>
                <w:noProof/>
              </w:rPr>
              <w:t>72</w:t>
            </w:r>
          </w:p>
        </w:tc>
        <w:tc>
          <w:tcPr>
            <w:tcW w:w="0" w:type="auto"/>
            <w:vMerge w:val="restart"/>
            <w:tcBorders>
              <w:left w:val="single" w:sz="2" w:space="0" w:color="auto"/>
            </w:tcBorders>
          </w:tcPr>
          <w:p>
            <w:pPr>
              <w:pStyle w:val="Paragraph"/>
              <w:rPr>
                <w:noProof/>
                <w:lang w:val="fr-BE"/>
              </w:rPr>
            </w:pPr>
            <w:r>
              <w:rPr>
                <w:noProof/>
                <w:lang w:val="fr-BE"/>
              </w:rPr>
              <w:t>Fourches avant, à l’exception des fourches avant rigides (non téléscopiques) entièrement en acier, destinées à la fabrication de bicyclettes</w:t>
            </w:r>
          </w:p>
          <w:p>
            <w:pPr>
              <w:pStyle w:val="Paragraph"/>
              <w:rPr>
                <w:noProof/>
              </w:rPr>
            </w:pPr>
            <w:r>
              <w:rPr>
                <w:noProof/>
                <w:lang w:val="fr-BE"/>
              </w:rPr>
              <w:t> </w:t>
            </w:r>
            <w:r>
              <w:rPr>
                <w:rStyle w:val="FootnoteReference"/>
                <w:noProof/>
              </w:rPr>
              <w:t>(2)</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0" w:type="auto"/>
          </w:tcPr>
          <w:p>
            <w:pPr>
              <w:pStyle w:val="Paragraph"/>
              <w:rPr>
                <w:noProof/>
              </w:rPr>
            </w:pPr>
            <w:r>
              <w:rPr>
                <w:noProof/>
              </w:rPr>
              <w:t>ex 8714 96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Pédales, destinées à la fabrication de bicyclettes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8714 99 10</w:t>
            </w:r>
          </w:p>
          <w:p>
            <w:pPr>
              <w:pStyle w:val="Paragraph"/>
              <w:rPr>
                <w:noProof/>
              </w:rPr>
            </w:pPr>
            <w:r>
              <w:rPr>
                <w:noProof/>
              </w:rPr>
              <w:t>ex 8714 99 10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89</w:t>
            </w:r>
          </w:p>
        </w:tc>
        <w:tc>
          <w:tcPr>
            <w:tcW w:w="0" w:type="auto"/>
            <w:vMerge w:val="restart"/>
            <w:tcBorders>
              <w:left w:val="single" w:sz="2" w:space="0" w:color="auto"/>
            </w:tcBorders>
          </w:tcPr>
          <w:p>
            <w:pPr>
              <w:pStyle w:val="Paragraph"/>
              <w:rPr>
                <w:noProof/>
              </w:rPr>
            </w:pPr>
            <w:r>
              <w:rPr>
                <w:noProof/>
              </w:rPr>
              <w:t>Guidons de bicyclette,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potence intégrée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constitués de fibres de carbone et de résine de synthèse ou constitués d'aluminium</w:t>
                  </w:r>
                </w:p>
              </w:tc>
            </w:tr>
          </w:tbl>
          <w:p>
            <w:pPr>
              <w:pStyle w:val="Paragraph"/>
              <w:rPr>
                <w:noProof/>
                <w:lang w:val="fr-BE"/>
              </w:rPr>
            </w:pPr>
            <w:r>
              <w:rPr>
                <w:noProof/>
                <w:lang w:val="fr-BE"/>
              </w:rPr>
              <w:t>destinés à la fabrication de bicyclettes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noProof/>
              </w:rPr>
              <w:t>ex 8714 99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Tiges de selle, destinées à la fabrication de bicyclettes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9001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Inverseur d’images constitué par un assemblage de fibres optiques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9001 10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Fibre optique polymère caractérisée par:</w:t>
            </w:r>
          </w:p>
          <w:tbl>
            <w:tblPr>
              <w:tblStyle w:val="Listdash"/>
              <w:tblW w:w="0" w:type="auto"/>
              <w:tblLook w:val="0000" w:firstRow="0" w:lastRow="0" w:firstColumn="0" w:lastColumn="0" w:noHBand="0" w:noVBand="0"/>
            </w:tblPr>
            <w:tblGrid>
              <w:gridCol w:w="220"/>
              <w:gridCol w:w="2478"/>
            </w:tblGrid>
            <w:tr>
              <w:tc>
                <w:tcPr>
                  <w:tcW w:w="0" w:type="auto"/>
                </w:tcPr>
                <w:p>
                  <w:pPr>
                    <w:pStyle w:val="Paragraph"/>
                    <w:rPr>
                      <w:noProof/>
                    </w:rPr>
                  </w:pPr>
                  <w:r>
                    <w:rPr>
                      <w:noProof/>
                    </w:rPr>
                    <w:t>—</w:t>
                  </w:r>
                </w:p>
              </w:tc>
              <w:tc>
                <w:tcPr>
                  <w:tcW w:w="0" w:type="auto"/>
                </w:tcPr>
                <w:p>
                  <w:pPr>
                    <w:pStyle w:val="Paragraph"/>
                    <w:rPr>
                      <w:noProof/>
                    </w:rPr>
                  </w:pPr>
                  <w:r>
                    <w:rPr>
                      <w:noProof/>
                    </w:rPr>
                    <w:t>un noyau en polyméthylméthacrylate,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gainage en polymère fluoré,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maximal de 3mm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longueur supérieure à 150m</w:t>
                  </w:r>
                </w:p>
              </w:tc>
            </w:tr>
          </w:tbl>
          <w:p>
            <w:pPr>
              <w:pStyle w:val="Paragraph"/>
              <w:rPr>
                <w:noProof/>
                <w:lang w:val="fr-BE"/>
              </w:rPr>
            </w:pPr>
            <w:r>
              <w:rPr>
                <w:noProof/>
                <w:lang w:val="fr-BE"/>
              </w:rPr>
              <w:t>du type utilisé pour la fabrication de câbles de fibres polymères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9001 10 90</w:t>
            </w:r>
          </w:p>
          <w:p>
            <w:pPr>
              <w:pStyle w:val="Paragraph"/>
              <w:rPr>
                <w:noProof/>
              </w:rPr>
            </w:pPr>
            <w:r>
              <w:rPr>
                <w:noProof/>
              </w:rPr>
              <w:t>ex 9001 90 00</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18</w:t>
            </w:r>
          </w:p>
        </w:tc>
        <w:tc>
          <w:tcPr>
            <w:tcW w:w="0" w:type="auto"/>
            <w:vMerge w:val="restart"/>
            <w:tcBorders>
              <w:left w:val="single" w:sz="2" w:space="0" w:color="auto"/>
            </w:tcBorders>
          </w:tcPr>
          <w:p>
            <w:pPr>
              <w:pStyle w:val="Paragraph"/>
              <w:rPr>
                <w:noProof/>
              </w:rPr>
            </w:pPr>
            <w:r>
              <w:rPr>
                <w:noProof/>
              </w:rPr>
              <w:t>Plaques à fibres optiques:</w:t>
            </w:r>
          </w:p>
          <w:tbl>
            <w:tblPr>
              <w:tblStyle w:val="Listdash"/>
              <w:tblW w:w="0" w:type="auto"/>
              <w:tblLook w:val="0000" w:firstRow="0" w:lastRow="0" w:firstColumn="0" w:lastColumn="0" w:noHBand="0" w:noVBand="0"/>
            </w:tblPr>
            <w:tblGrid>
              <w:gridCol w:w="220"/>
              <w:gridCol w:w="427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non revêtues et non peintes,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30 mm ou plus, mais n'excédant pas 234,5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7 mm ou plus, mais n'excédant pas 28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d'une hauteur de 0,5 mm ou plus mais n'excédant pas 3 mm</w:t>
                  </w:r>
                </w:p>
              </w:tc>
            </w:tr>
          </w:tbl>
          <w:p>
            <w:pPr>
              <w:pStyle w:val="Paragraph"/>
              <w:rPr>
                <w:noProof/>
                <w:lang w:val="fr-BE"/>
              </w:rPr>
            </w:pPr>
            <w:r>
              <w:rPr>
                <w:noProof/>
                <w:lang w:val="fr-BE"/>
              </w:rPr>
              <w:t>du type utilisé dans les systèmes de radiographie dentaire</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9001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Matériau consistant en un film polarisant, se présentant ou non en rouleau, renforcé d’un côté ou des deux côtés par un matériau transparent, comportant ou non une couche adhésive, recouvert sur une des faces ou sur les deux d’une pellicule de protection</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rStyle w:val="FootnoteReference"/>
                <w:noProof/>
              </w:rPr>
              <w:t>*</w:t>
            </w:r>
            <w:r>
              <w:rPr>
                <w:noProof/>
              </w:rPr>
              <w:t>ex 9001 20 00</w:t>
            </w:r>
          </w:p>
          <w:p>
            <w:pPr>
              <w:pStyle w:val="Paragraph"/>
              <w:rPr>
                <w:noProof/>
              </w:rPr>
            </w:pPr>
            <w:r>
              <w:rPr>
                <w:noProof/>
              </w:rPr>
              <w:t>ex 9001 90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55</w:t>
            </w:r>
          </w:p>
        </w:tc>
        <w:tc>
          <w:tcPr>
            <w:tcW w:w="0" w:type="auto"/>
            <w:vMerge w:val="restart"/>
            <w:tcBorders>
              <w:left w:val="single" w:sz="2" w:space="0" w:color="auto"/>
            </w:tcBorders>
          </w:tcPr>
          <w:p>
            <w:pPr>
              <w:pStyle w:val="Paragraph"/>
              <w:rPr>
                <w:noProof/>
                <w:lang w:val="fr-BE"/>
              </w:rPr>
            </w:pPr>
            <w:r>
              <w:rPr>
                <w:noProof/>
                <w:lang w:val="fr-BE"/>
              </w:rPr>
              <w:t>Feuilles optiques, de diffusion, de réflexion ou à prismes, ou plaques de diffusion non imprimées, dotées ou non de propriétés polarisantes, spécialement découpées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31.12.2023</w:t>
            </w:r>
          </w:p>
          <w:p>
            <w:pPr>
              <w:pStyle w:val="Paragraph"/>
              <w:rPr>
                <w:noProof/>
              </w:rPr>
            </w:pPr>
          </w:p>
        </w:tc>
      </w:tr>
      <w:tr>
        <w:tc>
          <w:tcPr>
            <w:tcW w:w="0" w:type="auto"/>
            <w:tcBorders>
              <w:bottom w:val="nil"/>
            </w:tcBorders>
          </w:tcPr>
          <w:p>
            <w:pPr>
              <w:pStyle w:val="Paragraph"/>
              <w:rPr>
                <w:noProof/>
              </w:rPr>
            </w:pPr>
            <w:r>
              <w:rPr>
                <w:noProof/>
              </w:rPr>
              <w:t>ex 9001 50 41</w:t>
            </w:r>
          </w:p>
          <w:p>
            <w:pPr>
              <w:pStyle w:val="Paragraph"/>
              <w:rPr>
                <w:noProof/>
              </w:rPr>
            </w:pPr>
            <w:r>
              <w:rPr>
                <w:noProof/>
              </w:rPr>
              <w:t>ex 9001 50 49</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Verre de lunetterie correcteur non détouré, organique, ouvré sur les deux faces, destiné à faire l'objet d'un traitement (revêtement, coloration, usinage des bords, montage ou tout autre traitement substantiel) en vue de son utilisation dans la fabrication de lunettes correctrices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31.12.2022</w:t>
            </w:r>
          </w:p>
          <w:p>
            <w:pPr>
              <w:pStyle w:val="Paragraph"/>
              <w:rPr>
                <w:noProof/>
              </w:rPr>
            </w:pPr>
          </w:p>
        </w:tc>
      </w:tr>
      <w:tr>
        <w:tc>
          <w:tcPr>
            <w:tcW w:w="0" w:type="auto"/>
          </w:tcPr>
          <w:p>
            <w:pPr>
              <w:pStyle w:val="Paragraph"/>
              <w:rPr>
                <w:noProof/>
              </w:rPr>
            </w:pPr>
            <w:r>
              <w:rPr>
                <w:noProof/>
              </w:rPr>
              <w:t>ex 9001 50 80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Verre de lunetterie correcteur non détouré semi-fini, organique, ouvré sur une face, de forme ronde, du type utilisé pour la fabrication de verres de lunetterie finis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9001 90 00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Écran de rétroprojection, comprenant une plaque lenticulaire en matière plastique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9001 90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Barreau en matière grenat d’yttrium-aluminium (YAG) dopé au néodyme, poli sur les 2 extrémités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Film optique utilisé dans la fabrication d’écrans de projection frontale, qui se compose de 5 structures multicouches au minimum, dont un réflecteur dorsal, une couche avant et un filtre de contraste avec un pas de 0,65 µm au maximum</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Feuilles en poly(éthylène téréphtalate) d’une épaisseur de moins de 300 µm, conformes à la norme ASTM D2103, ayant sur une face des prismes de résine acrylique, avec un angle de prisme de 90° et un pas de 50 µm</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9001 90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lang w:val="fr-BE"/>
              </w:rPr>
            </w:pPr>
            <w:r>
              <w:rPr>
                <w:noProof/>
                <w:lang w:val="fr-BE"/>
              </w:rPr>
              <w:t>Plaque guide lumière en polyméthacrylate de méthyle,</w:t>
            </w:r>
          </w:p>
          <w:tbl>
            <w:tblPr>
              <w:tblStyle w:val="Listdash"/>
              <w:tblW w:w="0" w:type="auto"/>
              <w:tblLook w:val="0000" w:firstRow="0" w:lastRow="0" w:firstColumn="0" w:lastColumn="0" w:noHBand="0" w:noVBand="0"/>
            </w:tblPr>
            <w:tblGrid>
              <w:gridCol w:w="220"/>
              <w:gridCol w:w="1194"/>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découpée ou non,</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imprimée ou non,</w:t>
                  </w:r>
                </w:p>
              </w:tc>
            </w:tr>
          </w:tbl>
          <w:p>
            <w:pPr>
              <w:pStyle w:val="Paragraph"/>
              <w:rPr>
                <w:noProof/>
                <w:lang w:val="fr-BE"/>
              </w:rPr>
            </w:pPr>
            <w:r>
              <w:rPr>
                <w:noProof/>
                <w:lang w:val="fr-BE"/>
              </w:rPr>
              <w:t>destinée à la fabrication d’unités de rétroéclairage pour téléviseurs à écran plat</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Objectif infrarouge à focalisation motorisée:</w:t>
            </w:r>
          </w:p>
          <w:tbl>
            <w:tblPr>
              <w:tblStyle w:val="Listdash"/>
              <w:tblW w:w="0" w:type="auto"/>
              <w:tblLook w:val="0000" w:firstRow="0" w:lastRow="0" w:firstColumn="0" w:lastColumn="0" w:noHBand="0" w:noVBand="0"/>
            </w:tblPr>
            <w:tblGrid>
              <w:gridCol w:w="220"/>
              <w:gridCol w:w="320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fonctionnant pour des longueurs d’onde 3-5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offrant une image nette de 50 m à l’ infini,</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avec des champs de taille 3°x2,25° 9°x6,75°,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dont le poids n’excède pas 230 g,</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dont la longueur  n’excède pas 88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dont le diamètre n’excède pas 46 mm,</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 athermalisé,</w:t>
                  </w:r>
                </w:p>
              </w:tc>
            </w:tr>
          </w:tbl>
          <w:p>
            <w:pPr>
              <w:pStyle w:val="Paragraph"/>
              <w:rPr>
                <w:noProof/>
                <w:lang w:val="fr-BE"/>
              </w:rPr>
            </w:pPr>
            <w:r>
              <w:rPr>
                <w:noProof/>
                <w:lang w:val="fr-BE"/>
              </w:rPr>
              <w:t>utilisé dans la fabrication de caméras thermiques, jumelles infrarouge, viseurs d’armes</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9002 11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Objectifs</w:t>
            </w:r>
          </w:p>
          <w:tbl>
            <w:tblPr>
              <w:tblStyle w:val="Listdash"/>
              <w:tblW w:w="0" w:type="auto"/>
              <w:tblLook w:val="0000" w:firstRow="0" w:lastRow="0" w:firstColumn="0" w:lastColumn="0" w:noHBand="0" w:noVBand="0"/>
            </w:tblPr>
            <w:tblGrid>
              <w:gridCol w:w="220"/>
              <w:gridCol w:w="407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les dimensions n’excèdent pas 80 mm x 55 mm x 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résolution d'au moins 160 lignes/mm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ayant un facteur de zoom de 18</w:t>
                  </w:r>
                </w:p>
              </w:tc>
            </w:tr>
          </w:tbl>
          <w:p>
            <w:pPr>
              <w:pStyle w:val="Paragraph"/>
              <w:rPr>
                <w:noProof/>
                <w:lang w:val="fr-BE"/>
              </w:rPr>
            </w:pPr>
            <w:r>
              <w:rPr>
                <w:noProof/>
                <w:lang w:val="fr-BE"/>
              </w:rPr>
              <w:t>comme utilisés dans la production de visualiseurs ou de caméras destinées à la transmission d'images en direct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31.12.2022</w:t>
            </w:r>
          </w:p>
        </w:tc>
      </w:tr>
      <w:tr>
        <w:tc>
          <w:tcPr>
            <w:tcW w:w="0" w:type="auto"/>
            <w:tcBorders>
              <w:bottom w:val="nil"/>
            </w:tcBorders>
          </w:tcPr>
          <w:p>
            <w:pPr>
              <w:pStyle w:val="Paragraph"/>
              <w:rPr>
                <w:noProof/>
              </w:rPr>
            </w:pP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Unité optique infrarouge constituée: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 d’une lentille en silicium monocristallin de diamètre 84 mm (± 0,1 mm)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 d’une lentille en germanium monocristallin de diamètre 62 mm (± 0,05 mm)</w:t>
                  </w:r>
                </w:p>
              </w:tc>
            </w:tr>
          </w:tbl>
          <w:p>
            <w:pPr>
              <w:pStyle w:val="Paragraph"/>
              <w:rPr>
                <w:noProof/>
                <w:lang w:val="fr-BE"/>
              </w:rPr>
            </w:pPr>
            <w:r>
              <w:rPr>
                <w:noProof/>
                <w:lang w:val="fr-BE"/>
              </w:rPr>
              <w:t>assemblées sur un support en alliage d’aluminium usiné, du type de celle utilisée pour les caméras thermiques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rPr>
            </w:pPr>
            <w:r>
              <w:rPr>
                <w:noProof/>
              </w:rPr>
              <w:t>Unité optique infrarouge constituée: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 d’une lentille en silicium  de diamètre  29 mm (± 0,05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d’une lentille en fluorure de calcium monocristallin de diamètre 26 mm (± 0,05 mm),</w:t>
                  </w:r>
                </w:p>
              </w:tc>
            </w:tr>
          </w:tbl>
          <w:p>
            <w:pPr>
              <w:pStyle w:val="Paragraph"/>
              <w:rPr>
                <w:noProof/>
                <w:lang w:val="fr-BE"/>
              </w:rPr>
            </w:pPr>
            <w:r>
              <w:rPr>
                <w:noProof/>
                <w:lang w:val="fr-BE"/>
              </w:rPr>
              <w:t>assemblées sur un support en alliage d’aluminium usiné, du type de celle utilisée pour les caméras thermiques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rPr>
            </w:pPr>
            <w:r>
              <w:rPr>
                <w:noProof/>
              </w:rPr>
              <w:t>Unité optique infrarouge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constituéed’une lentille en silicium de diamètre 62 mm (± 0,05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montée sur un support en alliage d’aluminium usiné,</w:t>
                  </w:r>
                </w:p>
              </w:tc>
            </w:tr>
          </w:tbl>
          <w:p>
            <w:pPr>
              <w:pStyle w:val="Paragraph"/>
              <w:rPr>
                <w:noProof/>
                <w:lang w:val="fr-BE"/>
              </w:rPr>
            </w:pPr>
            <w:r>
              <w:rPr>
                <w:noProof/>
                <w:lang w:val="fr-BE"/>
              </w:rPr>
              <w:t>du type de celle utilisée pour les caméras thermiques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9002 11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Objectif:</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focale de 25 mm ou plus mais n’excédant pas 150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constitué de lentilles en verre ou en matière plastique d’un diamètre de 60 mm ou plus mais n’excédant pas 190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Borders>
              <w:bottom w:val="nil"/>
            </w:tcBorders>
          </w:tcPr>
          <w:p>
            <w:pPr>
              <w:pStyle w:val="Paragraph"/>
              <w:rPr>
                <w:noProof/>
              </w:rPr>
            </w:pP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rPr>
            </w:pPr>
            <w:r>
              <w:rPr>
                <w:noProof/>
              </w:rPr>
              <w:t>Unité optique infrarouge constituée: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 d’une lentille en germanium de diamètre 11 mm (± 0,05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d’une lentille en fluorure de calcium monocristallin de diamètre 14 mm (± 0,05 mm)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 d’une lentille en silicium de diamètre 17 mm (± 0,05 mm),</w:t>
                  </w:r>
                </w:p>
              </w:tc>
            </w:tr>
          </w:tbl>
          <w:p>
            <w:pPr>
              <w:pStyle w:val="Paragraph"/>
              <w:rPr>
                <w:noProof/>
                <w:lang w:val="fr-BE"/>
              </w:rPr>
            </w:pPr>
            <w:r>
              <w:rPr>
                <w:noProof/>
                <w:lang w:val="fr-BE"/>
              </w:rPr>
              <w:t>assemblées sur un support en alliage d’aluminium usiné, du type de celle utilisée pour les caméras thermiques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60</w:t>
            </w:r>
          </w:p>
        </w:tc>
        <w:tc>
          <w:tcPr>
            <w:tcW w:w="0" w:type="auto"/>
            <w:vMerge w:val="restart"/>
            <w:tcBorders>
              <w:left w:val="single" w:sz="2" w:space="0" w:color="auto"/>
            </w:tcBorders>
          </w:tcPr>
          <w:p>
            <w:pPr>
              <w:pStyle w:val="Paragraph"/>
              <w:rPr>
                <w:noProof/>
              </w:rPr>
            </w:pPr>
            <w:r>
              <w:rPr>
                <w:noProof/>
              </w:rPr>
              <w:t>Unité optique infrarouge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constituéed’une lentille en silicium de diamètre 26 mm (± 0,1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montée sur un support en alliage d’aluminium usiné,</w:t>
                  </w:r>
                </w:p>
              </w:tc>
            </w:tr>
          </w:tbl>
          <w:p>
            <w:pPr>
              <w:pStyle w:val="Paragraph"/>
              <w:rPr>
                <w:noProof/>
                <w:lang w:val="fr-BE"/>
              </w:rPr>
            </w:pPr>
            <w:r>
              <w:rPr>
                <w:noProof/>
                <w:lang w:val="fr-BE"/>
              </w:rPr>
              <w:t>du type de celle utilisée pour les caméras thermiques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t>ex 9002 11 00</w:t>
            </w:r>
          </w:p>
          <w:p>
            <w:pPr>
              <w:pStyle w:val="Paragraph"/>
              <w:rPr>
                <w:noProof/>
              </w:rPr>
            </w:pPr>
            <w:r>
              <w:rPr>
                <w:noProof/>
              </w:rPr>
              <w:t>ex 9002 19 00</w:t>
            </w:r>
          </w:p>
        </w:tc>
        <w:tc>
          <w:tcPr>
            <w:tcW w:w="0" w:type="auto"/>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70</w:t>
            </w:r>
          </w:p>
        </w:tc>
        <w:tc>
          <w:tcPr>
            <w:tcW w:w="0" w:type="auto"/>
            <w:vMerge w:val="restart"/>
            <w:tcBorders>
              <w:left w:val="single" w:sz="2" w:space="0" w:color="auto"/>
            </w:tcBorders>
          </w:tcPr>
          <w:p>
            <w:pPr>
              <w:pStyle w:val="Paragraph"/>
              <w:rPr>
                <w:noProof/>
              </w:rPr>
            </w:pPr>
            <w:r>
              <w:rPr>
                <w:noProof/>
              </w:rPr>
              <w:t>Unité optique infrarouge constituée: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rPr>
                  </w:pPr>
                  <w:r>
                    <w:rPr>
                      <w:noProof/>
                    </w:rPr>
                    <w:t> d’une lentille en germanium de diamètre 19 mm (± 0,05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d’une lentille en fluorure de calcium monocristallin de diamètre 18 mm (± 0,05 mm)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d’une lentille en germanium de diamètre 20,6 mm (± 0,05 mm),</w:t>
                  </w:r>
                </w:p>
              </w:tc>
            </w:tr>
          </w:tbl>
          <w:p>
            <w:pPr>
              <w:pStyle w:val="Paragraph"/>
              <w:rPr>
                <w:noProof/>
                <w:lang w:val="fr-BE"/>
              </w:rPr>
            </w:pPr>
            <w:r>
              <w:rPr>
                <w:noProof/>
                <w:lang w:val="fr-BE"/>
              </w:rPr>
              <w:t>assemblées sur un support en alliage d’aluminium usiné, du type de celle utilisée pour les caméras thermiques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rStyle w:val="FootnoteReference"/>
                <w:noProof/>
              </w:rPr>
              <w:t>*</w:t>
            </w:r>
            <w:r>
              <w:rPr>
                <w:noProof/>
              </w:rPr>
              <w:t>ex 9002 11 00</w:t>
            </w:r>
          </w:p>
        </w:tc>
        <w:tc>
          <w:tcPr>
            <w:tcW w:w="0" w:type="auto"/>
            <w:tcBorders>
              <w:left w:val="single" w:sz="2" w:space="0" w:color="auto"/>
            </w:tcBorders>
          </w:tcPr>
          <w:p>
            <w:pPr>
              <w:pStyle w:val="Paragraph"/>
              <w:jc w:val="center"/>
              <w:rPr>
                <w:noProof/>
              </w:rPr>
            </w:pPr>
            <w:r>
              <w:rPr>
                <w:noProof/>
              </w:rPr>
              <w:t>85</w:t>
            </w:r>
          </w:p>
        </w:tc>
        <w:tc>
          <w:tcPr>
            <w:tcW w:w="0" w:type="auto"/>
            <w:tcBorders>
              <w:left w:val="single" w:sz="2" w:space="0" w:color="auto"/>
            </w:tcBorders>
          </w:tcPr>
          <w:p>
            <w:pPr>
              <w:pStyle w:val="Paragraph"/>
              <w:rPr>
                <w:noProof/>
              </w:rPr>
            </w:pPr>
            <w:r>
              <w:rPr>
                <w:noProof/>
              </w:rPr>
              <w:t>Bloc de lentilles présentant: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champ de vision horizontal de 50 degrés ou plus mais n'excédant pas 200 degrés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distance focale de 1,16 mm ou plus mais n'excédant pas 5,45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ouverture relative de F/1,8 ou plus mais n'excédant pas F/2,6</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diamètre de 5 mm ou plus mais n'excédant pas 18,5 mm</w:t>
                  </w:r>
                </w:p>
              </w:tc>
            </w:tr>
          </w:tbl>
          <w:p>
            <w:pPr>
              <w:pStyle w:val="Paragraph"/>
              <w:rPr>
                <w:noProof/>
                <w:lang w:val="fr-BE"/>
              </w:rPr>
            </w:pPr>
            <w:r>
              <w:rPr>
                <w:noProof/>
                <w:lang w:val="fr-BE"/>
              </w:rPr>
              <w:t>utilisé pour la fabrication d’appareils photographiques automatiques CMOS</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9002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Unité optique, comprenant 1 ou 2 rangées de fibres optiques en verre sous forme de lentilles et d’une diamètre de 0,85 mm ou plus mais n’excédant pas 1,15 mm, inserrée entre 2 plaques en matière plastique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9002 90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Lentilles montées fabriquées à partir de verre de chalcogénures transmettant dans l’infrarouge ou d’une combinaison de verre de chalcogénures transmettant dans l’infrarouge et d’un autre matériau pour lentille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9013 80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Micro miroir électronique à semi-conducteur, dans un boîtier adapté à l’assemblage entièrement automatisé de circuits imprimés, essentiellement composé de  :</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ou plusieurs miroirs sur microsystèmes électromécaniques (MEMS) obtenus par la technologie des semi-conducteurs, avec des éléments mécaniques intégrés dans les structures tridimensionnelles du matériau semi-conducteur,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combiné ou non avec un ou plusieurs circuits intégrés monolithiques à application spécifique (ASIC),</w:t>
                  </w:r>
                </w:p>
              </w:tc>
            </w:tr>
          </w:tbl>
          <w:p>
            <w:pPr>
              <w:pStyle w:val="Paragraph"/>
              <w:rPr>
                <w:noProof/>
                <w:lang w:val="fr-BE"/>
              </w:rPr>
            </w:pPr>
            <w:r>
              <w:rPr>
                <w:noProof/>
                <w:lang w:val="fr-BE"/>
              </w:rPr>
              <w:t>du type destiné à être incorporé dans des produits relevant des chapitres 84 à 90 et du chapitre 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9025 80 40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Capteur de pression barométrique électronique à semiconducteurs, dans un boîtier, composé principalement de:</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l’association d’un ou de plusieurs circuits intégrés monolithiques à application spécifique (ASIC)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ou de plusieurs capteurs micro-électromécaniques (MEMS) fabriqués selon la technique des semiconducteurs avec éléments mécaniques intégrés dans des structures tridimensionnelles sur le matériau semiconducteur.</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9025 80 40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Capteur électronique à semi-conducteurs permettant de mesurer au moins deux des éléments suivants:</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la pression atmosphérique, la température (également pour la compensation de la température), l'humidité ou les composés organiques volatils,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un boîtier adapté à l'assemblage entièrement automatisé de circuits imprimés ou nu, composé des éléments suivants: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ou plusieurs circuits intégrés monolithiques à application spécifique (ASIC)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ou plusieurs capteurs microélectromécaniques (MEMS), avec des éléments mécaniques intégrés dans des structures tridimensionnelles sur le matériau semi-conducteur, fabriqués selon la technique des semi-conducteurs,</w:t>
                  </w:r>
                </w:p>
              </w:tc>
            </w:tr>
          </w:tbl>
          <w:p>
            <w:pPr>
              <w:pStyle w:val="Paragraph"/>
              <w:rPr>
                <w:noProof/>
                <w:lang w:val="fr-BE"/>
              </w:rPr>
            </w:pPr>
            <w:r>
              <w:rPr>
                <w:noProof/>
                <w:lang w:val="fr-BE"/>
              </w:rPr>
              <w:t>du type destiné à être incorporé aux produits relevant des chapitres 84 à 90 et du chapitre 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9027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Élément de capteur pour les analyses de gaz ou de fumées dans les véhicules automobiles, constitué essentiellement d’un élément en céramique-zirconium enserré dans un boîtier métallique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9029 10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Capteur de vitesse utilisant l'effet Hall pour mesurer la rotation des roues sur un véhicule à moteur, pourvu d'une coque en plastique et comportant un câble de connexion doté d'un connecteur et de supports de fixation, du type utilisé dans la fabrication de marchandises relevant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9029 20 31</w:t>
            </w:r>
          </w:p>
          <w:p>
            <w:pPr>
              <w:pStyle w:val="Paragraph"/>
              <w:rPr>
                <w:noProof/>
              </w:rPr>
            </w:pPr>
            <w:r>
              <w:rPr>
                <w:noProof/>
              </w:rPr>
              <w:t>ex 9029 90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Combiné d’instruments pour tableau de bord avec carte de commande à microprocesseur, moteur pas à pas et indicateurs LED affichant les éléments de base afférents à l’état du véhicule, à savoir au moins:</w:t>
            </w:r>
          </w:p>
          <w:tbl>
            <w:tblPr>
              <w:tblStyle w:val="Listdash"/>
              <w:tblW w:w="0" w:type="auto"/>
              <w:tblLook w:val="0000" w:firstRow="0" w:lastRow="0" w:firstColumn="0" w:lastColumn="0" w:noHBand="0" w:noVBand="0"/>
            </w:tblPr>
            <w:tblGrid>
              <w:gridCol w:w="220"/>
              <w:gridCol w:w="1713"/>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la vitesse,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le régime du moteur,</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la température du moteur,</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le niveau de carburant,</w:t>
                  </w:r>
                </w:p>
              </w:tc>
            </w:tr>
          </w:tbl>
          <w:p>
            <w:pPr>
              <w:pStyle w:val="Paragraph"/>
              <w:rPr>
                <w:noProof/>
                <w:lang w:val="fr-BE"/>
              </w:rPr>
            </w:pPr>
            <w:r>
              <w:rPr>
                <w:noProof/>
                <w:lang w:val="fr-BE"/>
              </w:rPr>
              <w:t>et communiquant via les protocoles bus CAN et K-Line, du type utilisé dans la fabrication de marchandises relevant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rStyle w:val="FootnoteReference"/>
                <w:noProof/>
              </w:rPr>
              <w:t>*</w:t>
            </w:r>
            <w:r>
              <w:rPr>
                <w:noProof/>
              </w:rPr>
              <w:t>ex 9030 31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Capteur de batterie automobile servant à mesurer la tension, le courant électrique et la température,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unité de mesure, un régulateur de tension, un microcontrôleur et un émetteur-récepteur LIN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borne de batterie, un connecteur LIN et un câble masse</w:t>
                  </w:r>
                </w:p>
              </w:tc>
            </w:tr>
          </w:tbl>
          <w:p>
            <w:pPr>
              <w:pStyle w:val="Paragraph"/>
              <w:rPr>
                <w:noProof/>
                <w:lang w:val="fr-BE"/>
              </w:rPr>
            </w:pPr>
            <w:r>
              <w:rPr>
                <w:noProof/>
                <w:lang w:val="fr-BE"/>
              </w:rPr>
              <w:t>destiné à la construction de véhicules à moteur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9032 89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Commande électronique de servodirection électrique (EPS controller)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noProof/>
              </w:rPr>
              <w:t>ex 9032 89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Régulateur de vanne numérique assurant la régulation de liquides et de gaz</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31.12.2022</w:t>
            </w:r>
          </w:p>
        </w:tc>
      </w:tr>
      <w:tr>
        <w:tc>
          <w:tcPr>
            <w:tcW w:w="0" w:type="auto"/>
          </w:tcPr>
          <w:p>
            <w:pPr>
              <w:pStyle w:val="Paragraph"/>
              <w:rPr>
                <w:noProof/>
              </w:rPr>
            </w:pPr>
            <w:r>
              <w:rPr>
                <w:noProof/>
              </w:rPr>
              <w:t>ex 9032 89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Panneau à gaz servant à réguler et mesurer le débit de gaz, fonctionnant avec la technologie plasma, comprenant</w:t>
            </w:r>
          </w:p>
          <w:tbl>
            <w:tblPr>
              <w:tblStyle w:val="Listdash"/>
              <w:tblW w:w="0" w:type="auto"/>
              <w:tblLook w:val="0000" w:firstRow="0" w:lastRow="0" w:firstColumn="0" w:lastColumn="0" w:noHBand="0" w:noVBand="0"/>
            </w:tblPr>
            <w:tblGrid>
              <w:gridCol w:w="220"/>
              <w:gridCol w:w="43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régulateur de débit massique, adapté pour recevoir et émettre des signaux analogiques et numériques,</w:t>
                  </w:r>
                </w:p>
              </w:tc>
            </w:tr>
            <w:tr>
              <w:tc>
                <w:tcPr>
                  <w:tcW w:w="0" w:type="auto"/>
                </w:tcPr>
                <w:p>
                  <w:pPr>
                    <w:pStyle w:val="Paragraph"/>
                    <w:rPr>
                      <w:noProof/>
                    </w:rPr>
                  </w:pPr>
                  <w:r>
                    <w:rPr>
                      <w:noProof/>
                    </w:rPr>
                    <w:t>—</w:t>
                  </w:r>
                </w:p>
              </w:tc>
              <w:tc>
                <w:tcPr>
                  <w:tcW w:w="0" w:type="auto"/>
                </w:tcPr>
                <w:p>
                  <w:pPr>
                    <w:pStyle w:val="Paragraph"/>
                    <w:rPr>
                      <w:noProof/>
                    </w:rPr>
                  </w:pPr>
                  <w:r>
                    <w:rPr>
                      <w:noProof/>
                    </w:rPr>
                    <w:t>quatre capteurs de pression,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deux vannes de refoulement ou plus,</w:t>
                  </w:r>
                </w:p>
              </w:tc>
            </w:tr>
            <w:tr>
              <w:tc>
                <w:tcPr>
                  <w:tcW w:w="0" w:type="auto"/>
                </w:tcPr>
                <w:p>
                  <w:pPr>
                    <w:pStyle w:val="Paragraph"/>
                    <w:rPr>
                      <w:noProof/>
                    </w:rPr>
                  </w:pPr>
                  <w:r>
                    <w:rPr>
                      <w:noProof/>
                    </w:rPr>
                    <w:t>—</w:t>
                  </w:r>
                </w:p>
              </w:tc>
              <w:tc>
                <w:tcPr>
                  <w:tcW w:w="0" w:type="auto"/>
                </w:tcPr>
                <w:p>
                  <w:pPr>
                    <w:pStyle w:val="Paragraph"/>
                    <w:rPr>
                      <w:noProof/>
                    </w:rPr>
                  </w:pPr>
                  <w:r>
                    <w:rPr>
                      <w:noProof/>
                    </w:rPr>
                    <w:t>des interfaces électriques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plusieurs raccordements pour conduites de gaz</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adapté aux processus de collage plasma in situ ou aux processus d'activation du collage plasma multi-fréquence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9401 90 80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Roue dentée du type utilisé dans la fabrication de sièges de voiture inclinables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9401 90 80</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Élément extérieur d’un appuie-tête en cuir de bovins perforé, doublé d’un tissu laminé renforcé de gaze et sans rembourrage en mousse, utilisé, après ouvraison (surpiqûre du cuir et application d’une broderie), dans la production des sièges de véhicules motorisés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noProof/>
              </w:rPr>
              <w:t>ex 9503 00 75</w:t>
            </w:r>
          </w:p>
          <w:p>
            <w:pPr>
              <w:pStyle w:val="Paragraph"/>
              <w:rPr>
                <w:noProof/>
              </w:rPr>
            </w:pPr>
            <w:r>
              <w:rPr>
                <w:noProof/>
              </w:rPr>
              <w:t>ex 9503 00 95</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Modèles à l’échelle de téléférique en matière plastique, même avec moteur, pour l’impression</w:t>
            </w:r>
          </w:p>
          <w:p>
            <w:pPr>
              <w:pStyle w:val="Paragraph"/>
              <w:rPr>
                <w:noProof/>
              </w:rPr>
            </w:pPr>
            <w:r>
              <w:rPr>
                <w:noProof/>
                <w:lang w:val="fr-BE"/>
              </w:rPr>
              <w:t> </w:t>
            </w:r>
            <w:r>
              <w:rPr>
                <w:rStyle w:val="FootnoteReference"/>
                <w:noProof/>
              </w:rPr>
              <w:t>(2)</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9607 20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Curseurs, bandes étroites munies de dents, arrêts et autres parties de fermetures éclair, en métal commun, destinés à la fabrication de fermetures éclair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9607 20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Bandes étroites dotées d'agrafes en plastique, destinées à la fabrication de fermetures éclair</w:t>
            </w:r>
          </w:p>
          <w:p>
            <w:pPr>
              <w:pStyle w:val="Paragraph"/>
              <w:rPr>
                <w:noProof/>
              </w:rPr>
            </w:pPr>
            <w:r>
              <w:rPr>
                <w:noProof/>
                <w:lang w:val="fr-BE"/>
              </w:rPr>
              <w:t> </w:t>
            </w:r>
            <w:r>
              <w:rPr>
                <w:rStyle w:val="FootnoteReference"/>
                <w:noProof/>
              </w:rPr>
              <w:t>(2)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9608 91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Pointes non fibreuses en matière plastique pour marqueurs, comportant un canal interne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9608 91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Mèches feutre ou autres pointes poreuses pour marqueurs, sans canal intérieur</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r>
        <w:tc>
          <w:tcPr>
            <w:tcW w:w="0" w:type="auto"/>
          </w:tcPr>
          <w:p>
            <w:pPr>
              <w:pStyle w:val="Paragraph"/>
              <w:rPr>
                <w:noProof/>
              </w:rPr>
            </w:pPr>
            <w:r>
              <w:rPr>
                <w:rStyle w:val="FootnoteReference"/>
                <w:noProof/>
              </w:rPr>
              <w:t>*</w:t>
            </w:r>
            <w:r>
              <w:rPr>
                <w:noProof/>
              </w:rPr>
              <w:t>ex 9612 10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Rubans encreurs en matière plastique composés de plusieurs segments de couleurs différentes, où les substances colorantes sont amenées par la chaleur dans un support (dit sublimation de substances colorantes)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31.12.2023</w:t>
            </w:r>
          </w:p>
        </w:tc>
      </w:tr>
    </w:tbl>
    <w:p>
      <w:pPr>
        <w:pStyle w:val="Paragraph"/>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(1)</w:t>
            </w:r>
          </w:p>
        </w:tc>
        <w:tc>
          <w:tcPr>
            <w:tcW w:w="8821" w:type="dxa"/>
          </w:tcPr>
          <w:p>
            <w:pPr>
              <w:pStyle w:val="Paragraph"/>
              <w:rPr>
                <w:noProof/>
                <w:lang w:val="fr-BE"/>
              </w:rPr>
            </w:pPr>
            <w:r>
              <w:rPr>
                <w:noProof/>
                <w:lang w:val="fr-BE"/>
              </w:rPr>
              <w:t>Toutefois, la suspension des droits de douane ne s’applique pas lorsque la transformation est effectuée par des entreprises de vente au détail ou de restauration.</w:t>
            </w:r>
          </w:p>
        </w:tc>
      </w:tr>
      <w:tr>
        <w:tc>
          <w:tcPr>
            <w:tcW w:w="425" w:type="dxa"/>
          </w:tcPr>
          <w:p>
            <w:pPr>
              <w:pStyle w:val="Paragraph"/>
              <w:rPr>
                <w:noProof/>
              </w:rPr>
            </w:pPr>
            <w:r>
              <w:rPr>
                <w:rStyle w:val="FootnoteReference"/>
                <w:noProof/>
              </w:rPr>
              <w:t>(2)</w:t>
            </w:r>
          </w:p>
        </w:tc>
        <w:tc>
          <w:tcPr>
            <w:tcW w:w="8821" w:type="dxa"/>
          </w:tcPr>
          <w:p>
            <w:pPr>
              <w:pStyle w:val="Paragraph"/>
              <w:rPr>
                <w:noProof/>
                <w:lang w:val="fr-BE"/>
              </w:rPr>
            </w:pPr>
            <w:r>
              <w:rPr>
                <w:noProof/>
                <w:lang w:val="fr-BE"/>
              </w:rPr>
              <w:t>La suspension des droits est subordonnée à la surveillance douanière de la destination particulière conformément à l'article 254 du règlement (UE) no 952/2013 du Parlement Européen et du Conseil du 9 octobre 2013 établissant le code des douanes de l'Union (JO L 269 du 10.10.2013, p. 1).</w:t>
            </w:r>
          </w:p>
        </w:tc>
      </w:tr>
      <w:tr>
        <w:tc>
          <w:tcPr>
            <w:tcW w:w="425" w:type="dxa"/>
          </w:tcPr>
          <w:p>
            <w:pPr>
              <w:pStyle w:val="Paragraph"/>
              <w:rPr>
                <w:noProof/>
              </w:rPr>
            </w:pPr>
            <w:r>
              <w:rPr>
                <w:rStyle w:val="FootnoteReference"/>
                <w:noProof/>
              </w:rPr>
              <w:t>(3)</w:t>
            </w:r>
          </w:p>
        </w:tc>
        <w:tc>
          <w:tcPr>
            <w:tcW w:w="8821" w:type="dxa"/>
          </w:tcPr>
          <w:p>
            <w:pPr>
              <w:pStyle w:val="Paragraph"/>
              <w:rPr>
                <w:noProof/>
                <w:lang w:val="fr-BE"/>
              </w:rPr>
            </w:pPr>
            <w:r>
              <w:rPr>
                <w:noProof/>
                <w:lang w:val="fr-BE"/>
              </w:rPr>
              <w:t>Seul le droit ad valorem est suspendu. Le droit spécifique continue de s’appliquer.</w:t>
            </w:r>
          </w:p>
        </w:tc>
      </w:tr>
      <w:tr>
        <w:tc>
          <w:tcPr>
            <w:tcW w:w="425" w:type="dxa"/>
          </w:tcPr>
          <w:p>
            <w:pPr>
              <w:pStyle w:val="Paragraph"/>
              <w:rPr>
                <w:noProof/>
              </w:rPr>
            </w:pPr>
            <w:r>
              <w:rPr>
                <w:rStyle w:val="FootnoteReference"/>
                <w:noProof/>
              </w:rPr>
              <w:t>(4)</w:t>
            </w:r>
          </w:p>
        </w:tc>
        <w:tc>
          <w:tcPr>
            <w:tcW w:w="8821" w:type="dxa"/>
          </w:tcPr>
          <w:p>
            <w:pPr>
              <w:pStyle w:val="Paragraph"/>
              <w:rPr>
                <w:noProof/>
                <w:lang w:val="fr-BE"/>
              </w:rPr>
            </w:pPr>
            <w:r>
              <w:rPr>
                <w:noProof/>
                <w:lang w:val="fr-BE"/>
              </w:rPr>
              <w:t>Une surveillance des importations de marchandises couvertes par cette suspension tarifaire est mise en place conformément à la procédure prévue aux articles 55 et 56 du règlement d'exécution (UE) 2015/2447 de la Commission du 24 novembre 2015 établissant les modalités d'application de certaines dispositions du règlement (UE) n° 952/2013 du Parlement européen et du Conseil établissant le code des douanes de l'Union (JO L 343 du 29.12.2015, p. 558).</w:t>
            </w:r>
          </w:p>
        </w:tc>
      </w:tr>
      <w:tr>
        <w:tc>
          <w:tcPr>
            <w:tcW w:w="425" w:type="dxa"/>
          </w:tcPr>
          <w:p>
            <w:pPr>
              <w:pStyle w:val="Paragraph"/>
              <w:rPr>
                <w:noProof/>
              </w:rPr>
            </w:pPr>
            <w:r>
              <w:rPr>
                <w:rStyle w:val="FootnoteReference"/>
                <w:noProof/>
              </w:rPr>
              <w:t>(5)</w:t>
            </w:r>
          </w:p>
        </w:tc>
        <w:tc>
          <w:tcPr>
            <w:tcW w:w="8821" w:type="dxa"/>
          </w:tcPr>
          <w:p>
            <w:pPr>
              <w:pStyle w:val="Paragraph"/>
              <w:rPr>
                <w:noProof/>
                <w:lang w:val="fr-BE"/>
              </w:rPr>
            </w:pPr>
            <w:r>
              <w:rPr>
                <w:noProof/>
                <w:lang w:val="fr-BE"/>
              </w:rPr>
              <w:t>Un numéro CUS (Customs Union and Statistics Number) est attribué à chaque enregistrement ECICS (produit).L' Inventaire Douanier Européen des Substances Chimiques (ECICS) est un outil d’information géré par la direction générale de la fiscalité et de l’union douanière de la Commission européenne.De plus amples informations sont disponibles à l'adresse suivante: http://ec.europa.eu/taxation_customs/common/databases/ecics/index_fr.htm</w:t>
            </w:r>
          </w:p>
        </w:tc>
      </w:tr>
      <w:tr>
        <w:tc>
          <w:tcPr>
            <w:tcW w:w="425" w:type="dxa"/>
          </w:tcPr>
          <w:p>
            <w:pPr>
              <w:pStyle w:val="Paragraph"/>
              <w:rPr>
                <w:noProof/>
              </w:rPr>
            </w:pPr>
            <w:r>
              <w:rPr>
                <w:rStyle w:val="FootnoteReference"/>
                <w:noProof/>
              </w:rPr>
              <w:t>(6)</w:t>
            </w:r>
          </w:p>
        </w:tc>
        <w:tc>
          <w:tcPr>
            <w:tcW w:w="8821" w:type="dxa"/>
          </w:tcPr>
          <w:p>
            <w:pPr>
              <w:pStyle w:val="Paragraph"/>
              <w:rPr>
                <w:noProof/>
                <w:lang w:val="fr-BE"/>
              </w:rPr>
            </w:pPr>
            <w:r>
              <w:rPr>
                <w:noProof/>
                <w:lang w:val="fr-BE"/>
              </w:rPr>
              <w:t>L'expression «destiné à l'industrie du montage» se réfère à la production de nouveaux articles dans une usine d'assemblage ou de fabrication.</w:t>
            </w:r>
          </w:p>
        </w:tc>
      </w:tr>
      <w:tr>
        <w:tc>
          <w:tcPr>
            <w:tcW w:w="425" w:type="dxa"/>
          </w:tcPr>
          <w:p>
            <w:pPr>
              <w:pStyle w:val="Paragraph"/>
              <w:rPr>
                <w:noProof/>
              </w:rPr>
            </w:pPr>
            <w:r>
              <w:rPr>
                <w:rStyle w:val="FootnoteReference"/>
                <w:noProof/>
              </w:rPr>
              <w:t>*</w:t>
            </w:r>
          </w:p>
        </w:tc>
        <w:tc>
          <w:tcPr>
            <w:tcW w:w="8821" w:type="dxa"/>
          </w:tcPr>
          <w:p>
            <w:pPr>
              <w:pStyle w:val="Paragraph"/>
              <w:rPr>
                <w:noProof/>
                <w:lang w:val="fr-BE"/>
              </w:rPr>
            </w:pPr>
            <w:r>
              <w:rPr>
                <w:noProof/>
                <w:lang w:val="fr-BE"/>
              </w:rPr>
              <w:t>Nouvelle position, position modifiée ou position dont la durée de validité a été prolongée</w:t>
            </w:r>
          </w:p>
        </w:tc>
      </w:tr>
    </w:tbl>
    <w:p>
      <w:pPr>
        <w:pStyle w:val="Paragraph"/>
        <w:rPr>
          <w:noProof/>
          <w:lang w:val="fr-BE"/>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90D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70B6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E6B0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AA2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76FD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FC40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FC6BC4"/>
    <w:lvl w:ilvl="0">
      <w:start w:val="1"/>
      <w:numFmt w:val="decimal"/>
      <w:pStyle w:val="ListNumber"/>
      <w:lvlText w:val="%1."/>
      <w:lvlJc w:val="left"/>
      <w:pPr>
        <w:tabs>
          <w:tab w:val="num" w:pos="360"/>
        </w:tabs>
        <w:ind w:left="360" w:hanging="360"/>
      </w:pPr>
    </w:lvl>
  </w:abstractNum>
  <w:abstractNum w:abstractNumId="7">
    <w:nsid w:val="FFFFFF89"/>
    <w:multiLevelType w:val="singleLevel"/>
    <w:tmpl w:val="A086E7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09:18: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11"/>
    <w:docVar w:name="DQCResult_UnknownFonts" w:val="0;0"/>
    <w:docVar w:name="DQCResult_UnknownStyles" w:val="0;3"/>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DCE5E7BB-F403-453A-ABE5-4C02D91DAF56"/>
    <w:docVar w:name="LW_COVERPAGE_TYPE" w:val="1"/>
    <w:docVar w:name="LW_CROSSREFERENCE" w:val="&lt;UNUSED&gt;"/>
    <w:docVar w:name="LW_DocType" w:val="ANNEX"/>
    <w:docVar w:name="LW_EMISSION" w:val="6.12.2018"/>
    <w:docVar w:name="LW_EMISSION_ISODATE" w:val="2018-12-0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e&lt;LWCR:NBS&gt;règlement (UE) n°&lt;LWCR:NBS&gt;1387/2013 portant suspension des droits autonomes du&lt;LWCR:NBS&gt;tarif douanier commun sur certains produits agricoles et&lt;LWCR:NBS&gt;industriels"/>
    <w:docVar w:name="LW_OBJETACTEPRINCIPAL.CP" w:val="modifiant le règlement (UE) n° 1387/2013 portant suspension des droits autonomes du tarif douanier commun sur certains produits agricoles et industriels"/>
    <w:docVar w:name="LW_PART_NBR" w:val="1"/>
    <w:docVar w:name="LW_PART_NBR_TOTAL" w:val="1"/>
    <w:docVar w:name="LW_REF.INST.NEW" w:val="COM"/>
    <w:docVar w:name="LW_REF.INST.NEW_ADOPTED" w:val="final"/>
    <w:docVar w:name="LW_REF.INST.NEW_TEXT" w:val="(2018)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de-DE" w:eastAsia="de-DE"/>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de-DE" w:eastAsia="de-DE"/>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de-DE" w:eastAsia="de-DE"/>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de-DE" w:eastAsia="de-DE"/>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de-DE" w:eastAsia="de-DE"/>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de-DE" w:eastAsia="de-DE"/>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de-DE" w:eastAsia="de-DE"/>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de-DE" w:eastAsia="de-DE"/>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26</Pages>
  <Words>77718</Words>
  <Characters>382375</Characters>
  <Application>Microsoft Office Word</Application>
  <DocSecurity>0</DocSecurity>
  <Lines>23898</Lines>
  <Paragraphs>20004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HERBORN Marieluise (TAXUD)</dc:creator>
  <cp:lastModifiedBy>DIGIT/C6</cp:lastModifiedBy>
  <cp:revision>8</cp:revision>
  <dcterms:created xsi:type="dcterms:W3CDTF">2018-11-26T12:52:00Z</dcterms:created>
  <dcterms:modified xsi:type="dcterms:W3CDTF">2018-12-06T08:18:00Z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