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9E095E-A418-416E-999E-3BDAB08E9E7A" style="width:450.75pt;height:36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Съгласно член 54, параграф 4 от Регламент (ЕС) 2016/1624,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По-специално то включва описание на обхвата на операцията, гражданската и наказателната отговорност, задачите и правомощията на членовете на екипите. Споразумението за статуса гарантира пълно зачитане на основните права по време на операциите.</w:t>
      </w:r>
    </w:p>
    <w:p>
      <w:pPr>
        <w:rPr>
          <w:iCs/>
          <w:noProof/>
          <w:szCs w:val="24"/>
        </w:rPr>
      </w:pPr>
      <w:r>
        <w:rPr>
          <w:noProof/>
        </w:rPr>
        <w:t xml:space="preserve">Въз основа на приетите от Съвета указания за водене на преговори Европейската комисия договори с Република Сърбия Споразумение за статуса на действия, провеждани от Европейската агенция за гранична и брегова охрана в Република Сърбия („споразумение за статуса“) с оглед на създаването на правна рамка, която да даде възможност за незабавни действия чрез изготвянето на оперативни планове при нужда от бързо реагиране. Въпреки че миграционните потоци в региона са много по-ниски, отколкото през 2015 г. и 2016 г., организираните престъпни мрежи адаптират бързо своите маршрути и методи за трафик на незаконни мигранти към всякакви нови обстоятелства. С въвеждането на споразумението за статуса отговорните органи на Република Сърбия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сключване на споразумението за статуса между Европейския съюз и Република Сърбия. </w:t>
      </w:r>
    </w:p>
    <w:p>
      <w:pPr>
        <w:rPr>
          <w:noProof/>
        </w:rPr>
      </w:pPr>
      <w:r>
        <w:rPr>
          <w:noProof/>
        </w:rPr>
        <w:t xml:space="preserve">На 21 февруари 2017 г. Съветът упълномощи Комисията да започне преговори с Република Сърбия за сключване на споразумение за статуса на действия, провеждани от Европейската агенция за гранична и брегова охрана в Република Сърбия. </w:t>
      </w:r>
    </w:p>
    <w:p>
      <w:pPr>
        <w:rPr>
          <w:iCs/>
          <w:noProof/>
          <w:szCs w:val="24"/>
        </w:rPr>
      </w:pPr>
      <w:r>
        <w:rPr>
          <w:noProof/>
        </w:rPr>
        <w:t>Преговорите относно споразумение за статуса бяха започнати на 7 април 2017 г., а вторият им кръг се проведе на 11 май 2017 г. Споразумение беше постигнато на 3 август 2018 г. Споразумението за статуса беше парафирано от комисаря по въпросите на миграцията, вътрешните работи и гражданството Д. Аврамопулос и министъра на вътрешните работи на Република Сърбия Н. Стефанович на 20 септември 2018 г. в Белград.</w:t>
      </w:r>
    </w:p>
    <w:p>
      <w:pPr>
        <w:rPr>
          <w:iCs/>
          <w:noProof/>
          <w:szCs w:val="24"/>
        </w:rPr>
      </w:pPr>
      <w:r>
        <w:rPr>
          <w:noProof/>
        </w:rPr>
        <w:lastRenderedPageBreak/>
        <w:t xml:space="preserve">Комисията счита, че целите, определени от Съвета в неговите указания за водене на преговорите, са постигнати и че проектът на споразумението за статуса е приемлив за Съюза. </w:t>
      </w:r>
    </w:p>
    <w:p>
      <w:pPr>
        <w:spacing w:after="240"/>
        <w:rPr>
          <w:iCs/>
          <w:noProof/>
          <w:szCs w:val="24"/>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iCs/>
          <w:noProof/>
          <w:szCs w:val="24"/>
        </w:rPr>
      </w:pPr>
      <w:r>
        <w:rPr>
          <w:noProof/>
        </w:rPr>
        <w:t>Шестнадесет държави членки имат понастоящем двустранни споразумения с Република Сърбия, които включват редица съвместни мерки като гранични проверки, наблюдение, патрулиране, връщане и т.н. Освен това съществува и работна договореност (която се актуализира) между Министерството на вътрешните работи на Република Сърбия и Европейската агенция за гранична и брегова охрана, която включва по-специално редовното участие като наблюдатели на представители на „Гранична полиция“ на Сърбия в координирани съвместни операции на Европейската агенция за гранична и брегова охрана на територията на държави членки, със съгласието на приемащата държава членка.</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Европейската програма за миграцията</w:t>
      </w:r>
      <w:r>
        <w:rPr>
          <w:rStyle w:val="FootnoteReference"/>
          <w:noProof/>
        </w:rPr>
        <w:footnoteReference w:id="2"/>
      </w:r>
      <w:r>
        <w:rPr>
          <w:noProof/>
        </w:rPr>
        <w:t xml:space="preserve">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Република Сърбия също ще окаже положително въздействие върху външните граници на ЕС, по-специално външните граници на България, Хърватия, Унгария и Румъния, както и границите на Република Сърбия. По-нататъшното засилване на сигурността по външните граници е в съответствие и с Европейската програма за сигурност</w:t>
      </w:r>
      <w:r>
        <w:rPr>
          <w:rStyle w:val="FootnoteReference"/>
          <w:noProof/>
        </w:rPr>
        <w:footnoteReference w:id="3"/>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са член 77, параграф 2, буква б) и буква г) и член 79, параграф 2, буква в) от ДФЕС, във връзка с член 218, параграф 6, буква а) от ДФЕС. </w:t>
      </w:r>
    </w:p>
    <w:p>
      <w:pPr>
        <w:autoSpaceDE w:val="0"/>
        <w:autoSpaceDN w:val="0"/>
        <w:adjustRightInd w:val="0"/>
        <w:rPr>
          <w:noProof/>
          <w:szCs w:val="24"/>
        </w:rPr>
      </w:pPr>
      <w:r>
        <w:rPr>
          <w:noProof/>
        </w:rPr>
        <w:t xml:space="preserve">Сключването от страна на Европейския съюз на споразумение за статуса е изрично предвидено в член 54, параграф 4 от Регламент (ЕС) 2016/1624, който гласи, че в случаите, когато се предвижда разполагане на европейски екипи за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трета държава. Следователно приложеното споразумение с Република Сърбия попада в рамките на изключителната компетентност на Европейския съюз. </w:t>
      </w:r>
    </w:p>
    <w:p>
      <w:pPr>
        <w:autoSpaceDE w:val="0"/>
        <w:autoSpaceDN w:val="0"/>
        <w:adjustRightInd w:val="0"/>
        <w:spacing w:after="240"/>
        <w:rPr>
          <w:noProof/>
          <w:szCs w:val="24"/>
        </w:rPr>
      </w:pPr>
      <w:r>
        <w:rPr>
          <w:noProof/>
        </w:rPr>
        <w:lastRenderedPageBreak/>
        <w:t xml:space="preserve">Съгласно член 218, буква а), подточка v) от ДФЕС </w:t>
      </w:r>
      <w:r>
        <w:rPr>
          <w:noProof/>
          <w:color w:val="000000"/>
        </w:rPr>
        <w:t xml:space="preserve">сключването на настоящото споразумение изисква одобрението на Европейския парламент.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 оглед на това, че мрежите на организираната престъпност бързо адаптират своите маршрути и методи за трафик на незаконни мигранти, участието на ЕС се изисква, за да се подобри контролът по границите на Република Сърбия. Споразумението за статуса е необходимо, за да се позволи на отговорните органи на Република Сърбия и държавите — членки на ЕС, координирани от Европейската агенция за гранична и брегова охрана, да реагират бързо на такива възможни развития. То ще даде възможност за разполагане на европейски екипи за гранична и брегова охрана от Европейската агенция за гранична и брегова охрана в Република Сърбия в случай на внезапен приток на мигранти.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6 от ДФЕС, който предвижда приемането от Съвета на решения относно международни споразумения след одобрение от Европейския парламент.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after="240"/>
        <w:rPr>
          <w:noProof/>
          <w:szCs w:val="24"/>
        </w:rPr>
      </w:pPr>
      <w:r>
        <w:rPr>
          <w:noProof/>
        </w:rPr>
        <w:t xml:space="preserve">Споразумението за статуса съдържа разпоредби, с които се гарантира защитата на основните права на лицата, засегнати от действията на членовете на екипите, които </w:t>
      </w:r>
      <w:r>
        <w:rPr>
          <w:noProof/>
        </w:rPr>
        <w:lastRenderedPageBreak/>
        <w:t>участват в действия, координирани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екипи на Европейската агенция за гранична и брегова охрана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Република Сърбия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Република Сърбия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По силата на настоящото споразумение Европейската агенция за гранична и брегова охрана следва да бъде в състояние да разположи европейски екипи за гранична и брегова охрана с изпълнителни правомощия в Република Сърбия, за да извършват съвместни операции и бърза гранична намеса. Макар настоящото споразумение да не разширява обхвата на Споразумението между Европейската общност и Република Сърбия за обратно приемане на незаконно пребиваващи лица („Споразумението между ЕО и Република Сърбия за обратно приемане“)</w:t>
      </w:r>
      <w:r>
        <w:rPr>
          <w:rStyle w:val="FootnoteReference"/>
          <w:noProof/>
        </w:rPr>
        <w:footnoteReference w:id="4"/>
      </w:r>
      <w:r>
        <w:rPr>
          <w:noProof/>
        </w:rPr>
        <w:t>, на екипите на Европейската агенция за гранична и брегова охрана следва да бъде разрешено също така, в хода на конкретна операция по връщане, да съдействат на Република Сърбия при установяването на самоличността на лицата, които следва да бъдат приети обратно в Република Сърбия в съответствие със Споразумението между ЕО и Република Сърбия за обратно приемане</w:t>
      </w:r>
      <w:r>
        <w:rPr>
          <w:rStyle w:val="Hyperlink"/>
          <w:noProof/>
        </w:rPr>
        <w:t>.</w:t>
      </w:r>
    </w:p>
    <w:p>
      <w:pPr>
        <w:spacing w:after="240"/>
        <w:rPr>
          <w:rFonts w:eastAsia="Times New Roman"/>
          <w:noProof/>
        </w:rPr>
      </w:pPr>
      <w:r>
        <w:rPr>
          <w:noProof/>
        </w:rPr>
        <w:t xml:space="preserve">Европейските екипи за гранична и брегова охрана могат да бъдат разполагани на територията на Република Сърбия само в регионите, граничещи с външните граници на </w:t>
      </w:r>
      <w:r>
        <w:rPr>
          <w:noProof/>
        </w:rPr>
        <w:lastRenderedPageBreak/>
        <w:t>ЕС, като членовете на екипа разполагат с изпълнителни правомощия в тези региони на Република Сърбия, както е посочено в оперативния план.</w:t>
      </w:r>
    </w:p>
    <w:p>
      <w:pPr>
        <w:rPr>
          <w:rFonts w:eastAsia="Times New Roman"/>
          <w:i/>
          <w:noProof/>
        </w:rPr>
      </w:pPr>
      <w:r>
        <w:rPr>
          <w:i/>
          <w:noProof/>
        </w:rPr>
        <w:t>Започване на действие</w:t>
      </w:r>
    </w:p>
    <w:p>
      <w:pPr>
        <w:rPr>
          <w:rFonts w:eastAsia="Times New Roman"/>
          <w:noProof/>
        </w:rPr>
      </w:pPr>
      <w:r>
        <w:rPr>
          <w:noProof/>
        </w:rPr>
        <w:t xml:space="preserve">Агенцията може да предложи инициатива за започване на действие. Компетентните органи на Република Сърбия могат да поискат от Агенцията да обмисли започването на действие. За изпълнението на дадено действие е необходимо съгласието на компетентните органи на Република Сърбия и на Агенцията. </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Република Сърбия.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на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екипите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 Те спазват националното законодателство на Република Сърбия.</w:t>
      </w:r>
    </w:p>
    <w:p>
      <w:pPr>
        <w:rPr>
          <w:noProof/>
        </w:rPr>
      </w:pPr>
      <w:r>
        <w:rPr>
          <w:noProof/>
        </w:rPr>
        <w:t>Екипите извършват действия на територията на Република Сърбия единствено съгласно инструкциите и в присъствието на гранични служители или други полицейски служители на Република Сърбия.</w:t>
      </w:r>
    </w:p>
    <w:p>
      <w:pPr>
        <w:rPr>
          <w:rFonts w:eastAsia="Times New Roman"/>
          <w:noProof/>
        </w:rPr>
      </w:pPr>
      <w:r>
        <w:rPr>
          <w:noProof/>
        </w:rPr>
        <w:t>Членовете на екипа носят, когато е уместно, собствената си униформа, видими лични идентификационни знаци, както и синя лента на ръкава на униформата с отличителните знаци на Европейския съюз и на Агенцията. Те носят също така документ за акредитиране, за да може тяхната самоличност да бъде установена от националните органи на Република Сърбия.</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националното право на собствената им държава и правото на Република Сърбия. Органите на Република Сърбия уведомяват предварително Агенцията за разрешените служебни оръжия, боеприпаси и оборудване, както и за съответната правна рамка и условията за тяхното използване. </w:t>
      </w:r>
    </w:p>
    <w:p>
      <w:pPr>
        <w:rPr>
          <w:rFonts w:eastAsia="Times New Roman"/>
          <w:noProof/>
        </w:rPr>
      </w:pPr>
      <w:r>
        <w:rPr>
          <w:noProof/>
        </w:rPr>
        <w:t xml:space="preserve">Членовете на екипа могат да използват сила, включително служебни оръжия, боеприпаси и оборудване, със съгласието на собствената си държава и на органите на Република Сърбия, в присъствието на гранични служители или други компетентни служители на Република Сърбия и в съответствие с националното право на Република Сърбия. Органите на Република Сърбия могат да разрешат на членовете на екипа да използват сила и в отсъствието на своите гранични служители. Членовете на екипа </w:t>
      </w:r>
      <w:r>
        <w:rPr>
          <w:noProof/>
        </w:rPr>
        <w:lastRenderedPageBreak/>
        <w:t xml:space="preserve">могат да използват оръжия само когато това е абсолютно наложително при самозащита, за да отблъснат непосредствена животозастрашаваща атака срещу тях или срещу друго лице, в съответствие с националното законодателство на Република Сърбия. </w:t>
      </w:r>
    </w:p>
    <w:p>
      <w:pPr>
        <w:spacing w:after="240"/>
        <w:rPr>
          <w:rFonts w:eastAsia="Times New Roman"/>
          <w:iCs/>
          <w:noProof/>
        </w:rPr>
      </w:pPr>
      <w:r>
        <w:rPr>
          <w:noProof/>
        </w:rPr>
        <w:t>При поискване компетентните органи на Република Сърбия могат да съобщят на членовете на екипа информация, съдържаща се в националните бази данни на Република Сърбия, ако това е необходимо за изпълнението на техните задачи. Агенцията може също така да предостави на сръбските компетентни органи информация, необходима за изпълнението на оперативните цели.</w:t>
      </w:r>
    </w:p>
    <w:p>
      <w:pPr>
        <w:rPr>
          <w:i/>
          <w:noProof/>
        </w:rPr>
      </w:pPr>
      <w:r>
        <w:rPr>
          <w:i/>
          <w:noProof/>
        </w:rPr>
        <w:t>Временно спиране и прекратяване на действието</w:t>
      </w:r>
    </w:p>
    <w:p>
      <w:pPr>
        <w:spacing w:after="240"/>
        <w:rPr>
          <w:rFonts w:eastAsia="Times New Roman"/>
          <w:noProof/>
        </w:rPr>
      </w:pPr>
      <w:r>
        <w:rPr>
          <w:noProof/>
        </w:rPr>
        <w:t xml:space="preserve">Агенцията и органите на Република Сърбия могат да спрат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се ползват с имунитет по отношение на наказателната юрисдикция на Република Сърбия за актовете, извършени при изпълнение на техните служебни функции („по време на служба“), но не се ползват с такъв имунитет за актове, извършени, когато те не са на смяна. </w:t>
      </w:r>
    </w:p>
    <w:p>
      <w:pPr>
        <w:rPr>
          <w:rFonts w:eastAsia="Times New Roman"/>
          <w:noProof/>
          <w:color w:val="000000"/>
          <w:szCs w:val="24"/>
        </w:rPr>
      </w:pPr>
      <w:r>
        <w:rPr>
          <w:noProof/>
          <w:color w:val="000000"/>
        </w:rPr>
        <w:t xml:space="preserve">В оперативния план се излагат подробно действията, за които се дава имунитет по отношение на наказателната юрисдикция на Република Сърбия. </w:t>
      </w:r>
    </w:p>
    <w:p>
      <w:pPr>
        <w:rPr>
          <w:rFonts w:eastAsia="Times New Roman"/>
          <w:noProof/>
          <w:color w:val="000000"/>
          <w:szCs w:val="24"/>
        </w:rPr>
      </w:pPr>
      <w:r>
        <w:rPr>
          <w:noProof/>
          <w:color w:val="000000"/>
        </w:rPr>
        <w:t>При твърдения за извършено престъпление от член на екипа, преди да започне производството пред съда, изпълнителният директор на Агенцията удостоверява пред компетентните съдебни органи на Република Сърбия дали въпросният акт е извършен при изпълнение на служебните функции на лицето или не. Изпълнителният директор на Агенцията взема решение след внимателно разглеждане на всяко изявление, направено от компетентния орган на държавата членка, която е разположила съответния граничен служител или друг компетентен служител, и компетентните органи на Република Сърбия.</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Република Сърбия не ги освобождават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color w:val="000000"/>
        </w:rPr>
        <w:t>Имунитетът на членовете на екипите по отношение на наказателната, гражданската и административната юрисдикция на Република Сърбия може да бъде снет от държавата членка, която е разположила въпросния граничен служител или друг съответен член на персонала. Подобно снемане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чиято цел е обезщетяването на вреди. Този механизъм за обезщетяване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Република Сърбия. Ако вредата е причинена „по време на служба“ от член на екип от участваща държава членка вследствие на груба небрежност или умишлено нарушение или ако актът е извършен по време, когато лицето не е било на смяна, Република Сърбия може да поиска чрез изпълнителния директор на Агенцията съответната участваща държава членка да </w:t>
      </w:r>
      <w:r>
        <w:rPr>
          <w:noProof/>
          <w:color w:val="000000"/>
        </w:rPr>
        <w:lastRenderedPageBreak/>
        <w:t xml:space="preserve">изплати обезщетение. Ако служител на Агенцията причини щети, Република Сърбия може да поиска да бъде платено обезщетение от Агенцията. </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изземвано.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Членовете на екипа са освободени от изискванията на разпоредбите в областта на социалната сигурност, които може да са в сила в Република Сърбия, по отношение на услугите, предоставени на Агенцията. Те също така са освободени от всички форми на данъчно облагане в Република Сърбия върху заплатите и възнагражденията, които получават от Агенцията или от техните държави членки, както и върху други доходи, получени извън Република Сърбия.</w:t>
      </w:r>
    </w:p>
    <w:p>
      <w:pPr>
        <w:rPr>
          <w:rFonts w:eastAsia="Times New Roman"/>
          <w:noProof/>
          <w:color w:val="000000"/>
          <w:szCs w:val="24"/>
        </w:rPr>
      </w:pPr>
      <w:r>
        <w:rPr>
          <w:noProof/>
          <w:color w:val="000000"/>
        </w:rPr>
        <w:t xml:space="preserve">Органите на Република Сърбия разрешават внасянето и изнасянето на предмети за лично ползване от членовете на екипа и ги освобождават от всякакви мита, данъци и други налози (различни от таксите за съхранение, превоз и подобни услуги) върху такива предмети. </w:t>
      </w:r>
    </w:p>
    <w:p>
      <w:pPr>
        <w:spacing w:after="0"/>
        <w:rPr>
          <w:rFonts w:eastAsia="Times New Roman"/>
          <w:noProof/>
          <w:color w:val="000000"/>
          <w:szCs w:val="24"/>
        </w:rPr>
      </w:pPr>
      <w:r>
        <w:rPr>
          <w:noProof/>
          <w:color w:val="000000"/>
        </w:rPr>
        <w:t>Личният багаж на членовете на екипа може да бъде проверяван само ако има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Сърбия за налагане на карантина.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rPr>
          <w:rFonts w:eastAsia="Times New Roman"/>
          <w:noProof/>
          <w:color w:val="000000"/>
          <w:szCs w:val="24"/>
        </w:rPr>
      </w:pPr>
      <w:r>
        <w:rPr>
          <w:noProof/>
          <w:color w:val="000000"/>
        </w:rPr>
        <w:t>Документите, кореспонденцията и имуществото на членовете на екипа са неприкосновени, освен в случай на изпълнителни мерки. Членовете на екипа не са длъжни да дават свидетелски показания.</w:t>
      </w:r>
    </w:p>
    <w:p>
      <w:pPr>
        <w:rPr>
          <w:rFonts w:eastAsia="Times New Roman"/>
          <w:noProof/>
          <w:color w:val="000000"/>
          <w:szCs w:val="24"/>
        </w:rPr>
      </w:pP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Агенцията, в сътрудничество с Република Сърбия, издава на членовете на екипа документ за акредитиране с цел удостоверяване на самоличността им пред органите на Република Сърбия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оперативния план. Документът за акредитиране, заедно с валиден документ за пътуване, предоставя на члена на екипа достъп до Република Сърбия, без да са необходими предварително разрешение или виза; този документ се връща на Агенцията след приключване на действието. Агенцията ще предоставя на компетентните органи на Сърбия образец на документ за акредитация преди началото на прилагането на Споразумението, както и при евентуална промяна на този образец.</w:t>
      </w:r>
    </w:p>
    <w:p>
      <w:pPr>
        <w:rPr>
          <w:rFonts w:eastAsia="Times New Roman"/>
          <w:i/>
          <w:noProof/>
          <w:color w:val="000000"/>
          <w:szCs w:val="24"/>
        </w:rPr>
      </w:pPr>
      <w:r>
        <w:rPr>
          <w:i/>
          <w:noProof/>
          <w:color w:val="000000"/>
        </w:rPr>
        <w:t>Основни права</w:t>
      </w:r>
    </w:p>
    <w:p>
      <w:pPr>
        <w:rPr>
          <w:rFonts w:eastAsia="Times New Roman"/>
          <w:noProof/>
          <w:color w:val="000000"/>
          <w:szCs w:val="24"/>
        </w:rPr>
      </w:pPr>
      <w:r>
        <w:rPr>
          <w:noProof/>
          <w:color w:val="000000"/>
        </w:rPr>
        <w:t xml:space="preserve">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w:t>
      </w:r>
      <w:r>
        <w:rPr>
          <w:noProof/>
          <w:color w:val="000000"/>
        </w:rPr>
        <w:lastRenderedPageBreak/>
        <w:t>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принадлежност, религия или убеждения, увреждане, възраст или сексуална ориентация.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жалби, посочен в член 72 от Регламент (ЕС) 2016/1624 относно европейската гранична и брегова охрана, и следователно е изпълнила това си задължение. Омбудсманът на Република Сърбия („Защитник на гражданите“) може да разглежда подобни предполагаеми нарушения, освен ако органите на Република Сърбия не решат да създадат механизъм, който е специално предназначен за разглеждането на жалбите, подадени по силата на настоящото споразумение.  </w:t>
      </w:r>
    </w:p>
    <w:p>
      <w:pPr>
        <w:rPr>
          <w:rFonts w:eastAsia="Times New Roman"/>
          <w:i/>
          <w:noProof/>
          <w:color w:val="000000"/>
          <w:szCs w:val="24"/>
        </w:rPr>
      </w:pPr>
      <w:r>
        <w:rPr>
          <w:i/>
          <w:noProof/>
          <w:color w:val="000000"/>
        </w:rPr>
        <w:t>Обработване на лични данни</w:t>
      </w:r>
    </w:p>
    <w:p>
      <w:pPr>
        <w:rPr>
          <w:rFonts w:eastAsia="Times New Roman"/>
          <w:i/>
          <w:noProof/>
          <w:color w:val="000000"/>
          <w:szCs w:val="24"/>
        </w:rPr>
      </w:pPr>
      <w:r>
        <w:rPr>
          <w:noProof/>
          <w:color w:val="000000"/>
        </w:rPr>
        <w:t>Членовете на екипа обработват лични данни, когато това е необходимо и пропорционално с правилата, приложими за Агенцията и държавите — членки на ЕС. Обработването на лични данни от органите на Република Сърбия се извършва в съответствие с нейното националното законодателство.</w:t>
      </w:r>
    </w:p>
    <w:p>
      <w:pPr>
        <w:spacing w:after="240"/>
        <w:rPr>
          <w:rFonts w:eastAsia="Times New Roman"/>
          <w:i/>
          <w:noProof/>
          <w:color w:val="000000"/>
          <w:szCs w:val="24"/>
        </w:rPr>
      </w:pPr>
      <w:r>
        <w:rPr>
          <w:noProof/>
          <w:color w:val="000000"/>
        </w:rPr>
        <w:t>След приключването на всяко действие Агенцията, участващите държави членки и органите на Република Сърбия изготвят общ доклад относно обработването на лични данни от членовете на екипа. 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Република Сърбия. Служителят по въпросите на основните права и длъжностното лице по защита на данните на Агенцията докладват на изпълнителния директор на Агенцията.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настоящото споразумение, се разглеждат съвместно от компетентните органи на Република Сърбия и от представители на Агенцията, която се консултира с държавата членка или държавите членки, съседни на Република Сърбия.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Сърбия и Европейската комисия, която се допитва до всяка държава членка, която граничи с Република Сърбия.</w:t>
      </w:r>
    </w:p>
    <w:p>
      <w:pPr>
        <w:rPr>
          <w:rFonts w:eastAsia="Times New Roman"/>
          <w:i/>
          <w:noProof/>
          <w:color w:val="000000"/>
          <w:szCs w:val="24"/>
        </w:rPr>
      </w:pPr>
      <w:r>
        <w:rPr>
          <w:i/>
          <w:noProof/>
          <w:color w:val="000000"/>
        </w:rPr>
        <w:t>Компетентни органи за изпълнението на споразумението</w:t>
      </w:r>
    </w:p>
    <w:p>
      <w:pPr>
        <w:spacing w:after="240"/>
        <w:rPr>
          <w:rFonts w:eastAsia="Times New Roman"/>
          <w:b/>
          <w:noProof/>
          <w:color w:val="000000"/>
          <w:szCs w:val="24"/>
        </w:rPr>
      </w:pPr>
      <w:r>
        <w:rPr>
          <w:noProof/>
          <w:color w:val="000000"/>
        </w:rPr>
        <w:t>За Република Сърбия компетентният орган за изпълнението на настоящото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Съвместни декларации</w:t>
      </w:r>
    </w:p>
    <w:p>
      <w:pPr>
        <w:rPr>
          <w:rFonts w:eastAsia="Times New Roman"/>
          <w:noProof/>
          <w:color w:val="000000"/>
          <w:szCs w:val="24"/>
        </w:rPr>
      </w:pPr>
      <w:r>
        <w:rPr>
          <w:noProof/>
          <w:color w:val="000000"/>
        </w:rPr>
        <w:t xml:space="preserve">Договарящите страни отбелязват, че Европейската агенция за гранична и брегова охрана ще помага на Република Сърбия да контролира ефективно своите граници с </w:t>
      </w:r>
      <w:r>
        <w:rPr>
          <w:noProof/>
          <w:color w:val="000000"/>
        </w:rPr>
        <w:lastRenderedPageBreak/>
        <w:t>всяка държава, която не е членка на Европейския съюз, със средства, различни от разполагането на европейски екипи за гранична и брегова охрана с изпълнителни правомощия.</w:t>
      </w:r>
    </w:p>
    <w:p>
      <w:pPr>
        <w:rPr>
          <w:noProof/>
          <w:szCs w:val="24"/>
        </w:rPr>
      </w:pPr>
      <w:r>
        <w:rPr>
          <w:noProof/>
          <w:color w:val="000000"/>
        </w:rPr>
        <w:t>Двете страни се съгласяват, че</w:t>
      </w:r>
      <w:r>
        <w:rPr>
          <w:noProof/>
        </w:rPr>
        <w:t xml:space="preserve"> статутът и очертанията съгласно международното право на територията на Сърбия и на държавите — членки на Европейския съюз,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 </w:t>
      </w:r>
    </w:p>
    <w:p>
      <w:pPr>
        <w:rPr>
          <w:noProof/>
          <w:szCs w:val="24"/>
        </w:rPr>
      </w:pPr>
      <w:r>
        <w:rPr>
          <w:noProof/>
        </w:rPr>
        <w:t>Близкото асоцииране на Норвегия, Исландия, Швейцария и Лихтенщайн към процеса на изпълнение, прилагане и развитие на достиженията на правото от Шенген е отразено по същия начин в съвместна декларация към споразумението.</w:t>
      </w:r>
    </w:p>
    <w:p>
      <w:pPr>
        <w:spacing w:before="0"/>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5"/>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2018/XXX на Съвета от […] г. 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 („споразумение за статуса“), беше подписано от […] на […..] г., при условие че бъде сключено.</w:t>
      </w:r>
    </w:p>
    <w:p>
      <w:pPr>
        <w:pStyle w:val="ManualConsidrant"/>
        <w:rPr>
          <w:noProof/>
        </w:rPr>
      </w:pPr>
      <w:r>
        <w:t>(2)</w:t>
      </w:r>
      <w:r>
        <w:tab/>
      </w:r>
      <w:r>
        <w:rPr>
          <w:noProof/>
        </w:rPr>
        <w:t>Съгласно член 54, параграф 4 от Регламент (ЕС) 2016/1624</w:t>
      </w:r>
      <w:r>
        <w:rPr>
          <w:rStyle w:val="FootnoteReference"/>
          <w:noProof/>
        </w:rPr>
        <w:footnoteReference w:id="6"/>
      </w:r>
      <w:r>
        <w:rPr>
          <w:noProof/>
        </w:rPr>
        <w:t xml:space="preserve">, когато се предвижда разполагане на европейски екипи за гранична и брегова охрана в трета държава за действия, за които членовете на екипите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следва да обхване всички аспекти, необходими за провеждане на действията. </w:t>
      </w:r>
    </w:p>
    <w:p>
      <w:pPr>
        <w:pStyle w:val="ManualConsidrant"/>
        <w:rPr>
          <w:noProof/>
        </w:rPr>
      </w:pPr>
      <w:r>
        <w:t>(3)</w:t>
      </w:r>
      <w:r>
        <w:tab/>
      </w:r>
      <w:r>
        <w:rPr>
          <w:noProof/>
        </w:rPr>
        <w:t xml:space="preserve">Съгласно споразумението за статуса и в съответствие с оперативния план европейски екипи за гранична и брегова охрана могат бързо да бъдат разположени на територията на Република Сърбия и да реагират на текущата промяна на миграционните потоци към крайбрежния маршрут, както и да подпомагат управлението на външните граници и борбата с трафика на незаконни мигранти. </w:t>
      </w:r>
    </w:p>
    <w:p>
      <w:pPr>
        <w:pStyle w:val="ManualConsidrant"/>
        <w:rPr>
          <w:noProof/>
          <w:szCs w:val="24"/>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7"/>
      </w:r>
      <w:r>
        <w:rPr>
          <w:noProof/>
        </w:rPr>
        <w:t xml:space="preserve">; следователно Обединеното кралство не </w:t>
      </w:r>
      <w:r>
        <w:rPr>
          <w:noProof/>
        </w:rPr>
        <w:lastRenderedPageBreak/>
        <w:t xml:space="preserve">участва в неговото приемане и не е обвързано от него, нито от неговото прилагане. </w:t>
      </w:r>
    </w:p>
    <w:p>
      <w:pPr>
        <w:pStyle w:val="ManualConsidrant"/>
        <w:rPr>
          <w:noProof/>
          <w:szCs w:val="24"/>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8"/>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Поради това споразумението за статуса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pPr>
      <w:r>
        <w:rPr>
          <w:noProof/>
        </w:rPr>
        <w:t>Член 2</w:t>
      </w:r>
    </w:p>
    <w:p>
      <w:pPr>
        <w:rPr>
          <w:noProof/>
        </w:rPr>
      </w:pPr>
      <w:r>
        <w:rPr>
          <w:noProof/>
        </w:rPr>
        <w:t>Председателят на Съвета посочва лицето, упълномощено да извърши от името на Европейския съюз предвидената в член 13, параграф 2 от Споразумението нотификация, за да се изрази съгласието на Европейския съюз да бъде обвързан със Споразумението.</w:t>
      </w:r>
    </w:p>
    <w:p>
      <w:pPr>
        <w:pStyle w:val="Titrearticle"/>
        <w:rPr>
          <w:noProof/>
          <w:color w:val="0000FF"/>
        </w:rPr>
      </w:pPr>
      <w:r>
        <w:rPr>
          <w:noProof/>
        </w:rPr>
        <w:t>Член 3</w:t>
      </w:r>
    </w:p>
    <w:p>
      <w:pPr>
        <w:keepLines/>
        <w:spacing w:after="240"/>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251, 16.9.2016 г., стр. 1.</w:t>
      </w:r>
    </w:p>
  </w:footnote>
  <w:footnote w:id="2">
    <w:p>
      <w:pPr>
        <w:pStyle w:val="FootnoteText"/>
        <w:rPr>
          <w:lang w:val="pt-PT"/>
        </w:rPr>
      </w:pPr>
      <w:r>
        <w:rPr>
          <w:rStyle w:val="FootnoteReference"/>
        </w:rPr>
        <w:footnoteRef/>
      </w:r>
      <w:r>
        <w:tab/>
        <w:t>COM(2015) 240 final.</w:t>
      </w:r>
    </w:p>
  </w:footnote>
  <w:footnote w:id="3">
    <w:p>
      <w:pPr>
        <w:pStyle w:val="FootnoteText"/>
        <w:rPr>
          <w:lang w:val="pt-PT"/>
        </w:rPr>
      </w:pPr>
      <w:r>
        <w:rPr>
          <w:rStyle w:val="FootnoteReference"/>
        </w:rPr>
        <w:footnoteRef/>
      </w:r>
      <w:r>
        <w:tab/>
        <w:t>COM(2015) 185 final.</w:t>
      </w:r>
    </w:p>
  </w:footnote>
  <w:footnote w:id="4">
    <w:p>
      <w:pPr>
        <w:pStyle w:val="FootnoteText"/>
        <w:rPr>
          <w:lang w:val="pt-PT"/>
        </w:rPr>
      </w:pPr>
      <w:r>
        <w:rPr>
          <w:rStyle w:val="FootnoteReference"/>
        </w:rPr>
        <w:footnoteRef/>
      </w:r>
      <w:r>
        <w:tab/>
        <w:t>ОВ L 334, 19.12.2007 г., стр. 46.</w:t>
      </w:r>
    </w:p>
  </w:footnote>
  <w:footnote w:id="5">
    <w:p>
      <w:pPr>
        <w:pStyle w:val="FootnoteText"/>
      </w:pPr>
      <w:r>
        <w:rPr>
          <w:rStyle w:val="FootnoteReference"/>
        </w:rPr>
        <w:footnoteRef/>
      </w:r>
      <w:r>
        <w:tab/>
        <w:t xml:space="preserve">ОВ С […], […] г., стр. […]. </w:t>
      </w:r>
    </w:p>
  </w:footnote>
  <w:footnote w:id="6">
    <w:p>
      <w:pPr>
        <w:pStyle w:val="FootnoteText"/>
      </w:pPr>
      <w:r>
        <w:rPr>
          <w:rStyle w:val="FootnoteReference"/>
        </w:rPr>
        <w:footnoteRef/>
      </w:r>
      <w:r>
        <w:tab/>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7">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8">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9AD3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86C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03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7A5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9E3C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C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082C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32433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9: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9E095E-A418-416E-999E-3BDAB08E9E7A"/>
    <w:docVar w:name="LW_COVERPAGE_TYPE" w:val="1"/>
    <w:docVar w:name="LW_CROSSREFERENCE" w:val="&lt;UNUSED&gt;"/>
    <w:docVar w:name="LW_DocType" w:val="COM"/>
    <w:docVar w:name="LW_EMISSION" w:val="7.12.2018"/>
    <w:docVar w:name="LW_EMISSION_ISODATE" w:val="2018-12-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09"/>
    <w:docVar w:name="LW_REF.II.NEW.CP_YEAR" w:val="2018"/>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2DE2-99C5-4EBB-808E-0AEE7B1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3903</Words>
  <Characters>23149</Characters>
  <Application>Microsoft Office Word</Application>
  <DocSecurity>0</DocSecurity>
  <Lines>420</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2018-11-28T12:07:00Z</dcterms:created>
  <dcterms:modified xsi:type="dcterms:W3CDTF">2018-11-30T09:19:00Z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