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50D9F939-DBE4-4AD0-B1F2-5FCEB4635FA0" style="width:450.8pt;height:380.1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 xml:space="preserve">ANNEXE </w:t>
      </w:r>
    </w:p>
    <w:p>
      <w:pPr>
        <w:spacing w:after="360"/>
        <w:jc w:val="center"/>
        <w:rPr>
          <w:b/>
          <w:noProof/>
          <w:sz w:val="28"/>
          <w:szCs w:val="28"/>
        </w:rPr>
      </w:pPr>
      <w:r>
        <w:rPr>
          <w:b/>
          <w:noProof/>
          <w:sz w:val="28"/>
        </w:rPr>
        <w:t>Deuxième plan d’action pour lutter contre le commerce illicite du tabac 2018-2022</w:t>
      </w:r>
    </w:p>
    <w:p>
      <w:pPr>
        <w:rPr>
          <w:b/>
          <w:i/>
          <w:noProof/>
        </w:rPr>
      </w:pP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Height w:val="318"/>
        </w:trPr>
        <w:tc>
          <w:tcPr>
            <w:tcW w:w="839" w:type="pct"/>
          </w:tcPr>
          <w:p>
            <w:pPr>
              <w:jc w:val="left"/>
              <w:rPr>
                <w:rFonts w:ascii="Times New Roman Bold" w:hAnsi="Times New Roman Bold"/>
                <w:b/>
                <w:caps/>
                <w:noProof/>
              </w:rPr>
            </w:pPr>
            <w:r>
              <w:rPr>
                <w:rFonts w:ascii="Times New Roman Bold" w:hAnsi="Times New Roman Bold"/>
                <w:b/>
                <w:caps/>
                <w:noProof/>
              </w:rPr>
              <w:t>Rubrique</w:t>
            </w:r>
          </w:p>
        </w:tc>
        <w:tc>
          <w:tcPr>
            <w:tcW w:w="999" w:type="pct"/>
          </w:tcPr>
          <w:p>
            <w:pPr>
              <w:jc w:val="left"/>
              <w:rPr>
                <w:rFonts w:ascii="Times New Roman Bold" w:hAnsi="Times New Roman Bold"/>
                <w:b/>
                <w:caps/>
                <w:noProof/>
              </w:rPr>
            </w:pPr>
            <w:r>
              <w:rPr>
                <w:rFonts w:ascii="Times New Roman Bold" w:hAnsi="Times New Roman Bold"/>
                <w:b/>
                <w:caps/>
                <w:noProof/>
              </w:rPr>
              <w:t>Titre</w:t>
            </w:r>
          </w:p>
        </w:tc>
        <w:tc>
          <w:tcPr>
            <w:tcW w:w="1201" w:type="pct"/>
          </w:tcPr>
          <w:p>
            <w:pPr>
              <w:rPr>
                <w:rFonts w:ascii="Times New Roman Bold" w:hAnsi="Times New Roman Bold"/>
                <w:b/>
                <w:caps/>
                <w:noProof/>
              </w:rPr>
            </w:pPr>
            <w:r>
              <w:rPr>
                <w:rFonts w:ascii="Times New Roman Bold" w:hAnsi="Times New Roman Bold"/>
                <w:b/>
                <w:caps/>
                <w:noProof/>
              </w:rPr>
              <w:t>Description</w:t>
            </w:r>
          </w:p>
        </w:tc>
        <w:tc>
          <w:tcPr>
            <w:tcW w:w="701" w:type="pct"/>
          </w:tcPr>
          <w:p>
            <w:pPr>
              <w:jc w:val="left"/>
              <w:rPr>
                <w:rFonts w:ascii="Times New Roman Bold" w:hAnsi="Times New Roman Bold"/>
                <w:b/>
                <w:caps/>
                <w:noProof/>
              </w:rPr>
            </w:pPr>
            <w:r>
              <w:rPr>
                <w:rFonts w:ascii="Times New Roman Bold" w:hAnsi="Times New Roman Bold"/>
                <w:b/>
                <w:caps/>
                <w:noProof/>
              </w:rPr>
              <w:t>Actions</w:t>
            </w:r>
          </w:p>
        </w:tc>
        <w:tc>
          <w:tcPr>
            <w:tcW w:w="550" w:type="pct"/>
          </w:tcPr>
          <w:p>
            <w:pPr>
              <w:jc w:val="left"/>
              <w:rPr>
                <w:rFonts w:ascii="Times New Roman Bold" w:hAnsi="Times New Roman Bold"/>
                <w:b/>
                <w:caps/>
                <w:noProof/>
              </w:rPr>
            </w:pPr>
            <w:r>
              <w:rPr>
                <w:rFonts w:ascii="Times New Roman Bold" w:hAnsi="Times New Roman Bold"/>
                <w:b/>
                <w:caps/>
                <w:noProof/>
              </w:rPr>
              <w:t>Délais</w:t>
            </w:r>
          </w:p>
        </w:tc>
        <w:tc>
          <w:tcPr>
            <w:tcW w:w="710" w:type="pct"/>
          </w:tcPr>
          <w:p>
            <w:pPr>
              <w:jc w:val="left"/>
              <w:rPr>
                <w:rFonts w:ascii="Times New Roman Bold" w:hAnsi="Times New Roman Bold"/>
                <w:b/>
                <w:caps/>
                <w:noProof/>
              </w:rPr>
            </w:pPr>
            <w:r>
              <w:rPr>
                <w:rFonts w:ascii="Times New Roman Bold" w:hAnsi="Times New Roman Bold"/>
                <w:b/>
                <w:caps/>
                <w:noProof/>
              </w:rPr>
              <w:t>Responsable</w:t>
            </w:r>
          </w:p>
        </w:tc>
      </w:tr>
      <w:tr>
        <w:trPr>
          <w:cantSplit/>
        </w:trPr>
        <w:tc>
          <w:tcPr>
            <w:tcW w:w="839" w:type="pct"/>
            <w:shd w:val="clear" w:color="auto" w:fill="A5A5A5" w:themeFill="background1" w:themeFillShade="A5"/>
          </w:tcPr>
          <w:p>
            <w:pPr>
              <w:rPr>
                <w:rFonts w:ascii="Times New Roman Bold" w:hAnsi="Times New Roman Bold"/>
                <w:b/>
                <w:bCs/>
                <w:smallCaps/>
                <w:noProof/>
              </w:rPr>
            </w:pPr>
            <w:r>
              <w:rPr>
                <w:rFonts w:ascii="Times New Roman Bold" w:hAnsi="Times New Roman Bold"/>
                <w:b/>
                <w:smallCaps/>
                <w:noProof/>
              </w:rPr>
              <w:t>A</w:t>
            </w:r>
          </w:p>
        </w:tc>
        <w:tc>
          <w:tcPr>
            <w:tcW w:w="999" w:type="pct"/>
            <w:shd w:val="clear" w:color="auto" w:fill="A5A5A5" w:themeFill="background1" w:themeFillShade="A5"/>
          </w:tcPr>
          <w:p>
            <w:pPr>
              <w:jc w:val="left"/>
              <w:rPr>
                <w:rFonts w:ascii="Times New Roman Bold" w:hAnsi="Times New Roman Bold"/>
                <w:b/>
                <w:bCs/>
                <w:smallCaps/>
                <w:noProof/>
              </w:rPr>
            </w:pPr>
            <w:r>
              <w:rPr>
                <w:rFonts w:ascii="Times New Roman Bold" w:hAnsi="Times New Roman Bold"/>
                <w:b/>
                <w:smallCaps/>
                <w:noProof/>
              </w:rPr>
              <w:t>Mobiliser les principaux pays d’origine et de transit</w:t>
            </w:r>
          </w:p>
        </w:tc>
        <w:tc>
          <w:tcPr>
            <w:tcW w:w="1201" w:type="pct"/>
            <w:shd w:val="clear" w:color="auto" w:fill="A5A5A5" w:themeFill="background1" w:themeFillShade="A5"/>
          </w:tcPr>
          <w:p>
            <w:pPr>
              <w:rPr>
                <w:rFonts w:ascii="Times New Roman Bold" w:hAnsi="Times New Roman Bold"/>
                <w:b/>
                <w:bCs/>
                <w:smallCaps/>
                <w:noProof/>
              </w:rPr>
            </w:pPr>
          </w:p>
        </w:tc>
        <w:tc>
          <w:tcPr>
            <w:tcW w:w="701" w:type="pct"/>
            <w:shd w:val="clear" w:color="auto" w:fill="A5A5A5" w:themeFill="background1" w:themeFillShade="A5"/>
          </w:tcPr>
          <w:p>
            <w:pPr>
              <w:jc w:val="left"/>
              <w:rPr>
                <w:rFonts w:ascii="Times New Roman Bold" w:hAnsi="Times New Roman Bold"/>
                <w:b/>
                <w:bCs/>
                <w:smallCaps/>
                <w:noProof/>
              </w:rPr>
            </w:pPr>
          </w:p>
        </w:tc>
        <w:tc>
          <w:tcPr>
            <w:tcW w:w="550" w:type="pct"/>
            <w:shd w:val="clear" w:color="auto" w:fill="A5A5A5" w:themeFill="background1" w:themeFillShade="A5"/>
          </w:tcPr>
          <w:p>
            <w:pPr>
              <w:jc w:val="left"/>
              <w:rPr>
                <w:rFonts w:ascii="Times New Roman Bold" w:hAnsi="Times New Roman Bold"/>
                <w:b/>
                <w:bCs/>
                <w:smallCaps/>
                <w:noProof/>
              </w:rPr>
            </w:pPr>
          </w:p>
        </w:tc>
        <w:tc>
          <w:tcPr>
            <w:tcW w:w="710" w:type="pct"/>
            <w:shd w:val="clear" w:color="auto" w:fill="A5A5A5" w:themeFill="background1" w:themeFillShade="A5"/>
          </w:tcPr>
          <w:p>
            <w:pPr>
              <w:jc w:val="left"/>
              <w:rPr>
                <w:rFonts w:ascii="Times New Roman Bold" w:hAnsi="Times New Roman Bold"/>
                <w:b/>
                <w:bCs/>
                <w:smallCaps/>
                <w:noProof/>
              </w:rPr>
            </w:pPr>
          </w:p>
        </w:tc>
      </w:tr>
      <w:tr>
        <w:trPr>
          <w:cantSplit/>
        </w:trPr>
        <w:tc>
          <w:tcPr>
            <w:tcW w:w="839" w:type="pct"/>
            <w:shd w:val="clear" w:color="auto" w:fill="DDD9C3" w:themeFill="background2" w:themeFillShade="E6"/>
          </w:tcPr>
          <w:p>
            <w:pPr>
              <w:jc w:val="left"/>
              <w:rPr>
                <w:b/>
                <w:bCs/>
                <w:noProof/>
              </w:rPr>
            </w:pPr>
            <w:r>
              <w:rPr>
                <w:b/>
                <w:noProof/>
              </w:rPr>
              <w:t>A.1</w:t>
            </w:r>
          </w:p>
        </w:tc>
        <w:tc>
          <w:tcPr>
            <w:tcW w:w="999" w:type="pct"/>
            <w:shd w:val="clear" w:color="auto" w:fill="DDD9C3" w:themeFill="background2" w:themeFillShade="E6"/>
          </w:tcPr>
          <w:p>
            <w:pPr>
              <w:jc w:val="left"/>
              <w:rPr>
                <w:b/>
                <w:bCs/>
                <w:noProof/>
              </w:rPr>
            </w:pPr>
            <w:r>
              <w:rPr>
                <w:b/>
                <w:noProof/>
              </w:rPr>
              <w:t>Relations multilatérales - Protocole de la CCLAT</w:t>
            </w:r>
          </w:p>
        </w:tc>
        <w:tc>
          <w:tcPr>
            <w:tcW w:w="1201" w:type="pct"/>
            <w:shd w:val="clear" w:color="auto" w:fill="DDD9C3" w:themeFill="background2" w:themeFillShade="E6"/>
          </w:tcPr>
          <w:p>
            <w:pPr>
              <w:jc w:val="left"/>
              <w:rPr>
                <w:b/>
                <w:bCs/>
                <w:noProof/>
              </w:rPr>
            </w:pPr>
          </w:p>
        </w:tc>
        <w:tc>
          <w:tcPr>
            <w:tcW w:w="701" w:type="pct"/>
            <w:shd w:val="clear" w:color="auto" w:fill="DDD9C3" w:themeFill="background2" w:themeFillShade="E6"/>
          </w:tcPr>
          <w:p>
            <w:pPr>
              <w:jc w:val="left"/>
              <w:rPr>
                <w:b/>
                <w:bCs/>
                <w:noProof/>
              </w:rPr>
            </w:pPr>
          </w:p>
        </w:tc>
        <w:tc>
          <w:tcPr>
            <w:tcW w:w="550" w:type="pct"/>
            <w:shd w:val="clear" w:color="auto" w:fill="DDD9C3" w:themeFill="background2" w:themeFillShade="E6"/>
          </w:tcPr>
          <w:p>
            <w:pPr>
              <w:jc w:val="left"/>
              <w:rPr>
                <w:b/>
                <w:bCs/>
                <w:noProof/>
              </w:rPr>
            </w:pPr>
          </w:p>
        </w:tc>
        <w:tc>
          <w:tcPr>
            <w:tcW w:w="710" w:type="pct"/>
            <w:shd w:val="clear" w:color="auto" w:fill="DDD9C3" w:themeFill="background2" w:themeFillShade="E6"/>
          </w:tcPr>
          <w:p>
            <w:pPr>
              <w:jc w:val="left"/>
              <w:rPr>
                <w:b/>
                <w:bCs/>
                <w:noProof/>
              </w:rPr>
            </w:pPr>
          </w:p>
        </w:tc>
      </w:tr>
      <w:tr>
        <w:trPr>
          <w:cantSplit/>
        </w:trPr>
        <w:tc>
          <w:tcPr>
            <w:tcW w:w="839" w:type="pct"/>
            <w:shd w:val="clear" w:color="auto" w:fill="auto"/>
          </w:tcPr>
          <w:p>
            <w:pPr>
              <w:rPr>
                <w:noProof/>
              </w:rPr>
            </w:pPr>
            <w:r>
              <w:rPr>
                <w:noProof/>
              </w:rPr>
              <w:t>A.1.1</w:t>
            </w:r>
          </w:p>
          <w:p>
            <w:pPr>
              <w:rPr>
                <w:rFonts w:ascii="Times New Roman Bold" w:hAnsi="Times New Roman Bold"/>
                <w:b/>
                <w:bCs/>
                <w:i/>
                <w:smallCaps/>
                <w:noProof/>
              </w:rPr>
            </w:pPr>
          </w:p>
        </w:tc>
        <w:tc>
          <w:tcPr>
            <w:tcW w:w="999" w:type="pct"/>
            <w:shd w:val="clear" w:color="auto" w:fill="auto"/>
          </w:tcPr>
          <w:p>
            <w:pPr>
              <w:jc w:val="left"/>
              <w:rPr>
                <w:rFonts w:ascii="Times New Roman Bold" w:hAnsi="Times New Roman Bold"/>
                <w:b/>
                <w:bCs/>
                <w:smallCaps/>
                <w:noProof/>
              </w:rPr>
            </w:pPr>
            <w:r>
              <w:rPr>
                <w:noProof/>
              </w:rPr>
              <w:t>Faire du protocole de la Convention-cadre pour la lutte antitabac (CCLAT) un outil efficace de gouvernance mondiale</w:t>
            </w:r>
          </w:p>
        </w:tc>
        <w:tc>
          <w:tcPr>
            <w:tcW w:w="1201" w:type="pct"/>
            <w:shd w:val="clear" w:color="auto" w:fill="auto"/>
          </w:tcPr>
          <w:p>
            <w:pPr>
              <w:jc w:val="left"/>
              <w:rPr>
                <w:rFonts w:ascii="Times New Roman Bold" w:hAnsi="Times New Roman Bold"/>
                <w:b/>
                <w:bCs/>
                <w:smallCaps/>
                <w:noProof/>
              </w:rPr>
            </w:pPr>
            <w:r>
              <w:rPr>
                <w:noProof/>
              </w:rPr>
              <w:t>Promouvoir la ratification et la mise en œuvre du protocole de la CCLAT dans les pays tiers concernés, notamment dans le voisinage de l’UE (particulièrement les pays candidats  et les pays candidats potentiels, et les pays du voisinage), y compris par les cadres institutionnels de l’UE avec les pays concernés</w:t>
            </w:r>
          </w:p>
        </w:tc>
        <w:tc>
          <w:tcPr>
            <w:tcW w:w="701" w:type="pct"/>
            <w:shd w:val="clear" w:color="auto" w:fill="auto"/>
          </w:tcPr>
          <w:p>
            <w:pPr>
              <w:jc w:val="left"/>
              <w:rPr>
                <w:rFonts w:ascii="Times New Roman Bold" w:hAnsi="Times New Roman Bold"/>
                <w:b/>
                <w:bCs/>
                <w:smallCaps/>
                <w:noProof/>
              </w:rPr>
            </w:pPr>
            <w:r>
              <w:rPr>
                <w:noProof/>
              </w:rPr>
              <w:t xml:space="preserve">Mobilisation ciblée avec les pays concernés </w:t>
            </w:r>
          </w:p>
        </w:tc>
        <w:tc>
          <w:tcPr>
            <w:tcW w:w="550" w:type="pct"/>
            <w:shd w:val="clear" w:color="auto" w:fill="auto"/>
          </w:tcPr>
          <w:p>
            <w:pPr>
              <w:jc w:val="left"/>
              <w:rPr>
                <w:rFonts w:ascii="Times New Roman Bold" w:hAnsi="Times New Roman Bold"/>
                <w:b/>
                <w:bCs/>
                <w:smallCaps/>
                <w:noProof/>
              </w:rPr>
            </w:pPr>
            <w:r>
              <w:rPr>
                <w:noProof/>
              </w:rPr>
              <w:t>En continu</w:t>
            </w:r>
          </w:p>
        </w:tc>
        <w:tc>
          <w:tcPr>
            <w:tcW w:w="710" w:type="pct"/>
            <w:shd w:val="clear" w:color="auto" w:fill="auto"/>
          </w:tcPr>
          <w:p>
            <w:pPr>
              <w:jc w:val="left"/>
              <w:rPr>
                <w:noProof/>
              </w:rPr>
            </w:pPr>
            <w:r>
              <w:rPr>
                <w:noProof/>
              </w:rPr>
              <w:t>Commission</w:t>
            </w:r>
          </w:p>
          <w:p>
            <w:pPr>
              <w:jc w:val="left"/>
              <w:rPr>
                <w:rFonts w:ascii="Times New Roman Bold" w:hAnsi="Times New Roman Bold"/>
                <w:b/>
                <w:bCs/>
                <w:smallCaps/>
                <w:noProof/>
              </w:rPr>
            </w:pPr>
            <w:r>
              <w:rPr>
                <w:noProof/>
              </w:rPr>
              <w:t>SEAE</w:t>
            </w:r>
          </w:p>
        </w:tc>
      </w:tr>
      <w:tr>
        <w:trPr>
          <w:cantSplit/>
        </w:trPr>
        <w:tc>
          <w:tcPr>
            <w:tcW w:w="839" w:type="pct"/>
            <w:shd w:val="clear" w:color="auto" w:fill="auto"/>
          </w:tcPr>
          <w:p>
            <w:pPr>
              <w:jc w:val="left"/>
              <w:rPr>
                <w:noProof/>
              </w:rPr>
            </w:pPr>
            <w:r>
              <w:rPr>
                <w:noProof/>
              </w:rPr>
              <w:t>A.1.2</w:t>
            </w:r>
          </w:p>
          <w:p>
            <w:pPr>
              <w:jc w:val="left"/>
              <w:rPr>
                <w:rFonts w:ascii="Times New Roman Bold" w:hAnsi="Times New Roman Bold"/>
                <w:b/>
                <w:bCs/>
                <w:i/>
                <w:smallCaps/>
                <w:noProof/>
              </w:rPr>
            </w:pPr>
          </w:p>
        </w:tc>
        <w:tc>
          <w:tcPr>
            <w:tcW w:w="999" w:type="pct"/>
            <w:shd w:val="clear" w:color="auto" w:fill="auto"/>
          </w:tcPr>
          <w:p>
            <w:pPr>
              <w:jc w:val="left"/>
              <w:rPr>
                <w:rFonts w:ascii="Times New Roman Bold" w:hAnsi="Times New Roman Bold"/>
                <w:b/>
                <w:bCs/>
                <w:smallCaps/>
                <w:noProof/>
              </w:rPr>
            </w:pPr>
            <w:r>
              <w:rPr>
                <w:noProof/>
              </w:rPr>
              <w:t>Soutien à la mise en œuvre du protocole de la CCLAT</w:t>
            </w:r>
          </w:p>
        </w:tc>
        <w:tc>
          <w:tcPr>
            <w:tcW w:w="1201" w:type="pct"/>
            <w:shd w:val="clear" w:color="auto" w:fill="auto"/>
          </w:tcPr>
          <w:p>
            <w:pPr>
              <w:jc w:val="left"/>
              <w:rPr>
                <w:rFonts w:ascii="Times New Roman Bold" w:hAnsi="Times New Roman Bold"/>
                <w:b/>
                <w:bCs/>
                <w:smallCaps/>
                <w:noProof/>
              </w:rPr>
            </w:pPr>
            <w:r>
              <w:rPr>
                <w:noProof/>
              </w:rPr>
              <w:t>Soutenir les États membres dans la mise en œuvre du protocole de la CCLAT par l'intermédiaire d'un groupe de projet spécifique pour les États membres</w:t>
            </w:r>
          </w:p>
        </w:tc>
        <w:tc>
          <w:tcPr>
            <w:tcW w:w="701" w:type="pct"/>
            <w:shd w:val="clear" w:color="auto" w:fill="auto"/>
          </w:tcPr>
          <w:p>
            <w:pPr>
              <w:jc w:val="left"/>
              <w:rPr>
                <w:rFonts w:ascii="Times New Roman Bold" w:hAnsi="Times New Roman Bold"/>
                <w:b/>
                <w:bCs/>
                <w:smallCaps/>
                <w:noProof/>
              </w:rPr>
            </w:pPr>
            <w:r>
              <w:rPr>
                <w:noProof/>
              </w:rPr>
              <w:t xml:space="preserve">Documents d’orientation </w:t>
            </w:r>
          </w:p>
        </w:tc>
        <w:tc>
          <w:tcPr>
            <w:tcW w:w="550" w:type="pct"/>
            <w:shd w:val="clear" w:color="auto" w:fill="auto"/>
          </w:tcPr>
          <w:p>
            <w:pPr>
              <w:jc w:val="left"/>
              <w:rPr>
                <w:rFonts w:ascii="Times New Roman Bold" w:hAnsi="Times New Roman Bold"/>
                <w:b/>
                <w:bCs/>
                <w:smallCaps/>
                <w:noProof/>
              </w:rPr>
            </w:pPr>
            <w:r>
              <w:rPr>
                <w:noProof/>
              </w:rPr>
              <w:t>2019</w:t>
            </w:r>
          </w:p>
        </w:tc>
        <w:tc>
          <w:tcPr>
            <w:tcW w:w="710" w:type="pct"/>
            <w:shd w:val="clear" w:color="auto" w:fill="auto"/>
          </w:tcPr>
          <w:p>
            <w:pPr>
              <w:jc w:val="left"/>
              <w:rPr>
                <w:rFonts w:ascii="Times New Roman Bold" w:hAnsi="Times New Roman Bold"/>
                <w:b/>
                <w:bCs/>
                <w:smallCaps/>
                <w:noProof/>
              </w:rPr>
            </w:pPr>
            <w:r>
              <w:rPr>
                <w:noProof/>
              </w:rPr>
              <w:t>Commission</w:t>
            </w:r>
          </w:p>
        </w:tc>
      </w:tr>
      <w:tr>
        <w:trPr>
          <w:cantSplit/>
        </w:trPr>
        <w:tc>
          <w:tcPr>
            <w:tcW w:w="839" w:type="pct"/>
            <w:shd w:val="clear" w:color="auto" w:fill="auto"/>
          </w:tcPr>
          <w:p>
            <w:pPr>
              <w:rPr>
                <w:noProof/>
              </w:rPr>
            </w:pPr>
            <w:r>
              <w:rPr>
                <w:noProof/>
              </w:rPr>
              <w:t>A.1.3</w:t>
            </w:r>
          </w:p>
          <w:p>
            <w:pPr>
              <w:rPr>
                <w:i/>
                <w:noProof/>
              </w:rPr>
            </w:pPr>
          </w:p>
        </w:tc>
        <w:tc>
          <w:tcPr>
            <w:tcW w:w="999" w:type="pct"/>
            <w:shd w:val="clear" w:color="auto" w:fill="auto"/>
          </w:tcPr>
          <w:p>
            <w:pPr>
              <w:jc w:val="left"/>
              <w:rPr>
                <w:noProof/>
              </w:rPr>
            </w:pPr>
            <w:r>
              <w:rPr>
                <w:noProof/>
              </w:rPr>
              <w:t>Point focal mondial pour l’échange d’informations</w:t>
            </w:r>
          </w:p>
        </w:tc>
        <w:tc>
          <w:tcPr>
            <w:tcW w:w="1201" w:type="pct"/>
            <w:shd w:val="clear" w:color="auto" w:fill="auto"/>
          </w:tcPr>
          <w:p>
            <w:pPr>
              <w:jc w:val="left"/>
              <w:rPr>
                <w:noProof/>
              </w:rPr>
            </w:pPr>
            <w:r>
              <w:rPr>
                <w:noProof/>
              </w:rPr>
              <w:t>Jouer un rôle de premier plan dans le groupe de travail sur les systèmes de suivi et de traçabilité qui a été créé lors de la 1</w:t>
            </w:r>
            <w:r>
              <w:rPr>
                <w:noProof/>
                <w:vertAlign w:val="superscript"/>
              </w:rPr>
              <w:t>re</w:t>
            </w:r>
            <w:r>
              <w:rPr>
                <w:noProof/>
              </w:rPr>
              <w:t xml:space="preserve"> Réunion des Parties (Genève, 8-10 octobre 2018) et qui examinera la manière de mettre sur pied un point focal efficace et efficient, en coopération étroite avec le Secrétariat du CCLAT (article 8 du protocole de la CCLAT)</w:t>
            </w:r>
          </w:p>
        </w:tc>
        <w:tc>
          <w:tcPr>
            <w:tcW w:w="701" w:type="pct"/>
            <w:shd w:val="clear" w:color="auto" w:fill="auto"/>
          </w:tcPr>
          <w:p>
            <w:pPr>
              <w:jc w:val="left"/>
              <w:rPr>
                <w:noProof/>
              </w:rPr>
            </w:pPr>
            <w:r>
              <w:rPr>
                <w:noProof/>
              </w:rPr>
              <w:t>Contribuer à un rapport qui sera présenté lors de la 2</w:t>
            </w:r>
            <w:r>
              <w:rPr>
                <w:noProof/>
                <w:vertAlign w:val="superscript"/>
              </w:rPr>
              <w:t>e</w:t>
            </w:r>
            <w:r>
              <w:rPr>
                <w:noProof/>
              </w:rPr>
              <w:t xml:space="preserve"> Réunion des Parties au protocole de la CCLAT </w:t>
            </w:r>
          </w:p>
        </w:tc>
        <w:tc>
          <w:tcPr>
            <w:tcW w:w="550" w:type="pct"/>
            <w:shd w:val="clear" w:color="auto" w:fill="auto"/>
          </w:tcPr>
          <w:p>
            <w:pPr>
              <w:jc w:val="left"/>
              <w:rPr>
                <w:noProof/>
              </w:rPr>
            </w:pPr>
            <w:r>
              <w:rPr>
                <w:noProof/>
              </w:rPr>
              <w:t>2020</w:t>
            </w:r>
          </w:p>
        </w:tc>
        <w:tc>
          <w:tcPr>
            <w:tcW w:w="710" w:type="pct"/>
            <w:shd w:val="clear" w:color="auto" w:fill="auto"/>
          </w:tcPr>
          <w:p>
            <w:pPr>
              <w:jc w:val="left"/>
              <w:rPr>
                <w:noProof/>
              </w:rPr>
            </w:pPr>
            <w:r>
              <w:rPr>
                <w:noProof/>
              </w:rPr>
              <w:t>Commission</w:t>
            </w:r>
          </w:p>
        </w:tc>
      </w:tr>
      <w:tr>
        <w:trPr>
          <w:cantSplit/>
        </w:trPr>
        <w:tc>
          <w:tcPr>
            <w:tcW w:w="839" w:type="pct"/>
            <w:shd w:val="clear" w:color="auto" w:fill="auto"/>
          </w:tcPr>
          <w:p>
            <w:pPr>
              <w:rPr>
                <w:noProof/>
              </w:rPr>
            </w:pPr>
            <w:r>
              <w:rPr>
                <w:noProof/>
              </w:rPr>
              <w:t>A.1.4</w:t>
            </w:r>
          </w:p>
          <w:p>
            <w:pPr>
              <w:rPr>
                <w:i/>
                <w:noProof/>
              </w:rPr>
            </w:pPr>
          </w:p>
        </w:tc>
        <w:tc>
          <w:tcPr>
            <w:tcW w:w="999" w:type="pct"/>
            <w:shd w:val="clear" w:color="auto" w:fill="auto"/>
          </w:tcPr>
          <w:p>
            <w:pPr>
              <w:jc w:val="left"/>
              <w:rPr>
                <w:noProof/>
              </w:rPr>
            </w:pPr>
            <w:r>
              <w:rPr>
                <w:noProof/>
              </w:rPr>
              <w:t xml:space="preserve">Utiliser de nouveaux instruments juridiques de coopération internationale </w:t>
            </w:r>
          </w:p>
        </w:tc>
        <w:tc>
          <w:tcPr>
            <w:tcW w:w="1201" w:type="pct"/>
            <w:shd w:val="clear" w:color="auto" w:fill="auto"/>
          </w:tcPr>
          <w:p>
            <w:pPr>
              <w:jc w:val="left"/>
              <w:rPr>
                <w:noProof/>
              </w:rPr>
            </w:pPr>
            <w:r>
              <w:rPr>
                <w:noProof/>
              </w:rPr>
              <w:t>Contribuer activement au Groupe de travail sur la coopération et l’assistance, créé lors de la 1</w:t>
            </w:r>
            <w:r>
              <w:rPr>
                <w:noProof/>
                <w:vertAlign w:val="superscript"/>
              </w:rPr>
              <w:t>re</w:t>
            </w:r>
            <w:r>
              <w:rPr>
                <w:noProof/>
              </w:rPr>
              <w:t xml:space="preserve"> Réunion des Parties (Genève, 8-10 octobre 2018),  qui examinera comment mettre en œuvre les nouveaux instruments juridiques (tels que les instruments d’échange d’informations et d’assistance mutuelle) en vertu de la Partie V du protocole de la CCLAT</w:t>
            </w:r>
          </w:p>
        </w:tc>
        <w:tc>
          <w:tcPr>
            <w:tcW w:w="701" w:type="pct"/>
            <w:shd w:val="clear" w:color="auto" w:fill="auto"/>
          </w:tcPr>
          <w:p>
            <w:pPr>
              <w:jc w:val="left"/>
              <w:rPr>
                <w:noProof/>
              </w:rPr>
            </w:pPr>
            <w:r>
              <w:rPr>
                <w:noProof/>
              </w:rPr>
              <w:t>Contribuer à un rapport qui sera présenté lors de la 2</w:t>
            </w:r>
            <w:r>
              <w:rPr>
                <w:noProof/>
                <w:vertAlign w:val="superscript"/>
              </w:rPr>
              <w:t>e</w:t>
            </w:r>
            <w:r>
              <w:rPr>
                <w:noProof/>
              </w:rPr>
              <w:t xml:space="preserve"> Réunion des Parties au protocole de la CCLAT</w:t>
            </w:r>
          </w:p>
        </w:tc>
        <w:tc>
          <w:tcPr>
            <w:tcW w:w="550" w:type="pct"/>
            <w:shd w:val="clear" w:color="auto" w:fill="auto"/>
          </w:tcPr>
          <w:p>
            <w:pPr>
              <w:jc w:val="left"/>
              <w:rPr>
                <w:noProof/>
              </w:rPr>
            </w:pPr>
            <w:r>
              <w:rPr>
                <w:noProof/>
              </w:rPr>
              <w:t>2020</w:t>
            </w:r>
          </w:p>
        </w:tc>
        <w:tc>
          <w:tcPr>
            <w:tcW w:w="710" w:type="pct"/>
            <w:shd w:val="clear" w:color="auto" w:fill="auto"/>
          </w:tcPr>
          <w:p>
            <w:pPr>
              <w:jc w:val="left"/>
              <w:rPr>
                <w:noProof/>
              </w:rPr>
            </w:pPr>
            <w:r>
              <w:rPr>
                <w:noProof/>
              </w:rPr>
              <w:t>Commission</w:t>
            </w:r>
          </w:p>
          <w:p>
            <w:pPr>
              <w:jc w:val="left"/>
              <w:rPr>
                <w:noProof/>
              </w:rPr>
            </w:pPr>
            <w:r>
              <w:rPr>
                <w:noProof/>
              </w:rPr>
              <w:t>États membres</w:t>
            </w:r>
          </w:p>
        </w:tc>
      </w:tr>
      <w:tr>
        <w:trPr>
          <w:cantSplit/>
        </w:trPr>
        <w:tc>
          <w:tcPr>
            <w:tcW w:w="839" w:type="pct"/>
            <w:shd w:val="clear" w:color="auto" w:fill="auto"/>
          </w:tcPr>
          <w:p>
            <w:pPr>
              <w:rPr>
                <w:noProof/>
              </w:rPr>
            </w:pPr>
            <w:r>
              <w:rPr>
                <w:noProof/>
              </w:rPr>
              <w:t>A.1.5</w:t>
            </w:r>
          </w:p>
          <w:p>
            <w:pPr>
              <w:rPr>
                <w:i/>
                <w:noProof/>
              </w:rPr>
            </w:pPr>
          </w:p>
        </w:tc>
        <w:tc>
          <w:tcPr>
            <w:tcW w:w="999" w:type="pct"/>
            <w:shd w:val="clear" w:color="auto" w:fill="auto"/>
          </w:tcPr>
          <w:p>
            <w:pPr>
              <w:jc w:val="left"/>
              <w:rPr>
                <w:noProof/>
              </w:rPr>
            </w:pPr>
            <w:r>
              <w:rPr>
                <w:noProof/>
              </w:rPr>
              <w:t>Mouvement de matériel de fabrication et de conditionnement du tabac</w:t>
            </w:r>
          </w:p>
        </w:tc>
        <w:tc>
          <w:tcPr>
            <w:tcW w:w="1201" w:type="pct"/>
            <w:shd w:val="clear" w:color="auto" w:fill="auto"/>
          </w:tcPr>
          <w:p>
            <w:pPr>
              <w:jc w:val="left"/>
              <w:rPr>
                <w:noProof/>
              </w:rPr>
            </w:pPr>
            <w:r>
              <w:rPr>
                <w:noProof/>
              </w:rPr>
              <w:t>Lancer une étude de faisabilité pour élaborer un système visant à mieux contrôler les mouvements intra- UE de matériel utilisé dans la fabrication et le conditionnement des produits du tabac (art. 6 du protocole de la CCLAT)</w:t>
            </w:r>
          </w:p>
        </w:tc>
        <w:tc>
          <w:tcPr>
            <w:tcW w:w="701" w:type="pct"/>
            <w:shd w:val="clear" w:color="auto" w:fill="auto"/>
          </w:tcPr>
          <w:p>
            <w:pPr>
              <w:jc w:val="left"/>
              <w:rPr>
                <w:noProof/>
              </w:rPr>
            </w:pPr>
            <w:r>
              <w:rPr>
                <w:noProof/>
              </w:rPr>
              <w:t xml:space="preserve">Étude de faisabilité </w:t>
            </w:r>
          </w:p>
        </w:tc>
        <w:tc>
          <w:tcPr>
            <w:tcW w:w="550" w:type="pct"/>
            <w:shd w:val="clear" w:color="auto" w:fill="auto"/>
          </w:tcPr>
          <w:p>
            <w:pPr>
              <w:jc w:val="left"/>
              <w:rPr>
                <w:noProof/>
              </w:rPr>
            </w:pPr>
            <w:r>
              <w:rPr>
                <w:noProof/>
              </w:rPr>
              <w:t>2019</w:t>
            </w:r>
          </w:p>
        </w:tc>
        <w:tc>
          <w:tcPr>
            <w:tcW w:w="710" w:type="pct"/>
            <w:shd w:val="clear" w:color="auto" w:fill="auto"/>
          </w:tcPr>
          <w:p>
            <w:pPr>
              <w:jc w:val="left"/>
              <w:rPr>
                <w:noProof/>
              </w:rPr>
            </w:pPr>
            <w:r>
              <w:rPr>
                <w:noProof/>
              </w:rPr>
              <w:t>Commission</w:t>
            </w:r>
          </w:p>
        </w:tc>
      </w:tr>
      <w:tr>
        <w:trPr>
          <w:cantSplit/>
        </w:trPr>
        <w:tc>
          <w:tcPr>
            <w:tcW w:w="839" w:type="pct"/>
          </w:tcPr>
          <w:p>
            <w:pPr>
              <w:jc w:val="left"/>
              <w:rPr>
                <w:noProof/>
              </w:rPr>
            </w:pPr>
            <w:r>
              <w:rPr>
                <w:noProof/>
              </w:rPr>
              <w:t>A.1.6</w:t>
            </w:r>
          </w:p>
          <w:p>
            <w:pPr>
              <w:jc w:val="left"/>
              <w:rPr>
                <w:i/>
                <w:noProof/>
              </w:rPr>
            </w:pPr>
          </w:p>
        </w:tc>
        <w:tc>
          <w:tcPr>
            <w:tcW w:w="999" w:type="pct"/>
          </w:tcPr>
          <w:p>
            <w:pPr>
              <w:jc w:val="left"/>
              <w:rPr>
                <w:noProof/>
              </w:rPr>
            </w:pPr>
            <w:r>
              <w:rPr>
                <w:noProof/>
              </w:rPr>
              <w:t>Interdiction de mêler des produits du tabac à d’autres produits dans un seul conteneur dans les zones de libre-échange de l’Union européenne</w:t>
            </w:r>
          </w:p>
        </w:tc>
        <w:tc>
          <w:tcPr>
            <w:tcW w:w="1201" w:type="pct"/>
          </w:tcPr>
          <w:p>
            <w:pPr>
              <w:jc w:val="left"/>
              <w:rPr>
                <w:noProof/>
              </w:rPr>
            </w:pPr>
            <w:r>
              <w:rPr>
                <w:noProof/>
              </w:rPr>
              <w:t>Présenter une proposition d’interdiction relative au mélange de produits du tabac avec d’autres produits dans un seul conteneur dans les zones de libre-échange de l’Union européenne (art. 12, paragraphe 2, du protocole de la CCLAT)</w:t>
            </w:r>
          </w:p>
        </w:tc>
        <w:tc>
          <w:tcPr>
            <w:tcW w:w="701" w:type="pct"/>
          </w:tcPr>
          <w:p>
            <w:pPr>
              <w:jc w:val="left"/>
              <w:rPr>
                <w:noProof/>
              </w:rPr>
            </w:pPr>
            <w:r>
              <w:rPr>
                <w:noProof/>
              </w:rPr>
              <w:t>Proposition présentée</w:t>
            </w:r>
          </w:p>
        </w:tc>
        <w:tc>
          <w:tcPr>
            <w:tcW w:w="550" w:type="pct"/>
          </w:tcPr>
          <w:p>
            <w:pPr>
              <w:jc w:val="left"/>
              <w:rPr>
                <w:noProof/>
              </w:rPr>
            </w:pPr>
            <w:r>
              <w:rPr>
                <w:noProof/>
              </w:rPr>
              <w:t>2021</w:t>
            </w:r>
          </w:p>
        </w:tc>
        <w:tc>
          <w:tcPr>
            <w:tcW w:w="710" w:type="pct"/>
          </w:tcPr>
          <w:p>
            <w:pPr>
              <w:jc w:val="left"/>
              <w:rPr>
                <w:noProof/>
              </w:rPr>
            </w:pPr>
            <w:r>
              <w:rPr>
                <w:noProof/>
              </w:rPr>
              <w:t>Commission</w:t>
            </w:r>
          </w:p>
        </w:tc>
      </w:tr>
      <w:tr>
        <w:trPr>
          <w:cantSplit/>
        </w:trPr>
        <w:tc>
          <w:tcPr>
            <w:tcW w:w="839" w:type="pct"/>
            <w:shd w:val="clear" w:color="auto" w:fill="auto"/>
          </w:tcPr>
          <w:p>
            <w:pPr>
              <w:jc w:val="left"/>
              <w:rPr>
                <w:noProof/>
              </w:rPr>
            </w:pPr>
            <w:r>
              <w:rPr>
                <w:noProof/>
              </w:rPr>
              <w:t>A.1.7</w:t>
            </w:r>
          </w:p>
          <w:p>
            <w:pPr>
              <w:jc w:val="left"/>
              <w:rPr>
                <w:b/>
                <w:bCs/>
                <w:noProof/>
              </w:rPr>
            </w:pPr>
          </w:p>
        </w:tc>
        <w:tc>
          <w:tcPr>
            <w:tcW w:w="999" w:type="pct"/>
            <w:shd w:val="clear" w:color="auto" w:fill="auto"/>
          </w:tcPr>
          <w:p>
            <w:pPr>
              <w:jc w:val="left"/>
              <w:rPr>
                <w:b/>
                <w:bCs/>
                <w:noProof/>
              </w:rPr>
            </w:pPr>
            <w:r>
              <w:rPr>
                <w:noProof/>
              </w:rPr>
              <w:t>Soutien au Secrétariat de la CCLAT</w:t>
            </w:r>
          </w:p>
        </w:tc>
        <w:tc>
          <w:tcPr>
            <w:tcW w:w="1201" w:type="pct"/>
            <w:shd w:val="clear" w:color="auto" w:fill="auto"/>
          </w:tcPr>
          <w:p>
            <w:pPr>
              <w:jc w:val="left"/>
              <w:rPr>
                <w:b/>
                <w:bCs/>
                <w:noProof/>
              </w:rPr>
            </w:pPr>
            <w:r>
              <w:rPr>
                <w:noProof/>
              </w:rPr>
              <w:t>Aider le Secrétariat de la CCLAT en lui fournissant une expertise et du matériel afin d’accompagner les Parties dans la mise en œuvre du protocole de la CCLAT</w:t>
            </w:r>
          </w:p>
        </w:tc>
        <w:tc>
          <w:tcPr>
            <w:tcW w:w="701" w:type="pct"/>
            <w:shd w:val="clear" w:color="auto" w:fill="auto"/>
          </w:tcPr>
          <w:p>
            <w:pPr>
              <w:jc w:val="left"/>
              <w:rPr>
                <w:b/>
                <w:bCs/>
                <w:noProof/>
              </w:rPr>
            </w:pPr>
            <w:r>
              <w:rPr>
                <w:noProof/>
              </w:rPr>
              <w:t>Assistance technique</w:t>
            </w:r>
          </w:p>
        </w:tc>
        <w:tc>
          <w:tcPr>
            <w:tcW w:w="550" w:type="pct"/>
            <w:shd w:val="clear" w:color="auto" w:fill="auto"/>
          </w:tcPr>
          <w:p>
            <w:pPr>
              <w:jc w:val="left"/>
              <w:rPr>
                <w:b/>
                <w:bCs/>
                <w:noProof/>
              </w:rPr>
            </w:pPr>
            <w:r>
              <w:rPr>
                <w:noProof/>
              </w:rPr>
              <w:t>En continu</w:t>
            </w:r>
          </w:p>
        </w:tc>
        <w:tc>
          <w:tcPr>
            <w:tcW w:w="710" w:type="pct"/>
            <w:shd w:val="clear" w:color="auto" w:fill="auto"/>
          </w:tcPr>
          <w:p>
            <w:pPr>
              <w:jc w:val="left"/>
              <w:rPr>
                <w:b/>
                <w:bCs/>
                <w:noProof/>
              </w:rPr>
            </w:pPr>
            <w:r>
              <w:rPr>
                <w:noProof/>
              </w:rPr>
              <w:t>Commission</w:t>
            </w:r>
          </w:p>
        </w:tc>
      </w:tr>
      <w:tr>
        <w:trPr>
          <w:cantSplit/>
        </w:trPr>
        <w:tc>
          <w:tcPr>
            <w:tcW w:w="839" w:type="pct"/>
            <w:shd w:val="clear" w:color="auto" w:fill="D8D8D8" w:themeFill="background1" w:themeFillShade="D8"/>
          </w:tcPr>
          <w:p>
            <w:pPr>
              <w:jc w:val="left"/>
              <w:rPr>
                <w:b/>
                <w:noProof/>
              </w:rPr>
            </w:pPr>
            <w:r>
              <w:rPr>
                <w:b/>
                <w:noProof/>
              </w:rPr>
              <w:t>A.2</w:t>
            </w:r>
          </w:p>
        </w:tc>
        <w:tc>
          <w:tcPr>
            <w:tcW w:w="999" w:type="pct"/>
            <w:shd w:val="clear" w:color="auto" w:fill="D8D8D8" w:themeFill="background1" w:themeFillShade="D8"/>
          </w:tcPr>
          <w:p>
            <w:pPr>
              <w:jc w:val="left"/>
              <w:rPr>
                <w:b/>
                <w:noProof/>
              </w:rPr>
            </w:pPr>
            <w:r>
              <w:rPr>
                <w:b/>
                <w:noProof/>
              </w:rPr>
              <w:t>Relations bilatérales</w:t>
            </w:r>
          </w:p>
        </w:tc>
        <w:tc>
          <w:tcPr>
            <w:tcW w:w="1201" w:type="pct"/>
            <w:shd w:val="clear" w:color="auto" w:fill="D8D8D8" w:themeFill="background1" w:themeFillShade="D8"/>
          </w:tcPr>
          <w:p>
            <w:pPr>
              <w:jc w:val="left"/>
              <w:rPr>
                <w:noProof/>
              </w:rPr>
            </w:pPr>
          </w:p>
        </w:tc>
        <w:tc>
          <w:tcPr>
            <w:tcW w:w="701" w:type="pct"/>
            <w:shd w:val="clear" w:color="auto" w:fill="D8D8D8" w:themeFill="background1" w:themeFillShade="D8"/>
          </w:tcPr>
          <w:p>
            <w:pPr>
              <w:jc w:val="left"/>
              <w:rPr>
                <w:noProof/>
              </w:rPr>
            </w:pPr>
          </w:p>
        </w:tc>
        <w:tc>
          <w:tcPr>
            <w:tcW w:w="550" w:type="pct"/>
            <w:shd w:val="clear" w:color="auto" w:fill="D8D8D8" w:themeFill="background1" w:themeFillShade="D8"/>
          </w:tcPr>
          <w:p>
            <w:pPr>
              <w:jc w:val="left"/>
              <w:rPr>
                <w:noProof/>
              </w:rPr>
            </w:pPr>
          </w:p>
        </w:tc>
        <w:tc>
          <w:tcPr>
            <w:tcW w:w="710" w:type="pct"/>
            <w:shd w:val="clear" w:color="auto" w:fill="D8D8D8" w:themeFill="background1" w:themeFillShade="D8"/>
          </w:tcPr>
          <w:p>
            <w:pPr>
              <w:jc w:val="left"/>
              <w:rPr>
                <w:noProof/>
              </w:rPr>
            </w:pPr>
          </w:p>
        </w:tc>
      </w:tr>
      <w:tr>
        <w:trPr>
          <w:cantSplit/>
        </w:trPr>
        <w:tc>
          <w:tcPr>
            <w:tcW w:w="839" w:type="pct"/>
          </w:tcPr>
          <w:p>
            <w:pPr>
              <w:rPr>
                <w:noProof/>
              </w:rPr>
            </w:pPr>
            <w:r>
              <w:rPr>
                <w:noProof/>
              </w:rPr>
              <w:t>A.2.1</w:t>
            </w:r>
          </w:p>
          <w:p>
            <w:pPr>
              <w:rPr>
                <w:i/>
                <w:noProof/>
              </w:rPr>
            </w:pPr>
          </w:p>
        </w:tc>
        <w:tc>
          <w:tcPr>
            <w:tcW w:w="999" w:type="pct"/>
          </w:tcPr>
          <w:p>
            <w:pPr>
              <w:tabs>
                <w:tab w:val="right" w:pos="1733"/>
              </w:tabs>
              <w:jc w:val="left"/>
              <w:rPr>
                <w:noProof/>
              </w:rPr>
            </w:pPr>
            <w:r>
              <w:rPr>
                <w:noProof/>
              </w:rPr>
              <w:t xml:space="preserve">Échange d’informations douanières avec des pays tiers </w:t>
            </w:r>
          </w:p>
        </w:tc>
        <w:tc>
          <w:tcPr>
            <w:tcW w:w="1201" w:type="pct"/>
          </w:tcPr>
          <w:p>
            <w:pPr>
              <w:jc w:val="left"/>
              <w:rPr>
                <w:noProof/>
              </w:rPr>
            </w:pPr>
            <w:r>
              <w:rPr>
                <w:noProof/>
              </w:rPr>
              <w:t>Donner suite aux conclusions du Conseil du 19 décembre 2016 sur le renforcement de l’échange d’informations douanières avec les pays tiers ainsi qu’au séminaire de haut niveau organisé par la présidence bulgare les 7 et 8 juin 2018</w:t>
            </w:r>
          </w:p>
        </w:tc>
        <w:tc>
          <w:tcPr>
            <w:tcW w:w="701" w:type="pct"/>
          </w:tcPr>
          <w:p>
            <w:pPr>
              <w:jc w:val="left"/>
              <w:rPr>
                <w:noProof/>
              </w:rPr>
            </w:pPr>
            <w:r>
              <w:rPr>
                <w:noProof/>
              </w:rPr>
              <w:t xml:space="preserve">Mesures d’évaluation et de suivi potentielles le cas échéant  </w:t>
            </w:r>
          </w:p>
        </w:tc>
        <w:tc>
          <w:tcPr>
            <w:tcW w:w="550" w:type="pct"/>
          </w:tcPr>
          <w:p>
            <w:pPr>
              <w:jc w:val="left"/>
              <w:rPr>
                <w:noProof/>
              </w:rPr>
            </w:pPr>
            <w:r>
              <w:rPr>
                <w:noProof/>
              </w:rPr>
              <w:t>2019</w:t>
            </w:r>
          </w:p>
        </w:tc>
        <w:tc>
          <w:tcPr>
            <w:tcW w:w="710" w:type="pct"/>
          </w:tcPr>
          <w:p>
            <w:pPr>
              <w:jc w:val="left"/>
              <w:rPr>
                <w:noProof/>
              </w:rPr>
            </w:pPr>
            <w:r>
              <w:rPr>
                <w:noProof/>
              </w:rPr>
              <w:t>Commission</w:t>
            </w:r>
          </w:p>
        </w:tc>
      </w:tr>
      <w:tr>
        <w:tc>
          <w:tcPr>
            <w:tcW w:w="839" w:type="pct"/>
          </w:tcPr>
          <w:p>
            <w:pPr>
              <w:rPr>
                <w:noProof/>
              </w:rPr>
            </w:pPr>
            <w:r>
              <w:rPr>
                <w:noProof/>
              </w:rPr>
              <w:t>A.2.2</w:t>
            </w:r>
          </w:p>
          <w:p>
            <w:pPr>
              <w:rPr>
                <w:i/>
                <w:noProof/>
              </w:rPr>
            </w:pPr>
          </w:p>
        </w:tc>
        <w:tc>
          <w:tcPr>
            <w:tcW w:w="999" w:type="pct"/>
          </w:tcPr>
          <w:p>
            <w:pPr>
              <w:jc w:val="left"/>
              <w:rPr>
                <w:noProof/>
              </w:rPr>
            </w:pPr>
            <w:r>
              <w:rPr>
                <w:noProof/>
              </w:rPr>
              <w:t>Accord stratégique de coopération administrative avec l’administration générale des douanes de la République populaire de Chine</w:t>
            </w:r>
          </w:p>
        </w:tc>
        <w:tc>
          <w:tcPr>
            <w:tcW w:w="1201" w:type="pct"/>
          </w:tcPr>
          <w:p>
            <w:pPr>
              <w:jc w:val="left"/>
              <w:rPr>
                <w:noProof/>
              </w:rPr>
            </w:pPr>
            <w:r>
              <w:rPr>
                <w:noProof/>
              </w:rPr>
              <w:t>Mise en œuvre efficace des activités prévues dans l’accord stratégique de coopération administrative après sa signature en juillet 2018</w:t>
            </w:r>
          </w:p>
        </w:tc>
        <w:tc>
          <w:tcPr>
            <w:tcW w:w="701" w:type="pct"/>
          </w:tcPr>
          <w:p>
            <w:pPr>
              <w:jc w:val="left"/>
              <w:rPr>
                <w:noProof/>
              </w:rPr>
            </w:pPr>
            <w:r>
              <w:rPr>
                <w:noProof/>
              </w:rPr>
              <w:t xml:space="preserve">Achèvement des activités prévues dans l’accord stratégique de coopération administrative </w:t>
            </w:r>
          </w:p>
        </w:tc>
        <w:tc>
          <w:tcPr>
            <w:tcW w:w="550" w:type="pct"/>
          </w:tcPr>
          <w:p>
            <w:pPr>
              <w:jc w:val="left"/>
              <w:rPr>
                <w:noProof/>
              </w:rPr>
            </w:pPr>
            <w:r>
              <w:rPr>
                <w:noProof/>
              </w:rPr>
              <w:t>2021</w:t>
            </w:r>
          </w:p>
        </w:tc>
        <w:tc>
          <w:tcPr>
            <w:tcW w:w="710" w:type="pct"/>
          </w:tcPr>
          <w:p>
            <w:pPr>
              <w:jc w:val="left"/>
              <w:rPr>
                <w:noProof/>
              </w:rPr>
            </w:pPr>
            <w:r>
              <w:rPr>
                <w:noProof/>
              </w:rPr>
              <w:t>OLAF</w:t>
            </w:r>
          </w:p>
        </w:tc>
      </w:tr>
      <w:tr>
        <w:trPr>
          <w:cantSplit/>
        </w:trPr>
        <w:tc>
          <w:tcPr>
            <w:tcW w:w="839" w:type="pct"/>
          </w:tcPr>
          <w:p>
            <w:pPr>
              <w:rPr>
                <w:noProof/>
              </w:rPr>
            </w:pPr>
            <w:r>
              <w:rPr>
                <w:noProof/>
              </w:rPr>
              <w:t>A.2.3</w:t>
            </w:r>
          </w:p>
          <w:p>
            <w:pPr>
              <w:rPr>
                <w:i/>
                <w:noProof/>
              </w:rPr>
            </w:pPr>
          </w:p>
        </w:tc>
        <w:tc>
          <w:tcPr>
            <w:tcW w:w="999" w:type="pct"/>
          </w:tcPr>
          <w:p>
            <w:pPr>
              <w:tabs>
                <w:tab w:val="right" w:pos="1733"/>
              </w:tabs>
              <w:jc w:val="left"/>
              <w:rPr>
                <w:noProof/>
              </w:rPr>
            </w:pPr>
            <w:r>
              <w:rPr>
                <w:noProof/>
              </w:rPr>
              <w:t>Accord de coopération et d'assistance administrative mutuelle en matière douanière (CCMAA) avec la République populaire de Chine</w:t>
            </w:r>
          </w:p>
        </w:tc>
        <w:tc>
          <w:tcPr>
            <w:tcW w:w="1201" w:type="pct"/>
          </w:tcPr>
          <w:p>
            <w:pPr>
              <w:jc w:val="left"/>
              <w:rPr>
                <w:noProof/>
              </w:rPr>
            </w:pPr>
            <w:r>
              <w:rPr>
                <w:noProof/>
              </w:rPr>
              <w:t>Réexamen de l’accord de coopération et d'assistance administrative mutuelle en matière douanière de 2004 avec la République populaire de Chine</w:t>
            </w:r>
          </w:p>
        </w:tc>
        <w:tc>
          <w:tcPr>
            <w:tcW w:w="701" w:type="pct"/>
          </w:tcPr>
          <w:p>
            <w:pPr>
              <w:jc w:val="left"/>
              <w:rPr>
                <w:noProof/>
              </w:rPr>
            </w:pPr>
            <w:r>
              <w:rPr>
                <w:noProof/>
              </w:rPr>
              <w:t xml:space="preserve">Mesures d’évaluation et de suivi potentielles le cas échéant  </w:t>
            </w:r>
          </w:p>
        </w:tc>
        <w:tc>
          <w:tcPr>
            <w:tcW w:w="550" w:type="pct"/>
          </w:tcPr>
          <w:p>
            <w:pPr>
              <w:jc w:val="left"/>
              <w:rPr>
                <w:noProof/>
              </w:rPr>
            </w:pPr>
            <w:r>
              <w:rPr>
                <w:noProof/>
              </w:rPr>
              <w:t>2020</w:t>
            </w:r>
          </w:p>
        </w:tc>
        <w:tc>
          <w:tcPr>
            <w:tcW w:w="710" w:type="pct"/>
          </w:tcPr>
          <w:p>
            <w:pPr>
              <w:jc w:val="left"/>
              <w:rPr>
                <w:noProof/>
              </w:rPr>
            </w:pPr>
            <w:r>
              <w:rPr>
                <w:noProof/>
              </w:rPr>
              <w:t>Commission</w:t>
            </w:r>
          </w:p>
        </w:tc>
      </w:tr>
      <w:tr>
        <w:trPr>
          <w:cantSplit/>
        </w:trPr>
        <w:tc>
          <w:tcPr>
            <w:tcW w:w="839" w:type="pct"/>
          </w:tcPr>
          <w:p>
            <w:pPr>
              <w:rPr>
                <w:noProof/>
              </w:rPr>
            </w:pPr>
            <w:r>
              <w:rPr>
                <w:noProof/>
              </w:rPr>
              <w:t>A.2.4</w:t>
            </w:r>
          </w:p>
          <w:p>
            <w:pPr>
              <w:rPr>
                <w:i/>
                <w:noProof/>
              </w:rPr>
            </w:pPr>
          </w:p>
        </w:tc>
        <w:tc>
          <w:tcPr>
            <w:tcW w:w="999" w:type="pct"/>
          </w:tcPr>
          <w:p>
            <w:pPr>
              <w:tabs>
                <w:tab w:val="right" w:pos="1733"/>
              </w:tabs>
              <w:jc w:val="left"/>
              <w:rPr>
                <w:noProof/>
              </w:rPr>
            </w:pPr>
            <w:r>
              <w:rPr>
                <w:noProof/>
              </w:rPr>
              <w:t xml:space="preserve">Accord de coopération administrative avec les Émirats arabes unis </w:t>
            </w:r>
          </w:p>
        </w:tc>
        <w:tc>
          <w:tcPr>
            <w:tcW w:w="1201" w:type="pct"/>
          </w:tcPr>
          <w:p>
            <w:pPr>
              <w:jc w:val="left"/>
              <w:rPr>
                <w:noProof/>
              </w:rPr>
            </w:pPr>
            <w:r>
              <w:rPr>
                <w:noProof/>
              </w:rPr>
              <w:t xml:space="preserve">Poursuivre les discussions avec l’autorité douanière fédérale des Émirats arabes unis pour conclure un accord de coopération administrative avec l’OLAF </w:t>
            </w:r>
          </w:p>
        </w:tc>
        <w:tc>
          <w:tcPr>
            <w:tcW w:w="701" w:type="pct"/>
          </w:tcPr>
          <w:p>
            <w:pPr>
              <w:jc w:val="left"/>
              <w:rPr>
                <w:noProof/>
              </w:rPr>
            </w:pPr>
            <w:r>
              <w:rPr>
                <w:noProof/>
              </w:rPr>
              <w:t>Signature d'un accord de coopération administrative</w:t>
            </w:r>
          </w:p>
        </w:tc>
        <w:tc>
          <w:tcPr>
            <w:tcW w:w="550" w:type="pct"/>
          </w:tcPr>
          <w:p>
            <w:pPr>
              <w:jc w:val="left"/>
              <w:rPr>
                <w:noProof/>
              </w:rPr>
            </w:pPr>
            <w:r>
              <w:rPr>
                <w:noProof/>
              </w:rPr>
              <w:t>2019</w:t>
            </w:r>
          </w:p>
        </w:tc>
        <w:tc>
          <w:tcPr>
            <w:tcW w:w="710" w:type="pct"/>
          </w:tcPr>
          <w:p>
            <w:pPr>
              <w:jc w:val="left"/>
              <w:rPr>
                <w:noProof/>
              </w:rPr>
            </w:pPr>
            <w:r>
              <w:rPr>
                <w:noProof/>
              </w:rPr>
              <w:t>OLAF</w:t>
            </w:r>
          </w:p>
        </w:tc>
      </w:tr>
      <w:tr>
        <w:trPr>
          <w:cantSplit/>
        </w:trPr>
        <w:tc>
          <w:tcPr>
            <w:tcW w:w="839" w:type="pct"/>
          </w:tcPr>
          <w:p>
            <w:pPr>
              <w:jc w:val="left"/>
              <w:rPr>
                <w:noProof/>
              </w:rPr>
            </w:pPr>
            <w:r>
              <w:rPr>
                <w:noProof/>
              </w:rPr>
              <w:t>A.2.5</w:t>
            </w:r>
          </w:p>
          <w:p>
            <w:pPr>
              <w:jc w:val="left"/>
              <w:rPr>
                <w:noProof/>
              </w:rPr>
            </w:pPr>
          </w:p>
        </w:tc>
        <w:tc>
          <w:tcPr>
            <w:tcW w:w="999" w:type="pct"/>
          </w:tcPr>
          <w:p>
            <w:pPr>
              <w:tabs>
                <w:tab w:val="right" w:pos="1733"/>
              </w:tabs>
              <w:jc w:val="left"/>
              <w:rPr>
                <w:noProof/>
              </w:rPr>
            </w:pPr>
            <w:r>
              <w:rPr>
                <w:noProof/>
              </w:rPr>
              <w:t xml:space="preserve">Accord de coopération et d'assistance administrative mutuelle en matière douanière (CCMAA) avec les Émirats arabes unis </w:t>
            </w:r>
          </w:p>
        </w:tc>
        <w:tc>
          <w:tcPr>
            <w:tcW w:w="1201" w:type="pct"/>
          </w:tcPr>
          <w:p>
            <w:pPr>
              <w:jc w:val="left"/>
              <w:rPr>
                <w:noProof/>
              </w:rPr>
            </w:pPr>
            <w:r>
              <w:rPr>
                <w:noProof/>
              </w:rPr>
              <w:t xml:space="preserve">Examiner la faisabilité d’un accord de coopération et d'assistance administrative mutuelle en matière douanière avec les Émirats arabes unis </w:t>
            </w:r>
          </w:p>
        </w:tc>
        <w:tc>
          <w:tcPr>
            <w:tcW w:w="701" w:type="pct"/>
          </w:tcPr>
          <w:p>
            <w:pPr>
              <w:jc w:val="left"/>
              <w:rPr>
                <w:noProof/>
              </w:rPr>
            </w:pPr>
            <w:r>
              <w:rPr>
                <w:noProof/>
              </w:rPr>
              <w:t>Conclusion des discussions en matière de faisabilité et des mesures d’évaluation potentielles le cas échéant</w:t>
            </w:r>
          </w:p>
        </w:tc>
        <w:tc>
          <w:tcPr>
            <w:tcW w:w="550" w:type="pct"/>
          </w:tcPr>
          <w:p>
            <w:pPr>
              <w:jc w:val="left"/>
              <w:rPr>
                <w:noProof/>
              </w:rPr>
            </w:pPr>
            <w:r>
              <w:rPr>
                <w:noProof/>
              </w:rPr>
              <w:t>En continu</w:t>
            </w:r>
          </w:p>
        </w:tc>
        <w:tc>
          <w:tcPr>
            <w:tcW w:w="710" w:type="pct"/>
          </w:tcPr>
          <w:p>
            <w:pPr>
              <w:jc w:val="left"/>
              <w:rPr>
                <w:noProof/>
              </w:rPr>
            </w:pPr>
            <w:r>
              <w:rPr>
                <w:noProof/>
              </w:rPr>
              <w:t>Commission</w:t>
            </w:r>
          </w:p>
          <w:p>
            <w:pPr>
              <w:jc w:val="left"/>
              <w:rPr>
                <w:noProof/>
              </w:rPr>
            </w:pPr>
            <w:r>
              <w:rPr>
                <w:noProof/>
              </w:rPr>
              <w:t>SEAE</w:t>
            </w:r>
          </w:p>
        </w:tc>
      </w:tr>
      <w:tr>
        <w:trPr>
          <w:cantSplit/>
        </w:trPr>
        <w:tc>
          <w:tcPr>
            <w:tcW w:w="839" w:type="pct"/>
          </w:tcPr>
          <w:p>
            <w:pPr>
              <w:jc w:val="left"/>
              <w:rPr>
                <w:noProof/>
              </w:rPr>
            </w:pPr>
            <w:r>
              <w:rPr>
                <w:noProof/>
              </w:rPr>
              <w:t>A.2.6</w:t>
            </w:r>
          </w:p>
          <w:p>
            <w:pPr>
              <w:jc w:val="left"/>
              <w:rPr>
                <w:noProof/>
              </w:rPr>
            </w:pPr>
          </w:p>
        </w:tc>
        <w:tc>
          <w:tcPr>
            <w:tcW w:w="999" w:type="pct"/>
          </w:tcPr>
          <w:p>
            <w:pPr>
              <w:jc w:val="left"/>
              <w:rPr>
                <w:noProof/>
              </w:rPr>
            </w:pPr>
            <w:r>
              <w:rPr>
                <w:noProof/>
              </w:rPr>
              <w:t>Rapprochement des taux d'accises par les pays tiers</w:t>
            </w:r>
          </w:p>
        </w:tc>
        <w:tc>
          <w:tcPr>
            <w:tcW w:w="1201" w:type="pct"/>
          </w:tcPr>
          <w:p>
            <w:pPr>
              <w:jc w:val="left"/>
              <w:rPr>
                <w:noProof/>
              </w:rPr>
            </w:pPr>
            <w:r>
              <w:rPr>
                <w:noProof/>
              </w:rPr>
              <w:t xml:space="preserve">Négocier de nouveaux engagements avec les principaux pays candidats et les pays candidats potentiels, et d’autres pays concernés dans le voisinage européen pour rapprocher leurs taux d’accises des niveaux applicables dans l’Union européenne </w:t>
            </w:r>
          </w:p>
        </w:tc>
        <w:tc>
          <w:tcPr>
            <w:tcW w:w="701" w:type="pct"/>
          </w:tcPr>
          <w:p>
            <w:pPr>
              <w:jc w:val="left"/>
              <w:rPr>
                <w:noProof/>
              </w:rPr>
            </w:pPr>
            <w:r>
              <w:rPr>
                <w:noProof/>
              </w:rPr>
              <w:t>Engagements à obtenir</w:t>
            </w:r>
          </w:p>
        </w:tc>
        <w:tc>
          <w:tcPr>
            <w:tcW w:w="550" w:type="pct"/>
          </w:tcPr>
          <w:p>
            <w:pPr>
              <w:jc w:val="left"/>
              <w:rPr>
                <w:noProof/>
              </w:rPr>
            </w:pPr>
            <w:r>
              <w:rPr>
                <w:noProof/>
              </w:rPr>
              <w:t>En continu</w:t>
            </w:r>
          </w:p>
        </w:tc>
        <w:tc>
          <w:tcPr>
            <w:tcW w:w="710" w:type="pct"/>
          </w:tcPr>
          <w:p>
            <w:pPr>
              <w:jc w:val="left"/>
              <w:rPr>
                <w:noProof/>
              </w:rPr>
            </w:pPr>
            <w:r>
              <w:rPr>
                <w:noProof/>
              </w:rPr>
              <w:t>Commission</w:t>
            </w:r>
          </w:p>
          <w:p>
            <w:pPr>
              <w:jc w:val="left"/>
              <w:rPr>
                <w:noProof/>
              </w:rPr>
            </w:pPr>
            <w:r>
              <w:rPr>
                <w:noProof/>
              </w:rPr>
              <w:t>SEAE</w:t>
            </w:r>
          </w:p>
        </w:tc>
      </w:tr>
      <w:tr>
        <w:trPr>
          <w:cantSplit/>
        </w:trPr>
        <w:tc>
          <w:tcPr>
            <w:tcW w:w="839" w:type="pct"/>
          </w:tcPr>
          <w:p>
            <w:pPr>
              <w:rPr>
                <w:noProof/>
              </w:rPr>
            </w:pPr>
            <w:r>
              <w:rPr>
                <w:noProof/>
              </w:rPr>
              <w:t>A.2.7</w:t>
            </w:r>
          </w:p>
          <w:p>
            <w:pPr>
              <w:rPr>
                <w:noProof/>
              </w:rPr>
            </w:pPr>
          </w:p>
        </w:tc>
        <w:tc>
          <w:tcPr>
            <w:tcW w:w="999" w:type="pct"/>
          </w:tcPr>
          <w:p>
            <w:pPr>
              <w:jc w:val="left"/>
              <w:rPr>
                <w:noProof/>
              </w:rPr>
            </w:pPr>
            <w:r>
              <w:rPr>
                <w:noProof/>
              </w:rPr>
              <w:t>Coopération douanière avec la Biélorussie</w:t>
            </w:r>
          </w:p>
        </w:tc>
        <w:tc>
          <w:tcPr>
            <w:tcW w:w="1201" w:type="pct"/>
          </w:tcPr>
          <w:p>
            <w:pPr>
              <w:jc w:val="left"/>
              <w:rPr>
                <w:noProof/>
              </w:rPr>
            </w:pPr>
            <w:r>
              <w:rPr>
                <w:noProof/>
              </w:rPr>
              <w:t>Renforcer la coopération douanière avec la Biélorussie par un cadre approprié</w:t>
            </w:r>
          </w:p>
        </w:tc>
        <w:tc>
          <w:tcPr>
            <w:tcW w:w="701" w:type="pct"/>
          </w:tcPr>
          <w:p>
            <w:pPr>
              <w:jc w:val="left"/>
              <w:rPr>
                <w:noProof/>
              </w:rPr>
            </w:pPr>
            <w:r>
              <w:rPr>
                <w:noProof/>
              </w:rPr>
              <w:t>Renforcer l'efficacité de la participation et de la coopération</w:t>
            </w:r>
          </w:p>
        </w:tc>
        <w:tc>
          <w:tcPr>
            <w:tcW w:w="550" w:type="pct"/>
          </w:tcPr>
          <w:p>
            <w:pPr>
              <w:jc w:val="left"/>
              <w:rPr>
                <w:noProof/>
              </w:rPr>
            </w:pPr>
            <w:r>
              <w:rPr>
                <w:noProof/>
              </w:rPr>
              <w:t>En continu</w:t>
            </w:r>
          </w:p>
        </w:tc>
        <w:tc>
          <w:tcPr>
            <w:tcW w:w="710" w:type="pct"/>
          </w:tcPr>
          <w:p>
            <w:pPr>
              <w:jc w:val="left"/>
              <w:rPr>
                <w:noProof/>
              </w:rPr>
            </w:pPr>
            <w:r>
              <w:rPr>
                <w:noProof/>
              </w:rPr>
              <w:t>Commission</w:t>
            </w:r>
          </w:p>
          <w:p>
            <w:pPr>
              <w:jc w:val="left"/>
              <w:rPr>
                <w:noProof/>
              </w:rPr>
            </w:pPr>
            <w:r>
              <w:rPr>
                <w:noProof/>
              </w:rPr>
              <w:t>SEAE</w:t>
            </w:r>
          </w:p>
          <w:p>
            <w:pPr>
              <w:jc w:val="left"/>
              <w:rPr>
                <w:noProof/>
              </w:rPr>
            </w:pPr>
            <w:r>
              <w:rPr>
                <w:noProof/>
              </w:rPr>
              <w:t>OLAF</w:t>
            </w:r>
          </w:p>
        </w:tc>
      </w:tr>
      <w:tr>
        <w:trPr>
          <w:cantSplit/>
        </w:trPr>
        <w:tc>
          <w:tcPr>
            <w:tcW w:w="839" w:type="pct"/>
          </w:tcPr>
          <w:p>
            <w:pPr>
              <w:rPr>
                <w:noProof/>
              </w:rPr>
            </w:pPr>
            <w:r>
              <w:rPr>
                <w:noProof/>
              </w:rPr>
              <w:t>A.2.9</w:t>
            </w:r>
          </w:p>
          <w:p>
            <w:pPr>
              <w:rPr>
                <w:noProof/>
              </w:rPr>
            </w:pPr>
          </w:p>
        </w:tc>
        <w:tc>
          <w:tcPr>
            <w:tcW w:w="999" w:type="pct"/>
          </w:tcPr>
          <w:p>
            <w:pPr>
              <w:jc w:val="left"/>
              <w:rPr>
                <w:noProof/>
              </w:rPr>
            </w:pPr>
            <w:r>
              <w:rPr>
                <w:noProof/>
              </w:rPr>
              <w:t>Agents de liaison de l’OLAF</w:t>
            </w:r>
          </w:p>
        </w:tc>
        <w:tc>
          <w:tcPr>
            <w:tcW w:w="1201" w:type="pct"/>
          </w:tcPr>
          <w:p>
            <w:pPr>
              <w:jc w:val="left"/>
              <w:rPr>
                <w:noProof/>
              </w:rPr>
            </w:pPr>
            <w:r>
              <w:rPr>
                <w:noProof/>
              </w:rPr>
              <w:t>Augmenter le nombre d’agents de liaison de l’OLAF dans les principaux pays tiers, dans les limites des ressources disponibles</w:t>
            </w:r>
          </w:p>
        </w:tc>
        <w:tc>
          <w:tcPr>
            <w:tcW w:w="701" w:type="pct"/>
          </w:tcPr>
          <w:p>
            <w:pPr>
              <w:jc w:val="left"/>
              <w:rPr>
                <w:noProof/>
              </w:rPr>
            </w:pPr>
            <w:r>
              <w:rPr>
                <w:noProof/>
              </w:rPr>
              <w:t xml:space="preserve">Hausse du nombre d’agents de liaison de l’OLAF </w:t>
            </w:r>
          </w:p>
        </w:tc>
        <w:tc>
          <w:tcPr>
            <w:tcW w:w="550" w:type="pct"/>
          </w:tcPr>
          <w:p>
            <w:pPr>
              <w:jc w:val="left"/>
              <w:rPr>
                <w:noProof/>
              </w:rPr>
            </w:pPr>
            <w:r>
              <w:rPr>
                <w:noProof/>
              </w:rPr>
              <w:t>2022</w:t>
            </w:r>
          </w:p>
        </w:tc>
        <w:tc>
          <w:tcPr>
            <w:tcW w:w="710" w:type="pct"/>
          </w:tcPr>
          <w:p>
            <w:pPr>
              <w:jc w:val="left"/>
              <w:rPr>
                <w:noProof/>
              </w:rPr>
            </w:pPr>
            <w:r>
              <w:rPr>
                <w:noProof/>
              </w:rPr>
              <w:t>Commission</w:t>
            </w:r>
          </w:p>
          <w:p>
            <w:pPr>
              <w:jc w:val="left"/>
              <w:rPr>
                <w:noProof/>
              </w:rPr>
            </w:pPr>
            <w:r>
              <w:rPr>
                <w:noProof/>
              </w:rPr>
              <w:t>OLAF</w:t>
            </w:r>
          </w:p>
          <w:p>
            <w:pPr>
              <w:jc w:val="left"/>
              <w:rPr>
                <w:noProof/>
              </w:rPr>
            </w:pPr>
            <w:r>
              <w:rPr>
                <w:noProof/>
              </w:rPr>
              <w:t>SEAE</w:t>
            </w:r>
          </w:p>
        </w:tc>
      </w:tr>
    </w:tbl>
    <w:p>
      <w:pPr>
        <w:rPr>
          <w:noProof/>
        </w:rPr>
      </w:pPr>
      <w:r>
        <w:rPr>
          <w:noProof/>
        </w:rPr>
        <w:br w:type="page"/>
      </w: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Pr>
        <w:tc>
          <w:tcPr>
            <w:tcW w:w="839" w:type="pct"/>
            <w:shd w:val="clear" w:color="auto" w:fill="A6A6A6" w:themeFill="background1" w:themeFillShade="A6"/>
          </w:tcPr>
          <w:p>
            <w:pPr>
              <w:rPr>
                <w:noProof/>
              </w:rPr>
            </w:pPr>
            <w:r>
              <w:rPr>
                <w:rFonts w:ascii="Times New Roman Bold" w:hAnsi="Times New Roman Bold"/>
                <w:b/>
                <w:smallCaps/>
                <w:noProof/>
              </w:rPr>
              <w:t>B</w:t>
            </w:r>
          </w:p>
        </w:tc>
        <w:tc>
          <w:tcPr>
            <w:tcW w:w="999" w:type="pct"/>
            <w:shd w:val="clear" w:color="auto" w:fill="A6A6A6" w:themeFill="background1" w:themeFillShade="A6"/>
          </w:tcPr>
          <w:p>
            <w:pPr>
              <w:jc w:val="left"/>
              <w:rPr>
                <w:noProof/>
              </w:rPr>
            </w:pPr>
            <w:r>
              <w:rPr>
                <w:rFonts w:ascii="Times New Roman Bold" w:hAnsi="Times New Roman Bold"/>
                <w:b/>
                <w:smallCaps/>
                <w:noProof/>
              </w:rPr>
              <w:t>Limiter l’offre</w:t>
            </w:r>
          </w:p>
        </w:tc>
        <w:tc>
          <w:tcPr>
            <w:tcW w:w="1201" w:type="pct"/>
            <w:shd w:val="clear" w:color="auto" w:fill="A6A6A6" w:themeFill="background1" w:themeFillShade="A6"/>
          </w:tcPr>
          <w:p>
            <w:pPr>
              <w:jc w:val="left"/>
              <w:rPr>
                <w:noProof/>
              </w:rPr>
            </w:pPr>
          </w:p>
        </w:tc>
        <w:tc>
          <w:tcPr>
            <w:tcW w:w="701" w:type="pct"/>
            <w:shd w:val="clear" w:color="auto" w:fill="A6A6A6" w:themeFill="background1" w:themeFillShade="A6"/>
          </w:tcPr>
          <w:p>
            <w:pPr>
              <w:jc w:val="left"/>
              <w:rPr>
                <w:noProof/>
              </w:rPr>
            </w:pPr>
          </w:p>
        </w:tc>
        <w:tc>
          <w:tcPr>
            <w:tcW w:w="550" w:type="pct"/>
            <w:shd w:val="clear" w:color="auto" w:fill="A6A6A6" w:themeFill="background1" w:themeFillShade="A6"/>
          </w:tcPr>
          <w:p>
            <w:pPr>
              <w:jc w:val="left"/>
              <w:rPr>
                <w:noProof/>
              </w:rPr>
            </w:pPr>
          </w:p>
        </w:tc>
        <w:tc>
          <w:tcPr>
            <w:tcW w:w="710" w:type="pct"/>
            <w:shd w:val="clear" w:color="auto" w:fill="A6A6A6" w:themeFill="background1" w:themeFillShade="A6"/>
          </w:tcPr>
          <w:p>
            <w:pPr>
              <w:jc w:val="left"/>
              <w:rPr>
                <w:noProof/>
              </w:rPr>
            </w:pPr>
          </w:p>
        </w:tc>
      </w:tr>
      <w:tr>
        <w:trPr>
          <w:cantSplit/>
        </w:trPr>
        <w:tc>
          <w:tcPr>
            <w:tcW w:w="839" w:type="pct"/>
            <w:shd w:val="clear" w:color="auto" w:fill="BFBFBF" w:themeFill="background1" w:themeFillShade="BF"/>
          </w:tcPr>
          <w:p>
            <w:pPr>
              <w:rPr>
                <w:noProof/>
              </w:rPr>
            </w:pPr>
            <w:r>
              <w:rPr>
                <w:b/>
                <w:noProof/>
              </w:rPr>
              <w:t>B.1</w:t>
            </w:r>
          </w:p>
        </w:tc>
        <w:tc>
          <w:tcPr>
            <w:tcW w:w="999" w:type="pct"/>
            <w:shd w:val="clear" w:color="auto" w:fill="BFBFBF" w:themeFill="background1" w:themeFillShade="BF"/>
          </w:tcPr>
          <w:p>
            <w:pPr>
              <w:jc w:val="left"/>
              <w:rPr>
                <w:noProof/>
              </w:rPr>
            </w:pPr>
            <w:r>
              <w:rPr>
                <w:b/>
                <w:noProof/>
              </w:rPr>
              <w:t>Sécuriser la chaîne d’approvisionnement – Nouveau système de traçabilité de l’Union européenne pour les produits du tabac</w:t>
            </w:r>
          </w:p>
        </w:tc>
        <w:tc>
          <w:tcPr>
            <w:tcW w:w="1201" w:type="pct"/>
            <w:shd w:val="clear" w:color="auto" w:fill="BFBFBF" w:themeFill="background1" w:themeFillShade="BF"/>
          </w:tcPr>
          <w:p>
            <w:pPr>
              <w:jc w:val="left"/>
              <w:rPr>
                <w:noProof/>
              </w:rPr>
            </w:pPr>
          </w:p>
        </w:tc>
        <w:tc>
          <w:tcPr>
            <w:tcW w:w="701" w:type="pct"/>
            <w:shd w:val="clear" w:color="auto" w:fill="BFBFBF" w:themeFill="background1" w:themeFillShade="BF"/>
          </w:tcPr>
          <w:p>
            <w:pPr>
              <w:jc w:val="left"/>
              <w:rPr>
                <w:noProof/>
              </w:rPr>
            </w:pPr>
          </w:p>
        </w:tc>
        <w:tc>
          <w:tcPr>
            <w:tcW w:w="550" w:type="pct"/>
            <w:shd w:val="clear" w:color="auto" w:fill="BFBFBF" w:themeFill="background1" w:themeFillShade="BF"/>
          </w:tcPr>
          <w:p>
            <w:pPr>
              <w:jc w:val="left"/>
              <w:rPr>
                <w:noProof/>
              </w:rPr>
            </w:pPr>
          </w:p>
        </w:tc>
        <w:tc>
          <w:tcPr>
            <w:tcW w:w="710" w:type="pct"/>
            <w:shd w:val="clear" w:color="auto" w:fill="BFBFBF" w:themeFill="background1" w:themeFillShade="BF"/>
          </w:tcPr>
          <w:p>
            <w:pPr>
              <w:jc w:val="left"/>
              <w:rPr>
                <w:noProof/>
              </w:rPr>
            </w:pPr>
          </w:p>
        </w:tc>
      </w:tr>
      <w:tr>
        <w:trPr>
          <w:cantSplit/>
        </w:trPr>
        <w:tc>
          <w:tcPr>
            <w:tcW w:w="839" w:type="pct"/>
          </w:tcPr>
          <w:p>
            <w:pPr>
              <w:jc w:val="left"/>
              <w:rPr>
                <w:noProof/>
                <w:szCs w:val="24"/>
              </w:rPr>
            </w:pPr>
            <w:r>
              <w:rPr>
                <w:noProof/>
              </w:rPr>
              <w:t>B.1.1</w:t>
            </w:r>
          </w:p>
          <w:p>
            <w:pPr>
              <w:jc w:val="left"/>
              <w:rPr>
                <w:noProof/>
                <w:szCs w:val="24"/>
              </w:rPr>
            </w:pPr>
          </w:p>
        </w:tc>
        <w:tc>
          <w:tcPr>
            <w:tcW w:w="999" w:type="pct"/>
          </w:tcPr>
          <w:p>
            <w:pPr>
              <w:jc w:val="left"/>
              <w:rPr>
                <w:noProof/>
                <w:szCs w:val="24"/>
              </w:rPr>
            </w:pPr>
            <w:r>
              <w:rPr>
                <w:noProof/>
              </w:rPr>
              <w:t>Soutenir le déploiement d’un nouveau système de traçabilité</w:t>
            </w:r>
          </w:p>
        </w:tc>
        <w:tc>
          <w:tcPr>
            <w:tcW w:w="1201" w:type="pct"/>
          </w:tcPr>
          <w:p>
            <w:pPr>
              <w:jc w:val="left"/>
              <w:rPr>
                <w:noProof/>
                <w:szCs w:val="24"/>
              </w:rPr>
            </w:pPr>
            <w:r>
              <w:rPr>
                <w:noProof/>
              </w:rPr>
              <w:t>Soutenir les États membres dans le déploiement du nouveau système de traçabilité européen prévu dans le cadre de la directive sur les produits du tabac de 2014</w:t>
            </w:r>
          </w:p>
        </w:tc>
        <w:tc>
          <w:tcPr>
            <w:tcW w:w="701" w:type="pct"/>
          </w:tcPr>
          <w:p>
            <w:pPr>
              <w:jc w:val="left"/>
              <w:rPr>
                <w:noProof/>
                <w:szCs w:val="24"/>
              </w:rPr>
            </w:pPr>
            <w:r>
              <w:rPr>
                <w:noProof/>
              </w:rPr>
              <w:t xml:space="preserve">Aide fournie </w:t>
            </w:r>
          </w:p>
        </w:tc>
        <w:tc>
          <w:tcPr>
            <w:tcW w:w="550" w:type="pct"/>
          </w:tcPr>
          <w:p>
            <w:pPr>
              <w:jc w:val="left"/>
              <w:rPr>
                <w:noProof/>
                <w:szCs w:val="24"/>
              </w:rPr>
            </w:pPr>
            <w:r>
              <w:rPr>
                <w:noProof/>
              </w:rPr>
              <w:t>2019</w:t>
            </w:r>
          </w:p>
        </w:tc>
        <w:tc>
          <w:tcPr>
            <w:tcW w:w="710" w:type="pct"/>
          </w:tcPr>
          <w:p>
            <w:pPr>
              <w:jc w:val="left"/>
              <w:rPr>
                <w:noProof/>
                <w:szCs w:val="24"/>
              </w:rPr>
            </w:pPr>
            <w:r>
              <w:rPr>
                <w:noProof/>
              </w:rPr>
              <w:t>Commission</w:t>
            </w:r>
          </w:p>
        </w:tc>
      </w:tr>
      <w:tr>
        <w:trPr>
          <w:cantSplit/>
        </w:trPr>
        <w:tc>
          <w:tcPr>
            <w:tcW w:w="839" w:type="pct"/>
          </w:tcPr>
          <w:p>
            <w:pPr>
              <w:jc w:val="left"/>
              <w:rPr>
                <w:noProof/>
              </w:rPr>
            </w:pPr>
            <w:r>
              <w:rPr>
                <w:noProof/>
              </w:rPr>
              <w:t>B.1.2</w:t>
            </w:r>
          </w:p>
          <w:p>
            <w:pPr>
              <w:jc w:val="left"/>
              <w:rPr>
                <w:i/>
                <w:noProof/>
              </w:rPr>
            </w:pPr>
          </w:p>
        </w:tc>
        <w:tc>
          <w:tcPr>
            <w:tcW w:w="999" w:type="pct"/>
          </w:tcPr>
          <w:p>
            <w:pPr>
              <w:jc w:val="left"/>
              <w:rPr>
                <w:noProof/>
              </w:rPr>
            </w:pPr>
            <w:r>
              <w:rPr>
                <w:noProof/>
              </w:rPr>
              <w:t>Promouvoir le système de traçabilité européen dans les pays du voisinage</w:t>
            </w:r>
          </w:p>
        </w:tc>
        <w:tc>
          <w:tcPr>
            <w:tcW w:w="1201" w:type="pct"/>
          </w:tcPr>
          <w:p>
            <w:pPr>
              <w:jc w:val="left"/>
              <w:rPr>
                <w:noProof/>
              </w:rPr>
            </w:pPr>
            <w:r>
              <w:rPr>
                <w:noProof/>
              </w:rPr>
              <w:t xml:space="preserve">Proposer de l’aide et du soutien aux pays du voisinage élargi de l’UE (notamment les pays candidats et les pays candidats potentiels, et les pays du voisinage européen) pour mettre en place des systèmes de traçabilité similaires, éventuellement intégrés </w:t>
            </w:r>
          </w:p>
        </w:tc>
        <w:tc>
          <w:tcPr>
            <w:tcW w:w="701" w:type="pct"/>
          </w:tcPr>
          <w:p>
            <w:pPr>
              <w:jc w:val="left"/>
              <w:rPr>
                <w:noProof/>
              </w:rPr>
            </w:pPr>
            <w:r>
              <w:rPr>
                <w:noProof/>
              </w:rPr>
              <w:t>Alignement efficace des systèmes de traçabilité dans les pays concernés</w:t>
            </w:r>
          </w:p>
        </w:tc>
        <w:tc>
          <w:tcPr>
            <w:tcW w:w="550" w:type="pct"/>
          </w:tcPr>
          <w:p>
            <w:pPr>
              <w:jc w:val="left"/>
              <w:rPr>
                <w:noProof/>
              </w:rPr>
            </w:pPr>
            <w:r>
              <w:rPr>
                <w:noProof/>
              </w:rPr>
              <w:t>2022</w:t>
            </w:r>
          </w:p>
        </w:tc>
        <w:tc>
          <w:tcPr>
            <w:tcW w:w="710" w:type="pct"/>
          </w:tcPr>
          <w:p>
            <w:pPr>
              <w:jc w:val="left"/>
              <w:rPr>
                <w:noProof/>
              </w:rPr>
            </w:pPr>
            <w:r>
              <w:rPr>
                <w:noProof/>
              </w:rPr>
              <w:t>Commission</w:t>
            </w:r>
          </w:p>
          <w:p>
            <w:pPr>
              <w:jc w:val="left"/>
              <w:rPr>
                <w:noProof/>
              </w:rPr>
            </w:pPr>
            <w:r>
              <w:rPr>
                <w:noProof/>
              </w:rPr>
              <w:t>SEAE</w:t>
            </w:r>
          </w:p>
        </w:tc>
      </w:tr>
      <w:tr>
        <w:trPr>
          <w:cantSplit/>
          <w:trHeight w:val="1414"/>
        </w:trPr>
        <w:tc>
          <w:tcPr>
            <w:tcW w:w="839" w:type="pct"/>
          </w:tcPr>
          <w:p>
            <w:pPr>
              <w:jc w:val="left"/>
              <w:rPr>
                <w:noProof/>
              </w:rPr>
            </w:pPr>
            <w:r>
              <w:rPr>
                <w:noProof/>
              </w:rPr>
              <w:t>B.1.3</w:t>
            </w:r>
          </w:p>
          <w:p>
            <w:pPr>
              <w:jc w:val="left"/>
              <w:rPr>
                <w:i/>
                <w:noProof/>
              </w:rPr>
            </w:pPr>
          </w:p>
        </w:tc>
        <w:tc>
          <w:tcPr>
            <w:tcW w:w="999" w:type="pct"/>
          </w:tcPr>
          <w:p>
            <w:pPr>
              <w:jc w:val="left"/>
              <w:rPr>
                <w:noProof/>
              </w:rPr>
            </w:pPr>
            <w:r>
              <w:rPr>
                <w:noProof/>
              </w:rPr>
              <w:t>Examen du système de traçabilité de l’UE</w:t>
            </w:r>
          </w:p>
        </w:tc>
        <w:tc>
          <w:tcPr>
            <w:tcW w:w="1201" w:type="pct"/>
          </w:tcPr>
          <w:p>
            <w:pPr>
              <w:jc w:val="left"/>
              <w:rPr>
                <w:noProof/>
              </w:rPr>
            </w:pPr>
            <w:r>
              <w:rPr>
                <w:noProof/>
              </w:rPr>
              <w:t>Examiner le fonctionnement du système de suivi et de traçabilité de l’UE, en particulier les procédures de sélection des pays tiers indépendants</w:t>
            </w:r>
          </w:p>
        </w:tc>
        <w:tc>
          <w:tcPr>
            <w:tcW w:w="701" w:type="pct"/>
          </w:tcPr>
          <w:p>
            <w:pPr>
              <w:jc w:val="left"/>
              <w:rPr>
                <w:noProof/>
              </w:rPr>
            </w:pPr>
            <w:r>
              <w:rPr>
                <w:noProof/>
              </w:rPr>
              <w:t xml:space="preserve">Examen </w:t>
            </w:r>
          </w:p>
        </w:tc>
        <w:tc>
          <w:tcPr>
            <w:tcW w:w="550" w:type="pct"/>
          </w:tcPr>
          <w:p>
            <w:pPr>
              <w:jc w:val="left"/>
              <w:rPr>
                <w:noProof/>
              </w:rPr>
            </w:pPr>
            <w:r>
              <w:rPr>
                <w:noProof/>
              </w:rPr>
              <w:t>2021</w:t>
            </w:r>
          </w:p>
        </w:tc>
        <w:tc>
          <w:tcPr>
            <w:tcW w:w="710" w:type="pct"/>
          </w:tcPr>
          <w:p>
            <w:pPr>
              <w:jc w:val="left"/>
              <w:rPr>
                <w:noProof/>
              </w:rPr>
            </w:pPr>
            <w:r>
              <w:rPr>
                <w:noProof/>
              </w:rPr>
              <w:t>Commission</w:t>
            </w:r>
          </w:p>
        </w:tc>
      </w:tr>
      <w:tr>
        <w:trPr>
          <w:cantSplit/>
        </w:trPr>
        <w:tc>
          <w:tcPr>
            <w:tcW w:w="839" w:type="pct"/>
            <w:shd w:val="clear" w:color="auto" w:fill="BFBFBF" w:themeFill="background1" w:themeFillShade="BF"/>
          </w:tcPr>
          <w:p>
            <w:pPr>
              <w:jc w:val="left"/>
              <w:rPr>
                <w:b/>
                <w:bCs/>
                <w:noProof/>
              </w:rPr>
            </w:pPr>
            <w:r>
              <w:rPr>
                <w:b/>
                <w:noProof/>
              </w:rPr>
              <w:t>B.2</w:t>
            </w:r>
          </w:p>
        </w:tc>
        <w:tc>
          <w:tcPr>
            <w:tcW w:w="999" w:type="pct"/>
            <w:shd w:val="clear" w:color="auto" w:fill="BFBFBF" w:themeFill="background1" w:themeFillShade="BF"/>
          </w:tcPr>
          <w:p>
            <w:pPr>
              <w:jc w:val="left"/>
              <w:rPr>
                <w:b/>
                <w:bCs/>
                <w:noProof/>
              </w:rPr>
            </w:pPr>
            <w:r>
              <w:rPr>
                <w:b/>
                <w:noProof/>
              </w:rPr>
              <w:t>Limiter l’offre de matières premières</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tcPr>
          <w:p>
            <w:pPr>
              <w:jc w:val="left"/>
              <w:rPr>
                <w:noProof/>
              </w:rPr>
            </w:pPr>
            <w:r>
              <w:rPr>
                <w:noProof/>
              </w:rPr>
              <w:t>B.2.1</w:t>
            </w:r>
          </w:p>
          <w:p>
            <w:pPr>
              <w:jc w:val="left"/>
              <w:rPr>
                <w:i/>
                <w:noProof/>
              </w:rPr>
            </w:pPr>
          </w:p>
        </w:tc>
        <w:tc>
          <w:tcPr>
            <w:tcW w:w="999" w:type="pct"/>
          </w:tcPr>
          <w:p>
            <w:pPr>
              <w:jc w:val="left"/>
              <w:rPr>
                <w:noProof/>
              </w:rPr>
            </w:pPr>
            <w:r>
              <w:rPr>
                <w:noProof/>
              </w:rPr>
              <w:t xml:space="preserve">Mouvements de tabac brut et de tabac coupé </w:t>
            </w:r>
          </w:p>
        </w:tc>
        <w:tc>
          <w:tcPr>
            <w:tcW w:w="1201" w:type="pct"/>
          </w:tcPr>
          <w:p>
            <w:pPr>
              <w:jc w:val="left"/>
              <w:rPr>
                <w:noProof/>
              </w:rPr>
            </w:pPr>
            <w:r>
              <w:rPr>
                <w:noProof/>
              </w:rPr>
              <w:t xml:space="preserve">Élaborer des outils opérationnels pour mieux suivre et contrôler les mouvements transfrontaliers de tabac brut et de tabac coupé vers l’UE et au sein de l’UE, y compris en organisant un atelier technique pour analyser les systèmes nationaux concernés </w:t>
            </w:r>
          </w:p>
        </w:tc>
        <w:tc>
          <w:tcPr>
            <w:tcW w:w="701" w:type="pct"/>
          </w:tcPr>
          <w:p>
            <w:pPr>
              <w:jc w:val="left"/>
              <w:rPr>
                <w:noProof/>
              </w:rPr>
            </w:pPr>
            <w:r>
              <w:rPr>
                <w:noProof/>
              </w:rPr>
              <w:t>Mesures prises pour effectuer le suivi et le contrôle des mouvements du tabac brut et de tabac coupé</w:t>
            </w:r>
          </w:p>
        </w:tc>
        <w:tc>
          <w:tcPr>
            <w:tcW w:w="550" w:type="pct"/>
          </w:tcPr>
          <w:p>
            <w:pPr>
              <w:jc w:val="left"/>
              <w:rPr>
                <w:noProof/>
              </w:rPr>
            </w:pPr>
            <w:r>
              <w:rPr>
                <w:noProof/>
              </w:rPr>
              <w:t xml:space="preserve">2021 </w:t>
            </w:r>
          </w:p>
        </w:tc>
        <w:tc>
          <w:tcPr>
            <w:tcW w:w="710" w:type="pct"/>
          </w:tcPr>
          <w:p>
            <w:pPr>
              <w:jc w:val="left"/>
              <w:rPr>
                <w:noProof/>
              </w:rPr>
            </w:pPr>
            <w:r>
              <w:rPr>
                <w:noProof/>
              </w:rPr>
              <w:t>Commission</w:t>
            </w:r>
          </w:p>
          <w:p>
            <w:pPr>
              <w:jc w:val="left"/>
              <w:rPr>
                <w:noProof/>
              </w:rPr>
            </w:pPr>
            <w:r>
              <w:rPr>
                <w:noProof/>
              </w:rPr>
              <w:t>États membres</w:t>
            </w:r>
          </w:p>
        </w:tc>
      </w:tr>
      <w:tr>
        <w:trPr>
          <w:cantSplit/>
        </w:trPr>
        <w:tc>
          <w:tcPr>
            <w:tcW w:w="839" w:type="pct"/>
          </w:tcPr>
          <w:p>
            <w:pPr>
              <w:jc w:val="left"/>
              <w:rPr>
                <w:noProof/>
              </w:rPr>
            </w:pPr>
            <w:r>
              <w:rPr>
                <w:noProof/>
              </w:rPr>
              <w:t>B.2.2</w:t>
            </w:r>
          </w:p>
          <w:p>
            <w:pPr>
              <w:jc w:val="left"/>
              <w:rPr>
                <w:noProof/>
              </w:rPr>
            </w:pPr>
          </w:p>
        </w:tc>
        <w:tc>
          <w:tcPr>
            <w:tcW w:w="999" w:type="pct"/>
          </w:tcPr>
          <w:p>
            <w:pPr>
              <w:jc w:val="left"/>
              <w:rPr>
                <w:noProof/>
              </w:rPr>
            </w:pPr>
            <w:r>
              <w:rPr>
                <w:noProof/>
              </w:rPr>
              <w:t>Réduction de l’accès aux filtres</w:t>
            </w:r>
          </w:p>
        </w:tc>
        <w:tc>
          <w:tcPr>
            <w:tcW w:w="1201" w:type="pct"/>
          </w:tcPr>
          <w:p>
            <w:pPr>
              <w:jc w:val="left"/>
              <w:rPr>
                <w:noProof/>
              </w:rPr>
            </w:pPr>
            <w:r>
              <w:rPr>
                <w:noProof/>
              </w:rPr>
              <w:t>Analyser les possibilités de réduire l’accès des producteurs de tabac illicite aux mèches d’acétate et aux filtres de cigarette en coopération avec les pays d’origine concernés</w:t>
            </w:r>
          </w:p>
        </w:tc>
        <w:tc>
          <w:tcPr>
            <w:tcW w:w="701" w:type="pct"/>
          </w:tcPr>
          <w:p>
            <w:pPr>
              <w:jc w:val="left"/>
              <w:rPr>
                <w:noProof/>
              </w:rPr>
            </w:pPr>
            <w:r>
              <w:rPr>
                <w:noProof/>
              </w:rPr>
              <w:t>Rapport</w:t>
            </w:r>
          </w:p>
        </w:tc>
        <w:tc>
          <w:tcPr>
            <w:tcW w:w="550" w:type="pct"/>
          </w:tcPr>
          <w:p>
            <w:pPr>
              <w:jc w:val="left"/>
              <w:rPr>
                <w:noProof/>
              </w:rPr>
            </w:pPr>
            <w:r>
              <w:rPr>
                <w:noProof/>
              </w:rPr>
              <w:t>2022</w:t>
            </w:r>
          </w:p>
        </w:tc>
        <w:tc>
          <w:tcPr>
            <w:tcW w:w="710" w:type="pct"/>
          </w:tcPr>
          <w:p>
            <w:pPr>
              <w:jc w:val="left"/>
              <w:rPr>
                <w:noProof/>
              </w:rPr>
            </w:pPr>
            <w:r>
              <w:rPr>
                <w:noProof/>
              </w:rPr>
              <w:t>Commission</w:t>
            </w:r>
          </w:p>
        </w:tc>
      </w:tr>
      <w:tr>
        <w:trPr>
          <w:cantSplit/>
        </w:trPr>
        <w:tc>
          <w:tcPr>
            <w:tcW w:w="839" w:type="pct"/>
            <w:shd w:val="clear" w:color="auto" w:fill="BFBFBF" w:themeFill="background1" w:themeFillShade="BF"/>
          </w:tcPr>
          <w:p>
            <w:pPr>
              <w:jc w:val="left"/>
              <w:rPr>
                <w:b/>
                <w:noProof/>
              </w:rPr>
            </w:pPr>
            <w:r>
              <w:rPr>
                <w:b/>
                <w:noProof/>
              </w:rPr>
              <w:t>B.3</w:t>
            </w:r>
          </w:p>
        </w:tc>
        <w:tc>
          <w:tcPr>
            <w:tcW w:w="999" w:type="pct"/>
            <w:shd w:val="clear" w:color="auto" w:fill="BFBFBF" w:themeFill="background1" w:themeFillShade="BF"/>
          </w:tcPr>
          <w:p>
            <w:pPr>
              <w:jc w:val="left"/>
              <w:rPr>
                <w:b/>
                <w:noProof/>
              </w:rPr>
            </w:pPr>
            <w:r>
              <w:rPr>
                <w:b/>
                <w:noProof/>
              </w:rPr>
              <w:t>Renforcer le cadre douanier</w:t>
            </w:r>
          </w:p>
        </w:tc>
        <w:tc>
          <w:tcPr>
            <w:tcW w:w="1201" w:type="pct"/>
            <w:shd w:val="clear" w:color="auto" w:fill="BFBFBF" w:themeFill="background1" w:themeFillShade="BF"/>
          </w:tcPr>
          <w:p>
            <w:pPr>
              <w:jc w:val="left"/>
              <w:rPr>
                <w:b/>
                <w:noProof/>
              </w:rPr>
            </w:pPr>
          </w:p>
        </w:tc>
        <w:tc>
          <w:tcPr>
            <w:tcW w:w="701" w:type="pct"/>
            <w:shd w:val="clear" w:color="auto" w:fill="BFBFBF" w:themeFill="background1" w:themeFillShade="BF"/>
          </w:tcPr>
          <w:p>
            <w:pPr>
              <w:jc w:val="left"/>
              <w:rPr>
                <w:b/>
                <w:noProof/>
              </w:rPr>
            </w:pPr>
          </w:p>
        </w:tc>
        <w:tc>
          <w:tcPr>
            <w:tcW w:w="550" w:type="pct"/>
            <w:shd w:val="clear" w:color="auto" w:fill="BFBFBF" w:themeFill="background1" w:themeFillShade="BF"/>
          </w:tcPr>
          <w:p>
            <w:pPr>
              <w:jc w:val="left"/>
              <w:rPr>
                <w:b/>
                <w:noProof/>
              </w:rPr>
            </w:pPr>
          </w:p>
        </w:tc>
        <w:tc>
          <w:tcPr>
            <w:tcW w:w="710" w:type="pct"/>
            <w:shd w:val="clear" w:color="auto" w:fill="BFBFBF" w:themeFill="background1" w:themeFillShade="BF"/>
          </w:tcPr>
          <w:p>
            <w:pPr>
              <w:jc w:val="left"/>
              <w:rPr>
                <w:b/>
                <w:noProof/>
              </w:rPr>
            </w:pPr>
          </w:p>
        </w:tc>
      </w:tr>
      <w:tr>
        <w:trPr>
          <w:cantSplit/>
        </w:trPr>
        <w:tc>
          <w:tcPr>
            <w:tcW w:w="839" w:type="pct"/>
          </w:tcPr>
          <w:p>
            <w:pPr>
              <w:jc w:val="left"/>
              <w:rPr>
                <w:noProof/>
              </w:rPr>
            </w:pPr>
            <w:r>
              <w:rPr>
                <w:noProof/>
              </w:rPr>
              <w:t>B.3.1</w:t>
            </w:r>
          </w:p>
          <w:p>
            <w:pPr>
              <w:jc w:val="left"/>
              <w:rPr>
                <w:i/>
                <w:noProof/>
              </w:rPr>
            </w:pPr>
          </w:p>
        </w:tc>
        <w:tc>
          <w:tcPr>
            <w:tcW w:w="999" w:type="pct"/>
          </w:tcPr>
          <w:p>
            <w:pPr>
              <w:jc w:val="left"/>
              <w:rPr>
                <w:noProof/>
              </w:rPr>
            </w:pPr>
            <w:r>
              <w:rPr>
                <w:noProof/>
              </w:rPr>
              <w:t>Système d’informatisation des mouvements et des contrôles des produits soumis à accises</w:t>
            </w:r>
          </w:p>
        </w:tc>
        <w:tc>
          <w:tcPr>
            <w:tcW w:w="1201" w:type="pct"/>
          </w:tcPr>
          <w:p>
            <w:pPr>
              <w:jc w:val="left"/>
              <w:rPr>
                <w:noProof/>
              </w:rPr>
            </w:pPr>
            <w:r>
              <w:rPr>
                <w:noProof/>
              </w:rPr>
              <w:t>Élargir le système d’informatisation des mouvements et des contrôles des produits soumis à accises (EMCS), créé par la directive 2008/118, au mouvement entreprise à entreprise avec droits acquittés, afin d’améliorer le suivi des mouvements, conformément à la proposition de la Commission du 25 mai 2018 concernant la révision de ladite directive.</w:t>
            </w:r>
          </w:p>
        </w:tc>
        <w:tc>
          <w:tcPr>
            <w:tcW w:w="701" w:type="pct"/>
          </w:tcPr>
          <w:p>
            <w:pPr>
              <w:jc w:val="left"/>
              <w:rPr>
                <w:noProof/>
              </w:rPr>
            </w:pPr>
            <w:r>
              <w:rPr>
                <w:noProof/>
              </w:rPr>
              <w:t xml:space="preserve">Adoption </w:t>
            </w:r>
          </w:p>
        </w:tc>
        <w:tc>
          <w:tcPr>
            <w:tcW w:w="550" w:type="pct"/>
          </w:tcPr>
          <w:p>
            <w:pPr>
              <w:jc w:val="left"/>
              <w:rPr>
                <w:noProof/>
              </w:rPr>
            </w:pPr>
            <w:r>
              <w:rPr>
                <w:noProof/>
              </w:rPr>
              <w:t>2022</w:t>
            </w:r>
          </w:p>
        </w:tc>
        <w:tc>
          <w:tcPr>
            <w:tcW w:w="710" w:type="pct"/>
          </w:tcPr>
          <w:p>
            <w:pPr>
              <w:jc w:val="left"/>
              <w:rPr>
                <w:noProof/>
              </w:rPr>
            </w:pPr>
            <w:r>
              <w:rPr>
                <w:noProof/>
              </w:rPr>
              <w:t xml:space="preserve">Parlement européen </w:t>
            </w:r>
          </w:p>
          <w:p>
            <w:pPr>
              <w:jc w:val="left"/>
              <w:rPr>
                <w:noProof/>
              </w:rPr>
            </w:pPr>
            <w:r>
              <w:rPr>
                <w:noProof/>
              </w:rPr>
              <w:t>Conseil</w:t>
            </w:r>
          </w:p>
        </w:tc>
      </w:tr>
      <w:tr>
        <w:trPr>
          <w:cantSplit/>
        </w:trPr>
        <w:tc>
          <w:tcPr>
            <w:tcW w:w="839" w:type="pct"/>
          </w:tcPr>
          <w:p>
            <w:pPr>
              <w:jc w:val="left"/>
              <w:rPr>
                <w:noProof/>
              </w:rPr>
            </w:pPr>
            <w:r>
              <w:rPr>
                <w:noProof/>
              </w:rPr>
              <w:t>B.3.2</w:t>
            </w:r>
          </w:p>
          <w:p>
            <w:pPr>
              <w:jc w:val="left"/>
              <w:rPr>
                <w:i/>
                <w:noProof/>
              </w:rPr>
            </w:pPr>
          </w:p>
        </w:tc>
        <w:tc>
          <w:tcPr>
            <w:tcW w:w="999" w:type="pct"/>
          </w:tcPr>
          <w:p>
            <w:pPr>
              <w:jc w:val="left"/>
              <w:rPr>
                <w:noProof/>
              </w:rPr>
            </w:pPr>
            <w:r>
              <w:rPr>
                <w:noProof/>
              </w:rPr>
              <w:t>Assistance technique aux services d’enquête douanière des États membres</w:t>
            </w:r>
          </w:p>
        </w:tc>
        <w:tc>
          <w:tcPr>
            <w:tcW w:w="1201" w:type="pct"/>
          </w:tcPr>
          <w:p>
            <w:pPr>
              <w:jc w:val="left"/>
              <w:rPr>
                <w:noProof/>
              </w:rPr>
            </w:pPr>
            <w:r>
              <w:rPr>
                <w:noProof/>
              </w:rPr>
              <w:t>Aider les États membres à acquérir des équipements de contrôle douanier, conformément à la proposition de la Commission du 12 juin 2018 [COM(2018)474]</w:t>
            </w:r>
          </w:p>
        </w:tc>
        <w:tc>
          <w:tcPr>
            <w:tcW w:w="701" w:type="pct"/>
          </w:tcPr>
          <w:p>
            <w:pPr>
              <w:jc w:val="left"/>
              <w:rPr>
                <w:noProof/>
              </w:rPr>
            </w:pPr>
            <w:r>
              <w:rPr>
                <w:noProof/>
              </w:rPr>
              <w:t>Programme adopté</w:t>
            </w:r>
          </w:p>
        </w:tc>
        <w:tc>
          <w:tcPr>
            <w:tcW w:w="550" w:type="pct"/>
          </w:tcPr>
          <w:p>
            <w:pPr>
              <w:jc w:val="left"/>
              <w:rPr>
                <w:noProof/>
              </w:rPr>
            </w:pPr>
            <w:r>
              <w:rPr>
                <w:noProof/>
              </w:rPr>
              <w:t>2019</w:t>
            </w:r>
          </w:p>
        </w:tc>
        <w:tc>
          <w:tcPr>
            <w:tcW w:w="710" w:type="pct"/>
          </w:tcPr>
          <w:p>
            <w:pPr>
              <w:jc w:val="left"/>
              <w:rPr>
                <w:noProof/>
              </w:rPr>
            </w:pPr>
            <w:r>
              <w:rPr>
                <w:noProof/>
              </w:rPr>
              <w:t>Parlement européen</w:t>
            </w:r>
          </w:p>
          <w:p>
            <w:pPr>
              <w:jc w:val="left"/>
              <w:rPr>
                <w:noProof/>
              </w:rPr>
            </w:pPr>
            <w:r>
              <w:rPr>
                <w:noProof/>
              </w:rPr>
              <w:t>Conseil</w:t>
            </w:r>
          </w:p>
        </w:tc>
      </w:tr>
      <w:tr>
        <w:trPr>
          <w:cantSplit/>
          <w:trHeight w:val="66"/>
        </w:trPr>
        <w:tc>
          <w:tcPr>
            <w:tcW w:w="839" w:type="pct"/>
            <w:shd w:val="clear" w:color="auto" w:fill="BFBFBF" w:themeFill="background1" w:themeFillShade="BF"/>
          </w:tcPr>
          <w:p>
            <w:pPr>
              <w:jc w:val="left"/>
              <w:rPr>
                <w:b/>
                <w:noProof/>
              </w:rPr>
            </w:pPr>
            <w:r>
              <w:rPr>
                <w:b/>
                <w:noProof/>
              </w:rPr>
              <w:t>B.4</w:t>
            </w:r>
          </w:p>
        </w:tc>
        <w:tc>
          <w:tcPr>
            <w:tcW w:w="999" w:type="pct"/>
            <w:shd w:val="clear" w:color="auto" w:fill="BFBFBF" w:themeFill="background1" w:themeFillShade="BF"/>
          </w:tcPr>
          <w:p>
            <w:pPr>
              <w:jc w:val="left"/>
              <w:rPr>
                <w:b/>
                <w:noProof/>
              </w:rPr>
            </w:pPr>
            <w:r>
              <w:rPr>
                <w:b/>
                <w:noProof/>
              </w:rPr>
              <w:t>Renforcer l’application des règles, améliorer la détection des infractions et mettre en place des sanctions plus sévères</w:t>
            </w:r>
          </w:p>
        </w:tc>
        <w:tc>
          <w:tcPr>
            <w:tcW w:w="1201" w:type="pct"/>
            <w:shd w:val="clear" w:color="auto" w:fill="BFBFBF" w:themeFill="background1" w:themeFillShade="BF"/>
          </w:tcPr>
          <w:p>
            <w:pPr>
              <w:jc w:val="left"/>
              <w:rPr>
                <w:b/>
                <w:noProof/>
              </w:rPr>
            </w:pPr>
          </w:p>
        </w:tc>
        <w:tc>
          <w:tcPr>
            <w:tcW w:w="701" w:type="pct"/>
            <w:shd w:val="clear" w:color="auto" w:fill="BFBFBF" w:themeFill="background1" w:themeFillShade="BF"/>
          </w:tcPr>
          <w:p>
            <w:pPr>
              <w:jc w:val="left"/>
              <w:rPr>
                <w:b/>
                <w:noProof/>
              </w:rPr>
            </w:pPr>
          </w:p>
        </w:tc>
        <w:tc>
          <w:tcPr>
            <w:tcW w:w="550" w:type="pct"/>
            <w:shd w:val="clear" w:color="auto" w:fill="BFBFBF" w:themeFill="background1" w:themeFillShade="BF"/>
          </w:tcPr>
          <w:p>
            <w:pPr>
              <w:jc w:val="left"/>
              <w:rPr>
                <w:b/>
                <w:noProof/>
              </w:rPr>
            </w:pPr>
          </w:p>
        </w:tc>
        <w:tc>
          <w:tcPr>
            <w:tcW w:w="710" w:type="pct"/>
            <w:shd w:val="clear" w:color="auto" w:fill="BFBFBF" w:themeFill="background1" w:themeFillShade="BF"/>
          </w:tcPr>
          <w:p>
            <w:pPr>
              <w:jc w:val="left"/>
              <w:rPr>
                <w:b/>
                <w:noProof/>
              </w:rPr>
            </w:pPr>
          </w:p>
        </w:tc>
      </w:tr>
      <w:tr>
        <w:trPr>
          <w:cantSplit/>
        </w:trPr>
        <w:tc>
          <w:tcPr>
            <w:tcW w:w="839" w:type="pct"/>
            <w:shd w:val="clear" w:color="auto" w:fill="D9D9D9" w:themeFill="background1" w:themeFillShade="D9"/>
          </w:tcPr>
          <w:p>
            <w:pPr>
              <w:jc w:val="left"/>
              <w:rPr>
                <w:noProof/>
              </w:rPr>
            </w:pPr>
            <w:r>
              <w:rPr>
                <w:noProof/>
              </w:rPr>
              <w:t>B.4.1</w:t>
            </w:r>
          </w:p>
        </w:tc>
        <w:tc>
          <w:tcPr>
            <w:tcW w:w="999" w:type="pct"/>
            <w:shd w:val="clear" w:color="auto" w:fill="D9D9D9" w:themeFill="background1" w:themeFillShade="D9"/>
          </w:tcPr>
          <w:p>
            <w:pPr>
              <w:jc w:val="left"/>
              <w:rPr>
                <w:noProof/>
              </w:rPr>
            </w:pPr>
            <w:r>
              <w:rPr>
                <w:noProof/>
              </w:rPr>
              <w:t>Cadre d’application</w:t>
            </w:r>
          </w:p>
        </w:tc>
        <w:tc>
          <w:tcPr>
            <w:tcW w:w="1201" w:type="pct"/>
            <w:shd w:val="clear" w:color="auto" w:fill="D9D9D9" w:themeFill="background1" w:themeFillShade="D9"/>
          </w:tcPr>
          <w:p>
            <w:pPr>
              <w:jc w:val="left"/>
              <w:rPr>
                <w:noProof/>
              </w:rPr>
            </w:pPr>
          </w:p>
        </w:tc>
        <w:tc>
          <w:tcPr>
            <w:tcW w:w="701" w:type="pct"/>
            <w:shd w:val="clear" w:color="auto" w:fill="D9D9D9" w:themeFill="background1" w:themeFillShade="D9"/>
          </w:tcPr>
          <w:p>
            <w:pPr>
              <w:jc w:val="left"/>
              <w:rPr>
                <w:noProof/>
              </w:rPr>
            </w:pPr>
          </w:p>
        </w:tc>
        <w:tc>
          <w:tcPr>
            <w:tcW w:w="550" w:type="pct"/>
            <w:shd w:val="clear" w:color="auto" w:fill="D9D9D9" w:themeFill="background1" w:themeFillShade="D9"/>
          </w:tcPr>
          <w:p>
            <w:pPr>
              <w:jc w:val="left"/>
              <w:rPr>
                <w:noProof/>
              </w:rPr>
            </w:pPr>
          </w:p>
        </w:tc>
        <w:tc>
          <w:tcPr>
            <w:tcW w:w="710" w:type="pct"/>
            <w:shd w:val="clear" w:color="auto" w:fill="D9D9D9" w:themeFill="background1" w:themeFillShade="D9"/>
          </w:tcPr>
          <w:p>
            <w:pPr>
              <w:jc w:val="left"/>
              <w:rPr>
                <w:noProof/>
              </w:rPr>
            </w:pPr>
          </w:p>
        </w:tc>
      </w:tr>
      <w:tr>
        <w:trPr>
          <w:cantSplit/>
        </w:trPr>
        <w:tc>
          <w:tcPr>
            <w:tcW w:w="839" w:type="pct"/>
          </w:tcPr>
          <w:p>
            <w:pPr>
              <w:jc w:val="left"/>
              <w:rPr>
                <w:noProof/>
              </w:rPr>
            </w:pPr>
            <w:r>
              <w:rPr>
                <w:noProof/>
              </w:rPr>
              <w:t>B.4.1.1</w:t>
            </w:r>
          </w:p>
          <w:p>
            <w:pPr>
              <w:jc w:val="left"/>
              <w:rPr>
                <w:noProof/>
              </w:rPr>
            </w:pPr>
          </w:p>
        </w:tc>
        <w:tc>
          <w:tcPr>
            <w:tcW w:w="999" w:type="pct"/>
          </w:tcPr>
          <w:p>
            <w:pPr>
              <w:jc w:val="left"/>
              <w:rPr>
                <w:noProof/>
              </w:rPr>
            </w:pPr>
            <w:r>
              <w:rPr>
                <w:noProof/>
              </w:rPr>
              <w:t>Création du Parquet européen</w:t>
            </w:r>
          </w:p>
        </w:tc>
        <w:tc>
          <w:tcPr>
            <w:tcW w:w="1201" w:type="pct"/>
          </w:tcPr>
          <w:p>
            <w:pPr>
              <w:jc w:val="left"/>
              <w:rPr>
                <w:noProof/>
              </w:rPr>
            </w:pPr>
            <w:r>
              <w:rPr>
                <w:noProof/>
              </w:rPr>
              <w:t>Créer un Parquet européen fonctionnel et doté de moyens appropriés pour enquêter sur les affaires à grande échelle de commerce illicite du tabac</w:t>
            </w:r>
          </w:p>
        </w:tc>
        <w:tc>
          <w:tcPr>
            <w:tcW w:w="701" w:type="pct"/>
          </w:tcPr>
          <w:p>
            <w:pPr>
              <w:jc w:val="left"/>
              <w:rPr>
                <w:noProof/>
              </w:rPr>
            </w:pPr>
            <w:r>
              <w:rPr>
                <w:noProof/>
              </w:rPr>
              <w:t>Parquet européen opérationnel</w:t>
            </w:r>
          </w:p>
        </w:tc>
        <w:tc>
          <w:tcPr>
            <w:tcW w:w="550" w:type="pct"/>
          </w:tcPr>
          <w:p>
            <w:pPr>
              <w:jc w:val="left"/>
              <w:rPr>
                <w:noProof/>
              </w:rPr>
            </w:pPr>
            <w:r>
              <w:rPr>
                <w:noProof/>
              </w:rPr>
              <w:t>Fin 2020</w:t>
            </w:r>
          </w:p>
        </w:tc>
        <w:tc>
          <w:tcPr>
            <w:tcW w:w="710" w:type="pct"/>
          </w:tcPr>
          <w:p>
            <w:pPr>
              <w:jc w:val="left"/>
              <w:rPr>
                <w:noProof/>
              </w:rPr>
            </w:pPr>
            <w:r>
              <w:rPr>
                <w:noProof/>
              </w:rPr>
              <w:t>Commission</w:t>
            </w:r>
          </w:p>
          <w:p>
            <w:pPr>
              <w:jc w:val="left"/>
              <w:rPr>
                <w:noProof/>
              </w:rPr>
            </w:pPr>
            <w:r>
              <w:rPr>
                <w:noProof/>
              </w:rPr>
              <w:t>Parquet européen</w:t>
            </w:r>
          </w:p>
        </w:tc>
      </w:tr>
      <w:tr>
        <w:trPr>
          <w:cantSplit/>
        </w:trPr>
        <w:tc>
          <w:tcPr>
            <w:tcW w:w="839" w:type="pct"/>
          </w:tcPr>
          <w:p>
            <w:pPr>
              <w:jc w:val="left"/>
              <w:rPr>
                <w:noProof/>
              </w:rPr>
            </w:pPr>
            <w:r>
              <w:rPr>
                <w:noProof/>
              </w:rPr>
              <w:t>B.4.1.2</w:t>
            </w:r>
          </w:p>
          <w:p>
            <w:pPr>
              <w:jc w:val="left"/>
              <w:rPr>
                <w:i/>
                <w:noProof/>
                <w:color w:val="00B050"/>
              </w:rPr>
            </w:pPr>
          </w:p>
        </w:tc>
        <w:tc>
          <w:tcPr>
            <w:tcW w:w="999" w:type="pct"/>
          </w:tcPr>
          <w:p>
            <w:pPr>
              <w:jc w:val="left"/>
              <w:rPr>
                <w:noProof/>
              </w:rPr>
            </w:pPr>
            <w:r>
              <w:rPr>
                <w:noProof/>
              </w:rPr>
              <w:t>Cadre juridique de l’OLAF</w:t>
            </w:r>
          </w:p>
        </w:tc>
        <w:tc>
          <w:tcPr>
            <w:tcW w:w="1201" w:type="pct"/>
          </w:tcPr>
          <w:p>
            <w:pPr>
              <w:jc w:val="left"/>
              <w:rPr>
                <w:noProof/>
              </w:rPr>
            </w:pPr>
            <w:r>
              <w:rPr>
                <w:noProof/>
              </w:rPr>
              <w:t xml:space="preserve">Proposition de la Commission du 23 mai 2018 modifiant le règlement nº 883/2013 pour améliorer l’efficacité des enquêtes de l’OLAF </w:t>
            </w:r>
          </w:p>
        </w:tc>
        <w:tc>
          <w:tcPr>
            <w:tcW w:w="701" w:type="pct"/>
          </w:tcPr>
          <w:p>
            <w:pPr>
              <w:jc w:val="left"/>
              <w:rPr>
                <w:noProof/>
              </w:rPr>
            </w:pPr>
            <w:r>
              <w:rPr>
                <w:noProof/>
              </w:rPr>
              <w:t>Adoption</w:t>
            </w:r>
          </w:p>
        </w:tc>
        <w:tc>
          <w:tcPr>
            <w:tcW w:w="550" w:type="pct"/>
          </w:tcPr>
          <w:p>
            <w:pPr>
              <w:jc w:val="left"/>
              <w:rPr>
                <w:noProof/>
              </w:rPr>
            </w:pPr>
            <w:r>
              <w:rPr>
                <w:noProof/>
              </w:rPr>
              <w:t>2019</w:t>
            </w:r>
          </w:p>
        </w:tc>
        <w:tc>
          <w:tcPr>
            <w:tcW w:w="710" w:type="pct"/>
          </w:tcPr>
          <w:p>
            <w:pPr>
              <w:jc w:val="left"/>
              <w:rPr>
                <w:noProof/>
              </w:rPr>
            </w:pPr>
            <w:r>
              <w:rPr>
                <w:noProof/>
              </w:rPr>
              <w:t>Parlement européen et Conseil</w:t>
            </w:r>
          </w:p>
        </w:tc>
      </w:tr>
      <w:tr>
        <w:trPr>
          <w:cantSplit/>
        </w:trPr>
        <w:tc>
          <w:tcPr>
            <w:tcW w:w="839" w:type="pct"/>
          </w:tcPr>
          <w:p>
            <w:pPr>
              <w:rPr>
                <w:noProof/>
              </w:rPr>
            </w:pPr>
            <w:r>
              <w:rPr>
                <w:noProof/>
              </w:rPr>
              <w:t>B.4.1.3</w:t>
            </w:r>
          </w:p>
          <w:p>
            <w:pPr>
              <w:rPr>
                <w:noProof/>
              </w:rPr>
            </w:pPr>
          </w:p>
        </w:tc>
        <w:tc>
          <w:tcPr>
            <w:tcW w:w="999" w:type="pct"/>
          </w:tcPr>
          <w:p>
            <w:pPr>
              <w:rPr>
                <w:noProof/>
              </w:rPr>
            </w:pPr>
            <w:r>
              <w:rPr>
                <w:noProof/>
              </w:rPr>
              <w:t>Mise en œuvre de la directive (UE) 2017/1371</w:t>
            </w:r>
          </w:p>
        </w:tc>
        <w:tc>
          <w:tcPr>
            <w:tcW w:w="1201" w:type="pct"/>
          </w:tcPr>
          <w:p>
            <w:pPr>
              <w:jc w:val="left"/>
              <w:rPr>
                <w:noProof/>
              </w:rPr>
            </w:pPr>
            <w:r>
              <w:rPr>
                <w:noProof/>
              </w:rPr>
              <w:t xml:space="preserve">Assurer un suivi  par rapport à la mise en œuvre intégrale de la directive (UE) 2017/1371 du Parlement européen et du Conseil du 5 juillet 2017 relative à la lutte contre la fraude portant atteinte aux intérêts financiers de l’Union au moyen du droit pénal, en ce qui concerne les infractions relatives au commerce illicite du tabac </w:t>
            </w:r>
          </w:p>
        </w:tc>
        <w:tc>
          <w:tcPr>
            <w:tcW w:w="701" w:type="pct"/>
          </w:tcPr>
          <w:p>
            <w:pPr>
              <w:jc w:val="left"/>
              <w:rPr>
                <w:noProof/>
              </w:rPr>
            </w:pPr>
            <w:r>
              <w:rPr>
                <w:noProof/>
              </w:rPr>
              <w:t xml:space="preserve">Suivi de la mise en œuvre intégrale </w:t>
            </w:r>
          </w:p>
        </w:tc>
        <w:tc>
          <w:tcPr>
            <w:tcW w:w="550" w:type="pct"/>
          </w:tcPr>
          <w:p>
            <w:pPr>
              <w:jc w:val="left"/>
              <w:rPr>
                <w:noProof/>
              </w:rPr>
            </w:pPr>
            <w:r>
              <w:rPr>
                <w:noProof/>
              </w:rPr>
              <w:t>À compter de juillet 2019</w:t>
            </w:r>
          </w:p>
        </w:tc>
        <w:tc>
          <w:tcPr>
            <w:tcW w:w="710" w:type="pct"/>
          </w:tcPr>
          <w:p>
            <w:pPr>
              <w:jc w:val="left"/>
              <w:rPr>
                <w:noProof/>
              </w:rPr>
            </w:pPr>
            <w:r>
              <w:rPr>
                <w:noProof/>
              </w:rPr>
              <w:t>États membres</w:t>
            </w:r>
          </w:p>
          <w:p>
            <w:pPr>
              <w:jc w:val="left"/>
              <w:rPr>
                <w:noProof/>
              </w:rPr>
            </w:pPr>
            <w:r>
              <w:rPr>
                <w:noProof/>
              </w:rPr>
              <w:t>Commission</w:t>
            </w:r>
          </w:p>
        </w:tc>
      </w:tr>
      <w:tr>
        <w:trPr>
          <w:cantSplit/>
        </w:trPr>
        <w:tc>
          <w:tcPr>
            <w:tcW w:w="839" w:type="pct"/>
          </w:tcPr>
          <w:p>
            <w:pPr>
              <w:jc w:val="left"/>
              <w:rPr>
                <w:noProof/>
              </w:rPr>
            </w:pPr>
            <w:r>
              <w:rPr>
                <w:noProof/>
              </w:rPr>
              <w:t>B.4.1.4</w:t>
            </w:r>
          </w:p>
          <w:p>
            <w:pPr>
              <w:jc w:val="left"/>
              <w:rPr>
                <w:i/>
                <w:noProof/>
              </w:rPr>
            </w:pPr>
          </w:p>
        </w:tc>
        <w:tc>
          <w:tcPr>
            <w:tcW w:w="999" w:type="pct"/>
          </w:tcPr>
          <w:p>
            <w:pPr>
              <w:jc w:val="left"/>
              <w:rPr>
                <w:noProof/>
              </w:rPr>
            </w:pPr>
            <w:r>
              <w:rPr>
                <w:noProof/>
              </w:rPr>
              <w:t>Modalités de collaboration entre l’OLAF et Europol</w:t>
            </w:r>
          </w:p>
        </w:tc>
        <w:tc>
          <w:tcPr>
            <w:tcW w:w="1201" w:type="pct"/>
          </w:tcPr>
          <w:p>
            <w:pPr>
              <w:jc w:val="left"/>
              <w:rPr>
                <w:noProof/>
              </w:rPr>
            </w:pPr>
            <w:r>
              <w:rPr>
                <w:noProof/>
              </w:rPr>
              <w:t>Europol et l’OLAF doivent se mettre d'accord sur les modalités de leur collaboration élargie et l’association consécutive de l’OLAF au projet d’étude Smoke d’Europol</w:t>
            </w:r>
          </w:p>
        </w:tc>
        <w:tc>
          <w:tcPr>
            <w:tcW w:w="701" w:type="pct"/>
          </w:tcPr>
          <w:p>
            <w:pPr>
              <w:jc w:val="left"/>
              <w:rPr>
                <w:noProof/>
              </w:rPr>
            </w:pPr>
            <w:r>
              <w:rPr>
                <w:noProof/>
              </w:rPr>
              <w:t>Accord sur les modalités de collaboration</w:t>
            </w:r>
          </w:p>
        </w:tc>
        <w:tc>
          <w:tcPr>
            <w:tcW w:w="550" w:type="pct"/>
          </w:tcPr>
          <w:p>
            <w:pPr>
              <w:jc w:val="left"/>
              <w:rPr>
                <w:noProof/>
              </w:rPr>
            </w:pPr>
            <w:r>
              <w:rPr>
                <w:noProof/>
              </w:rPr>
              <w:t>2019</w:t>
            </w:r>
          </w:p>
        </w:tc>
        <w:tc>
          <w:tcPr>
            <w:tcW w:w="710" w:type="pct"/>
          </w:tcPr>
          <w:p>
            <w:pPr>
              <w:jc w:val="left"/>
              <w:rPr>
                <w:noProof/>
              </w:rPr>
            </w:pPr>
            <w:r>
              <w:rPr>
                <w:noProof/>
              </w:rPr>
              <w:t>Europol</w:t>
            </w:r>
          </w:p>
          <w:p>
            <w:pPr>
              <w:jc w:val="left"/>
              <w:rPr>
                <w:noProof/>
              </w:rPr>
            </w:pPr>
            <w:r>
              <w:rPr>
                <w:noProof/>
              </w:rPr>
              <w:t>OLAF</w:t>
            </w:r>
          </w:p>
        </w:tc>
      </w:tr>
      <w:tr>
        <w:trPr>
          <w:cantSplit/>
        </w:trPr>
        <w:tc>
          <w:tcPr>
            <w:tcW w:w="839" w:type="pct"/>
          </w:tcPr>
          <w:p>
            <w:pPr>
              <w:jc w:val="left"/>
              <w:rPr>
                <w:noProof/>
              </w:rPr>
            </w:pPr>
            <w:r>
              <w:rPr>
                <w:noProof/>
              </w:rPr>
              <w:t>B.4.1.5</w:t>
            </w:r>
          </w:p>
          <w:p>
            <w:pPr>
              <w:jc w:val="left"/>
              <w:rPr>
                <w:i/>
                <w:noProof/>
              </w:rPr>
            </w:pPr>
          </w:p>
        </w:tc>
        <w:tc>
          <w:tcPr>
            <w:tcW w:w="999" w:type="pct"/>
          </w:tcPr>
          <w:p>
            <w:pPr>
              <w:jc w:val="left"/>
              <w:rPr>
                <w:noProof/>
              </w:rPr>
            </w:pPr>
            <w:r>
              <w:rPr>
                <w:noProof/>
              </w:rPr>
              <w:t xml:space="preserve">Renforcement de la coordination des contrôles douaniers </w:t>
            </w:r>
          </w:p>
          <w:p>
            <w:pPr>
              <w:jc w:val="left"/>
              <w:rPr>
                <w:noProof/>
              </w:rPr>
            </w:pPr>
          </w:p>
        </w:tc>
        <w:tc>
          <w:tcPr>
            <w:tcW w:w="1201" w:type="pct"/>
          </w:tcPr>
          <w:p>
            <w:pPr>
              <w:jc w:val="left"/>
              <w:rPr>
                <w:noProof/>
              </w:rPr>
            </w:pPr>
            <w:r>
              <w:rPr>
                <w:noProof/>
              </w:rPr>
              <w:t>Renforcer la coordination des contrôles douaniers ciblant le commerce illicite du tabac à l’échelle européenne, y compris dans le cadre des cycles de travail relevant d’EMPACT (Europol) et du plan d’action opérationnel (Groupe "Coopération douanière")</w:t>
            </w:r>
          </w:p>
        </w:tc>
        <w:tc>
          <w:tcPr>
            <w:tcW w:w="701" w:type="pct"/>
          </w:tcPr>
          <w:p>
            <w:pPr>
              <w:jc w:val="left"/>
              <w:rPr>
                <w:noProof/>
              </w:rPr>
            </w:pPr>
            <w:r>
              <w:rPr>
                <w:noProof/>
              </w:rPr>
              <w:t>Coordination efficace des services répressifs</w:t>
            </w:r>
          </w:p>
        </w:tc>
        <w:tc>
          <w:tcPr>
            <w:tcW w:w="550" w:type="pct"/>
          </w:tcPr>
          <w:p>
            <w:pPr>
              <w:jc w:val="left"/>
              <w:rPr>
                <w:noProof/>
              </w:rPr>
            </w:pPr>
            <w:r>
              <w:rPr>
                <w:noProof/>
              </w:rPr>
              <w:t>En continu</w:t>
            </w:r>
          </w:p>
        </w:tc>
        <w:tc>
          <w:tcPr>
            <w:tcW w:w="710" w:type="pct"/>
          </w:tcPr>
          <w:p>
            <w:pPr>
              <w:jc w:val="left"/>
              <w:rPr>
                <w:noProof/>
              </w:rPr>
            </w:pPr>
            <w:r>
              <w:rPr>
                <w:noProof/>
              </w:rPr>
              <w:t>Europol</w:t>
            </w:r>
          </w:p>
          <w:p>
            <w:pPr>
              <w:jc w:val="left"/>
              <w:rPr>
                <w:noProof/>
              </w:rPr>
            </w:pPr>
            <w:r>
              <w:rPr>
                <w:noProof/>
              </w:rPr>
              <w:t xml:space="preserve">États membres </w:t>
            </w:r>
          </w:p>
          <w:p>
            <w:pPr>
              <w:jc w:val="left"/>
              <w:rPr>
                <w:noProof/>
              </w:rPr>
            </w:pPr>
            <w:r>
              <w:rPr>
                <w:noProof/>
              </w:rPr>
              <w:t>Commission</w:t>
            </w:r>
          </w:p>
          <w:p>
            <w:pPr>
              <w:jc w:val="left"/>
              <w:rPr>
                <w:noProof/>
              </w:rPr>
            </w:pPr>
            <w:r>
              <w:rPr>
                <w:noProof/>
              </w:rPr>
              <w:t>OLAF</w:t>
            </w:r>
          </w:p>
        </w:tc>
      </w:tr>
      <w:tr>
        <w:trPr>
          <w:cantSplit/>
        </w:trPr>
        <w:tc>
          <w:tcPr>
            <w:tcW w:w="839" w:type="pct"/>
          </w:tcPr>
          <w:p>
            <w:pPr>
              <w:jc w:val="left"/>
              <w:rPr>
                <w:noProof/>
              </w:rPr>
            </w:pPr>
            <w:r>
              <w:rPr>
                <w:noProof/>
              </w:rPr>
              <w:t>B.4.1.6</w:t>
            </w:r>
          </w:p>
          <w:p>
            <w:pPr>
              <w:jc w:val="left"/>
              <w:rPr>
                <w:noProof/>
              </w:rPr>
            </w:pPr>
          </w:p>
        </w:tc>
        <w:tc>
          <w:tcPr>
            <w:tcW w:w="999" w:type="pct"/>
          </w:tcPr>
          <w:p>
            <w:pPr>
              <w:jc w:val="left"/>
              <w:rPr>
                <w:noProof/>
              </w:rPr>
            </w:pPr>
            <w:r>
              <w:rPr>
                <w:noProof/>
              </w:rPr>
              <w:t>Mémorandum d’entente OLAF-OMD</w:t>
            </w:r>
          </w:p>
        </w:tc>
        <w:tc>
          <w:tcPr>
            <w:tcW w:w="1201" w:type="pct"/>
          </w:tcPr>
          <w:p>
            <w:pPr>
              <w:jc w:val="left"/>
              <w:rPr>
                <w:noProof/>
              </w:rPr>
            </w:pPr>
            <w:r>
              <w:rPr>
                <w:noProof/>
              </w:rPr>
              <w:t>Mettre à jour et renforcer l’accord de coopération OLAF-OMD de 2003 sur les données relatives à la saisie de cigarettes</w:t>
            </w:r>
          </w:p>
        </w:tc>
        <w:tc>
          <w:tcPr>
            <w:tcW w:w="701" w:type="pct"/>
          </w:tcPr>
          <w:p>
            <w:pPr>
              <w:jc w:val="left"/>
              <w:rPr>
                <w:noProof/>
              </w:rPr>
            </w:pPr>
            <w:r>
              <w:rPr>
                <w:noProof/>
              </w:rPr>
              <w:t>Mémorandum d’entente adopté</w:t>
            </w:r>
          </w:p>
        </w:tc>
        <w:tc>
          <w:tcPr>
            <w:tcW w:w="550" w:type="pct"/>
          </w:tcPr>
          <w:p>
            <w:pPr>
              <w:jc w:val="left"/>
              <w:rPr>
                <w:noProof/>
              </w:rPr>
            </w:pPr>
            <w:r>
              <w:rPr>
                <w:noProof/>
              </w:rPr>
              <w:t>2019</w:t>
            </w:r>
          </w:p>
        </w:tc>
        <w:tc>
          <w:tcPr>
            <w:tcW w:w="710" w:type="pct"/>
          </w:tcPr>
          <w:p>
            <w:pPr>
              <w:jc w:val="left"/>
              <w:rPr>
                <w:noProof/>
              </w:rPr>
            </w:pPr>
            <w:r>
              <w:rPr>
                <w:noProof/>
              </w:rPr>
              <w:t>OLAF</w:t>
            </w:r>
          </w:p>
        </w:tc>
      </w:tr>
      <w:tr>
        <w:trPr>
          <w:cantSplit/>
        </w:trPr>
        <w:tc>
          <w:tcPr>
            <w:tcW w:w="839" w:type="pct"/>
          </w:tcPr>
          <w:p>
            <w:pPr>
              <w:rPr>
                <w:noProof/>
              </w:rPr>
            </w:pPr>
            <w:r>
              <w:rPr>
                <w:noProof/>
              </w:rPr>
              <w:t>B.4.1.7</w:t>
            </w:r>
          </w:p>
          <w:p>
            <w:pPr>
              <w:rPr>
                <w:noProof/>
              </w:rPr>
            </w:pPr>
          </w:p>
        </w:tc>
        <w:tc>
          <w:tcPr>
            <w:tcW w:w="999" w:type="pct"/>
          </w:tcPr>
          <w:p>
            <w:pPr>
              <w:rPr>
                <w:noProof/>
              </w:rPr>
            </w:pPr>
            <w:r>
              <w:rPr>
                <w:noProof/>
              </w:rPr>
              <w:t>Sanctions administratives</w:t>
            </w:r>
          </w:p>
        </w:tc>
        <w:tc>
          <w:tcPr>
            <w:tcW w:w="1201" w:type="pct"/>
          </w:tcPr>
          <w:p>
            <w:pPr>
              <w:jc w:val="left"/>
              <w:rPr>
                <w:noProof/>
              </w:rPr>
            </w:pPr>
            <w:r>
              <w:rPr>
                <w:noProof/>
              </w:rPr>
              <w:t xml:space="preserve">Proposition de directive de la Commission sur le cadre juridique de l’Union régissant les infractions douanières et les sanctions qui y sont applicables (COM/2013/0884 final) </w:t>
            </w:r>
          </w:p>
        </w:tc>
        <w:tc>
          <w:tcPr>
            <w:tcW w:w="701" w:type="pct"/>
          </w:tcPr>
          <w:p>
            <w:pPr>
              <w:jc w:val="left"/>
              <w:rPr>
                <w:noProof/>
              </w:rPr>
            </w:pPr>
            <w:r>
              <w:rPr>
                <w:noProof/>
              </w:rPr>
              <w:t>Adoption</w:t>
            </w:r>
          </w:p>
        </w:tc>
        <w:tc>
          <w:tcPr>
            <w:tcW w:w="550" w:type="pct"/>
          </w:tcPr>
          <w:p>
            <w:pPr>
              <w:jc w:val="left"/>
              <w:rPr>
                <w:noProof/>
              </w:rPr>
            </w:pPr>
            <w:r>
              <w:rPr>
                <w:noProof/>
              </w:rPr>
              <w:t>2020</w:t>
            </w:r>
          </w:p>
        </w:tc>
        <w:tc>
          <w:tcPr>
            <w:tcW w:w="710" w:type="pct"/>
          </w:tcPr>
          <w:p>
            <w:pPr>
              <w:jc w:val="left"/>
              <w:rPr>
                <w:noProof/>
              </w:rPr>
            </w:pPr>
            <w:r>
              <w:rPr>
                <w:noProof/>
              </w:rPr>
              <w:t>Parlement européen et Conseil</w:t>
            </w:r>
          </w:p>
        </w:tc>
      </w:tr>
      <w:tr>
        <w:trPr>
          <w:cantSplit/>
        </w:trPr>
        <w:tc>
          <w:tcPr>
            <w:tcW w:w="839" w:type="pct"/>
            <w:shd w:val="clear" w:color="auto" w:fill="D9D9D9" w:themeFill="background1" w:themeFillShade="D9"/>
          </w:tcPr>
          <w:p>
            <w:pPr>
              <w:jc w:val="left"/>
              <w:rPr>
                <w:noProof/>
              </w:rPr>
            </w:pPr>
            <w:r>
              <w:rPr>
                <w:noProof/>
              </w:rPr>
              <w:t>B.4.2</w:t>
            </w:r>
          </w:p>
        </w:tc>
        <w:tc>
          <w:tcPr>
            <w:tcW w:w="999" w:type="pct"/>
            <w:shd w:val="clear" w:color="auto" w:fill="D9D9D9" w:themeFill="background1" w:themeFillShade="D9"/>
          </w:tcPr>
          <w:p>
            <w:pPr>
              <w:jc w:val="left"/>
              <w:rPr>
                <w:noProof/>
              </w:rPr>
            </w:pPr>
            <w:r>
              <w:rPr>
                <w:noProof/>
              </w:rPr>
              <w:t>Activités opérationnelles</w:t>
            </w:r>
          </w:p>
        </w:tc>
        <w:tc>
          <w:tcPr>
            <w:tcW w:w="1201" w:type="pct"/>
            <w:shd w:val="clear" w:color="auto" w:fill="D9D9D9" w:themeFill="background1" w:themeFillShade="D9"/>
          </w:tcPr>
          <w:p>
            <w:pPr>
              <w:jc w:val="left"/>
              <w:rPr>
                <w:noProof/>
              </w:rPr>
            </w:pPr>
          </w:p>
        </w:tc>
        <w:tc>
          <w:tcPr>
            <w:tcW w:w="701" w:type="pct"/>
            <w:shd w:val="clear" w:color="auto" w:fill="D9D9D9" w:themeFill="background1" w:themeFillShade="D9"/>
          </w:tcPr>
          <w:p>
            <w:pPr>
              <w:jc w:val="left"/>
              <w:rPr>
                <w:noProof/>
              </w:rPr>
            </w:pPr>
          </w:p>
        </w:tc>
        <w:tc>
          <w:tcPr>
            <w:tcW w:w="550" w:type="pct"/>
            <w:shd w:val="clear" w:color="auto" w:fill="D9D9D9" w:themeFill="background1" w:themeFillShade="D9"/>
          </w:tcPr>
          <w:p>
            <w:pPr>
              <w:jc w:val="left"/>
              <w:rPr>
                <w:noProof/>
              </w:rPr>
            </w:pPr>
          </w:p>
        </w:tc>
        <w:tc>
          <w:tcPr>
            <w:tcW w:w="710" w:type="pct"/>
            <w:shd w:val="clear" w:color="auto" w:fill="D9D9D9" w:themeFill="background1" w:themeFillShade="D9"/>
          </w:tcPr>
          <w:p>
            <w:pPr>
              <w:jc w:val="left"/>
              <w:rPr>
                <w:noProof/>
              </w:rPr>
            </w:pPr>
          </w:p>
        </w:tc>
      </w:tr>
      <w:tr>
        <w:trPr>
          <w:cantSplit/>
        </w:trPr>
        <w:tc>
          <w:tcPr>
            <w:tcW w:w="839" w:type="pct"/>
          </w:tcPr>
          <w:p>
            <w:pPr>
              <w:jc w:val="left"/>
              <w:rPr>
                <w:noProof/>
              </w:rPr>
            </w:pPr>
            <w:r>
              <w:rPr>
                <w:noProof/>
              </w:rPr>
              <w:t>B.4.2.1</w:t>
            </w:r>
          </w:p>
          <w:p>
            <w:pPr>
              <w:jc w:val="left"/>
              <w:rPr>
                <w:i/>
                <w:noProof/>
              </w:rPr>
            </w:pPr>
          </w:p>
        </w:tc>
        <w:tc>
          <w:tcPr>
            <w:tcW w:w="999" w:type="pct"/>
          </w:tcPr>
          <w:p>
            <w:pPr>
              <w:jc w:val="left"/>
              <w:rPr>
                <w:noProof/>
              </w:rPr>
            </w:pPr>
            <w:r>
              <w:rPr>
                <w:noProof/>
              </w:rPr>
              <w:t>Lutte contre la production illégale de tabac dans l’Union européenne</w:t>
            </w:r>
          </w:p>
        </w:tc>
        <w:tc>
          <w:tcPr>
            <w:tcW w:w="1201" w:type="pct"/>
          </w:tcPr>
          <w:p>
            <w:pPr>
              <w:jc w:val="left"/>
              <w:rPr>
                <w:noProof/>
              </w:rPr>
            </w:pPr>
            <w:r>
              <w:rPr>
                <w:noProof/>
              </w:rPr>
              <w:t>Renforcer la coopération opérationnelle entre les forces de police et les douanes pour détecter et démanteler les sites de production illicite de tabac dans l’Union européenne</w:t>
            </w:r>
          </w:p>
        </w:tc>
        <w:tc>
          <w:tcPr>
            <w:tcW w:w="701" w:type="pct"/>
          </w:tcPr>
          <w:p>
            <w:pPr>
              <w:jc w:val="left"/>
              <w:rPr>
                <w:noProof/>
              </w:rPr>
            </w:pPr>
            <w:r>
              <w:rPr>
                <w:noProof/>
              </w:rPr>
              <w:t>Sites de production illicite de tabac détectés et fermés</w:t>
            </w:r>
          </w:p>
        </w:tc>
        <w:tc>
          <w:tcPr>
            <w:tcW w:w="550" w:type="pct"/>
          </w:tcPr>
          <w:p>
            <w:pPr>
              <w:jc w:val="left"/>
              <w:rPr>
                <w:noProof/>
              </w:rPr>
            </w:pPr>
            <w:r>
              <w:rPr>
                <w:noProof/>
              </w:rPr>
              <w:t>En continu</w:t>
            </w:r>
          </w:p>
        </w:tc>
        <w:tc>
          <w:tcPr>
            <w:tcW w:w="710" w:type="pct"/>
          </w:tcPr>
          <w:p>
            <w:pPr>
              <w:jc w:val="left"/>
              <w:rPr>
                <w:noProof/>
              </w:rPr>
            </w:pPr>
            <w:r>
              <w:rPr>
                <w:noProof/>
              </w:rPr>
              <w:t>États membres</w:t>
            </w:r>
          </w:p>
          <w:p>
            <w:pPr>
              <w:jc w:val="left"/>
              <w:rPr>
                <w:noProof/>
              </w:rPr>
            </w:pPr>
            <w:r>
              <w:rPr>
                <w:noProof/>
              </w:rPr>
              <w:t>Europol</w:t>
            </w:r>
          </w:p>
          <w:p>
            <w:pPr>
              <w:jc w:val="left"/>
              <w:rPr>
                <w:noProof/>
              </w:rPr>
            </w:pPr>
            <w:r>
              <w:rPr>
                <w:noProof/>
              </w:rPr>
              <w:t>OLAF</w:t>
            </w:r>
          </w:p>
        </w:tc>
      </w:tr>
      <w:tr>
        <w:trPr>
          <w:cantSplit/>
        </w:trPr>
        <w:tc>
          <w:tcPr>
            <w:tcW w:w="839" w:type="pct"/>
          </w:tcPr>
          <w:p>
            <w:pPr>
              <w:jc w:val="left"/>
              <w:rPr>
                <w:noProof/>
              </w:rPr>
            </w:pPr>
            <w:r>
              <w:rPr>
                <w:noProof/>
              </w:rPr>
              <w:t>B.4.2.2</w:t>
            </w:r>
          </w:p>
          <w:p>
            <w:pPr>
              <w:jc w:val="left"/>
              <w:rPr>
                <w:i/>
                <w:noProof/>
              </w:rPr>
            </w:pPr>
          </w:p>
        </w:tc>
        <w:tc>
          <w:tcPr>
            <w:tcW w:w="999" w:type="pct"/>
          </w:tcPr>
          <w:p>
            <w:pPr>
              <w:jc w:val="left"/>
              <w:rPr>
                <w:noProof/>
              </w:rPr>
            </w:pPr>
            <w:r>
              <w:rPr>
                <w:noProof/>
              </w:rPr>
              <w:t>Activité opérationnelle ciblée sur la frontière terrestre orientale de l’Union européenne</w:t>
            </w:r>
          </w:p>
        </w:tc>
        <w:tc>
          <w:tcPr>
            <w:tcW w:w="1201" w:type="pct"/>
          </w:tcPr>
          <w:p>
            <w:pPr>
              <w:jc w:val="left"/>
              <w:rPr>
                <w:noProof/>
              </w:rPr>
            </w:pPr>
            <w:r>
              <w:rPr>
                <w:noProof/>
              </w:rPr>
              <w:t>Mener des activités opérationnelles ciblées sur la contrebande de cigarettes sur la frontière terrestre orientale de l’Union européenne</w:t>
            </w:r>
          </w:p>
        </w:tc>
        <w:tc>
          <w:tcPr>
            <w:tcW w:w="701" w:type="pct"/>
          </w:tcPr>
          <w:p>
            <w:pPr>
              <w:jc w:val="left"/>
              <w:rPr>
                <w:noProof/>
              </w:rPr>
            </w:pPr>
            <w:r>
              <w:rPr>
                <w:noProof/>
              </w:rPr>
              <w:t>Volume saisi et impact financier estimé</w:t>
            </w:r>
          </w:p>
        </w:tc>
        <w:tc>
          <w:tcPr>
            <w:tcW w:w="550" w:type="pct"/>
          </w:tcPr>
          <w:p>
            <w:pPr>
              <w:jc w:val="left"/>
              <w:rPr>
                <w:noProof/>
              </w:rPr>
            </w:pPr>
            <w:r>
              <w:rPr>
                <w:noProof/>
              </w:rPr>
              <w:t>En continu</w:t>
            </w:r>
          </w:p>
        </w:tc>
        <w:tc>
          <w:tcPr>
            <w:tcW w:w="710" w:type="pct"/>
          </w:tcPr>
          <w:p>
            <w:pPr>
              <w:jc w:val="left"/>
              <w:rPr>
                <w:noProof/>
              </w:rPr>
            </w:pPr>
            <w:r>
              <w:rPr>
                <w:noProof/>
              </w:rPr>
              <w:t>États membres</w:t>
            </w:r>
          </w:p>
          <w:p>
            <w:pPr>
              <w:jc w:val="left"/>
              <w:rPr>
                <w:noProof/>
              </w:rPr>
            </w:pPr>
            <w:r>
              <w:rPr>
                <w:noProof/>
              </w:rPr>
              <w:t>OLAF</w:t>
            </w:r>
          </w:p>
          <w:p>
            <w:pPr>
              <w:jc w:val="left"/>
              <w:rPr>
                <w:noProof/>
              </w:rPr>
            </w:pPr>
            <w:r>
              <w:rPr>
                <w:noProof/>
              </w:rPr>
              <w:t>Frontex</w:t>
            </w:r>
          </w:p>
        </w:tc>
      </w:tr>
      <w:tr>
        <w:trPr>
          <w:cantSplit/>
        </w:trPr>
        <w:tc>
          <w:tcPr>
            <w:tcW w:w="839" w:type="pct"/>
          </w:tcPr>
          <w:p>
            <w:pPr>
              <w:jc w:val="left"/>
              <w:rPr>
                <w:noProof/>
              </w:rPr>
            </w:pPr>
            <w:r>
              <w:rPr>
                <w:noProof/>
              </w:rPr>
              <w:t>B.4.2.3</w:t>
            </w:r>
          </w:p>
          <w:p>
            <w:pPr>
              <w:jc w:val="left"/>
              <w:rPr>
                <w:i/>
                <w:noProof/>
              </w:rPr>
            </w:pPr>
          </w:p>
        </w:tc>
        <w:tc>
          <w:tcPr>
            <w:tcW w:w="999" w:type="pct"/>
          </w:tcPr>
          <w:p>
            <w:pPr>
              <w:jc w:val="left"/>
              <w:rPr>
                <w:noProof/>
              </w:rPr>
            </w:pPr>
            <w:r>
              <w:rPr>
                <w:noProof/>
              </w:rPr>
              <w:t>Activité opérationnelle ciblée sur la mer Noire, la mer Adriatique et l’est de la mer Méditerranée</w:t>
            </w:r>
          </w:p>
        </w:tc>
        <w:tc>
          <w:tcPr>
            <w:tcW w:w="1201" w:type="pct"/>
          </w:tcPr>
          <w:p>
            <w:pPr>
              <w:jc w:val="left"/>
              <w:rPr>
                <w:noProof/>
              </w:rPr>
            </w:pPr>
            <w:r>
              <w:rPr>
                <w:noProof/>
              </w:rPr>
              <w:t>Mener des activités opérationnelles ciblées sur la contrebande de cigarettes sur la mer Noire, la mer Adriatique et l’est de la mer Méditerranée</w:t>
            </w:r>
          </w:p>
        </w:tc>
        <w:tc>
          <w:tcPr>
            <w:tcW w:w="701" w:type="pct"/>
          </w:tcPr>
          <w:p>
            <w:pPr>
              <w:jc w:val="left"/>
              <w:rPr>
                <w:noProof/>
              </w:rPr>
            </w:pPr>
            <w:r>
              <w:rPr>
                <w:noProof/>
              </w:rPr>
              <w:t>Volume saisi et impact financier estimé</w:t>
            </w:r>
          </w:p>
        </w:tc>
        <w:tc>
          <w:tcPr>
            <w:tcW w:w="550" w:type="pct"/>
          </w:tcPr>
          <w:p>
            <w:pPr>
              <w:jc w:val="left"/>
              <w:rPr>
                <w:noProof/>
              </w:rPr>
            </w:pPr>
            <w:r>
              <w:rPr>
                <w:noProof/>
              </w:rPr>
              <w:t>En continu</w:t>
            </w:r>
          </w:p>
        </w:tc>
        <w:tc>
          <w:tcPr>
            <w:tcW w:w="710" w:type="pct"/>
          </w:tcPr>
          <w:p>
            <w:pPr>
              <w:jc w:val="left"/>
              <w:rPr>
                <w:noProof/>
              </w:rPr>
            </w:pPr>
            <w:r>
              <w:rPr>
                <w:noProof/>
              </w:rPr>
              <w:t>États membres</w:t>
            </w:r>
          </w:p>
          <w:p>
            <w:pPr>
              <w:jc w:val="left"/>
              <w:rPr>
                <w:noProof/>
              </w:rPr>
            </w:pPr>
            <w:r>
              <w:rPr>
                <w:noProof/>
              </w:rPr>
              <w:t>OLAF</w:t>
            </w:r>
          </w:p>
        </w:tc>
      </w:tr>
      <w:tr>
        <w:trPr>
          <w:cantSplit/>
        </w:trPr>
        <w:tc>
          <w:tcPr>
            <w:tcW w:w="839" w:type="pct"/>
          </w:tcPr>
          <w:p>
            <w:pPr>
              <w:jc w:val="left"/>
              <w:rPr>
                <w:noProof/>
              </w:rPr>
            </w:pPr>
            <w:r>
              <w:rPr>
                <w:noProof/>
              </w:rPr>
              <w:t>B.4.2.4</w:t>
            </w:r>
          </w:p>
          <w:p>
            <w:pPr>
              <w:jc w:val="left"/>
              <w:rPr>
                <w:noProof/>
              </w:rPr>
            </w:pPr>
          </w:p>
        </w:tc>
        <w:tc>
          <w:tcPr>
            <w:tcW w:w="999" w:type="pct"/>
          </w:tcPr>
          <w:p>
            <w:pPr>
              <w:jc w:val="left"/>
              <w:rPr>
                <w:noProof/>
              </w:rPr>
            </w:pPr>
            <w:r>
              <w:rPr>
                <w:noProof/>
              </w:rPr>
              <w:t>Activité opérationnelle ciblée sur le tabac de pipe à eau</w:t>
            </w:r>
          </w:p>
        </w:tc>
        <w:tc>
          <w:tcPr>
            <w:tcW w:w="1201" w:type="pct"/>
          </w:tcPr>
          <w:p>
            <w:pPr>
              <w:jc w:val="left"/>
              <w:rPr>
                <w:noProof/>
              </w:rPr>
            </w:pPr>
            <w:r>
              <w:rPr>
                <w:noProof/>
              </w:rPr>
              <w:t>Mener des activités opérationnelles ciblées sur la contrebande de tabac de pipe à eau</w:t>
            </w:r>
          </w:p>
        </w:tc>
        <w:tc>
          <w:tcPr>
            <w:tcW w:w="701" w:type="pct"/>
          </w:tcPr>
          <w:p>
            <w:pPr>
              <w:jc w:val="left"/>
              <w:rPr>
                <w:noProof/>
              </w:rPr>
            </w:pPr>
            <w:r>
              <w:rPr>
                <w:noProof/>
              </w:rPr>
              <w:t>Volume saisi et impact financier estimé</w:t>
            </w:r>
          </w:p>
        </w:tc>
        <w:tc>
          <w:tcPr>
            <w:tcW w:w="550" w:type="pct"/>
          </w:tcPr>
          <w:p>
            <w:pPr>
              <w:jc w:val="left"/>
              <w:rPr>
                <w:noProof/>
              </w:rPr>
            </w:pPr>
            <w:r>
              <w:rPr>
                <w:noProof/>
              </w:rPr>
              <w:t>En continu</w:t>
            </w:r>
          </w:p>
        </w:tc>
        <w:tc>
          <w:tcPr>
            <w:tcW w:w="710" w:type="pct"/>
          </w:tcPr>
          <w:p>
            <w:pPr>
              <w:jc w:val="left"/>
              <w:rPr>
                <w:noProof/>
              </w:rPr>
            </w:pPr>
            <w:r>
              <w:rPr>
                <w:noProof/>
              </w:rPr>
              <w:t>États membres</w:t>
            </w:r>
          </w:p>
          <w:p>
            <w:pPr>
              <w:jc w:val="left"/>
              <w:rPr>
                <w:noProof/>
              </w:rPr>
            </w:pPr>
            <w:r>
              <w:rPr>
                <w:noProof/>
              </w:rPr>
              <w:t>OLAF</w:t>
            </w:r>
          </w:p>
        </w:tc>
      </w:tr>
      <w:tr>
        <w:trPr>
          <w:cantSplit/>
        </w:trPr>
        <w:tc>
          <w:tcPr>
            <w:tcW w:w="839" w:type="pct"/>
          </w:tcPr>
          <w:p>
            <w:pPr>
              <w:jc w:val="left"/>
              <w:rPr>
                <w:noProof/>
              </w:rPr>
            </w:pPr>
            <w:r>
              <w:rPr>
                <w:noProof/>
              </w:rPr>
              <w:t>B.4.2.5</w:t>
            </w:r>
          </w:p>
          <w:p>
            <w:pPr>
              <w:jc w:val="left"/>
              <w:rPr>
                <w:noProof/>
              </w:rPr>
            </w:pPr>
          </w:p>
        </w:tc>
        <w:tc>
          <w:tcPr>
            <w:tcW w:w="999" w:type="pct"/>
          </w:tcPr>
          <w:p>
            <w:pPr>
              <w:jc w:val="left"/>
              <w:rPr>
                <w:noProof/>
              </w:rPr>
            </w:pPr>
            <w:r>
              <w:rPr>
                <w:noProof/>
              </w:rPr>
              <w:t>Activité opérationnelle ciblée sur les ventes illicites de tabac sur Internet</w:t>
            </w:r>
          </w:p>
        </w:tc>
        <w:tc>
          <w:tcPr>
            <w:tcW w:w="1201" w:type="pct"/>
          </w:tcPr>
          <w:p>
            <w:pPr>
              <w:jc w:val="left"/>
              <w:rPr>
                <w:noProof/>
              </w:rPr>
            </w:pPr>
            <w:r>
              <w:rPr>
                <w:noProof/>
              </w:rPr>
              <w:t>Mener des activités opérationnelles ciblées sur les ventes de produits illicites du tabac sur Internet</w:t>
            </w:r>
          </w:p>
        </w:tc>
        <w:tc>
          <w:tcPr>
            <w:tcW w:w="701" w:type="pct"/>
          </w:tcPr>
          <w:p>
            <w:pPr>
              <w:jc w:val="left"/>
              <w:rPr>
                <w:noProof/>
              </w:rPr>
            </w:pPr>
            <w:r>
              <w:rPr>
                <w:noProof/>
              </w:rPr>
              <w:t>Volume saisi et impact financier estimé</w:t>
            </w:r>
          </w:p>
        </w:tc>
        <w:tc>
          <w:tcPr>
            <w:tcW w:w="550" w:type="pct"/>
          </w:tcPr>
          <w:p>
            <w:pPr>
              <w:jc w:val="left"/>
              <w:rPr>
                <w:noProof/>
              </w:rPr>
            </w:pPr>
            <w:r>
              <w:rPr>
                <w:noProof/>
              </w:rPr>
              <w:t>2021</w:t>
            </w:r>
          </w:p>
        </w:tc>
        <w:tc>
          <w:tcPr>
            <w:tcW w:w="710" w:type="pct"/>
          </w:tcPr>
          <w:p>
            <w:pPr>
              <w:jc w:val="left"/>
              <w:rPr>
                <w:noProof/>
              </w:rPr>
            </w:pPr>
            <w:r>
              <w:rPr>
                <w:noProof/>
              </w:rPr>
              <w:t xml:space="preserve">États membres </w:t>
            </w:r>
          </w:p>
          <w:p>
            <w:pPr>
              <w:jc w:val="left"/>
              <w:rPr>
                <w:noProof/>
              </w:rPr>
            </w:pPr>
            <w:r>
              <w:rPr>
                <w:noProof/>
              </w:rPr>
              <w:t>OLAF</w:t>
            </w:r>
          </w:p>
        </w:tc>
      </w:tr>
      <w:tr>
        <w:trPr>
          <w:cantSplit/>
        </w:trPr>
        <w:tc>
          <w:tcPr>
            <w:tcW w:w="839" w:type="pct"/>
          </w:tcPr>
          <w:p>
            <w:pPr>
              <w:rPr>
                <w:noProof/>
              </w:rPr>
            </w:pPr>
            <w:r>
              <w:rPr>
                <w:noProof/>
              </w:rPr>
              <w:t>B.4.2.6</w:t>
            </w:r>
          </w:p>
          <w:p>
            <w:pPr>
              <w:rPr>
                <w:noProof/>
              </w:rPr>
            </w:pPr>
          </w:p>
        </w:tc>
        <w:tc>
          <w:tcPr>
            <w:tcW w:w="999" w:type="pct"/>
          </w:tcPr>
          <w:p>
            <w:pPr>
              <w:rPr>
                <w:noProof/>
              </w:rPr>
            </w:pPr>
            <w:r>
              <w:rPr>
                <w:noProof/>
              </w:rPr>
              <w:t>Procédures de transit</w:t>
            </w:r>
          </w:p>
        </w:tc>
        <w:tc>
          <w:tcPr>
            <w:tcW w:w="1201" w:type="pct"/>
          </w:tcPr>
          <w:p>
            <w:pPr>
              <w:jc w:val="left"/>
              <w:rPr>
                <w:noProof/>
              </w:rPr>
            </w:pPr>
            <w:r>
              <w:rPr>
                <w:noProof/>
              </w:rPr>
              <w:t>Mener des activités conjointes intensifiées pour lutter contre les infractions aux procédures de transit des produits soumis à accise</w:t>
            </w:r>
          </w:p>
        </w:tc>
        <w:tc>
          <w:tcPr>
            <w:tcW w:w="701" w:type="pct"/>
          </w:tcPr>
          <w:p>
            <w:pPr>
              <w:jc w:val="left"/>
              <w:rPr>
                <w:noProof/>
              </w:rPr>
            </w:pPr>
            <w:r>
              <w:rPr>
                <w:noProof/>
              </w:rPr>
              <w:t xml:space="preserve">Hausse des infractions détectées </w:t>
            </w:r>
          </w:p>
        </w:tc>
        <w:tc>
          <w:tcPr>
            <w:tcW w:w="550" w:type="pct"/>
          </w:tcPr>
          <w:p>
            <w:pPr>
              <w:jc w:val="left"/>
              <w:rPr>
                <w:noProof/>
              </w:rPr>
            </w:pPr>
            <w:r>
              <w:rPr>
                <w:noProof/>
              </w:rPr>
              <w:t>2020</w:t>
            </w:r>
          </w:p>
        </w:tc>
        <w:tc>
          <w:tcPr>
            <w:tcW w:w="710" w:type="pct"/>
          </w:tcPr>
          <w:p>
            <w:pPr>
              <w:jc w:val="left"/>
              <w:rPr>
                <w:noProof/>
              </w:rPr>
            </w:pPr>
            <w:r>
              <w:rPr>
                <w:noProof/>
              </w:rPr>
              <w:t>États membres (par l’intermédiaire de la CELBET)</w:t>
            </w:r>
          </w:p>
          <w:p>
            <w:pPr>
              <w:jc w:val="left"/>
              <w:rPr>
                <w:noProof/>
              </w:rPr>
            </w:pPr>
            <w:r>
              <w:rPr>
                <w:noProof/>
              </w:rPr>
              <w:t>OLAF</w:t>
            </w:r>
          </w:p>
        </w:tc>
      </w:tr>
    </w:tbl>
    <w:p>
      <w:pPr>
        <w:rPr>
          <w:noProof/>
        </w:rPr>
      </w:pPr>
      <w:r>
        <w:rPr>
          <w:noProof/>
        </w:rPr>
        <w:br w:type="page"/>
      </w:r>
    </w:p>
    <w:tbl>
      <w:tblPr>
        <w:tblStyle w:val="TableGrid"/>
        <w:tblW w:w="5000" w:type="pct"/>
        <w:tblLayout w:type="fixed"/>
        <w:tblLook w:val="04A0" w:firstRow="1" w:lastRow="0" w:firstColumn="1" w:lastColumn="0" w:noHBand="0" w:noVBand="1"/>
      </w:tblPr>
      <w:tblGrid>
        <w:gridCol w:w="2236"/>
        <w:gridCol w:w="2975"/>
        <w:gridCol w:w="4111"/>
        <w:gridCol w:w="1984"/>
        <w:gridCol w:w="1381"/>
        <w:gridCol w:w="2100"/>
      </w:tblGrid>
      <w:tr>
        <w:trPr>
          <w:cantSplit/>
        </w:trPr>
        <w:tc>
          <w:tcPr>
            <w:tcW w:w="756" w:type="pct"/>
            <w:shd w:val="clear" w:color="auto" w:fill="A5A5A5" w:themeFill="background1" w:themeFillShade="A5"/>
          </w:tcPr>
          <w:p>
            <w:pPr>
              <w:jc w:val="left"/>
              <w:rPr>
                <w:rFonts w:ascii="Times New Roman Bold" w:hAnsi="Times New Roman Bold"/>
                <w:b/>
                <w:bCs/>
                <w:smallCaps/>
                <w:noProof/>
              </w:rPr>
            </w:pPr>
            <w:r>
              <w:rPr>
                <w:rFonts w:ascii="Times New Roman Bold" w:hAnsi="Times New Roman Bold"/>
                <w:b/>
                <w:smallCaps/>
                <w:noProof/>
              </w:rPr>
              <w:t>C</w:t>
            </w:r>
          </w:p>
        </w:tc>
        <w:tc>
          <w:tcPr>
            <w:tcW w:w="1006" w:type="pct"/>
            <w:shd w:val="clear" w:color="auto" w:fill="A5A5A5" w:themeFill="background1" w:themeFillShade="A5"/>
          </w:tcPr>
          <w:p>
            <w:pPr>
              <w:jc w:val="left"/>
              <w:rPr>
                <w:b/>
                <w:bCs/>
                <w:smallCaps/>
                <w:noProof/>
              </w:rPr>
            </w:pPr>
            <w:r>
              <w:rPr>
                <w:b/>
                <w:smallCaps/>
                <w:noProof/>
              </w:rPr>
              <w:t>Limiter la demande</w:t>
            </w:r>
          </w:p>
        </w:tc>
        <w:tc>
          <w:tcPr>
            <w:tcW w:w="1390" w:type="pct"/>
            <w:shd w:val="clear" w:color="auto" w:fill="A5A5A5" w:themeFill="background1" w:themeFillShade="A5"/>
          </w:tcPr>
          <w:p>
            <w:pPr>
              <w:jc w:val="left"/>
              <w:rPr>
                <w:b/>
                <w:bCs/>
                <w:smallCaps/>
                <w:noProof/>
              </w:rPr>
            </w:pPr>
          </w:p>
        </w:tc>
        <w:tc>
          <w:tcPr>
            <w:tcW w:w="671" w:type="pct"/>
            <w:shd w:val="clear" w:color="auto" w:fill="A5A5A5" w:themeFill="background1" w:themeFillShade="A5"/>
          </w:tcPr>
          <w:p>
            <w:pPr>
              <w:jc w:val="left"/>
              <w:rPr>
                <w:b/>
                <w:bCs/>
                <w:smallCaps/>
                <w:noProof/>
              </w:rPr>
            </w:pPr>
          </w:p>
        </w:tc>
        <w:tc>
          <w:tcPr>
            <w:tcW w:w="467" w:type="pct"/>
            <w:shd w:val="clear" w:color="auto" w:fill="A5A5A5" w:themeFill="background1" w:themeFillShade="A5"/>
          </w:tcPr>
          <w:p>
            <w:pPr>
              <w:jc w:val="left"/>
              <w:rPr>
                <w:b/>
                <w:bCs/>
                <w:smallCaps/>
                <w:noProof/>
              </w:rPr>
            </w:pPr>
          </w:p>
        </w:tc>
        <w:tc>
          <w:tcPr>
            <w:tcW w:w="710" w:type="pct"/>
            <w:shd w:val="clear" w:color="auto" w:fill="A5A5A5" w:themeFill="background1" w:themeFillShade="A5"/>
          </w:tcPr>
          <w:p>
            <w:pPr>
              <w:jc w:val="left"/>
              <w:rPr>
                <w:b/>
                <w:bCs/>
                <w:smallCaps/>
                <w:noProof/>
              </w:rPr>
            </w:pPr>
          </w:p>
        </w:tc>
      </w:tr>
      <w:tr>
        <w:trPr>
          <w:cantSplit/>
        </w:trPr>
        <w:tc>
          <w:tcPr>
            <w:tcW w:w="756" w:type="pct"/>
            <w:shd w:val="clear" w:color="auto" w:fill="BFBFBF" w:themeFill="background1" w:themeFillShade="BF"/>
          </w:tcPr>
          <w:p>
            <w:pPr>
              <w:jc w:val="left"/>
              <w:rPr>
                <w:b/>
                <w:bCs/>
                <w:noProof/>
              </w:rPr>
            </w:pPr>
            <w:r>
              <w:rPr>
                <w:b/>
                <w:noProof/>
              </w:rPr>
              <w:t>C.1</w:t>
            </w:r>
          </w:p>
        </w:tc>
        <w:tc>
          <w:tcPr>
            <w:tcW w:w="1006" w:type="pct"/>
            <w:shd w:val="clear" w:color="auto" w:fill="BFBFBF" w:themeFill="background1" w:themeFillShade="BF"/>
          </w:tcPr>
          <w:p>
            <w:pPr>
              <w:jc w:val="left"/>
              <w:rPr>
                <w:b/>
                <w:bCs/>
                <w:noProof/>
              </w:rPr>
            </w:pPr>
            <w:r>
              <w:rPr>
                <w:b/>
                <w:noProof/>
              </w:rPr>
              <w:t>Sensibilisation</w:t>
            </w:r>
          </w:p>
        </w:tc>
        <w:tc>
          <w:tcPr>
            <w:tcW w:w="1390" w:type="pct"/>
            <w:shd w:val="clear" w:color="auto" w:fill="BFBFBF" w:themeFill="background1" w:themeFillShade="BF"/>
          </w:tcPr>
          <w:p>
            <w:pPr>
              <w:jc w:val="left"/>
              <w:rPr>
                <w:b/>
                <w:bCs/>
                <w:noProof/>
              </w:rPr>
            </w:pPr>
          </w:p>
        </w:tc>
        <w:tc>
          <w:tcPr>
            <w:tcW w:w="671" w:type="pct"/>
            <w:shd w:val="clear" w:color="auto" w:fill="BFBFBF" w:themeFill="background1" w:themeFillShade="BF"/>
          </w:tcPr>
          <w:p>
            <w:pPr>
              <w:jc w:val="left"/>
              <w:rPr>
                <w:b/>
                <w:bCs/>
                <w:noProof/>
              </w:rPr>
            </w:pPr>
          </w:p>
        </w:tc>
        <w:tc>
          <w:tcPr>
            <w:tcW w:w="467"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756" w:type="pct"/>
            <w:shd w:val="clear" w:color="auto" w:fill="FFFFFF" w:themeFill="background1"/>
          </w:tcPr>
          <w:p>
            <w:pPr>
              <w:jc w:val="left"/>
              <w:rPr>
                <w:noProof/>
              </w:rPr>
            </w:pPr>
            <w:r>
              <w:rPr>
                <w:noProof/>
              </w:rPr>
              <w:t>C.1.1</w:t>
            </w:r>
          </w:p>
          <w:p>
            <w:pPr>
              <w:jc w:val="left"/>
              <w:rPr>
                <w:noProof/>
              </w:rPr>
            </w:pPr>
          </w:p>
        </w:tc>
        <w:tc>
          <w:tcPr>
            <w:tcW w:w="1006" w:type="pct"/>
            <w:shd w:val="clear" w:color="auto" w:fill="FFFFFF" w:themeFill="background1"/>
          </w:tcPr>
          <w:p>
            <w:pPr>
              <w:jc w:val="left"/>
              <w:rPr>
                <w:noProof/>
              </w:rPr>
            </w:pPr>
            <w:r>
              <w:rPr>
                <w:noProof/>
              </w:rPr>
              <w:t>Eurobaromètre sur le tabac illicite</w:t>
            </w:r>
          </w:p>
        </w:tc>
        <w:tc>
          <w:tcPr>
            <w:tcW w:w="1390" w:type="pct"/>
            <w:shd w:val="clear" w:color="auto" w:fill="FFFFFF" w:themeFill="background1"/>
          </w:tcPr>
          <w:p>
            <w:pPr>
              <w:jc w:val="left"/>
              <w:rPr>
                <w:noProof/>
              </w:rPr>
            </w:pPr>
            <w:r>
              <w:rPr>
                <w:noProof/>
              </w:rPr>
              <w:t xml:space="preserve">Rassembler des données objectives, à l’échelle nationale, sur la perception publique du commerce illicite du tabac, en complément de l’Eurobaromètre spécial nº 443 de 2016 </w:t>
            </w:r>
          </w:p>
        </w:tc>
        <w:tc>
          <w:tcPr>
            <w:tcW w:w="671" w:type="pct"/>
            <w:shd w:val="clear" w:color="auto" w:fill="FFFFFF" w:themeFill="background1"/>
          </w:tcPr>
          <w:p>
            <w:pPr>
              <w:jc w:val="left"/>
              <w:rPr>
                <w:noProof/>
              </w:rPr>
            </w:pPr>
            <w:r>
              <w:rPr>
                <w:noProof/>
              </w:rPr>
              <w:t xml:space="preserve">Publication du rapport Eurobaromètre </w:t>
            </w:r>
          </w:p>
        </w:tc>
        <w:tc>
          <w:tcPr>
            <w:tcW w:w="467" w:type="pct"/>
            <w:shd w:val="clear" w:color="auto" w:fill="FFFFFF" w:themeFill="background1"/>
          </w:tcPr>
          <w:p>
            <w:pPr>
              <w:jc w:val="left"/>
              <w:rPr>
                <w:noProof/>
              </w:rPr>
            </w:pPr>
            <w:r>
              <w:rPr>
                <w:noProof/>
              </w:rPr>
              <w:t>2019</w:t>
            </w:r>
          </w:p>
        </w:tc>
        <w:tc>
          <w:tcPr>
            <w:tcW w:w="710" w:type="pct"/>
            <w:shd w:val="clear" w:color="auto" w:fill="FFFFFF" w:themeFill="background1"/>
          </w:tcPr>
          <w:p>
            <w:pPr>
              <w:jc w:val="left"/>
              <w:rPr>
                <w:noProof/>
              </w:rPr>
            </w:pPr>
            <w:r>
              <w:rPr>
                <w:noProof/>
              </w:rPr>
              <w:t>Commission</w:t>
            </w:r>
          </w:p>
        </w:tc>
      </w:tr>
      <w:tr>
        <w:trPr>
          <w:cantSplit/>
        </w:trPr>
        <w:tc>
          <w:tcPr>
            <w:tcW w:w="756" w:type="pct"/>
          </w:tcPr>
          <w:p>
            <w:pPr>
              <w:jc w:val="left"/>
              <w:rPr>
                <w:noProof/>
              </w:rPr>
            </w:pPr>
            <w:r>
              <w:rPr>
                <w:noProof/>
              </w:rPr>
              <w:t>C.1.2</w:t>
            </w:r>
          </w:p>
          <w:p>
            <w:pPr>
              <w:jc w:val="left"/>
              <w:rPr>
                <w:noProof/>
              </w:rPr>
            </w:pPr>
          </w:p>
        </w:tc>
        <w:tc>
          <w:tcPr>
            <w:tcW w:w="1006" w:type="pct"/>
          </w:tcPr>
          <w:p>
            <w:pPr>
              <w:jc w:val="left"/>
              <w:rPr>
                <w:noProof/>
              </w:rPr>
            </w:pPr>
            <w:r>
              <w:rPr>
                <w:noProof/>
              </w:rPr>
              <w:t>Campagnes de sensibilisation</w:t>
            </w:r>
          </w:p>
        </w:tc>
        <w:tc>
          <w:tcPr>
            <w:tcW w:w="1390" w:type="pct"/>
          </w:tcPr>
          <w:p>
            <w:pPr>
              <w:jc w:val="left"/>
              <w:rPr>
                <w:noProof/>
              </w:rPr>
            </w:pPr>
            <w:r>
              <w:rPr>
                <w:noProof/>
              </w:rPr>
              <w:t>Fournir une plateforme donnant aux États membres la possibilité d’échanger de bonnes pratiques par des campagnes de sensibilisation mettant l’accent sur les risques associés à l’achat de produits illicites du tabac</w:t>
            </w:r>
          </w:p>
        </w:tc>
        <w:tc>
          <w:tcPr>
            <w:tcW w:w="671" w:type="pct"/>
          </w:tcPr>
          <w:p>
            <w:pPr>
              <w:jc w:val="left"/>
              <w:rPr>
                <w:noProof/>
              </w:rPr>
            </w:pPr>
            <w:r>
              <w:rPr>
                <w:noProof/>
              </w:rPr>
              <w:t>Bonnes pratiques échangées entre les États membres</w:t>
            </w:r>
          </w:p>
        </w:tc>
        <w:tc>
          <w:tcPr>
            <w:tcW w:w="467" w:type="pct"/>
          </w:tcPr>
          <w:p>
            <w:pPr>
              <w:jc w:val="left"/>
              <w:rPr>
                <w:noProof/>
              </w:rPr>
            </w:pPr>
            <w:r>
              <w:rPr>
                <w:noProof/>
              </w:rPr>
              <w:t>2020</w:t>
            </w:r>
          </w:p>
        </w:tc>
        <w:tc>
          <w:tcPr>
            <w:tcW w:w="710" w:type="pct"/>
          </w:tcPr>
          <w:p>
            <w:pPr>
              <w:jc w:val="left"/>
              <w:rPr>
                <w:noProof/>
              </w:rPr>
            </w:pPr>
            <w:r>
              <w:rPr>
                <w:noProof/>
              </w:rPr>
              <w:t>Commission</w:t>
            </w:r>
          </w:p>
          <w:p>
            <w:pPr>
              <w:jc w:val="left"/>
              <w:rPr>
                <w:noProof/>
              </w:rPr>
            </w:pPr>
            <w:r>
              <w:rPr>
                <w:noProof/>
              </w:rPr>
              <w:t>États membres</w:t>
            </w:r>
          </w:p>
        </w:tc>
      </w:tr>
      <w:tr>
        <w:trPr>
          <w:cantSplit/>
        </w:trPr>
        <w:tc>
          <w:tcPr>
            <w:tcW w:w="756" w:type="pct"/>
            <w:shd w:val="clear" w:color="auto" w:fill="BFBFBF" w:themeFill="background1" w:themeFillShade="BF"/>
          </w:tcPr>
          <w:p>
            <w:pPr>
              <w:jc w:val="left"/>
              <w:rPr>
                <w:b/>
                <w:noProof/>
              </w:rPr>
            </w:pPr>
            <w:r>
              <w:rPr>
                <w:b/>
                <w:noProof/>
              </w:rPr>
              <w:t>C.2</w:t>
            </w:r>
          </w:p>
        </w:tc>
        <w:tc>
          <w:tcPr>
            <w:tcW w:w="1006" w:type="pct"/>
            <w:shd w:val="clear" w:color="auto" w:fill="BFBFBF" w:themeFill="background1" w:themeFillShade="BF"/>
          </w:tcPr>
          <w:p>
            <w:pPr>
              <w:jc w:val="left"/>
              <w:rPr>
                <w:b/>
                <w:noProof/>
              </w:rPr>
            </w:pPr>
            <w:r>
              <w:rPr>
                <w:b/>
                <w:noProof/>
              </w:rPr>
              <w:t>Réduire les mesures d’incitation</w:t>
            </w:r>
          </w:p>
        </w:tc>
        <w:tc>
          <w:tcPr>
            <w:tcW w:w="1390" w:type="pct"/>
            <w:shd w:val="clear" w:color="auto" w:fill="BFBFBF" w:themeFill="background1" w:themeFillShade="BF"/>
          </w:tcPr>
          <w:p>
            <w:pPr>
              <w:jc w:val="left"/>
              <w:rPr>
                <w:b/>
                <w:noProof/>
              </w:rPr>
            </w:pPr>
          </w:p>
        </w:tc>
        <w:tc>
          <w:tcPr>
            <w:tcW w:w="671" w:type="pct"/>
            <w:shd w:val="clear" w:color="auto" w:fill="BFBFBF" w:themeFill="background1" w:themeFillShade="BF"/>
          </w:tcPr>
          <w:p>
            <w:pPr>
              <w:jc w:val="left"/>
              <w:rPr>
                <w:b/>
                <w:noProof/>
              </w:rPr>
            </w:pPr>
          </w:p>
        </w:tc>
        <w:tc>
          <w:tcPr>
            <w:tcW w:w="467" w:type="pct"/>
            <w:shd w:val="clear" w:color="auto" w:fill="BFBFBF" w:themeFill="background1" w:themeFillShade="BF"/>
          </w:tcPr>
          <w:p>
            <w:pPr>
              <w:jc w:val="left"/>
              <w:rPr>
                <w:b/>
                <w:noProof/>
              </w:rPr>
            </w:pPr>
          </w:p>
        </w:tc>
        <w:tc>
          <w:tcPr>
            <w:tcW w:w="710" w:type="pct"/>
            <w:shd w:val="clear" w:color="auto" w:fill="BFBFBF" w:themeFill="background1" w:themeFillShade="BF"/>
          </w:tcPr>
          <w:p>
            <w:pPr>
              <w:jc w:val="left"/>
              <w:rPr>
                <w:b/>
                <w:noProof/>
              </w:rPr>
            </w:pPr>
          </w:p>
        </w:tc>
      </w:tr>
      <w:tr>
        <w:trPr>
          <w:cantSplit/>
          <w:trHeight w:val="2549"/>
        </w:trPr>
        <w:tc>
          <w:tcPr>
            <w:tcW w:w="756" w:type="pct"/>
          </w:tcPr>
          <w:p>
            <w:pPr>
              <w:jc w:val="left"/>
              <w:rPr>
                <w:noProof/>
              </w:rPr>
            </w:pPr>
            <w:r>
              <w:rPr>
                <w:noProof/>
              </w:rPr>
              <w:t>C.2.1</w:t>
            </w:r>
          </w:p>
          <w:p>
            <w:pPr>
              <w:jc w:val="left"/>
              <w:rPr>
                <w:i/>
                <w:noProof/>
                <w:color w:val="E36C0A" w:themeColor="accent6" w:themeShade="BF"/>
              </w:rPr>
            </w:pPr>
            <w:r>
              <w:rPr>
                <w:i/>
                <w:noProof/>
                <w:color w:val="E36C0A" w:themeColor="accent6" w:themeShade="BF"/>
              </w:rPr>
              <w:br/>
            </w:r>
          </w:p>
          <w:p>
            <w:pPr>
              <w:jc w:val="left"/>
              <w:rPr>
                <w:noProof/>
              </w:rPr>
            </w:pPr>
          </w:p>
        </w:tc>
        <w:tc>
          <w:tcPr>
            <w:tcW w:w="1006" w:type="pct"/>
          </w:tcPr>
          <w:p>
            <w:pPr>
              <w:jc w:val="left"/>
              <w:rPr>
                <w:noProof/>
              </w:rPr>
            </w:pPr>
            <w:r>
              <w:rPr>
                <w:noProof/>
              </w:rPr>
              <w:t>Taux et structures appliqués aux tabacs manufacturés</w:t>
            </w:r>
          </w:p>
        </w:tc>
        <w:tc>
          <w:tcPr>
            <w:tcW w:w="1390" w:type="pct"/>
          </w:tcPr>
          <w:p>
            <w:pPr>
              <w:jc w:val="left"/>
              <w:rPr>
                <w:noProof/>
              </w:rPr>
            </w:pPr>
            <w:r>
              <w:rPr>
                <w:noProof/>
              </w:rPr>
              <w:t>Réexaminer les taux minimaux applicables en vertu de la directive 2011/64/UE concernant la structure et les taux des accises applicables aux tabacs manufacturés, sur la base des conclusions du rapport de la Commission du 12 janvier 2018 [COM(2018)017]</w:t>
            </w:r>
          </w:p>
        </w:tc>
        <w:tc>
          <w:tcPr>
            <w:tcW w:w="671" w:type="pct"/>
          </w:tcPr>
          <w:p>
            <w:pPr>
              <w:jc w:val="left"/>
              <w:rPr>
                <w:noProof/>
              </w:rPr>
            </w:pPr>
            <w:r>
              <w:rPr>
                <w:noProof/>
              </w:rPr>
              <w:t xml:space="preserve">Rapport sur l’avancée du réexamen des taux minimaux </w:t>
            </w:r>
          </w:p>
        </w:tc>
        <w:tc>
          <w:tcPr>
            <w:tcW w:w="467" w:type="pct"/>
          </w:tcPr>
          <w:p>
            <w:pPr>
              <w:jc w:val="left"/>
              <w:rPr>
                <w:noProof/>
              </w:rPr>
            </w:pPr>
            <w:r>
              <w:rPr>
                <w:noProof/>
              </w:rPr>
              <w:t>2020</w:t>
            </w:r>
          </w:p>
        </w:tc>
        <w:tc>
          <w:tcPr>
            <w:tcW w:w="710" w:type="pct"/>
          </w:tcPr>
          <w:p>
            <w:pPr>
              <w:jc w:val="left"/>
              <w:rPr>
                <w:noProof/>
              </w:rPr>
            </w:pPr>
            <w:r>
              <w:rPr>
                <w:noProof/>
              </w:rPr>
              <w:t>Commission</w:t>
            </w:r>
          </w:p>
        </w:tc>
      </w:tr>
    </w:tbl>
    <w:p>
      <w:pPr>
        <w:rPr>
          <w:noProof/>
        </w:rPr>
      </w:pPr>
      <w:r>
        <w:rPr>
          <w:noProof/>
        </w:rPr>
        <w:br w:type="page"/>
      </w: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Pr>
        <w:tc>
          <w:tcPr>
            <w:tcW w:w="839" w:type="pct"/>
            <w:shd w:val="clear" w:color="auto" w:fill="A5A5A5" w:themeFill="background1" w:themeFillShade="A5"/>
          </w:tcPr>
          <w:p>
            <w:pPr>
              <w:jc w:val="left"/>
              <w:rPr>
                <w:rFonts w:ascii="Times New Roman Bold" w:hAnsi="Times New Roman Bold"/>
                <w:b/>
                <w:bCs/>
                <w:smallCaps/>
                <w:noProof/>
              </w:rPr>
            </w:pPr>
            <w:r>
              <w:rPr>
                <w:rFonts w:ascii="Times New Roman Bold" w:hAnsi="Times New Roman Bold"/>
                <w:b/>
                <w:smallCaps/>
                <w:noProof/>
              </w:rPr>
              <w:t>D</w:t>
            </w:r>
          </w:p>
        </w:tc>
        <w:tc>
          <w:tcPr>
            <w:tcW w:w="999" w:type="pct"/>
            <w:shd w:val="clear" w:color="auto" w:fill="A5A5A5" w:themeFill="background1" w:themeFillShade="A5"/>
          </w:tcPr>
          <w:p>
            <w:pPr>
              <w:jc w:val="left"/>
              <w:rPr>
                <w:b/>
                <w:bCs/>
                <w:smallCaps/>
                <w:noProof/>
              </w:rPr>
            </w:pPr>
            <w:r>
              <w:rPr>
                <w:b/>
                <w:smallCaps/>
                <w:noProof/>
              </w:rPr>
              <w:t>Analyse et renseignement</w:t>
            </w:r>
          </w:p>
        </w:tc>
        <w:tc>
          <w:tcPr>
            <w:tcW w:w="1201" w:type="pct"/>
            <w:shd w:val="clear" w:color="auto" w:fill="A5A5A5" w:themeFill="background1" w:themeFillShade="A5"/>
          </w:tcPr>
          <w:p>
            <w:pPr>
              <w:jc w:val="left"/>
              <w:rPr>
                <w:b/>
                <w:bCs/>
                <w:smallCaps/>
                <w:noProof/>
              </w:rPr>
            </w:pPr>
          </w:p>
        </w:tc>
        <w:tc>
          <w:tcPr>
            <w:tcW w:w="701" w:type="pct"/>
            <w:shd w:val="clear" w:color="auto" w:fill="A5A5A5" w:themeFill="background1" w:themeFillShade="A5"/>
          </w:tcPr>
          <w:p>
            <w:pPr>
              <w:jc w:val="left"/>
              <w:rPr>
                <w:b/>
                <w:bCs/>
                <w:smallCaps/>
                <w:noProof/>
              </w:rPr>
            </w:pPr>
          </w:p>
        </w:tc>
        <w:tc>
          <w:tcPr>
            <w:tcW w:w="550" w:type="pct"/>
            <w:shd w:val="clear" w:color="auto" w:fill="A5A5A5" w:themeFill="background1" w:themeFillShade="A5"/>
          </w:tcPr>
          <w:p>
            <w:pPr>
              <w:jc w:val="left"/>
              <w:rPr>
                <w:b/>
                <w:bCs/>
                <w:smallCaps/>
                <w:noProof/>
              </w:rPr>
            </w:pPr>
          </w:p>
        </w:tc>
        <w:tc>
          <w:tcPr>
            <w:tcW w:w="710" w:type="pct"/>
            <w:shd w:val="clear" w:color="auto" w:fill="A5A5A5" w:themeFill="background1" w:themeFillShade="A5"/>
          </w:tcPr>
          <w:p>
            <w:pPr>
              <w:jc w:val="left"/>
              <w:rPr>
                <w:b/>
                <w:bCs/>
                <w:smallCaps/>
                <w:noProof/>
              </w:rPr>
            </w:pPr>
          </w:p>
        </w:tc>
      </w:tr>
      <w:tr>
        <w:trPr>
          <w:cantSplit/>
        </w:trPr>
        <w:tc>
          <w:tcPr>
            <w:tcW w:w="839" w:type="pct"/>
            <w:shd w:val="clear" w:color="auto" w:fill="BFBFBF" w:themeFill="background1" w:themeFillShade="BF"/>
          </w:tcPr>
          <w:p>
            <w:pPr>
              <w:jc w:val="left"/>
              <w:rPr>
                <w:b/>
                <w:bCs/>
                <w:noProof/>
              </w:rPr>
            </w:pPr>
            <w:r>
              <w:rPr>
                <w:b/>
                <w:noProof/>
              </w:rPr>
              <w:t>D.1</w:t>
            </w:r>
          </w:p>
        </w:tc>
        <w:tc>
          <w:tcPr>
            <w:tcW w:w="999" w:type="pct"/>
            <w:shd w:val="clear" w:color="auto" w:fill="BFBFBF" w:themeFill="background1" w:themeFillShade="BF"/>
          </w:tcPr>
          <w:p>
            <w:pPr>
              <w:jc w:val="left"/>
              <w:rPr>
                <w:b/>
                <w:bCs/>
                <w:noProof/>
              </w:rPr>
            </w:pPr>
            <w:r>
              <w:rPr>
                <w:b/>
                <w:noProof/>
              </w:rPr>
              <w:t>Collecte et analyse de données</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tcPr>
          <w:p>
            <w:pPr>
              <w:jc w:val="left"/>
              <w:rPr>
                <w:noProof/>
              </w:rPr>
            </w:pPr>
            <w:r>
              <w:rPr>
                <w:noProof/>
              </w:rPr>
              <w:t>D.1.1</w:t>
            </w:r>
          </w:p>
          <w:p>
            <w:pPr>
              <w:jc w:val="left"/>
              <w:rPr>
                <w:noProof/>
              </w:rPr>
            </w:pPr>
          </w:p>
        </w:tc>
        <w:tc>
          <w:tcPr>
            <w:tcW w:w="999" w:type="pct"/>
          </w:tcPr>
          <w:p>
            <w:pPr>
              <w:jc w:val="left"/>
              <w:rPr>
                <w:noProof/>
              </w:rPr>
            </w:pPr>
            <w:r>
              <w:rPr>
                <w:noProof/>
              </w:rPr>
              <w:t>Amélioration de la production de rapports</w:t>
            </w:r>
          </w:p>
        </w:tc>
        <w:tc>
          <w:tcPr>
            <w:tcW w:w="1201" w:type="pct"/>
          </w:tcPr>
          <w:p>
            <w:pPr>
              <w:jc w:val="left"/>
              <w:rPr>
                <w:noProof/>
              </w:rPr>
            </w:pPr>
            <w:r>
              <w:rPr>
                <w:noProof/>
              </w:rPr>
              <w:t>Production systématique de rapports par les États membres sur des saisies et des renseignements pertinents par l'intermédiaire de l’application du système d’information antifraude (CIS+), facilitée par la mise en œuvre de l’approche «une saisie-un rapport» et en fonction des orientations à définir lors d’un atelier technique pour les autorités douanières</w:t>
            </w:r>
          </w:p>
        </w:tc>
        <w:tc>
          <w:tcPr>
            <w:tcW w:w="701" w:type="pct"/>
          </w:tcPr>
          <w:p>
            <w:pPr>
              <w:jc w:val="left"/>
              <w:rPr>
                <w:noProof/>
              </w:rPr>
            </w:pPr>
            <w:r>
              <w:rPr>
                <w:noProof/>
              </w:rPr>
              <w:t>Couverture complète dans CIS+</w:t>
            </w:r>
          </w:p>
        </w:tc>
        <w:tc>
          <w:tcPr>
            <w:tcW w:w="550" w:type="pct"/>
          </w:tcPr>
          <w:p>
            <w:pPr>
              <w:jc w:val="left"/>
              <w:rPr>
                <w:noProof/>
              </w:rPr>
            </w:pPr>
            <w:r>
              <w:rPr>
                <w:noProof/>
              </w:rPr>
              <w:t>2020</w:t>
            </w:r>
          </w:p>
        </w:tc>
        <w:tc>
          <w:tcPr>
            <w:tcW w:w="710" w:type="pct"/>
          </w:tcPr>
          <w:p>
            <w:pPr>
              <w:jc w:val="left"/>
              <w:rPr>
                <w:noProof/>
              </w:rPr>
            </w:pPr>
            <w:r>
              <w:rPr>
                <w:noProof/>
              </w:rPr>
              <w:t>États membres</w:t>
            </w:r>
          </w:p>
          <w:p>
            <w:pPr>
              <w:jc w:val="left"/>
              <w:rPr>
                <w:noProof/>
              </w:rPr>
            </w:pPr>
            <w:r>
              <w:rPr>
                <w:noProof/>
              </w:rPr>
              <w:t>Commission</w:t>
            </w:r>
          </w:p>
        </w:tc>
      </w:tr>
      <w:tr>
        <w:trPr>
          <w:cantSplit/>
        </w:trPr>
        <w:tc>
          <w:tcPr>
            <w:tcW w:w="839" w:type="pct"/>
          </w:tcPr>
          <w:p>
            <w:pPr>
              <w:jc w:val="left"/>
              <w:rPr>
                <w:noProof/>
              </w:rPr>
            </w:pPr>
            <w:r>
              <w:rPr>
                <w:noProof/>
              </w:rPr>
              <w:t>D.1.2</w:t>
            </w:r>
          </w:p>
          <w:p>
            <w:pPr>
              <w:jc w:val="left"/>
              <w:rPr>
                <w:i/>
                <w:noProof/>
              </w:rPr>
            </w:pPr>
          </w:p>
        </w:tc>
        <w:tc>
          <w:tcPr>
            <w:tcW w:w="999" w:type="pct"/>
          </w:tcPr>
          <w:p>
            <w:pPr>
              <w:jc w:val="left"/>
              <w:rPr>
                <w:noProof/>
              </w:rPr>
            </w:pPr>
            <w:r>
              <w:rPr>
                <w:noProof/>
              </w:rPr>
              <w:t>Outil informatique modernisé pour les statistiques relatives aux saisies</w:t>
            </w:r>
          </w:p>
        </w:tc>
        <w:tc>
          <w:tcPr>
            <w:tcW w:w="1201" w:type="pct"/>
          </w:tcPr>
          <w:p>
            <w:pPr>
              <w:jc w:val="left"/>
              <w:rPr>
                <w:noProof/>
              </w:rPr>
            </w:pPr>
            <w:r>
              <w:rPr>
                <w:noProof/>
              </w:rPr>
              <w:t>Fournir aux États membres un outil informatique modernisé pour la production de rapports sur les cigarettes saisies et pour l’échange de renseignements dans le domaine du tabac (CIS+)</w:t>
            </w:r>
          </w:p>
        </w:tc>
        <w:tc>
          <w:tcPr>
            <w:tcW w:w="701" w:type="pct"/>
          </w:tcPr>
          <w:p>
            <w:pPr>
              <w:jc w:val="left"/>
              <w:rPr>
                <w:noProof/>
              </w:rPr>
            </w:pPr>
            <w:r>
              <w:rPr>
                <w:noProof/>
              </w:rPr>
              <w:t>Application informatique fournie</w:t>
            </w:r>
          </w:p>
        </w:tc>
        <w:tc>
          <w:tcPr>
            <w:tcW w:w="550" w:type="pct"/>
          </w:tcPr>
          <w:p>
            <w:pPr>
              <w:jc w:val="left"/>
              <w:rPr>
                <w:noProof/>
              </w:rPr>
            </w:pPr>
            <w:r>
              <w:rPr>
                <w:noProof/>
              </w:rPr>
              <w:t>À partir de 2018</w:t>
            </w:r>
          </w:p>
        </w:tc>
        <w:tc>
          <w:tcPr>
            <w:tcW w:w="710" w:type="pct"/>
          </w:tcPr>
          <w:p>
            <w:pPr>
              <w:jc w:val="left"/>
              <w:rPr>
                <w:noProof/>
              </w:rPr>
            </w:pPr>
            <w:r>
              <w:rPr>
                <w:noProof/>
              </w:rPr>
              <w:t>Commission</w:t>
            </w:r>
          </w:p>
        </w:tc>
      </w:tr>
      <w:tr>
        <w:trPr>
          <w:cantSplit/>
        </w:trPr>
        <w:tc>
          <w:tcPr>
            <w:tcW w:w="839" w:type="pct"/>
          </w:tcPr>
          <w:p>
            <w:pPr>
              <w:jc w:val="left"/>
              <w:rPr>
                <w:noProof/>
              </w:rPr>
            </w:pPr>
            <w:r>
              <w:rPr>
                <w:noProof/>
              </w:rPr>
              <w:t>D.1.3</w:t>
            </w:r>
          </w:p>
          <w:p>
            <w:pPr>
              <w:jc w:val="left"/>
              <w:rPr>
                <w:i/>
                <w:noProof/>
              </w:rPr>
            </w:pPr>
          </w:p>
        </w:tc>
        <w:tc>
          <w:tcPr>
            <w:tcW w:w="999" w:type="pct"/>
          </w:tcPr>
          <w:p>
            <w:pPr>
              <w:jc w:val="left"/>
              <w:rPr>
                <w:noProof/>
              </w:rPr>
            </w:pPr>
            <w:r>
              <w:rPr>
                <w:noProof/>
              </w:rPr>
              <w:t>Analyse des données</w:t>
            </w:r>
          </w:p>
        </w:tc>
        <w:tc>
          <w:tcPr>
            <w:tcW w:w="1201" w:type="pct"/>
          </w:tcPr>
          <w:p>
            <w:pPr>
              <w:jc w:val="left"/>
              <w:rPr>
                <w:noProof/>
              </w:rPr>
            </w:pPr>
            <w:r>
              <w:rPr>
                <w:noProof/>
              </w:rPr>
              <w:t xml:space="preserve">Fournir de l’aide pour renforcer les capacités d’analyse des États membres pour la détection des envois illicites, y compris grâce à des réunions d’expert et à une infrastructure informatique appropriée </w:t>
            </w:r>
          </w:p>
        </w:tc>
        <w:tc>
          <w:tcPr>
            <w:tcW w:w="701" w:type="pct"/>
          </w:tcPr>
          <w:p>
            <w:pPr>
              <w:jc w:val="left"/>
              <w:rPr>
                <w:noProof/>
              </w:rPr>
            </w:pPr>
            <w:r>
              <w:rPr>
                <w:noProof/>
              </w:rPr>
              <w:t>Assistance technique</w:t>
            </w:r>
          </w:p>
        </w:tc>
        <w:tc>
          <w:tcPr>
            <w:tcW w:w="550" w:type="pct"/>
          </w:tcPr>
          <w:p>
            <w:pPr>
              <w:jc w:val="left"/>
              <w:rPr>
                <w:noProof/>
              </w:rPr>
            </w:pPr>
            <w:r>
              <w:rPr>
                <w:noProof/>
              </w:rPr>
              <w:t>Projet spécifique sur les produits du tabac à compter de 2019</w:t>
            </w:r>
          </w:p>
        </w:tc>
        <w:tc>
          <w:tcPr>
            <w:tcW w:w="710" w:type="pct"/>
          </w:tcPr>
          <w:p>
            <w:pPr>
              <w:jc w:val="left"/>
              <w:rPr>
                <w:noProof/>
              </w:rPr>
            </w:pPr>
            <w:r>
              <w:rPr>
                <w:noProof/>
              </w:rPr>
              <w:t>Commission</w:t>
            </w:r>
          </w:p>
        </w:tc>
      </w:tr>
      <w:tr>
        <w:trPr>
          <w:cantSplit/>
        </w:trPr>
        <w:tc>
          <w:tcPr>
            <w:tcW w:w="839" w:type="pct"/>
          </w:tcPr>
          <w:p>
            <w:pPr>
              <w:rPr>
                <w:noProof/>
              </w:rPr>
            </w:pPr>
            <w:r>
              <w:rPr>
                <w:noProof/>
              </w:rPr>
              <w:t>D.1.4</w:t>
            </w:r>
          </w:p>
          <w:p>
            <w:pPr>
              <w:rPr>
                <w:i/>
                <w:noProof/>
              </w:rPr>
            </w:pPr>
          </w:p>
        </w:tc>
        <w:tc>
          <w:tcPr>
            <w:tcW w:w="999" w:type="pct"/>
          </w:tcPr>
          <w:p>
            <w:pPr>
              <w:jc w:val="left"/>
              <w:rPr>
                <w:noProof/>
              </w:rPr>
            </w:pPr>
            <w:r>
              <w:rPr>
                <w:noProof/>
              </w:rPr>
              <w:t>Analyses de risques au moyen du système d’informatisation des mouvements et des contrôles des produits soumis à accises</w:t>
            </w:r>
          </w:p>
        </w:tc>
        <w:tc>
          <w:tcPr>
            <w:tcW w:w="1201" w:type="pct"/>
          </w:tcPr>
          <w:p>
            <w:pPr>
              <w:jc w:val="left"/>
              <w:rPr>
                <w:noProof/>
              </w:rPr>
            </w:pPr>
            <w:r>
              <w:rPr>
                <w:noProof/>
              </w:rPr>
              <w:t xml:space="preserve">Mieux utiliser les données du système d’informatisation des mouvements et des contrôles des produits soumis à accises à des fins d’analyse des risques </w:t>
            </w:r>
          </w:p>
        </w:tc>
        <w:tc>
          <w:tcPr>
            <w:tcW w:w="701" w:type="pct"/>
          </w:tcPr>
          <w:p>
            <w:pPr>
              <w:jc w:val="left"/>
              <w:rPr>
                <w:noProof/>
              </w:rPr>
            </w:pPr>
            <w:r>
              <w:rPr>
                <w:noProof/>
              </w:rPr>
              <w:t xml:space="preserve">Rapport </w:t>
            </w:r>
          </w:p>
        </w:tc>
        <w:tc>
          <w:tcPr>
            <w:tcW w:w="550" w:type="pct"/>
          </w:tcPr>
          <w:p>
            <w:pPr>
              <w:jc w:val="left"/>
              <w:rPr>
                <w:noProof/>
              </w:rPr>
            </w:pPr>
            <w:r>
              <w:rPr>
                <w:noProof/>
              </w:rPr>
              <w:t>Jusqu’en 2020</w:t>
            </w:r>
          </w:p>
        </w:tc>
        <w:tc>
          <w:tcPr>
            <w:tcW w:w="710" w:type="pct"/>
          </w:tcPr>
          <w:p>
            <w:pPr>
              <w:jc w:val="left"/>
              <w:rPr>
                <w:noProof/>
              </w:rPr>
            </w:pPr>
            <w:r>
              <w:rPr>
                <w:noProof/>
              </w:rPr>
              <w:t>Commission</w:t>
            </w:r>
          </w:p>
          <w:p>
            <w:pPr>
              <w:jc w:val="left"/>
              <w:rPr>
                <w:noProof/>
              </w:rPr>
            </w:pPr>
            <w:r>
              <w:rPr>
                <w:noProof/>
              </w:rPr>
              <w:t>États membres</w:t>
            </w:r>
          </w:p>
        </w:tc>
      </w:tr>
      <w:tr>
        <w:trPr>
          <w:cantSplit/>
        </w:trPr>
        <w:tc>
          <w:tcPr>
            <w:tcW w:w="839" w:type="pct"/>
          </w:tcPr>
          <w:p>
            <w:pPr>
              <w:jc w:val="left"/>
              <w:rPr>
                <w:noProof/>
              </w:rPr>
            </w:pPr>
            <w:r>
              <w:rPr>
                <w:noProof/>
              </w:rPr>
              <w:t>D.1.5</w:t>
            </w:r>
          </w:p>
          <w:p>
            <w:pPr>
              <w:jc w:val="left"/>
              <w:rPr>
                <w:i/>
                <w:noProof/>
              </w:rPr>
            </w:pPr>
          </w:p>
        </w:tc>
        <w:tc>
          <w:tcPr>
            <w:tcW w:w="999" w:type="pct"/>
          </w:tcPr>
          <w:p>
            <w:pPr>
              <w:jc w:val="left"/>
              <w:rPr>
                <w:noProof/>
              </w:rPr>
            </w:pPr>
            <w:r>
              <w:rPr>
                <w:noProof/>
              </w:rPr>
              <w:t>Utilisation des données générées par le système de traçabilité de l’UE pour les produits du tabac à des fins d’analyse des données</w:t>
            </w:r>
          </w:p>
        </w:tc>
        <w:tc>
          <w:tcPr>
            <w:tcW w:w="1201" w:type="pct"/>
          </w:tcPr>
          <w:p>
            <w:pPr>
              <w:jc w:val="left"/>
              <w:rPr>
                <w:noProof/>
              </w:rPr>
            </w:pPr>
            <w:r>
              <w:rPr>
                <w:noProof/>
              </w:rPr>
              <w:t xml:space="preserve">Aider les États membres en fournissant des moyens analytiques et pratiques pour l’utilisation des données collectées au moyen du système de stockage et de traçabilité </w:t>
            </w:r>
          </w:p>
        </w:tc>
        <w:tc>
          <w:tcPr>
            <w:tcW w:w="701" w:type="pct"/>
          </w:tcPr>
          <w:p>
            <w:pPr>
              <w:jc w:val="left"/>
              <w:rPr>
                <w:noProof/>
              </w:rPr>
            </w:pPr>
            <w:r>
              <w:rPr>
                <w:noProof/>
              </w:rPr>
              <w:t>Assistance offerte aux États membres</w:t>
            </w:r>
          </w:p>
        </w:tc>
        <w:tc>
          <w:tcPr>
            <w:tcW w:w="550" w:type="pct"/>
          </w:tcPr>
          <w:p>
            <w:pPr>
              <w:jc w:val="left"/>
              <w:rPr>
                <w:noProof/>
              </w:rPr>
            </w:pPr>
            <w:r>
              <w:rPr>
                <w:noProof/>
              </w:rPr>
              <w:t>À partir de 2020</w:t>
            </w:r>
          </w:p>
        </w:tc>
        <w:tc>
          <w:tcPr>
            <w:tcW w:w="710" w:type="pct"/>
          </w:tcPr>
          <w:p>
            <w:pPr>
              <w:jc w:val="left"/>
              <w:rPr>
                <w:noProof/>
              </w:rPr>
            </w:pPr>
            <w:r>
              <w:rPr>
                <w:noProof/>
              </w:rPr>
              <w:t>Commission</w:t>
            </w:r>
          </w:p>
        </w:tc>
      </w:tr>
      <w:tr>
        <w:trPr>
          <w:cantSplit/>
        </w:trPr>
        <w:tc>
          <w:tcPr>
            <w:tcW w:w="839" w:type="pct"/>
          </w:tcPr>
          <w:p>
            <w:pPr>
              <w:jc w:val="left"/>
              <w:rPr>
                <w:noProof/>
              </w:rPr>
            </w:pPr>
            <w:r>
              <w:rPr>
                <w:noProof/>
              </w:rPr>
              <w:t>D.1.6</w:t>
            </w:r>
          </w:p>
          <w:p>
            <w:pPr>
              <w:jc w:val="left"/>
              <w:rPr>
                <w:i/>
                <w:noProof/>
              </w:rPr>
            </w:pPr>
          </w:p>
        </w:tc>
        <w:tc>
          <w:tcPr>
            <w:tcW w:w="999" w:type="pct"/>
          </w:tcPr>
          <w:p>
            <w:pPr>
              <w:jc w:val="left"/>
              <w:rPr>
                <w:noProof/>
              </w:rPr>
            </w:pPr>
            <w:r>
              <w:rPr>
                <w:noProof/>
              </w:rPr>
              <w:t>Évaluation du marché illicite du tabac</w:t>
            </w:r>
          </w:p>
        </w:tc>
        <w:tc>
          <w:tcPr>
            <w:tcW w:w="1201" w:type="pct"/>
          </w:tcPr>
          <w:p>
            <w:pPr>
              <w:jc w:val="left"/>
              <w:rPr>
                <w:noProof/>
              </w:rPr>
            </w:pPr>
            <w:r>
              <w:rPr>
                <w:noProof/>
              </w:rPr>
              <w:t>Étude de faisabilité sur l’évaluation du marché illicite du tabac comme base de la prise de décisions politiques et opérationnelles avisées</w:t>
            </w:r>
          </w:p>
        </w:tc>
        <w:tc>
          <w:tcPr>
            <w:tcW w:w="701" w:type="pct"/>
          </w:tcPr>
          <w:p>
            <w:pPr>
              <w:jc w:val="left"/>
              <w:rPr>
                <w:noProof/>
              </w:rPr>
            </w:pPr>
            <w:r>
              <w:rPr>
                <w:noProof/>
              </w:rPr>
              <w:t>Publier l’étude et, le cas échéant, lancer un projet pilote pour tester la méthodologie</w:t>
            </w:r>
          </w:p>
        </w:tc>
        <w:tc>
          <w:tcPr>
            <w:tcW w:w="550" w:type="pct"/>
          </w:tcPr>
          <w:p>
            <w:pPr>
              <w:jc w:val="left"/>
              <w:rPr>
                <w:noProof/>
              </w:rPr>
            </w:pPr>
            <w:r>
              <w:rPr>
                <w:noProof/>
              </w:rPr>
              <w:t>2020</w:t>
            </w:r>
          </w:p>
        </w:tc>
        <w:tc>
          <w:tcPr>
            <w:tcW w:w="710" w:type="pct"/>
          </w:tcPr>
          <w:p>
            <w:pPr>
              <w:jc w:val="left"/>
              <w:rPr>
                <w:noProof/>
              </w:rPr>
            </w:pPr>
            <w:r>
              <w:rPr>
                <w:noProof/>
              </w:rPr>
              <w:t>Commission</w:t>
            </w:r>
          </w:p>
        </w:tc>
      </w:tr>
      <w:tr>
        <w:trPr>
          <w:cantSplit/>
        </w:trPr>
        <w:tc>
          <w:tcPr>
            <w:tcW w:w="839" w:type="pct"/>
          </w:tcPr>
          <w:p>
            <w:pPr>
              <w:jc w:val="left"/>
              <w:rPr>
                <w:noProof/>
              </w:rPr>
            </w:pPr>
            <w:r>
              <w:rPr>
                <w:noProof/>
              </w:rPr>
              <w:t>D.1.7</w:t>
            </w:r>
          </w:p>
          <w:p>
            <w:pPr>
              <w:jc w:val="left"/>
              <w:rPr>
                <w:i/>
                <w:noProof/>
              </w:rPr>
            </w:pPr>
          </w:p>
        </w:tc>
        <w:tc>
          <w:tcPr>
            <w:tcW w:w="999" w:type="pct"/>
          </w:tcPr>
          <w:p>
            <w:pPr>
              <w:jc w:val="left"/>
              <w:rPr>
                <w:noProof/>
              </w:rPr>
            </w:pPr>
            <w:r>
              <w:rPr>
                <w:noProof/>
              </w:rPr>
              <w:t>Laboratoire du tabac de l’Union européenne</w:t>
            </w:r>
          </w:p>
        </w:tc>
        <w:tc>
          <w:tcPr>
            <w:tcW w:w="1201" w:type="pct"/>
          </w:tcPr>
          <w:p>
            <w:pPr>
              <w:jc w:val="left"/>
              <w:rPr>
                <w:noProof/>
              </w:rPr>
            </w:pPr>
            <w:r>
              <w:rPr>
                <w:noProof/>
              </w:rPr>
              <w:t>Fournir une analyse technique et chimique d’échantillons sélectionnés de produits du tabac qui ont été saisis et promouvoir les capacités du laboratoire auprès des services douaniers nationaux</w:t>
            </w:r>
          </w:p>
        </w:tc>
        <w:tc>
          <w:tcPr>
            <w:tcW w:w="701" w:type="pct"/>
          </w:tcPr>
          <w:p>
            <w:pPr>
              <w:jc w:val="left"/>
              <w:rPr>
                <w:noProof/>
              </w:rPr>
            </w:pPr>
            <w:r>
              <w:rPr>
                <w:noProof/>
              </w:rPr>
              <w:t>Nombre d’analyses proposées</w:t>
            </w:r>
          </w:p>
          <w:p>
            <w:pPr>
              <w:jc w:val="left"/>
              <w:rPr>
                <w:noProof/>
              </w:rPr>
            </w:pPr>
            <w:r>
              <w:rPr>
                <w:noProof/>
              </w:rPr>
              <w:t xml:space="preserve">Actions de promotion </w:t>
            </w:r>
          </w:p>
        </w:tc>
        <w:tc>
          <w:tcPr>
            <w:tcW w:w="550" w:type="pct"/>
          </w:tcPr>
          <w:p>
            <w:pPr>
              <w:jc w:val="left"/>
              <w:rPr>
                <w:noProof/>
              </w:rPr>
            </w:pPr>
            <w:r>
              <w:rPr>
                <w:noProof/>
              </w:rPr>
              <w:t>En continu</w:t>
            </w:r>
          </w:p>
        </w:tc>
        <w:tc>
          <w:tcPr>
            <w:tcW w:w="710" w:type="pct"/>
          </w:tcPr>
          <w:p>
            <w:pPr>
              <w:jc w:val="left"/>
              <w:rPr>
                <w:noProof/>
              </w:rPr>
            </w:pPr>
            <w:r>
              <w:rPr>
                <w:noProof/>
              </w:rPr>
              <w:t>Commission</w:t>
            </w:r>
          </w:p>
          <w:p>
            <w:pPr>
              <w:jc w:val="left"/>
              <w:rPr>
                <w:noProof/>
              </w:rPr>
            </w:pPr>
            <w:r>
              <w:rPr>
                <w:noProof/>
              </w:rPr>
              <w:t>OLAF</w:t>
            </w:r>
          </w:p>
        </w:tc>
      </w:tr>
      <w:tr>
        <w:trPr>
          <w:cantSplit/>
        </w:trPr>
        <w:tc>
          <w:tcPr>
            <w:tcW w:w="839" w:type="pct"/>
            <w:shd w:val="clear" w:color="auto" w:fill="BFBFBF" w:themeFill="background1" w:themeFillShade="BF"/>
          </w:tcPr>
          <w:p>
            <w:pPr>
              <w:jc w:val="left"/>
              <w:rPr>
                <w:b/>
                <w:bCs/>
                <w:noProof/>
              </w:rPr>
            </w:pPr>
            <w:r>
              <w:rPr>
                <w:b/>
                <w:noProof/>
              </w:rPr>
              <w:t>D.2</w:t>
            </w:r>
          </w:p>
        </w:tc>
        <w:tc>
          <w:tcPr>
            <w:tcW w:w="999" w:type="pct"/>
            <w:shd w:val="clear" w:color="auto" w:fill="BFBFBF" w:themeFill="background1" w:themeFillShade="BF"/>
          </w:tcPr>
          <w:p>
            <w:pPr>
              <w:jc w:val="left"/>
              <w:rPr>
                <w:b/>
                <w:bCs/>
                <w:noProof/>
              </w:rPr>
            </w:pPr>
            <w:r>
              <w:rPr>
                <w:b/>
                <w:noProof/>
              </w:rPr>
              <w:t>Renforcement de la coordination et de la coopération</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tcPr>
          <w:p>
            <w:pPr>
              <w:jc w:val="left"/>
              <w:rPr>
                <w:noProof/>
              </w:rPr>
            </w:pPr>
            <w:r>
              <w:rPr>
                <w:noProof/>
              </w:rPr>
              <w:t>D.2.1</w:t>
            </w:r>
          </w:p>
          <w:p>
            <w:pPr>
              <w:jc w:val="left"/>
              <w:rPr>
                <w:i/>
                <w:noProof/>
              </w:rPr>
            </w:pPr>
          </w:p>
        </w:tc>
        <w:tc>
          <w:tcPr>
            <w:tcW w:w="999" w:type="pct"/>
          </w:tcPr>
          <w:p>
            <w:pPr>
              <w:jc w:val="left"/>
              <w:rPr>
                <w:noProof/>
              </w:rPr>
            </w:pPr>
            <w:r>
              <w:rPr>
                <w:noProof/>
              </w:rPr>
              <w:t>Rapport annuel sur le commerce illicite du tabac</w:t>
            </w:r>
          </w:p>
        </w:tc>
        <w:tc>
          <w:tcPr>
            <w:tcW w:w="1201" w:type="pct"/>
          </w:tcPr>
          <w:p>
            <w:pPr>
              <w:jc w:val="left"/>
              <w:rPr>
                <w:noProof/>
              </w:rPr>
            </w:pPr>
            <w:r>
              <w:rPr>
                <w:noProof/>
              </w:rPr>
              <w:t>Fournir un rapport annuel pour éclairer les autorités douanières des États membres sur les renseignements recueillis sur le commerce illicite du tabac</w:t>
            </w:r>
          </w:p>
        </w:tc>
        <w:tc>
          <w:tcPr>
            <w:tcW w:w="701" w:type="pct"/>
          </w:tcPr>
          <w:p>
            <w:pPr>
              <w:jc w:val="left"/>
              <w:rPr>
                <w:noProof/>
              </w:rPr>
            </w:pPr>
            <w:r>
              <w:rPr>
                <w:noProof/>
              </w:rPr>
              <w:t xml:space="preserve">Rapport </w:t>
            </w:r>
          </w:p>
        </w:tc>
        <w:tc>
          <w:tcPr>
            <w:tcW w:w="550" w:type="pct"/>
          </w:tcPr>
          <w:p>
            <w:pPr>
              <w:jc w:val="left"/>
              <w:rPr>
                <w:noProof/>
              </w:rPr>
            </w:pPr>
            <w:r>
              <w:rPr>
                <w:noProof/>
              </w:rPr>
              <w:t>À partir de 2019</w:t>
            </w:r>
          </w:p>
        </w:tc>
        <w:tc>
          <w:tcPr>
            <w:tcW w:w="710" w:type="pct"/>
          </w:tcPr>
          <w:p>
            <w:pPr>
              <w:jc w:val="left"/>
              <w:rPr>
                <w:noProof/>
              </w:rPr>
            </w:pPr>
            <w:r>
              <w:rPr>
                <w:noProof/>
              </w:rPr>
              <w:t>OLAF</w:t>
            </w:r>
          </w:p>
        </w:tc>
      </w:tr>
      <w:tr>
        <w:trPr>
          <w:cantSplit/>
        </w:trPr>
        <w:tc>
          <w:tcPr>
            <w:tcW w:w="839" w:type="pct"/>
          </w:tcPr>
          <w:p>
            <w:pPr>
              <w:rPr>
                <w:noProof/>
              </w:rPr>
            </w:pPr>
            <w:r>
              <w:rPr>
                <w:noProof/>
              </w:rPr>
              <w:t>D.2.2</w:t>
            </w:r>
          </w:p>
          <w:p>
            <w:pPr>
              <w:rPr>
                <w:i/>
                <w:noProof/>
              </w:rPr>
            </w:pPr>
          </w:p>
        </w:tc>
        <w:tc>
          <w:tcPr>
            <w:tcW w:w="999" w:type="pct"/>
          </w:tcPr>
          <w:p>
            <w:pPr>
              <w:jc w:val="left"/>
              <w:rPr>
                <w:noProof/>
              </w:rPr>
            </w:pPr>
            <w:r>
              <w:rPr>
                <w:noProof/>
              </w:rPr>
              <w:t>Échange d’informations avec les États membres sur le commerce illicite du tabac</w:t>
            </w:r>
          </w:p>
        </w:tc>
        <w:tc>
          <w:tcPr>
            <w:tcW w:w="1201" w:type="pct"/>
          </w:tcPr>
          <w:p>
            <w:pPr>
              <w:jc w:val="left"/>
              <w:rPr>
                <w:noProof/>
              </w:rPr>
            </w:pPr>
            <w:r>
              <w:rPr>
                <w:noProof/>
              </w:rPr>
              <w:t>Échange d’informations avec des experts des États membres sur les tendances et les mesures correctives éventuelles dans le cadre du Groupe d’experts de la Commission sur la lutte contre le commerce illicite du tabac</w:t>
            </w:r>
          </w:p>
        </w:tc>
        <w:tc>
          <w:tcPr>
            <w:tcW w:w="701" w:type="pct"/>
          </w:tcPr>
          <w:p>
            <w:pPr>
              <w:jc w:val="left"/>
              <w:rPr>
                <w:noProof/>
              </w:rPr>
            </w:pPr>
            <w:r>
              <w:rPr>
                <w:noProof/>
              </w:rPr>
              <w:t>Deux réunions annuelles</w:t>
            </w:r>
          </w:p>
        </w:tc>
        <w:tc>
          <w:tcPr>
            <w:tcW w:w="550" w:type="pct"/>
          </w:tcPr>
          <w:p>
            <w:pPr>
              <w:jc w:val="left"/>
              <w:rPr>
                <w:noProof/>
              </w:rPr>
            </w:pPr>
            <w:r>
              <w:rPr>
                <w:noProof/>
              </w:rPr>
              <w:t>En continu</w:t>
            </w:r>
          </w:p>
        </w:tc>
        <w:tc>
          <w:tcPr>
            <w:tcW w:w="710" w:type="pct"/>
          </w:tcPr>
          <w:p>
            <w:pPr>
              <w:jc w:val="left"/>
              <w:rPr>
                <w:noProof/>
              </w:rPr>
            </w:pPr>
            <w:r>
              <w:rPr>
                <w:noProof/>
              </w:rPr>
              <w:t>Commission</w:t>
            </w:r>
          </w:p>
          <w:p>
            <w:pPr>
              <w:jc w:val="left"/>
              <w:rPr>
                <w:noProof/>
              </w:rPr>
            </w:pPr>
            <w:r>
              <w:rPr>
                <w:noProof/>
              </w:rPr>
              <w:t>États membres</w:t>
            </w:r>
          </w:p>
        </w:tc>
      </w:tr>
      <w:tr>
        <w:trPr>
          <w:cantSplit/>
        </w:trPr>
        <w:tc>
          <w:tcPr>
            <w:tcW w:w="839" w:type="pct"/>
          </w:tcPr>
          <w:p>
            <w:pPr>
              <w:jc w:val="left"/>
              <w:rPr>
                <w:noProof/>
              </w:rPr>
            </w:pPr>
            <w:r>
              <w:rPr>
                <w:noProof/>
              </w:rPr>
              <w:t>D.2.3</w:t>
            </w:r>
          </w:p>
          <w:p>
            <w:pPr>
              <w:jc w:val="left"/>
              <w:rPr>
                <w:b/>
                <w:i/>
                <w:noProof/>
                <w:highlight w:val="darkGray"/>
              </w:rPr>
            </w:pPr>
          </w:p>
        </w:tc>
        <w:tc>
          <w:tcPr>
            <w:tcW w:w="999" w:type="pct"/>
          </w:tcPr>
          <w:p>
            <w:pPr>
              <w:jc w:val="left"/>
              <w:rPr>
                <w:noProof/>
                <w:highlight w:val="darkGray"/>
              </w:rPr>
            </w:pPr>
            <w:r>
              <w:rPr>
                <w:noProof/>
              </w:rPr>
              <w:t>Coopération en matière d'analyse stratégique</w:t>
            </w:r>
          </w:p>
        </w:tc>
        <w:tc>
          <w:tcPr>
            <w:tcW w:w="1201" w:type="pct"/>
          </w:tcPr>
          <w:p>
            <w:pPr>
              <w:jc w:val="left"/>
              <w:rPr>
                <w:noProof/>
              </w:rPr>
            </w:pPr>
            <w:r>
              <w:rPr>
                <w:noProof/>
              </w:rPr>
              <w:t>Échange d’analyses stratégiques entre l’OLAF et Europol, et d’autres entités publiques concernées, le cas échéant</w:t>
            </w:r>
          </w:p>
        </w:tc>
        <w:tc>
          <w:tcPr>
            <w:tcW w:w="701" w:type="pct"/>
          </w:tcPr>
          <w:p>
            <w:pPr>
              <w:jc w:val="left"/>
              <w:rPr>
                <w:noProof/>
              </w:rPr>
            </w:pPr>
            <w:r>
              <w:rPr>
                <w:noProof/>
              </w:rPr>
              <w:t xml:space="preserve">Transmission et discussion des résultats d'analyse </w:t>
            </w:r>
          </w:p>
        </w:tc>
        <w:tc>
          <w:tcPr>
            <w:tcW w:w="550" w:type="pct"/>
          </w:tcPr>
          <w:p>
            <w:pPr>
              <w:jc w:val="left"/>
              <w:rPr>
                <w:noProof/>
              </w:rPr>
            </w:pPr>
            <w:r>
              <w:rPr>
                <w:noProof/>
              </w:rPr>
              <w:t>En continu</w:t>
            </w:r>
          </w:p>
        </w:tc>
        <w:tc>
          <w:tcPr>
            <w:tcW w:w="710" w:type="pct"/>
          </w:tcPr>
          <w:p>
            <w:pPr>
              <w:jc w:val="left"/>
              <w:rPr>
                <w:noProof/>
              </w:rPr>
            </w:pPr>
            <w:r>
              <w:rPr>
                <w:noProof/>
              </w:rPr>
              <w:t>OLAF</w:t>
            </w:r>
          </w:p>
          <w:p>
            <w:pPr>
              <w:jc w:val="left"/>
              <w:rPr>
                <w:noProof/>
              </w:rPr>
            </w:pPr>
            <w:r>
              <w:rPr>
                <w:noProof/>
              </w:rPr>
              <w:t>Europol</w:t>
            </w:r>
          </w:p>
          <w:p>
            <w:pPr>
              <w:jc w:val="left"/>
              <w:rPr>
                <w:noProof/>
              </w:rPr>
            </w:pPr>
            <w:r>
              <w:rPr>
                <w:noProof/>
              </w:rPr>
              <w:t>Autres entités publiques concernées</w:t>
            </w:r>
          </w:p>
        </w:tc>
      </w:tr>
      <w:tr>
        <w:trPr>
          <w:cantSplit/>
        </w:trPr>
        <w:tc>
          <w:tcPr>
            <w:tcW w:w="839" w:type="pct"/>
          </w:tcPr>
          <w:p>
            <w:pPr>
              <w:rPr>
                <w:noProof/>
              </w:rPr>
            </w:pPr>
            <w:r>
              <w:rPr>
                <w:noProof/>
              </w:rPr>
              <w:t>D.2.4</w:t>
            </w:r>
          </w:p>
          <w:p>
            <w:pPr>
              <w:rPr>
                <w:i/>
                <w:noProof/>
              </w:rPr>
            </w:pPr>
          </w:p>
        </w:tc>
        <w:tc>
          <w:tcPr>
            <w:tcW w:w="999" w:type="pct"/>
          </w:tcPr>
          <w:p>
            <w:pPr>
              <w:jc w:val="left"/>
              <w:rPr>
                <w:noProof/>
              </w:rPr>
            </w:pPr>
            <w:r>
              <w:rPr>
                <w:noProof/>
              </w:rPr>
              <w:t>Conférence des parties prenantes sur le commerce illicite du tabac</w:t>
            </w:r>
          </w:p>
        </w:tc>
        <w:tc>
          <w:tcPr>
            <w:tcW w:w="1201" w:type="pct"/>
          </w:tcPr>
          <w:p>
            <w:pPr>
              <w:jc w:val="left"/>
              <w:rPr>
                <w:noProof/>
              </w:rPr>
            </w:pPr>
            <w:r>
              <w:rPr>
                <w:noProof/>
              </w:rPr>
              <w:t xml:space="preserve">Organiser un événement pour informer les parties prenantes sur les tendances relatives au commerce illicite du tabac et discuter de la perception de ce défi par le public </w:t>
            </w:r>
          </w:p>
        </w:tc>
        <w:tc>
          <w:tcPr>
            <w:tcW w:w="701" w:type="pct"/>
          </w:tcPr>
          <w:p>
            <w:pPr>
              <w:jc w:val="left"/>
              <w:rPr>
                <w:noProof/>
              </w:rPr>
            </w:pPr>
            <w:r>
              <w:rPr>
                <w:noProof/>
              </w:rPr>
              <w:t>Conférence des parties prenantes organisée</w:t>
            </w:r>
          </w:p>
        </w:tc>
        <w:tc>
          <w:tcPr>
            <w:tcW w:w="550" w:type="pct"/>
          </w:tcPr>
          <w:p>
            <w:pPr>
              <w:jc w:val="left"/>
              <w:rPr>
                <w:noProof/>
              </w:rPr>
            </w:pPr>
            <w:r>
              <w:rPr>
                <w:noProof/>
              </w:rPr>
              <w:t>2022</w:t>
            </w:r>
          </w:p>
        </w:tc>
        <w:tc>
          <w:tcPr>
            <w:tcW w:w="710" w:type="pct"/>
          </w:tcPr>
          <w:p>
            <w:pPr>
              <w:jc w:val="left"/>
              <w:rPr>
                <w:noProof/>
              </w:rPr>
            </w:pPr>
            <w:r>
              <w:rPr>
                <w:noProof/>
              </w:rPr>
              <w:t>Commission</w:t>
            </w:r>
          </w:p>
        </w:tc>
      </w:tr>
    </w:tbl>
    <w:p>
      <w:pPr>
        <w:rPr>
          <w:noProof/>
        </w:rPr>
      </w:pPr>
    </w:p>
    <w:p>
      <w:pPr>
        <w:rPr>
          <w:noProof/>
        </w:rPr>
      </w:pPr>
    </w:p>
    <w:p>
      <w:pPr>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r>
      <w:rPr>
        <w:rFonts w:ascii="Arial" w:hAnsi="Arial"/>
        <w:b/>
        <w:sz w:val="48"/>
      </w:rPr>
      <w:t>FR</w:t>
    </w:r>
    <w:r>
      <w:tab/>
    </w:r>
    <w:r>
      <w:fldChar w:fldCharType="begin"/>
    </w:r>
    <w:r>
      <w:instrText xml:space="preserve"> PAGE  \* MERGEFORMAT </w:instrText>
    </w:r>
    <w:r>
      <w:fldChar w:fldCharType="separate"/>
    </w:r>
    <w:r>
      <w:rPr>
        <w:noProof/>
      </w:rPr>
      <w:t>1</w:t>
    </w:r>
    <w:r>
      <w:fldChar w:fldCharType="end"/>
    </w:r>
    <w:r>
      <w:tab/>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ANNEX_UNIQUE" w:val="0"/>
    <w:docVar w:name="LW_CORRIGENDUM" w:val="&lt;UNUSED&gt;"/>
    <w:docVar w:name="LW_COVERPAGE_EXISTS" w:val="True"/>
    <w:docVar w:name="LW_COVERPAGE_GUID" w:val="50D9F939-DBE4-4AD0-B1F2-5FCEB4635FA0"/>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xelles, le "/>
    <w:docVar w:name="LW_EMISSION_SUFFIX" w:val=" "/>
    <w:docVar w:name="LW_ID_DOCTYPE_NONLW" w:val="CP-039"/>
    <w:docVar w:name="LW_LANGUE" w:val="FR"/>
    <w:docVar w:name="LW_LEVEL_OF_SENSITIVITY" w:val="Standard treatment"/>
    <w:docVar w:name="LW_NOM.INST" w:val="COMMISSION EUROPÉENNE"/>
    <w:docVar w:name="LW_NOM.INST_JOINTDOC" w:val="&lt;EMPTY&gt;"/>
    <w:docVar w:name="LW_OBJETACTEPRINCIPAL.CP" w:val="Deuxième plan d'action pour lutter contre le commerce illicite du tabac 2018-2022"/>
    <w:docVar w:name="LW_PART_NBR" w:val="1"/>
    <w:docVar w:name="LW_PART_NBR_TOTAL" w:val="1"/>
    <w:docVar w:name="LW_REF.INST.NEW" w:val="COM"/>
    <w:docVar w:name="LW_REF.INST.NEW_ADOPTED" w:val="final"/>
    <w:docVar w:name="LW_REF.INST.NEW_TEXT" w:val="(2018) 8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Communication de la Commission au Parlement européen, au Conseil et au Comité économique et social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Annexetitre">
    <w:name w:val="Annexe titre"/>
    <w:basedOn w:val="Normal"/>
    <w:next w:val="Normal"/>
    <w:link w:val="AnnexetitreChar"/>
    <w:pPr>
      <w:jc w:val="center"/>
    </w:pPr>
    <w:rPr>
      <w:b/>
      <w:u w:val="single"/>
    </w:rPr>
  </w:style>
  <w:style w:type="table" w:styleId="TableGrid">
    <w:name w:val="Table Grid"/>
    <w:basedOn w:val="TableNormal"/>
    <w:uiPriority w:val="59"/>
    <w:pPr>
      <w:widowControl w:val="0"/>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Annexetitre">
    <w:name w:val="Annexe titre"/>
    <w:basedOn w:val="Normal"/>
    <w:next w:val="Normal"/>
    <w:link w:val="AnnexetitreChar"/>
    <w:pPr>
      <w:jc w:val="center"/>
    </w:pPr>
    <w:rPr>
      <w:b/>
      <w:u w:val="single"/>
    </w:rPr>
  </w:style>
  <w:style w:type="table" w:styleId="TableGrid">
    <w:name w:val="Table Grid"/>
    <w:basedOn w:val="TableNormal"/>
    <w:uiPriority w:val="59"/>
    <w:pPr>
      <w:widowControl w:val="0"/>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2554</Words>
  <Characters>14662</Characters>
  <Application>Microsoft Office Word</Application>
  <DocSecurity>0</DocSecurity>
  <Lines>1047</Lines>
  <Paragraphs>430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CASTOVA Klara (OLAF-EXT)</dc:creator>
  <cp:lastModifiedBy>WES PDFC Administrator</cp:lastModifiedBy>
  <cp:revision>9</cp:revision>
  <dcterms:created xsi:type="dcterms:W3CDTF">2018-11-16T14:58:00Z</dcterms:created>
  <dcterms:modified xsi:type="dcterms:W3CDTF">2018-12-07T08:04:00Z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