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2382F98B-49F1-4E65-8B37-454ABCA24BB3" style="width:450.75pt;height:338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bookmarkStart w:id="0" w:name="_GoBack"/>
    <w:bookmarkEnd w:id="0"/>
    <w:p>
      <w:pPr>
        <w:pStyle w:val="Typedudocument"/>
        <w:rPr>
          <w:noProof/>
        </w:rPr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 </w:instrText>
      </w:r>
      <w:r>
        <w:rPr>
          <w:noProof/>
        </w:rPr>
        <w:fldChar w:fldCharType="end"/>
      </w:r>
      <w:r>
        <w:rPr>
          <w:noProof/>
        </w:rPr>
        <w:t>ПРЕПОРЪКА НА КОМИСИЯТА</w:t>
      </w:r>
    </w:p>
    <w:p>
      <w:pPr>
        <w:pStyle w:val="Datedadoption"/>
        <w:rPr>
          <w:noProof/>
        </w:rPr>
      </w:pPr>
      <w:r>
        <w:t>от 5.12.2018 година</w:t>
      </w:r>
    </w:p>
    <w:p>
      <w:pPr>
        <w:pStyle w:val="Titreobjet"/>
        <w:rPr>
          <w:noProof/>
        </w:rPr>
      </w:pPr>
      <w:r>
        <w:rPr>
          <w:noProof/>
        </w:rPr>
        <w:t>относно ролята на еврото в областта на енергетиката в международен план</w:t>
      </w:r>
    </w:p>
    <w:p>
      <w:pPr>
        <w:pStyle w:val="Institutionquiagit"/>
        <w:rPr>
          <w:noProof/>
        </w:rPr>
      </w:pPr>
      <w:r>
        <w:rPr>
          <w:noProof/>
        </w:rPr>
        <w:t>ЕВРОПЕЙСКАТА КОМИСИЯ,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292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Еврото е стабилна, надеждна и призната в целия свят валута, широко приета при международни плащания. През 2017 г. 36 % от международните финансови операции (като стойност) са били фактурирани или изпълнени в евро. Еврото съставлява около 20 % от международните резерви на чуждестранните централни банки. Това е повече от дела на еврозоната в световния брутен вътрешен продукт (БВП).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Енергийните продукти и в частност суровият нефт са суровините, с които се търгува най-много в ЕС и по света. Стойността на годишно търгуваните обеми на европейските енергийни пазари надхвърля 40 трилиона евро. Повече от 90 % от съвкупните финансови операции, отнасящи се до нефт, газ и други енергийни продукти, се изпълняват във валута, различна от еврото.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ЕС е най-големият вносител на енергия в света и внася повече от половината от енергията, която потребява. Европа внася около 90 % от нефта и около 70 % от газа, които са ѝ необходими.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През последните 5 години ЕС внася енергия на средногодишна стойност от около 300 милиарда евро. Преобладаващата част от дългосрочните договори, по които ЕС осъществява вноса си на енергия (по оценки 80—90 %), не са в евро, като най-големият дял от енергийния внос на ЕС е от Русия (около 34 %), Близкия изток и Африка (общо около 33 %) и Норвегия (около 20 %, приблизително наполовина нефт и газ, като газът се доставя по договори в евро).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Отношенията в областта на енергетиката между държавите членки и с трети държави често се основават на междуправителствени споразумения, много от които се отнасят до закупуването на нефт и газ. Тези споразумения задават рамката и осигуряват политическа подкрепа и правна сигурност за европейските компании, които сключват търговски договори с енергийни доставчици от трети държави.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Съгласно Директивата за запасите от нефт (2009/119/ЕО) държавите членки поддържат запаси от суров нефт и/или нефтопродукти за извънредни ситуации. За да изпълнят задължението си по отношение на запасите, те разчитат на централни структури за управление на запасите и на задължени икономически оператори, които закупуват, поддържат, управляват и продават нефтените запаси за извънредни ситуации и целевите запаси.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 xml:space="preserve">Като референтна стойност при доставките на нефт се използват референтните цени на суровия нефт от агенциите за докладване на цените. Те служат и като </w:t>
      </w:r>
      <w:r>
        <w:rPr>
          <w:noProof/>
        </w:rPr>
        <w:lastRenderedPageBreak/>
        <w:t>референтна стойност за други енергийни продукти, като например природен газ, както и за производни финансови инструменти за суров нефт или нефтопродукти. Понастоящем няма референтни цени за суров нефт в евро.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В Европа вече се развиха редица газови търговски центрове, в които се търгуват газови продукти в евро. Макар делът на договорите с цени на база газовите центрове да нараства, някои договори за доставка разчитат изцяло или отчасти на договори с индексация спрямо нефта, които не са в евро. На развитите пазари на газ търгуваните в газовите центрове обеми газ надвишават реалното потребление.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 xml:space="preserve">Компаниите, предоставящи финансови услуги, играят важна роля за осигуряването на достъп на инициаторите на проекти по цялата верига на стойността на енергийните доставки до капитал, застраховане и инструменти за управление на риска. </w:t>
      </w:r>
    </w:p>
    <w:p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Освен че ще доведе до обща икономическа ефективност, засилването на ролята на еврото в търговията и инвестициите в областта на енергетиката в международен план ще спомогне за постигането на целите на енергийната политика на ЕС и за намаляване на риска от прекъсване на енергийните доставки. Европейските предприятия ще имат по-голяма независимост, която ще им позволи да извършват и да получават плащания като част от своята международна търговия и да финансират дейността си, като се излагат в по-малка степен на рискове във връзка със съдебни производства от страна на юрисдикции на трети държави.</w:t>
      </w:r>
    </w:p>
    <w:p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 xml:space="preserve">Настоящата препоръка на Комисията съдържа неизчерпателни насоки за постигане на по-широко използване на еврото в енергийния сектор с оглед на специфичните изисквания, изложени по-горе, </w:t>
      </w:r>
    </w:p>
    <w:p>
      <w:pPr>
        <w:pStyle w:val="Formuledadoption"/>
        <w:rPr>
          <w:noProof/>
        </w:rPr>
      </w:pPr>
      <w:r>
        <w:rPr>
          <w:noProof/>
        </w:rPr>
        <w:t>ПРИЕ НАСТОЯЩАТА ПРЕПОРЪКА: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По-широко използване на еврото при международни споразумения и необвързващи инструменти в областта на енергетиката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Държавите членки следва да насърчават по-широкото използване на еврото в отношенията с трети държави в областта на енергетиката, включително в договори, сключени в рамките на двустранни и многостранни международни споразумения, или в необвързващи инструменти като меморандуми за разбирателство.</w:t>
      </w:r>
    </w:p>
    <w:p>
      <w:pPr>
        <w:pStyle w:val="Point0number"/>
        <w:rPr>
          <w:noProof/>
        </w:rPr>
      </w:pPr>
      <w:r>
        <w:rPr>
          <w:noProof/>
        </w:rPr>
        <w:t xml:space="preserve">Комисията призовава държавите членки да включват разработената от Комисията стандартна клауза, свързана с използването на еврото като валута по подразбиране, в междуправителствените си споразумения с трети държави. </w:t>
      </w:r>
    </w:p>
    <w:p>
      <w:pPr>
        <w:pStyle w:val="Point0number"/>
        <w:rPr>
          <w:noProof/>
        </w:rPr>
      </w:pPr>
      <w:r>
        <w:rPr>
          <w:noProof/>
        </w:rPr>
        <w:t>Комисията системно ще насочва вниманието на държавите членки към използването на еврото като част от становището, което адресира към тях в рамките на член 4, параграф 1 от Решение (ЕС) 2017/684 на Европейския парламент и на Съвета за създаване на механизъм за обмен на информация във връзка с междуправителствени споразумения и необвързващи инструменти между държавите членки и трети държави в областта на енергетиката (Решението за междуправителствените споразумения). Когато е възможно, държавите членки следва да се придържат към подобен подход по отношение на необвързващите инструменти, свързани с енергетиката.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lastRenderedPageBreak/>
        <w:t>По-широко използване на еврото при свързани с енергетиката финансови операции от страна на участниците на европейския пазар</w:t>
      </w:r>
    </w:p>
    <w:p>
      <w:pPr>
        <w:pStyle w:val="Point0number"/>
        <w:rPr>
          <w:noProof/>
        </w:rPr>
      </w:pPr>
      <w:r>
        <w:rPr>
          <w:noProof/>
        </w:rPr>
        <w:t>Държавите членки следва да насърчават и съдействат за по-широкото използване на еврото от страна на участниците на европейския пазар при финансови операции в областта на енергетиката.</w:t>
      </w:r>
    </w:p>
    <w:p>
      <w:pPr>
        <w:pStyle w:val="Point0number"/>
        <w:rPr>
          <w:noProof/>
        </w:rPr>
      </w:pPr>
      <w:r>
        <w:rPr>
          <w:noProof/>
        </w:rPr>
        <w:t>Създадените от държавите членки съгласно Директива 2009/119/ЕО централни структури за управление на запасите и задължените икономически оператори следва да увеличат дела на сключените в евро договори за закупуване, поддържане, управление и продажба на запаси за извънредни ситуации и целеви запаси от нефт, включително на тези от тях, които се отнасят до запаси, съхранявани по силата на двустранни споразумения или договорни права за закупуване на определено количество запаси („талони“).</w:t>
      </w:r>
    </w:p>
    <w:p>
      <w:pPr>
        <w:pStyle w:val="Point0number"/>
        <w:rPr>
          <w:noProof/>
        </w:rPr>
      </w:pPr>
      <w:r>
        <w:rPr>
          <w:noProof/>
        </w:rPr>
        <w:t>Участниците на европейските енергийни пазари следва по-често да използват договори в евро, свързани с енергетиката.</w:t>
      </w:r>
    </w:p>
    <w:p>
      <w:pPr>
        <w:pStyle w:val="Point0number"/>
        <w:rPr>
          <w:noProof/>
        </w:rPr>
      </w:pPr>
      <w:r>
        <w:rPr>
          <w:noProof/>
        </w:rPr>
        <w:t>Участниците на пазара следва да съдействат за създаването на и да подпомагат дейността на газовите центрове за втечнен газ в ЕС с цени в евро за основните и производните продукти, да подкрепят по-широкото използване на цени с индексация към газовите центрове, а по този начин и договорите в евро.</w:t>
      </w:r>
    </w:p>
    <w:p>
      <w:pPr>
        <w:pStyle w:val="Point0number"/>
        <w:rPr>
          <w:noProof/>
        </w:rPr>
      </w:pPr>
      <w:r>
        <w:rPr>
          <w:noProof/>
        </w:rPr>
        <w:t>Агенциите за докладване на цените следва да съдействат за установяването на референтни цени за суров нефт в евро.</w:t>
      </w:r>
    </w:p>
    <w:p>
      <w:pPr>
        <w:pStyle w:val="Point0number"/>
        <w:rPr>
          <w:noProof/>
        </w:rPr>
      </w:pPr>
      <w:r>
        <w:rPr>
          <w:noProof/>
        </w:rPr>
        <w:t>Стоковите борси следва да съдействат за по-нататъшното разработване на дериватни договори за суров нефт и рафинирани продукти в евро.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По-широко използване на еврото при свързани с енергетиката проекти и финансови операции на дружества, предоставящи финансови услуги</w:t>
      </w:r>
    </w:p>
    <w:p>
      <w:pPr>
        <w:pStyle w:val="Point0number"/>
        <w:rPr>
          <w:noProof/>
        </w:rPr>
      </w:pPr>
      <w:r>
        <w:rPr>
          <w:noProof/>
        </w:rPr>
        <w:t>Държавите членки и европейските дружества, предоставящи финансови услуги, следва да насърчават по-широкото използване на еврото за свързани с енергетиката проекти и финансови операции.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Мониторинг</w:t>
      </w:r>
    </w:p>
    <w:p>
      <w:pPr>
        <w:pStyle w:val="Point0number"/>
        <w:rPr>
          <w:noProof/>
        </w:rPr>
      </w:pPr>
      <w:r>
        <w:rPr>
          <w:noProof/>
        </w:rPr>
        <w:t>Държавите членки следва ежегодно да докладват подробно на Комисията цялата налична информация относно изпълнението на тази препоръка.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Преглед</w:t>
      </w:r>
    </w:p>
    <w:p>
      <w:pPr>
        <w:pStyle w:val="Point0number"/>
        <w:rPr>
          <w:noProof/>
        </w:rPr>
      </w:pPr>
      <w:r>
        <w:rPr>
          <w:noProof/>
        </w:rPr>
        <w:t>Комисията ще направи преглед на изпълнението на настоящата препоръка три години след приемането ѝ и ще прецени дали са необходими допълнителни мерки, като вземе предвид информацията, предоставена от държавите членки.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Адресати</w:t>
      </w:r>
    </w:p>
    <w:p>
      <w:pPr>
        <w:pStyle w:val="Point0number"/>
        <w:keepNext/>
        <w:keepLines/>
        <w:rPr>
          <w:noProof/>
        </w:rPr>
      </w:pPr>
      <w:r>
        <w:rPr>
          <w:noProof/>
        </w:rPr>
        <w:t>Адресати на настоящата препоръка са държавите членки, създадените от тях съгласно Директива 2009/119/ЕО централни структури за управление на запасите и задължените икономическите оператори, участниците на европейските енергийни пазари, агенциите за докладване на цените, стоковите борси и европейските дружества, предоставящи финансови услуги.</w:t>
      </w:r>
    </w:p>
    <w:p>
      <w:pPr>
        <w:pStyle w:val="Fait"/>
        <w:rPr>
          <w:noProof/>
        </w:rPr>
      </w:pPr>
      <w:r>
        <w:lastRenderedPageBreak/>
        <w:t>Съставено в Брюксел на 5.12.2018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Комисията</w:t>
      </w:r>
    </w:p>
    <w:p>
      <w:pPr>
        <w:pStyle w:val="Personnequisigne"/>
        <w:keepNext/>
      </w:pPr>
      <w:r>
        <w:tab/>
        <w:t>Valdis DOMBROVSKIS</w:t>
      </w:r>
      <w:r>
        <w:br/>
      </w:r>
      <w:r>
        <w:tab/>
        <w:t>Заместник-председател</w:t>
      </w:r>
    </w:p>
    <w:tbl>
      <w:tblPr>
        <w:tblW w:w="0" w:type="auto"/>
        <w:tblInd w:w="4252" w:type="dxa"/>
        <w:tblCellMar>
          <w:top w:w="56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</w:tblGrid>
      <w:tr>
        <w:tblPrEx>
          <w:tblCellMar>
            <w:bottom w:w="0" w:type="dxa"/>
          </w:tblCellMar>
        </w:tblPrEx>
        <w:trPr>
          <w:cantSplit/>
        </w:trPr>
        <w:tc>
          <w:tcPr>
            <w:tcW w:w="0" w:type="auto"/>
            <w:shd w:val="clear" w:color="auto" w:fill="auto"/>
          </w:tcPr>
          <w:p>
            <w:pPr>
              <w:keepNext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390775" cy="1295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7F2B8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3605C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DC1E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2F4B1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072EF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7C8E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A2A25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998A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05 14:50:5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VERPAGE_EXISTS" w:val="True"/>
    <w:docVar w:name="LW_COVERPAGE_GUID" w:val="2382F98B-49F1-4E65-8B37-454ABCA24BB3"/>
    <w:docVar w:name="LW_COVERPAGE_TYPE" w:val="1"/>
    <w:docVar w:name="LW_CROSSREFERENCE" w:val="{SWD(2018) 483 final}"/>
    <w:docVar w:name="LW_DATE.ADOPT.CP" w:val="\u1086?\u1090? 5.12.2018 \u1075?\u1086?\u1076?\u1080?\u1085?\u1072?"/>
    <w:docVar w:name="LW_DATE.ADOPT.CP_DATEFORMAT" w:val="\u1086?\u1090? %DATE% \u1075?\u1086?\u1076?\u1080?\u1085?\u1072?"/>
    <w:docVar w:name="LW_DATE.ADOPT.CP_ISODATE" w:val="2018-12-05"/>
    <w:docVar w:name="LW_DocType" w:val="COM"/>
    <w:docVar w:name="LW_EMISSION" w:val="5.12.2018"/>
    <w:docVar w:name="LW_EMISSION_ISODATE" w:val="2018-12-05"/>
    <w:docVar w:name="LW_EMISSION_LOCATION" w:val="BRX"/>
    <w:docVar w:name="LW_EMISSION_PREFIX" w:val="Брюксел, "/>
    <w:docVar w:name="LW_EMISSION_SUFFIX" w:val=" \u1075?."/>
    <w:docVar w:name="LW_ID_DOCMODEL" w:val="SJ-014"/>
    <w:docVar w:name="LW_ID_DOCSIGNATURE" w:val="SJ-014"/>
    <w:docVar w:name="LW_ID_DOCSTRUCTURE" w:val="COM/AA"/>
    <w:docVar w:name="LW_ID_DOCTYPE" w:val="SJ-014"/>
    <w:docVar w:name="LW_INTERETEEE.CP" w:val="&lt;UNUSED&gt;"/>
    <w:docVar w:name="LW_LANGUE" w:val="BG"/>
    <w:docVar w:name="LW_LANGUESFAISANTFOI.CP" w:val="&lt;UNUSED&gt;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8) 81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88?\u1086?\u1083?\u1103?\u1090?\u1072? \u1085?\u1072? \u1077?\u1074?\u1088?\u1086?\u1090?\u1086? \u1074? \u1086?\u1073?\u1083?\u1072?\u1089?\u1090?\u1090?\u1072? \u1085?\u1072? \u1077?\u1085?\u1077?\u1088?\u1075?\u1077?\u1090?\u1080?\u1082?\u1072?\u1090?\u1072? \u1074? \u1084?\u1077?\u1078?\u1076?\u1091?\u1085?\u1072?\u1088?\u1086?\u1076?\u1077?\u1085? \u1087?\u1083?\u1072?\u1085?"/>
    <w:docVar w:name="LW_TYPE.DOC.CP" w:val="\u1055?\u1056?\u1045?\u1055?\u1054?\u1056?\u1066?\u1050?\u1040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FD45-CE27-4844-9B11-F39049F1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5</Pages>
  <Words>1177</Words>
  <Characters>6934</Characters>
  <Application>Microsoft Office Word</Application>
  <DocSecurity>0</DocSecurity>
  <Lines>133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21</cp:revision>
  <cp:lastPrinted>2018-11-26T16:57:00Z</cp:lastPrinted>
  <dcterms:created xsi:type="dcterms:W3CDTF">2018-12-03T14:58:00Z</dcterms:created>
  <dcterms:modified xsi:type="dcterms:W3CDTF">2018-12-05T13:50:00Z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SJ-014</vt:lpwstr>
  </property>
  <property fmtid="{D5CDD505-2E9C-101B-9397-08002B2CF9AE}" pid="10" name="DQCStatus">
    <vt:lpwstr>Green (DQC version 03)</vt:lpwstr>
  </property>
</Properties>
</file>