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CA3" w:rsidRDefault="0065415D">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9859F42-CCF1-4E29-B30B-ECFCA7A66C0B" style="width:449.65pt;height:422.5pt">
            <v:imagedata r:id="rId8" o:title=""/>
          </v:shape>
        </w:pict>
      </w:r>
    </w:p>
    <w:p w:rsidR="006A5CA3" w:rsidRDefault="006A5CA3">
      <w:pPr>
        <w:rPr>
          <w:noProof/>
          <w:szCs w:val="24"/>
        </w:rPr>
        <w:sectPr w:rsidR="006A5CA3">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6A5CA3" w:rsidRDefault="0065415D">
      <w:pPr>
        <w:pStyle w:val="Exposdesmotifstitre"/>
        <w:rPr>
          <w:noProof/>
          <w:szCs w:val="24"/>
        </w:rPr>
      </w:pPr>
      <w:r>
        <w:rPr>
          <w:noProof/>
        </w:rPr>
        <w:lastRenderedPageBreak/>
        <w:t>ОБЯСНИТЕЛЕН МЕМОРАНДУМ</w:t>
      </w:r>
    </w:p>
    <w:p w:rsidR="006A5CA3" w:rsidRDefault="0065415D">
      <w:pPr>
        <w:pStyle w:val="ManualHeading1"/>
        <w:rPr>
          <w:noProof/>
          <w:szCs w:val="24"/>
        </w:rPr>
      </w:pPr>
      <w:r>
        <w:rPr>
          <w:noProof/>
        </w:rPr>
        <w:t>1.</w:t>
      </w:r>
      <w:r>
        <w:rPr>
          <w:noProof/>
        </w:rPr>
        <w:tab/>
        <w:t>КОНТЕКСТ НА ПРЕДЛОЖЕНИЕТО</w:t>
      </w:r>
    </w:p>
    <w:p w:rsidR="006A5CA3" w:rsidRDefault="0065415D">
      <w:pPr>
        <w:pStyle w:val="ManualHeading2"/>
        <w:rPr>
          <w:noProof/>
          <w:szCs w:val="24"/>
        </w:rPr>
      </w:pPr>
      <w:r>
        <w:rPr>
          <w:noProof/>
        </w:rPr>
        <w:t>•</w:t>
      </w:r>
      <w:r>
        <w:rPr>
          <w:noProof/>
        </w:rPr>
        <w:tab/>
        <w:t>Основания и цели на предложението</w:t>
      </w:r>
    </w:p>
    <w:p w:rsidR="006A5CA3" w:rsidRDefault="0065415D">
      <w:pPr>
        <w:pBdr>
          <w:top w:val="nil"/>
          <w:left w:val="nil"/>
          <w:bottom w:val="nil"/>
          <w:right w:val="nil"/>
          <w:between w:val="nil"/>
          <w:bar w:val="nil"/>
        </w:pBdr>
        <w:spacing w:after="240"/>
        <w:rPr>
          <w:noProof/>
          <w:szCs w:val="24"/>
        </w:rPr>
      </w:pPr>
      <w:r>
        <w:rPr>
          <w:noProof/>
        </w:rPr>
        <w:t xml:space="preserve">На 29 март 2017 г. година Обединеното кралство нотифицира </w:t>
      </w:r>
      <w:r>
        <w:rPr>
          <w:noProof/>
        </w:rPr>
        <w:t>Европейския съвет съгласно член 50 от Договора за Европейския съюз за намерението си да се оттегли от Европейския съюз и от Европейската общност за атомна енергия. В съответствие с член 50 от Договора за Европейския съюз Съюзът договаря с оттеглящата се дъ</w:t>
      </w:r>
      <w:r>
        <w:rPr>
          <w:noProof/>
        </w:rPr>
        <w:t>ржава споразумение, с което се определят редът и условията за нейното оттегляне („Споразумение за оттегляне“), като се вземат предвид рамките на бъдещите ѝ отношения със Съюза. От името на Съюза Споразумението за оттегляне следва да бъде сключено от Съвета</w:t>
      </w:r>
      <w:r>
        <w:rPr>
          <w:noProof/>
        </w:rPr>
        <w:t>, след като получи одобрението на Европейския парламент.</w:t>
      </w:r>
    </w:p>
    <w:p w:rsidR="006A5CA3" w:rsidRDefault="0065415D">
      <w:pPr>
        <w:pBdr>
          <w:top w:val="nil"/>
          <w:left w:val="nil"/>
          <w:bottom w:val="nil"/>
          <w:right w:val="nil"/>
          <w:between w:val="nil"/>
          <w:bar w:val="nil"/>
        </w:pBdr>
        <w:spacing w:after="240"/>
        <w:rPr>
          <w:noProof/>
          <w:szCs w:val="24"/>
        </w:rPr>
      </w:pPr>
      <w:r>
        <w:rPr>
          <w:noProof/>
        </w:rPr>
        <w:t xml:space="preserve">След нотификацията Европейският съвет (член 50) прие насоки на 29 април 2017 г. В контекста на тези насоки на 22 май 2017 г. Съветът упълномощи Комисията да започне преговори за споразумение с </w:t>
      </w:r>
      <w:r>
        <w:rPr>
          <w:noProof/>
        </w:rPr>
        <w:t>Обединеното кралство, с което да се определят редът и условията за оттеглянето му от Европейския съюз и от Европейската общност за атомна енергия, и прие указания за водене на тези преговори. На 15 декември 2017 г. Европейският съвет прие насоки, допълващи</w:t>
      </w:r>
      <w:r>
        <w:rPr>
          <w:noProof/>
        </w:rPr>
        <w:t xml:space="preserve"> тези от 29 април 2017 г. и определящи принципите и условията за всякакви преходни разпоредби, след което на 29 януари 2018 г. Съветът прие допълнителни указания за водене на преговорите.</w:t>
      </w:r>
    </w:p>
    <w:p w:rsidR="006A5CA3" w:rsidRDefault="0065415D">
      <w:pPr>
        <w:pBdr>
          <w:top w:val="nil"/>
          <w:left w:val="nil"/>
          <w:bottom w:val="nil"/>
          <w:right w:val="nil"/>
          <w:between w:val="nil"/>
          <w:bar w:val="nil"/>
        </w:pBdr>
        <w:spacing w:after="240"/>
        <w:rPr>
          <w:noProof/>
          <w:szCs w:val="24"/>
        </w:rPr>
      </w:pPr>
      <w:r>
        <w:rPr>
          <w:noProof/>
        </w:rPr>
        <w:t>Преговорите бяха проведени в съответствие с горепосочените насоки от</w:t>
      </w:r>
      <w:r>
        <w:rPr>
          <w:noProof/>
        </w:rPr>
        <w:t xml:space="preserve"> Европейския съвет и в съответствие с указанията за водене на преговорите, дадени от Съвета, и при надлежно зачитане на резолюциите на Европейския парламент от 5 април 2017 г., 3 октомври 2017 г., 13 декември 2017 г. и 14 март 2018 г.</w:t>
      </w:r>
    </w:p>
    <w:p w:rsidR="006A5CA3" w:rsidRDefault="0065415D">
      <w:pPr>
        <w:pBdr>
          <w:top w:val="nil"/>
          <w:left w:val="nil"/>
          <w:bottom w:val="nil"/>
          <w:right w:val="nil"/>
          <w:between w:val="nil"/>
          <w:bar w:val="nil"/>
        </w:pBdr>
        <w:spacing w:after="240"/>
        <w:rPr>
          <w:noProof/>
          <w:szCs w:val="24"/>
        </w:rPr>
      </w:pPr>
      <w:r>
        <w:rPr>
          <w:noProof/>
        </w:rPr>
        <w:t>Преговорите на ниво г</w:t>
      </w:r>
      <w:r>
        <w:rPr>
          <w:noProof/>
        </w:rPr>
        <w:t xml:space="preserve">лавни преговарящи приключиха и бяха парафирани на 14 ноември 2018 г. </w:t>
      </w:r>
    </w:p>
    <w:p w:rsidR="006A5CA3" w:rsidRDefault="0065415D">
      <w:pPr>
        <w:pBdr>
          <w:top w:val="nil"/>
          <w:left w:val="nil"/>
          <w:bottom w:val="nil"/>
          <w:right w:val="nil"/>
          <w:between w:val="nil"/>
          <w:bar w:val="nil"/>
        </w:pBdr>
        <w:spacing w:after="240"/>
        <w:rPr>
          <w:noProof/>
          <w:szCs w:val="24"/>
        </w:rPr>
      </w:pPr>
      <w:r>
        <w:rPr>
          <w:noProof/>
        </w:rPr>
        <w:t>Споразумение относно бъдещите отношения между Съюза и Обединеното кралство може да бъде сключено едва след като Обединеното кралство стане трета държава. Въпреки това в член 50 от Догово</w:t>
      </w:r>
      <w:r>
        <w:rPr>
          <w:noProof/>
        </w:rPr>
        <w:t>ра за Европейския съюз се изисква рамките за бъдещите отношения със Съюза да бъдат взети предвид в споразумението, с което се определят редът и условията за оттеглянето. Цялостно разбиране с Обединеното кралство за рамките за бъдещите отношения беше устано</w:t>
      </w:r>
      <w:r>
        <w:rPr>
          <w:noProof/>
        </w:rPr>
        <w:t>вено по време на преговорите по член 50 в политическата декларация, очертаваща рамките на бъдещите отношения между Европейския съюз и Обединеното кралство, одобрена от Европейския съвет на 25 ноември 2018 г.</w:t>
      </w:r>
      <w:r>
        <w:rPr>
          <w:rStyle w:val="FootnoteReference"/>
          <w:noProof/>
        </w:rPr>
        <w:footnoteReference w:id="1"/>
      </w:r>
      <w:r>
        <w:rPr>
          <w:rStyle w:val="FootnoteReference"/>
          <w:noProof/>
        </w:rPr>
        <w:t xml:space="preserve"> </w:t>
      </w:r>
    </w:p>
    <w:p w:rsidR="006A5CA3" w:rsidRDefault="0065415D">
      <w:pPr>
        <w:pStyle w:val="ManualHeading2"/>
        <w:rPr>
          <w:noProof/>
          <w:szCs w:val="24"/>
        </w:rPr>
      </w:pPr>
      <w:r>
        <w:rPr>
          <w:noProof/>
        </w:rPr>
        <w:t>•</w:t>
      </w:r>
      <w:r>
        <w:rPr>
          <w:noProof/>
        </w:rPr>
        <w:tab/>
        <w:t>Съгласуваност с други политики на Съюза</w:t>
      </w:r>
    </w:p>
    <w:p w:rsidR="006A5CA3" w:rsidRDefault="0065415D">
      <w:pPr>
        <w:pBdr>
          <w:top w:val="nil"/>
          <w:left w:val="nil"/>
          <w:bottom w:val="nil"/>
          <w:right w:val="nil"/>
          <w:between w:val="nil"/>
          <w:bar w:val="nil"/>
        </w:pBdr>
        <w:spacing w:after="240"/>
        <w:rPr>
          <w:noProof/>
          <w:szCs w:val="24"/>
        </w:rPr>
      </w:pPr>
      <w:r>
        <w:rPr>
          <w:noProof/>
        </w:rPr>
        <w:t>Спор</w:t>
      </w:r>
      <w:r>
        <w:rPr>
          <w:noProof/>
        </w:rPr>
        <w:t>азумението за оттегляне е в пълно съответствие с Договорите и защитава целостта и автономността на правния ред на Съюза. В него се насърчават ценностите, целите и интересите на Съюза и се осигуряват съгласуваност, ефективност и последователност на неговите</w:t>
      </w:r>
      <w:r>
        <w:rPr>
          <w:noProof/>
        </w:rPr>
        <w:t xml:space="preserve"> политики и дейности. По-специално в член 4 от Споразумението за оттегляне се определят методите и принципите, свързани с неговото действие, </w:t>
      </w:r>
      <w:r>
        <w:rPr>
          <w:noProof/>
        </w:rPr>
        <w:lastRenderedPageBreak/>
        <w:t>изпълнение и прилагане, които имат същите правни последици като разпоредбите в правото на Съюза, приложими по силат</w:t>
      </w:r>
      <w:r>
        <w:rPr>
          <w:noProof/>
        </w:rPr>
        <w:t>а на Споразумението за оттегляне в Обединеното кралство както в рамките на Съюза и неговите държави членки.</w:t>
      </w:r>
    </w:p>
    <w:p w:rsidR="006A5CA3" w:rsidRDefault="0065415D">
      <w:pPr>
        <w:pStyle w:val="ManualHeading2"/>
        <w:rPr>
          <w:noProof/>
          <w:szCs w:val="24"/>
          <w:u w:color="000000"/>
          <w:bdr w:val="nil"/>
        </w:rPr>
      </w:pPr>
      <w:r>
        <w:rPr>
          <w:noProof/>
        </w:rPr>
        <w:t>•</w:t>
      </w:r>
      <w:r>
        <w:rPr>
          <w:noProof/>
        </w:rPr>
        <w:tab/>
        <w:t>Основни права</w:t>
      </w:r>
    </w:p>
    <w:p w:rsidR="006A5CA3" w:rsidRDefault="0065415D">
      <w:pPr>
        <w:pBdr>
          <w:top w:val="nil"/>
          <w:left w:val="nil"/>
          <w:bottom w:val="nil"/>
          <w:right w:val="nil"/>
          <w:between w:val="nil"/>
          <w:bar w:val="nil"/>
        </w:pBdr>
        <w:spacing w:after="240"/>
        <w:rPr>
          <w:noProof/>
          <w:szCs w:val="24"/>
        </w:rPr>
      </w:pPr>
      <w:r>
        <w:rPr>
          <w:noProof/>
        </w:rPr>
        <w:t>Съгласно член 6 от Договора за Европейския съюз Съюзът зачита правата, свободите и принципите, определени в Хартата на основните пра</w:t>
      </w:r>
      <w:r>
        <w:rPr>
          <w:noProof/>
        </w:rPr>
        <w:t>ва на Европейския съюз, която има същата юридическа сила като Договорите. Освен това основните права, гарантирани от Европейската конвенция за защита на правата на човека и основните свободи и произтичащи от общите конституционни традиции на държавите член</w:t>
      </w:r>
      <w:r>
        <w:rPr>
          <w:noProof/>
        </w:rPr>
        <w:t>ки, са част от правото на Съюза в качеството им на общи принципи.</w:t>
      </w:r>
    </w:p>
    <w:p w:rsidR="006A5CA3" w:rsidRDefault="0065415D">
      <w:pPr>
        <w:pBdr>
          <w:top w:val="nil"/>
          <w:left w:val="nil"/>
          <w:bottom w:val="nil"/>
          <w:right w:val="nil"/>
          <w:between w:val="nil"/>
          <w:bar w:val="nil"/>
        </w:pBdr>
        <w:spacing w:after="240"/>
        <w:rPr>
          <w:rFonts w:eastAsia="Arial Unicode MS"/>
          <w:noProof/>
          <w:szCs w:val="24"/>
        </w:rPr>
      </w:pPr>
      <w:r>
        <w:rPr>
          <w:noProof/>
        </w:rPr>
        <w:t>Тези права, свободи и принципи се запазват и защитават изцяло в Съюза след оттеглянето на Обединеното кралство от него. Освен това в Споразумението за оттегляне се гарантира, че когато се пр</w:t>
      </w:r>
      <w:r>
        <w:rPr>
          <w:noProof/>
        </w:rPr>
        <w:t>ави позоваване на разпоредби или понятия от правото на Съюза, те се тълкуват и прилагат, като се използват методите и общите принципи на тълкуване, приложими в рамките на Съюза, включително последователно тълкуване с Хартата на основните права. Това е особ</w:t>
      </w:r>
      <w:r>
        <w:rPr>
          <w:noProof/>
        </w:rPr>
        <w:t>ено важно за частта от Споразумението относно правата на гражданите, която се позовава в голяма степен на правото на Съюза.</w:t>
      </w:r>
    </w:p>
    <w:p w:rsidR="006A5CA3" w:rsidRDefault="0065415D">
      <w:pPr>
        <w:pStyle w:val="ManualHeading1"/>
        <w:rPr>
          <w:noProof/>
          <w:szCs w:val="24"/>
        </w:rPr>
      </w:pPr>
      <w:r>
        <w:rPr>
          <w:noProof/>
        </w:rPr>
        <w:t>2.</w:t>
      </w:r>
      <w:r>
        <w:rPr>
          <w:noProof/>
        </w:rPr>
        <w:tab/>
        <w:t>ПРАВНО ОСНОВАНИЕ, СУБСИДИАРНОСТ И ПРОПОРЦИОНАЛНОСТ</w:t>
      </w:r>
    </w:p>
    <w:p w:rsidR="006A5CA3" w:rsidRDefault="0065415D">
      <w:pPr>
        <w:pStyle w:val="ManualHeading2"/>
        <w:rPr>
          <w:noProof/>
          <w:szCs w:val="24"/>
          <w:u w:color="000000"/>
          <w:bdr w:val="nil"/>
        </w:rPr>
      </w:pPr>
      <w:r>
        <w:rPr>
          <w:noProof/>
        </w:rPr>
        <w:t>•</w:t>
      </w:r>
      <w:r>
        <w:rPr>
          <w:noProof/>
        </w:rPr>
        <w:tab/>
        <w:t>Правно основание</w:t>
      </w:r>
    </w:p>
    <w:p w:rsidR="006A5CA3" w:rsidRDefault="0065415D">
      <w:pPr>
        <w:pBdr>
          <w:top w:val="nil"/>
          <w:left w:val="nil"/>
          <w:bottom w:val="nil"/>
          <w:right w:val="nil"/>
          <w:between w:val="nil"/>
          <w:bar w:val="nil"/>
        </w:pBdr>
        <w:spacing w:after="240"/>
        <w:rPr>
          <w:noProof/>
        </w:rPr>
      </w:pPr>
      <w:r>
        <w:rPr>
          <w:noProof/>
        </w:rPr>
        <w:t>Обединеното кралство нотифицира за своето намерение да се о</w:t>
      </w:r>
      <w:r>
        <w:rPr>
          <w:noProof/>
        </w:rPr>
        <w:t>ттегли от Европейския съюз. Следователно член 50 от Договора за Европейския съюз представлява правното основание за сключването на споразумение за оттегляне. Припомня се, че в съответствие с член 106а от Договора за създаване на Европейската общност за ато</w:t>
      </w:r>
      <w:r>
        <w:rPr>
          <w:noProof/>
        </w:rPr>
        <w:t>мна енергия член 50 от Договора за Европейския съюз се прилага също така по отношение на Европейската общност за атомна енергия.</w:t>
      </w:r>
    </w:p>
    <w:p w:rsidR="006A5CA3" w:rsidRDefault="0065415D">
      <w:pPr>
        <w:pBdr>
          <w:top w:val="nil"/>
          <w:left w:val="nil"/>
          <w:bottom w:val="nil"/>
          <w:right w:val="nil"/>
          <w:between w:val="nil"/>
          <w:bar w:val="nil"/>
        </w:pBdr>
        <w:spacing w:after="240"/>
        <w:rPr>
          <w:noProof/>
          <w:szCs w:val="24"/>
        </w:rPr>
      </w:pPr>
      <w:r>
        <w:rPr>
          <w:noProof/>
        </w:rPr>
        <w:t>В съответствие с член 50, параграф 2 от Договора за Европейския съюз Съветът сключва Споразумението за оттегляне от името на Съ</w:t>
      </w:r>
      <w:r>
        <w:rPr>
          <w:noProof/>
        </w:rPr>
        <w:t>юза, като действа с квалифицирано мнозинство след одобрение от Европейския парламент.</w:t>
      </w:r>
    </w:p>
    <w:p w:rsidR="006A5CA3" w:rsidRDefault="0065415D">
      <w:pPr>
        <w:pStyle w:val="ManualHeading2"/>
        <w:rPr>
          <w:noProof/>
          <w:szCs w:val="24"/>
          <w:u w:color="000000"/>
          <w:bdr w:val="nil"/>
        </w:rPr>
      </w:pPr>
      <w:r>
        <w:rPr>
          <w:noProof/>
        </w:rPr>
        <w:t>•</w:t>
      </w:r>
      <w:r>
        <w:rPr>
          <w:noProof/>
        </w:rPr>
        <w:tab/>
        <w:t>Пропорционалност</w:t>
      </w:r>
    </w:p>
    <w:p w:rsidR="006A5CA3" w:rsidRDefault="0065415D">
      <w:pPr>
        <w:pBdr>
          <w:top w:val="nil"/>
          <w:left w:val="nil"/>
          <w:bottom w:val="nil"/>
          <w:right w:val="nil"/>
          <w:between w:val="nil"/>
          <w:bar w:val="nil"/>
        </w:pBdr>
        <w:spacing w:after="240"/>
        <w:rPr>
          <w:noProof/>
          <w:szCs w:val="24"/>
        </w:rPr>
      </w:pPr>
      <w:r>
        <w:rPr>
          <w:noProof/>
        </w:rPr>
        <w:t>Споразумението за оттегляне урежда всички въпроси, свързани с отделянето, и в него се посочват ясно редът и условията на прехода и неговата продължител</w:t>
      </w:r>
      <w:r>
        <w:rPr>
          <w:noProof/>
        </w:rPr>
        <w:t>ност. По този начин Споразумението за оттегляне е подходящо и пропорционална на целта да се осигури организирано оттегляне на Обединеното кралство от Съюза.</w:t>
      </w:r>
    </w:p>
    <w:p w:rsidR="006A5CA3" w:rsidRDefault="0065415D">
      <w:pPr>
        <w:pStyle w:val="ManualHeading2"/>
        <w:rPr>
          <w:noProof/>
          <w:szCs w:val="24"/>
          <w:u w:color="000000"/>
          <w:bdr w:val="nil"/>
        </w:rPr>
      </w:pPr>
      <w:r>
        <w:rPr>
          <w:noProof/>
        </w:rPr>
        <w:t>•</w:t>
      </w:r>
      <w:r>
        <w:rPr>
          <w:noProof/>
        </w:rPr>
        <w:tab/>
        <w:t>Избор на инструмент</w:t>
      </w:r>
    </w:p>
    <w:p w:rsidR="006A5CA3" w:rsidRDefault="0065415D">
      <w:pPr>
        <w:pBdr>
          <w:top w:val="nil"/>
          <w:left w:val="nil"/>
          <w:bottom w:val="nil"/>
          <w:right w:val="nil"/>
          <w:between w:val="nil"/>
          <w:bar w:val="nil"/>
        </w:pBdr>
        <w:spacing w:after="240"/>
        <w:rPr>
          <w:noProof/>
          <w:szCs w:val="24"/>
        </w:rPr>
      </w:pPr>
      <w:r>
        <w:rPr>
          <w:noProof/>
        </w:rPr>
        <w:t xml:space="preserve">В съответствие с член 50, параграф 2 от Договора за Европейския съюз редът и </w:t>
      </w:r>
      <w:r>
        <w:rPr>
          <w:noProof/>
        </w:rPr>
        <w:t xml:space="preserve">условията за оттеглянето трябва да бъдат определени в споразумение между оттеглящата се държава и Съюза; сключването на такова споразумение се определя с решение на Съвета. </w:t>
      </w:r>
    </w:p>
    <w:p w:rsidR="006A5CA3" w:rsidRDefault="0065415D">
      <w:pPr>
        <w:pStyle w:val="ManualHeading1"/>
        <w:rPr>
          <w:noProof/>
          <w:szCs w:val="24"/>
        </w:rPr>
      </w:pPr>
      <w:r>
        <w:rPr>
          <w:noProof/>
        </w:rPr>
        <w:lastRenderedPageBreak/>
        <w:t>3.</w:t>
      </w:r>
      <w:r>
        <w:rPr>
          <w:noProof/>
        </w:rPr>
        <w:tab/>
        <w:t>ОТРАЖЕНИЕ ВЪРХУ БЮДЖЕТА</w:t>
      </w:r>
    </w:p>
    <w:p w:rsidR="006A5CA3" w:rsidRDefault="0065415D">
      <w:pPr>
        <w:pBdr>
          <w:top w:val="nil"/>
          <w:left w:val="nil"/>
          <w:bottom w:val="nil"/>
          <w:right w:val="nil"/>
          <w:between w:val="nil"/>
          <w:bar w:val="nil"/>
        </w:pBdr>
        <w:spacing w:after="240"/>
        <w:rPr>
          <w:noProof/>
          <w:szCs w:val="24"/>
        </w:rPr>
      </w:pPr>
      <w:r>
        <w:rPr>
          <w:noProof/>
        </w:rPr>
        <w:t>Тъй като със Споразумението за оттегляне се гарантира, че както Съюзът, така и Обединеното кралство спазват финансовите задължения, произтичащи от целия период на членство на Обединеното кралство в Съюза, единственото отражение върху бюджета от Споразумени</w:t>
      </w:r>
      <w:r>
        <w:rPr>
          <w:noProof/>
        </w:rPr>
        <w:t>ето за оттегляне по отношение на Съюза се дължи на създаването на Съвместния комитет, съставен от представители на Съюза и на Обединеното кралство. Наред с другото, Съвместният комитет осъществява надзор и улеснява изпълнението и прилагането на Споразумени</w:t>
      </w:r>
      <w:r>
        <w:rPr>
          <w:noProof/>
        </w:rPr>
        <w:t>ето за оттегляне. Съвместният комитет заседава поне веднъж годишно по искане на всяка от страните. Освен това може да има и разходи, свързани с евентуалното започване на арбитражна процедура в рамките на процедурата за уреждане на спорове, предвидена в Спо</w:t>
      </w:r>
      <w:r>
        <w:rPr>
          <w:noProof/>
        </w:rPr>
        <w:t>разумението. Ако се налага преходният период да бъде удължен, Обединеното кралство ще даде своя принос за този нов период в бюджета на Съюза, който ще бъде третиран като общи приходи. В законодателната финансова обосновка, приложена към настоящото предложе</w:t>
      </w:r>
      <w:r>
        <w:rPr>
          <w:noProof/>
        </w:rPr>
        <w:t xml:space="preserve">ние, са представени допълнителни подробности за очакваните финансови последици за бюджета на Съюза. </w:t>
      </w:r>
    </w:p>
    <w:p w:rsidR="006A5CA3" w:rsidRDefault="0065415D">
      <w:pPr>
        <w:pStyle w:val="ManualHeading1"/>
        <w:rPr>
          <w:noProof/>
        </w:rPr>
      </w:pPr>
      <w:r>
        <w:rPr>
          <w:noProof/>
        </w:rPr>
        <w:t>4.</w:t>
      </w:r>
      <w:r>
        <w:rPr>
          <w:noProof/>
        </w:rPr>
        <w:tab/>
        <w:t>ДРУГИ ЕЛЕМЕНТИ</w:t>
      </w:r>
    </w:p>
    <w:p w:rsidR="006A5CA3" w:rsidRDefault="0065415D">
      <w:pPr>
        <w:pStyle w:val="ManualHeading2"/>
        <w:rPr>
          <w:noProof/>
          <w:szCs w:val="24"/>
          <w:u w:color="000000"/>
          <w:bdr w:val="nil"/>
        </w:rPr>
      </w:pPr>
      <w:r>
        <w:rPr>
          <w:noProof/>
        </w:rPr>
        <w:t>•</w:t>
      </w:r>
      <w:r>
        <w:rPr>
          <w:noProof/>
        </w:rPr>
        <w:tab/>
        <w:t>Планове за изпълнение и механизми за мониторинг, оценка и докладване</w:t>
      </w:r>
    </w:p>
    <w:p w:rsidR="006A5CA3" w:rsidRDefault="0065415D">
      <w:pPr>
        <w:keepNext/>
        <w:outlineLvl w:val="1"/>
        <w:rPr>
          <w:rFonts w:eastAsia="Arial Unicode MS"/>
          <w:noProof/>
          <w:szCs w:val="24"/>
          <w:u w:color="000000"/>
          <w:bdr w:val="nil"/>
        </w:rPr>
      </w:pPr>
      <w:r>
        <w:rPr>
          <w:noProof/>
        </w:rPr>
        <w:t xml:space="preserve">В дял 2 от шеста част на Споразумението за оттегляне се създава </w:t>
      </w:r>
      <w:r>
        <w:rPr>
          <w:noProof/>
        </w:rPr>
        <w:t>Съвместен комитет, който ще упражнява постоянен надзор на изпълнението и прилагането на това споразумение. Съвместният комитет се състои от представители на Съюза и представители на Обединеното кралство, които ще заседават поне веднъж годишно, ще упражнява</w:t>
      </w:r>
      <w:r>
        <w:rPr>
          <w:noProof/>
        </w:rPr>
        <w:t>т надзор и ще улесняват изпълнението и прилагането на Споразумението, ще вземат решения относно задачите на специализираните комитети и ще упражняват надзор върху тяхната работа и също така ще внасят изменения в Споразумението, когато това е изрично предви</w:t>
      </w:r>
      <w:r>
        <w:rPr>
          <w:noProof/>
        </w:rPr>
        <w:t xml:space="preserve">дено в самото Споразумение. Съвместният комитет може да определя своите решения и препоръки единствено посредством споразумение между Съюза и Обединеното кралство. Той не може по никакъв начин да ограничава вземането на решения на равнището на Съюза. Чрез </w:t>
      </w:r>
      <w:r>
        <w:rPr>
          <w:noProof/>
        </w:rPr>
        <w:t>Съвместния комитет Съюзът и Обединеното кралство могат да решат да изменят някои аспекти на Споразумението само в случаите, които са изрично предвидени в него. Когато страните одобрят такова решение, спрямо него трябва да се приложат съответните им приложи</w:t>
      </w:r>
      <w:r>
        <w:rPr>
          <w:noProof/>
        </w:rPr>
        <w:t>ми вътрешни изисквания и процедури.</w:t>
      </w:r>
    </w:p>
    <w:p w:rsidR="006A5CA3" w:rsidRDefault="0065415D">
      <w:pPr>
        <w:keepNext/>
        <w:outlineLvl w:val="1"/>
        <w:rPr>
          <w:rFonts w:eastAsia="Arial Unicode MS"/>
          <w:noProof/>
          <w:szCs w:val="24"/>
          <w:u w:color="000000"/>
          <w:bdr w:val="nil"/>
        </w:rPr>
      </w:pPr>
      <w:r>
        <w:rPr>
          <w:noProof/>
        </w:rPr>
        <w:t xml:space="preserve">Под надзора на Съвместния комитет ще функционират следните специализирани комитети, т.е. един подкомитет за всяка основна част от Споразумението за оттегляне: </w:t>
      </w:r>
    </w:p>
    <w:p w:rsidR="006A5CA3" w:rsidRDefault="0065415D">
      <w:pPr>
        <w:pStyle w:val="Point1"/>
        <w:rPr>
          <w:noProof/>
        </w:rPr>
      </w:pPr>
      <w:r>
        <w:rPr>
          <w:noProof/>
        </w:rPr>
        <w:t>а)</w:t>
      </w:r>
      <w:r>
        <w:rPr>
          <w:noProof/>
        </w:rPr>
        <w:tab/>
        <w:t>Комитет по правата на гражданите;</w:t>
      </w:r>
    </w:p>
    <w:p w:rsidR="006A5CA3" w:rsidRDefault="0065415D">
      <w:pPr>
        <w:pStyle w:val="Point1"/>
        <w:rPr>
          <w:noProof/>
        </w:rPr>
      </w:pPr>
      <w:r>
        <w:rPr>
          <w:noProof/>
        </w:rPr>
        <w:t>б)</w:t>
      </w:r>
      <w:r>
        <w:rPr>
          <w:noProof/>
        </w:rPr>
        <w:tab/>
        <w:t>Комитет по другите р</w:t>
      </w:r>
      <w:r>
        <w:rPr>
          <w:noProof/>
        </w:rPr>
        <w:t>азпоредби за разделяне;</w:t>
      </w:r>
    </w:p>
    <w:p w:rsidR="006A5CA3" w:rsidRDefault="0065415D">
      <w:pPr>
        <w:pStyle w:val="Point1"/>
        <w:rPr>
          <w:noProof/>
        </w:rPr>
      </w:pPr>
      <w:r>
        <w:rPr>
          <w:noProof/>
        </w:rPr>
        <w:t>в)</w:t>
      </w:r>
      <w:r>
        <w:rPr>
          <w:noProof/>
        </w:rPr>
        <w:tab/>
        <w:t>Комитет по въпроси, свързани с прилагането на Протокола за Ирландия/Северна Ирландия;</w:t>
      </w:r>
    </w:p>
    <w:p w:rsidR="006A5CA3" w:rsidRDefault="0065415D">
      <w:pPr>
        <w:pStyle w:val="Point1"/>
        <w:rPr>
          <w:noProof/>
        </w:rPr>
      </w:pPr>
      <w:r>
        <w:rPr>
          <w:noProof/>
        </w:rPr>
        <w:t>г)</w:t>
      </w:r>
      <w:r>
        <w:rPr>
          <w:noProof/>
        </w:rPr>
        <w:tab/>
        <w:t xml:space="preserve">Комитет по въпроси, свързани с прилагането на Протокола за зоните на суверенните бази в Кипър; </w:t>
      </w:r>
    </w:p>
    <w:p w:rsidR="006A5CA3" w:rsidRDefault="0065415D">
      <w:pPr>
        <w:pStyle w:val="Point1"/>
        <w:rPr>
          <w:noProof/>
        </w:rPr>
      </w:pPr>
      <w:r>
        <w:rPr>
          <w:noProof/>
        </w:rPr>
        <w:t>д)</w:t>
      </w:r>
      <w:r>
        <w:rPr>
          <w:noProof/>
        </w:rPr>
        <w:tab/>
        <w:t>Комитет по въпроси, свързани с прилаганет</w:t>
      </w:r>
      <w:r>
        <w:rPr>
          <w:noProof/>
        </w:rPr>
        <w:t>о на Протокола за Гибралтар; и</w:t>
      </w:r>
    </w:p>
    <w:p w:rsidR="006A5CA3" w:rsidRDefault="0065415D">
      <w:pPr>
        <w:pStyle w:val="Point1"/>
        <w:rPr>
          <w:noProof/>
        </w:rPr>
      </w:pPr>
      <w:r>
        <w:rPr>
          <w:noProof/>
        </w:rPr>
        <w:t>е)</w:t>
      </w:r>
      <w:r>
        <w:rPr>
          <w:noProof/>
        </w:rPr>
        <w:tab/>
        <w:t>Комитет по финансовите разпоредби.</w:t>
      </w:r>
    </w:p>
    <w:p w:rsidR="006A5CA3" w:rsidRDefault="0065415D">
      <w:pPr>
        <w:keepNext/>
        <w:outlineLvl w:val="1"/>
        <w:rPr>
          <w:rFonts w:eastAsia="Arial Unicode MS"/>
          <w:noProof/>
          <w:szCs w:val="24"/>
          <w:u w:color="000000"/>
          <w:bdr w:val="nil"/>
        </w:rPr>
      </w:pPr>
      <w:r>
        <w:rPr>
          <w:noProof/>
        </w:rPr>
        <w:t>В предложението се предвижда също така роля на Съвместния комитет за уреждането на спорове, разгледано в дял 3 от шеста част на Споразумението за оттегляне.</w:t>
      </w:r>
    </w:p>
    <w:p w:rsidR="006A5CA3" w:rsidRDefault="0065415D">
      <w:pPr>
        <w:pStyle w:val="ManualHeading2"/>
        <w:rPr>
          <w:noProof/>
          <w:szCs w:val="24"/>
          <w:u w:color="000000"/>
          <w:bdr w:val="nil"/>
        </w:rPr>
      </w:pPr>
      <w:r>
        <w:rPr>
          <w:noProof/>
        </w:rPr>
        <w:tab/>
        <w:t>Изпълнението и прилагането на</w:t>
      </w:r>
      <w:r>
        <w:rPr>
          <w:noProof/>
        </w:rPr>
        <w:t xml:space="preserve"> Споразумението за оттегляне в Съюза</w:t>
      </w:r>
    </w:p>
    <w:p w:rsidR="006A5CA3" w:rsidRDefault="0065415D">
      <w:pPr>
        <w:rPr>
          <w:noProof/>
          <w:szCs w:val="24"/>
        </w:rPr>
      </w:pPr>
      <w:r>
        <w:rPr>
          <w:noProof/>
        </w:rPr>
        <w:t>В съответствие с член 216, параграф 2 от Договора за функционирането на Европейския съюз сключените от Съюза споразумения обвързват институциите на Съюза и неговите държави членки. Изпълнението и прилагането на Споразум</w:t>
      </w:r>
      <w:r>
        <w:rPr>
          <w:noProof/>
        </w:rPr>
        <w:t xml:space="preserve">ението за оттегляне в Съюза следва да се извършва при пълно зачитане на разпределението на задачите между Съюза и неговите държавите членки, от една страна, и между различните институции на Съюза, от друга страна. Следователно по силата на нейните задачи, </w:t>
      </w:r>
      <w:r>
        <w:rPr>
          <w:noProof/>
        </w:rPr>
        <w:t>предвидени в член 17, параграф 1 от Договора за Европейския съюз, Комисията е тази , която действа в повечето случаи от името на Съюза и на Евратом. В някои случаи и в съответствие с функцията на Съвета по определяне на политиките, установена в член 16, па</w:t>
      </w:r>
      <w:r>
        <w:rPr>
          <w:noProof/>
        </w:rPr>
        <w:t xml:space="preserve">раграф 1 от ДЕС, Съветът ще действа от името на Съюза и на Евратом. </w:t>
      </w:r>
    </w:p>
    <w:p w:rsidR="006A5CA3" w:rsidRDefault="0065415D">
      <w:pPr>
        <w:rPr>
          <w:noProof/>
          <w:szCs w:val="24"/>
          <w:u w:color="000000"/>
          <w:bdr w:val="nil"/>
        </w:rPr>
      </w:pPr>
      <w:r>
        <w:rPr>
          <w:noProof/>
        </w:rPr>
        <w:t xml:space="preserve">Например когато в Споразумението се предвижда Съюзът да предоставя на Обединеното кралство определена </w:t>
      </w:r>
      <w:r>
        <w:rPr>
          <w:b/>
          <w:noProof/>
          <w:u w:color="000000"/>
          <w:bdr w:val="nil"/>
        </w:rPr>
        <w:t>информация или уведомления</w:t>
      </w:r>
      <w:r>
        <w:rPr>
          <w:noProof/>
        </w:rPr>
        <w:t>, това следва по принцип да се извършва от Комисията от име</w:t>
      </w:r>
      <w:r>
        <w:rPr>
          <w:noProof/>
        </w:rPr>
        <w:t xml:space="preserve">то на Съюза, ако е необходимо, въз основа на информация, предоставена от държавите членки или от други институции или съответни органи или субекти на Съюза. Горепосоченото се отнася по-специално до следните разпоредби на Споразумението: </w:t>
      </w:r>
    </w:p>
    <w:p w:rsidR="006A5CA3" w:rsidRDefault="0065415D">
      <w:pPr>
        <w:pStyle w:val="Point1"/>
        <w:rPr>
          <w:noProof/>
        </w:rPr>
      </w:pPr>
      <w:r>
        <w:rPr>
          <w:noProof/>
        </w:rPr>
        <w:t>а)</w:t>
      </w:r>
      <w:r>
        <w:rPr>
          <w:noProof/>
        </w:rPr>
        <w:tab/>
        <w:t>Член 18, парагр</w:t>
      </w:r>
      <w:r>
        <w:rPr>
          <w:noProof/>
        </w:rPr>
        <w:t>аф 1, буква в): уведомяване от страна на Съюза, че технически проблеми възпрепятстват приемащата държава да регистрира заявлението или да издаде посоченото в буква б) удостоверение за подаване на заявление;</w:t>
      </w:r>
    </w:p>
    <w:p w:rsidR="006A5CA3" w:rsidRDefault="0065415D">
      <w:pPr>
        <w:pStyle w:val="Point1"/>
        <w:rPr>
          <w:noProof/>
        </w:rPr>
      </w:pPr>
      <w:r>
        <w:rPr>
          <w:noProof/>
        </w:rPr>
        <w:t>б)</w:t>
      </w:r>
      <w:r>
        <w:rPr>
          <w:noProof/>
        </w:rPr>
        <w:tab/>
        <w:t xml:space="preserve">член 33, параграф 2: уведомяване от страна на </w:t>
      </w:r>
      <w:r>
        <w:rPr>
          <w:noProof/>
        </w:rPr>
        <w:t>Съюза за датата на влизане в сила на споразуменията, посочени в член 33, параграф 1;</w:t>
      </w:r>
    </w:p>
    <w:p w:rsidR="006A5CA3" w:rsidRDefault="0065415D">
      <w:pPr>
        <w:pStyle w:val="Point1"/>
        <w:rPr>
          <w:noProof/>
        </w:rPr>
      </w:pPr>
      <w:r>
        <w:rPr>
          <w:noProof/>
        </w:rPr>
        <w:t>в)</w:t>
      </w:r>
      <w:r>
        <w:rPr>
          <w:noProof/>
        </w:rPr>
        <w:tab/>
        <w:t>член 36, параграф 1: информация, която Съюзът следва да предоставя на Обединеното кралство относно ново или внасящо изменения съответно законодателство, което се отнася</w:t>
      </w:r>
      <w:r>
        <w:rPr>
          <w:noProof/>
        </w:rPr>
        <w:t xml:space="preserve"> до разпоредбите в областта на социалната сигурност;</w:t>
      </w:r>
    </w:p>
    <w:p w:rsidR="006A5CA3" w:rsidRDefault="0065415D">
      <w:pPr>
        <w:pStyle w:val="Point1"/>
        <w:rPr>
          <w:noProof/>
        </w:rPr>
      </w:pPr>
      <w:r>
        <w:rPr>
          <w:noProof/>
        </w:rPr>
        <w:t>г)</w:t>
      </w:r>
      <w:r>
        <w:rPr>
          <w:noProof/>
        </w:rPr>
        <w:tab/>
        <w:t>Член 36, параграф 4: информация, която Съюзът следва да предоставя на Обединеното кралство в рамките на Съвместния комитет относно предложенията за адаптиране на съответното приложение към Споразумени</w:t>
      </w:r>
      <w:r>
        <w:rPr>
          <w:noProof/>
        </w:rPr>
        <w:t>ето за целите на привеждането в съответствие с решенията и препоръките на Административната комисия във връзка със социалната сигурност;</w:t>
      </w:r>
    </w:p>
    <w:p w:rsidR="006A5CA3" w:rsidRDefault="0065415D">
      <w:pPr>
        <w:pStyle w:val="Point1"/>
        <w:rPr>
          <w:noProof/>
        </w:rPr>
      </w:pPr>
      <w:r>
        <w:rPr>
          <w:noProof/>
        </w:rPr>
        <w:t>д)</w:t>
      </w:r>
      <w:r>
        <w:rPr>
          <w:noProof/>
        </w:rPr>
        <w:tab/>
        <w:t>член 55, параграф 3: уведомяване на Обединеното кралство от страна на Съюза за информацията, необходима за регистрац</w:t>
      </w:r>
      <w:r>
        <w:rPr>
          <w:noProof/>
        </w:rPr>
        <w:t>ия или за предоставяне на правата върху интелектуалната собственост, посочени в член 54, параграфи 1 или 2, в Обединеното кралство;</w:t>
      </w:r>
    </w:p>
    <w:p w:rsidR="006A5CA3" w:rsidRDefault="0065415D">
      <w:pPr>
        <w:pStyle w:val="Point1"/>
        <w:rPr>
          <w:noProof/>
        </w:rPr>
      </w:pPr>
      <w:r>
        <w:rPr>
          <w:noProof/>
        </w:rPr>
        <w:t>е)</w:t>
      </w:r>
      <w:r>
        <w:rPr>
          <w:noProof/>
        </w:rPr>
        <w:tab/>
        <w:t>член 96, параграф 6: предоставяне на информация от страна на Съюза по искане на Обединеното кралство, за да спази задълже</w:t>
      </w:r>
      <w:r>
        <w:rPr>
          <w:noProof/>
        </w:rPr>
        <w:t>нието си за докладване съгласно член 7 от Монреалския протокол за веществата, които нарушават озоновия слой; и за да прилага санкции в съответствие с член 25 от Регламент (ЕС) № 517/2014 и член 29 от Регламент (ЕО) № 1005/2009;</w:t>
      </w:r>
    </w:p>
    <w:p w:rsidR="006A5CA3" w:rsidRDefault="0065415D">
      <w:pPr>
        <w:pStyle w:val="Point1"/>
        <w:rPr>
          <w:noProof/>
        </w:rPr>
      </w:pPr>
      <w:r>
        <w:rPr>
          <w:noProof/>
        </w:rPr>
        <w:t>ж)</w:t>
      </w:r>
      <w:r>
        <w:rPr>
          <w:noProof/>
        </w:rPr>
        <w:tab/>
        <w:t xml:space="preserve">Член 102: уведомяване на </w:t>
      </w:r>
      <w:r>
        <w:rPr>
          <w:noProof/>
        </w:rPr>
        <w:t>Обединеното кралство от страна на Съюза, когато помещенията, сградите, собствеността или активите на Съюза вече не се използват за такива цели или са били изнесени от Обединеното кралство;</w:t>
      </w:r>
    </w:p>
    <w:p w:rsidR="006A5CA3" w:rsidRDefault="0065415D">
      <w:pPr>
        <w:pStyle w:val="Point1"/>
        <w:rPr>
          <w:noProof/>
        </w:rPr>
      </w:pPr>
      <w:r>
        <w:rPr>
          <w:noProof/>
        </w:rPr>
        <w:t>з)</w:t>
      </w:r>
      <w:r>
        <w:rPr>
          <w:noProof/>
        </w:rPr>
        <w:tab/>
        <w:t>Член 103: уведомяване на Обединеното кралство от страна на Съюза</w:t>
      </w:r>
      <w:r>
        <w:rPr>
          <w:noProof/>
        </w:rPr>
        <w:t>, когато архиви на Съюза се изнасят от Обединеното кралство;</w:t>
      </w:r>
    </w:p>
    <w:p w:rsidR="006A5CA3" w:rsidRDefault="0065415D">
      <w:pPr>
        <w:pStyle w:val="Point1"/>
        <w:rPr>
          <w:noProof/>
        </w:rPr>
      </w:pPr>
      <w:r>
        <w:rPr>
          <w:noProof/>
        </w:rPr>
        <w:t>и)</w:t>
      </w:r>
      <w:r>
        <w:rPr>
          <w:noProof/>
        </w:rPr>
        <w:tab/>
        <w:t>Член 116, параграф 3: уведомяване на органите от страна на Съюза за статуса на всяко лице, имащ отношение към правото на това лице на привилегия или имунитет съгласно този дял;</w:t>
      </w:r>
    </w:p>
    <w:p w:rsidR="006A5CA3" w:rsidRDefault="0065415D">
      <w:pPr>
        <w:pStyle w:val="Point1"/>
        <w:rPr>
          <w:noProof/>
        </w:rPr>
      </w:pPr>
      <w:r>
        <w:rPr>
          <w:noProof/>
        </w:rPr>
        <w:t>й)</w:t>
      </w:r>
      <w:r>
        <w:rPr>
          <w:noProof/>
        </w:rPr>
        <w:tab/>
        <w:t>Член 119: ув</w:t>
      </w:r>
      <w:r>
        <w:rPr>
          <w:noProof/>
        </w:rPr>
        <w:t xml:space="preserve">едомяване на Обединеното кралство от страна на Съюза за датата на приключване на преместването на агенциите; </w:t>
      </w:r>
    </w:p>
    <w:p w:rsidR="006A5CA3" w:rsidRDefault="0065415D">
      <w:pPr>
        <w:pStyle w:val="Point1"/>
        <w:rPr>
          <w:noProof/>
        </w:rPr>
      </w:pPr>
      <w:r>
        <w:rPr>
          <w:noProof/>
        </w:rPr>
        <w:t>к)</w:t>
      </w:r>
      <w:r>
        <w:rPr>
          <w:noProof/>
        </w:rPr>
        <w:tab/>
        <w:t>Член 127, параграф 7, буква б): уведомяване на Обединеното кралство от страна на Съюза, когато по време на преходния период Обединеното кралств</w:t>
      </w:r>
      <w:r>
        <w:rPr>
          <w:noProof/>
        </w:rPr>
        <w:t>о няма да се счита за държава членка за целите на обмена на информация, процедура или програма, които продължават да се прилагат или започват след края на преходния период, и когато такова участие ще предостави достъп до чувствителна информация, свързана с</w:t>
      </w:r>
      <w:r>
        <w:rPr>
          <w:noProof/>
        </w:rPr>
        <w:t>ъс сигурността, която следва да е известна единствено на държавите членки;</w:t>
      </w:r>
    </w:p>
    <w:p w:rsidR="006A5CA3" w:rsidRDefault="0065415D">
      <w:pPr>
        <w:pStyle w:val="Point1"/>
        <w:rPr>
          <w:noProof/>
        </w:rPr>
      </w:pPr>
      <w:r>
        <w:rPr>
          <w:noProof/>
        </w:rPr>
        <w:t>л)</w:t>
      </w:r>
      <w:r>
        <w:rPr>
          <w:noProof/>
        </w:rPr>
        <w:tab/>
        <w:t>Член 134: информация, която Съюзът следва да предоставя на съответните субекти, на които е възложена тази задача и които са били съобщени от Обединеното кралство;</w:t>
      </w:r>
    </w:p>
    <w:p w:rsidR="006A5CA3" w:rsidRDefault="0065415D">
      <w:pPr>
        <w:pStyle w:val="Point1"/>
        <w:rPr>
          <w:noProof/>
        </w:rPr>
      </w:pPr>
      <w:r>
        <w:rPr>
          <w:noProof/>
        </w:rPr>
        <w:t>м)</w:t>
      </w:r>
      <w:r>
        <w:rPr>
          <w:noProof/>
        </w:rPr>
        <w:tab/>
        <w:t>Член 140, па</w:t>
      </w:r>
      <w:r>
        <w:rPr>
          <w:noProof/>
        </w:rPr>
        <w:t>раграфи 2 и 3: информация, която Съюзът следва да предоставя на Обединеното кралство относно размера на неизпълнените поети задължения, посочени в тези разпоредби;</w:t>
      </w:r>
    </w:p>
    <w:p w:rsidR="006A5CA3" w:rsidRDefault="0065415D">
      <w:pPr>
        <w:pStyle w:val="Point1"/>
        <w:rPr>
          <w:noProof/>
        </w:rPr>
      </w:pPr>
      <w:r>
        <w:rPr>
          <w:noProof/>
        </w:rPr>
        <w:t>н)</w:t>
      </w:r>
      <w:r>
        <w:rPr>
          <w:noProof/>
        </w:rPr>
        <w:tab/>
        <w:t>член 142, точки 3, 4 и 5 информация, която следва да бъде предоставена на Обединеното кра</w:t>
      </w:r>
      <w:r>
        <w:rPr>
          <w:noProof/>
        </w:rPr>
        <w:t>лство относно задълженията към края на 2020 г., посочени в тези разпоредби;</w:t>
      </w:r>
    </w:p>
    <w:p w:rsidR="006A5CA3" w:rsidRDefault="0065415D">
      <w:pPr>
        <w:pStyle w:val="Point1"/>
        <w:rPr>
          <w:noProof/>
        </w:rPr>
      </w:pPr>
      <w:r>
        <w:rPr>
          <w:noProof/>
        </w:rPr>
        <w:t>о)</w:t>
      </w:r>
      <w:r>
        <w:rPr>
          <w:noProof/>
        </w:rPr>
        <w:tab/>
        <w:t xml:space="preserve">член 143, параграф 1, буква б) и член 143, параграфи 2, 3 и 4: доклади и информация, които Съюзът следва да представя на Обединеното кралство относно съответните условни </w:t>
      </w:r>
      <w:r>
        <w:rPr>
          <w:noProof/>
        </w:rPr>
        <w:t>финансови задължения, свързани със заеми за финансова помощ, ЕФСИ, ЕФУР и мандата за външно кредитиране, посочени в тези разпоредби;</w:t>
      </w:r>
    </w:p>
    <w:p w:rsidR="006A5CA3" w:rsidRDefault="0065415D">
      <w:pPr>
        <w:pStyle w:val="Point1"/>
        <w:rPr>
          <w:noProof/>
        </w:rPr>
      </w:pPr>
      <w:r>
        <w:rPr>
          <w:noProof/>
        </w:rPr>
        <w:t>п)</w:t>
      </w:r>
      <w:r>
        <w:rPr>
          <w:noProof/>
        </w:rPr>
        <w:tab/>
        <w:t>Член 144, параграф 1: информация, която Съюзът следва да предоставя на Обединеното кралство относно финансовите инструме</w:t>
      </w:r>
      <w:r>
        <w:rPr>
          <w:noProof/>
        </w:rPr>
        <w:t>нти под режим на пряко или непряко изпълнение, финансирани от програмите от МФР за периода 2014—2020 г. или в рамките на предходни финансови перспективи;</w:t>
      </w:r>
    </w:p>
    <w:p w:rsidR="006A5CA3" w:rsidRDefault="0065415D">
      <w:pPr>
        <w:pStyle w:val="Point1"/>
        <w:rPr>
          <w:noProof/>
        </w:rPr>
      </w:pPr>
      <w:r>
        <w:rPr>
          <w:noProof/>
        </w:rPr>
        <w:t>р)</w:t>
      </w:r>
      <w:r>
        <w:rPr>
          <w:noProof/>
        </w:rPr>
        <w:tab/>
        <w:t xml:space="preserve">Член 147, параграф 2: информация, която Съюзът следва да предоставя на Обединеното кралство по </w:t>
      </w:r>
      <w:r>
        <w:rPr>
          <w:noProof/>
        </w:rPr>
        <w:t>отношение на условни задължения, свързани със съдебни дела;</w:t>
      </w:r>
    </w:p>
    <w:p w:rsidR="006A5CA3" w:rsidRDefault="0065415D">
      <w:pPr>
        <w:pStyle w:val="Point1"/>
        <w:rPr>
          <w:noProof/>
        </w:rPr>
      </w:pPr>
      <w:r>
        <w:rPr>
          <w:noProof/>
        </w:rPr>
        <w:t>с)</w:t>
      </w:r>
      <w:r>
        <w:rPr>
          <w:noProof/>
        </w:rPr>
        <w:tab/>
        <w:t>Член 148, параграф 2: информация, която Съюзът следва да предоставя на Обединеното кралство съгласно тази разпоредба относно плащанията след 2020 г.;</w:t>
      </w:r>
    </w:p>
    <w:p w:rsidR="006A5CA3" w:rsidRDefault="0065415D">
      <w:pPr>
        <w:pStyle w:val="Point1"/>
        <w:rPr>
          <w:noProof/>
        </w:rPr>
      </w:pPr>
      <w:r>
        <w:rPr>
          <w:noProof/>
        </w:rPr>
        <w:t>т)</w:t>
      </w:r>
      <w:r>
        <w:rPr>
          <w:noProof/>
        </w:rPr>
        <w:tab/>
        <w:t>Член 159, параграф 2: годишна информация</w:t>
      </w:r>
      <w:r>
        <w:rPr>
          <w:noProof/>
        </w:rPr>
        <w:t>, която Съюзът следва да предоставя на Специализирания комитет по правата на гражданите;</w:t>
      </w:r>
    </w:p>
    <w:p w:rsidR="006A5CA3" w:rsidRDefault="0065415D">
      <w:pPr>
        <w:pStyle w:val="Point1"/>
        <w:rPr>
          <w:noProof/>
        </w:rPr>
      </w:pPr>
      <w:r>
        <w:rPr>
          <w:noProof/>
        </w:rPr>
        <w:t>у)</w:t>
      </w:r>
      <w:r>
        <w:rPr>
          <w:noProof/>
        </w:rPr>
        <w:tab/>
        <w:t>Член 185: уведомяване на Обединеното кралство от името на Съюза по отношение на всяка държава членка, която е обявила в съответствие с разпоредбата, че през преходн</w:t>
      </w:r>
      <w:r>
        <w:rPr>
          <w:noProof/>
        </w:rPr>
        <w:t>ия период тази държава членка няма да предава своите граждани съгласно Рамково решение 2002/584/ПВР.</w:t>
      </w:r>
    </w:p>
    <w:p w:rsidR="006A5CA3" w:rsidRDefault="0065415D">
      <w:pPr>
        <w:rPr>
          <w:noProof/>
          <w:szCs w:val="24"/>
          <w:u w:color="000000"/>
          <w:bdr w:val="nil"/>
        </w:rPr>
      </w:pPr>
      <w:r>
        <w:rPr>
          <w:noProof/>
        </w:rPr>
        <w:t>В някои случаи в Споразумението за оттегляне се посочва друга институция или орган на Съюза, който трябва да предава тази информация, например:</w:t>
      </w:r>
    </w:p>
    <w:p w:rsidR="006A5CA3" w:rsidRDefault="0065415D">
      <w:pPr>
        <w:pStyle w:val="Point1"/>
        <w:rPr>
          <w:noProof/>
          <w:u w:color="000000"/>
          <w:bdr w:val="nil"/>
        </w:rPr>
      </w:pPr>
      <w:r>
        <w:rPr>
          <w:noProof/>
        </w:rPr>
        <w:t>а)</w:t>
      </w:r>
      <w:r>
        <w:rPr>
          <w:noProof/>
        </w:rPr>
        <w:tab/>
        <w:t>Член 149</w:t>
      </w:r>
      <w:r>
        <w:rPr>
          <w:noProof/>
        </w:rPr>
        <w:t>: възстановяване на внесения капитал от Европейската централна банка; или</w:t>
      </w:r>
    </w:p>
    <w:p w:rsidR="006A5CA3" w:rsidRDefault="0065415D">
      <w:pPr>
        <w:pStyle w:val="Point1"/>
        <w:rPr>
          <w:noProof/>
          <w:u w:color="000000"/>
          <w:bdr w:val="nil"/>
        </w:rPr>
      </w:pPr>
      <w:r>
        <w:rPr>
          <w:noProof/>
        </w:rPr>
        <w:t>б)</w:t>
      </w:r>
      <w:r>
        <w:rPr>
          <w:noProof/>
        </w:rPr>
        <w:tab/>
        <w:t xml:space="preserve">член 150, параграф 4: възстановяване на внесения капитал от Европейската инвестиционна банка. </w:t>
      </w:r>
    </w:p>
    <w:p w:rsidR="006A5CA3" w:rsidRDefault="0065415D">
      <w:pPr>
        <w:rPr>
          <w:noProof/>
          <w:szCs w:val="24"/>
          <w:u w:color="000000"/>
          <w:bdr w:val="nil"/>
        </w:rPr>
      </w:pPr>
      <w:r>
        <w:rPr>
          <w:noProof/>
        </w:rPr>
        <w:t>Когато в Споразумението се предвижда, че по време на преходния период Съюзът може да</w:t>
      </w:r>
      <w:r>
        <w:rPr>
          <w:noProof/>
        </w:rPr>
        <w:t xml:space="preserve"> реши да покани Обединеното кралство да участва по изключение в някои заседания на комитети или експертни групи или в заседания на органи, служби и агенции на Съюза (т.е. член 128, параграф 5 от Споразумението) или в международни заседания за водене на пре</w:t>
      </w:r>
      <w:r>
        <w:rPr>
          <w:noProof/>
        </w:rPr>
        <w:t xml:space="preserve">говори и консултации (т.е. член 129, параграф 2, буква б) и член 130, параграф 3 от Споразумението), такива </w:t>
      </w:r>
      <w:r>
        <w:rPr>
          <w:b/>
          <w:noProof/>
          <w:u w:color="000000"/>
          <w:bdr w:val="nil"/>
        </w:rPr>
        <w:t>покани</w:t>
      </w:r>
      <w:r>
        <w:rPr>
          <w:noProof/>
        </w:rPr>
        <w:t xml:space="preserve"> следва по принцип да се отправят до Обединеното кралство от Комисията, действаща от името на Съюза. Когато заседанието се организира от орган</w:t>
      </w:r>
      <w:r>
        <w:rPr>
          <w:noProof/>
        </w:rPr>
        <w:t>и, служби или агенции на Съюза, съответните покани се изпращат от тези органи, служби или агенции на Съюза. Подобни покани може да бъдат отправяни само в случай че условията, установени в Споразумението, са изпълнени. Комисията има намерение да подготви на</w:t>
      </w:r>
      <w:r>
        <w:rPr>
          <w:noProof/>
        </w:rPr>
        <w:t xml:space="preserve">соки в тази връзка, за да се гарантира последователно прилагане на тези разпоредби. </w:t>
      </w:r>
    </w:p>
    <w:p w:rsidR="006A5CA3" w:rsidRDefault="0065415D">
      <w:pPr>
        <w:rPr>
          <w:i/>
          <w:iCs/>
          <w:noProof/>
          <w:szCs w:val="24"/>
        </w:rPr>
      </w:pPr>
      <w:r>
        <w:rPr>
          <w:noProof/>
        </w:rPr>
        <w:t xml:space="preserve">Когато в Споразумението се предвижда Съюзът да се консултира с Обединеното кралство по време на преходния период: отново Комисията следва да осъществи тази консултация от </w:t>
      </w:r>
      <w:r>
        <w:rPr>
          <w:noProof/>
        </w:rPr>
        <w:t>името на Съюза. Това се отнася по-специално до следните разпоредби на Споразумението:</w:t>
      </w:r>
      <w:r>
        <w:rPr>
          <w:i/>
          <w:noProof/>
        </w:rPr>
        <w:t xml:space="preserve"> </w:t>
      </w:r>
    </w:p>
    <w:p w:rsidR="006A5CA3" w:rsidRDefault="0065415D">
      <w:pPr>
        <w:pStyle w:val="Point1"/>
        <w:rPr>
          <w:noProof/>
        </w:rPr>
      </w:pPr>
      <w:r>
        <w:rPr>
          <w:noProof/>
        </w:rPr>
        <w:t>а)</w:t>
      </w:r>
      <w:r>
        <w:rPr>
          <w:noProof/>
        </w:rPr>
        <w:tab/>
        <w:t>член 128, параграф 7: задължението на Съюза да се консултира с Обединеното кралство относно проекти на актове на Съюза, в които се определят или пряко се посочват кон</w:t>
      </w:r>
      <w:r>
        <w:rPr>
          <w:noProof/>
        </w:rPr>
        <w:t>кретни органи, процедури или документи на държава членка;</w:t>
      </w:r>
    </w:p>
    <w:p w:rsidR="006A5CA3" w:rsidRDefault="0065415D">
      <w:pPr>
        <w:pStyle w:val="Point1"/>
        <w:rPr>
          <w:noProof/>
        </w:rPr>
      </w:pPr>
      <w:r>
        <w:rPr>
          <w:noProof/>
        </w:rPr>
        <w:t>б)</w:t>
      </w:r>
      <w:r>
        <w:rPr>
          <w:noProof/>
        </w:rPr>
        <w:tab/>
        <w:t xml:space="preserve">член 129, параграф 5: възможността за консултация с Обединеното кралство в съответствие с тази разпоредба; </w:t>
      </w:r>
    </w:p>
    <w:p w:rsidR="006A5CA3" w:rsidRDefault="0065415D">
      <w:pPr>
        <w:pStyle w:val="Point1"/>
        <w:rPr>
          <w:noProof/>
        </w:rPr>
      </w:pPr>
      <w:r>
        <w:rPr>
          <w:noProof/>
        </w:rPr>
        <w:t>в)</w:t>
      </w:r>
      <w:r>
        <w:rPr>
          <w:noProof/>
        </w:rPr>
        <w:tab/>
        <w:t xml:space="preserve">член 130, параграф 1: задължението на Съюза да се консултира с Обединеното кралство </w:t>
      </w:r>
      <w:r>
        <w:rPr>
          <w:noProof/>
        </w:rPr>
        <w:t>относно възможностите за риболов във връзка с водите на ЕС и извън тях в съответствие с тази разпоредба;</w:t>
      </w:r>
    </w:p>
    <w:p w:rsidR="006A5CA3" w:rsidRDefault="0065415D">
      <w:pPr>
        <w:pStyle w:val="Point1"/>
        <w:rPr>
          <w:noProof/>
        </w:rPr>
      </w:pPr>
      <w:r>
        <w:rPr>
          <w:noProof/>
        </w:rPr>
        <w:t>г)</w:t>
      </w:r>
      <w:r>
        <w:rPr>
          <w:noProof/>
        </w:rPr>
        <w:tab/>
        <w:t>член 130, параграф 2: задължението на Съюза да дава възможност на Обединеното кралство да предоставя коментари в съответствие с тази разпоредба.</w:t>
      </w:r>
    </w:p>
    <w:p w:rsidR="006A5CA3" w:rsidRDefault="0065415D">
      <w:pPr>
        <w:rPr>
          <w:noProof/>
          <w:szCs w:val="24"/>
          <w:u w:color="000000"/>
          <w:bdr w:val="nil"/>
        </w:rPr>
      </w:pPr>
      <w:r>
        <w:rPr>
          <w:noProof/>
        </w:rPr>
        <w:t>Отн</w:t>
      </w:r>
      <w:r>
        <w:rPr>
          <w:noProof/>
        </w:rPr>
        <w:t xml:space="preserve">ово Комисията ще трябва да договоря с Обединеното кралство </w:t>
      </w:r>
      <w:r>
        <w:rPr>
          <w:b/>
          <w:noProof/>
          <w:u w:color="000000"/>
          <w:bdr w:val="nil"/>
        </w:rPr>
        <w:t>административни разпоредби</w:t>
      </w:r>
      <w:r>
        <w:rPr>
          <w:noProof/>
        </w:rPr>
        <w:t xml:space="preserve"> като посочените в член 134 (административни разпоредби, действащи между одиторите на Съюза и Обединеното кралство за улесняване на процеса на одит) или в член 12 от Прото</w:t>
      </w:r>
      <w:r>
        <w:rPr>
          <w:noProof/>
        </w:rPr>
        <w:t xml:space="preserve">кола за Ирландия/Северна Ирландия (административни разпоредби, необходими за правилното прилагане на разпоредбите за държавна помощ в Протокола). </w:t>
      </w:r>
    </w:p>
    <w:p w:rsidR="006A5CA3" w:rsidRDefault="0065415D">
      <w:pPr>
        <w:rPr>
          <w:noProof/>
          <w:szCs w:val="24"/>
        </w:rPr>
      </w:pPr>
      <w:r>
        <w:rPr>
          <w:noProof/>
        </w:rPr>
        <w:t>Комисията ще действа от името на Съюза и на всички етапи от процедурата за уреждане на спорове съгласно дял I</w:t>
      </w:r>
      <w:r>
        <w:rPr>
          <w:noProof/>
        </w:rPr>
        <w:t>II от част VI на Споразумението.</w:t>
      </w:r>
    </w:p>
    <w:p w:rsidR="006A5CA3" w:rsidRDefault="0065415D">
      <w:pPr>
        <w:pStyle w:val="ManualHeading2"/>
        <w:rPr>
          <w:noProof/>
          <w:szCs w:val="24"/>
          <w:u w:color="000000"/>
          <w:bdr w:val="nil"/>
        </w:rPr>
      </w:pPr>
      <w:r>
        <w:rPr>
          <w:noProof/>
        </w:rPr>
        <w:t>•</w:t>
      </w:r>
      <w:r>
        <w:rPr>
          <w:noProof/>
        </w:rPr>
        <w:tab/>
        <w:t>Подробни разяснения на отделните разпоредби на предложението</w:t>
      </w:r>
    </w:p>
    <w:p w:rsidR="006A5CA3" w:rsidRDefault="0065415D">
      <w:pPr>
        <w:rPr>
          <w:noProof/>
          <w:szCs w:val="24"/>
        </w:rPr>
      </w:pPr>
      <w:r>
        <w:rPr>
          <w:noProof/>
        </w:rPr>
        <w:t>Предложението на Комисията за проект на текст за Споразумението за оттегляне се състои от 185 члена, структурирани в шест части (които са разделени допълнително</w:t>
      </w:r>
      <w:r>
        <w:rPr>
          <w:noProof/>
        </w:rPr>
        <w:t xml:space="preserve"> на дялове и глави), три протокола и девет приложения, както следва:</w:t>
      </w:r>
    </w:p>
    <w:p w:rsidR="006A5CA3" w:rsidRDefault="0065415D">
      <w:pPr>
        <w:rPr>
          <w:noProof/>
          <w:szCs w:val="24"/>
        </w:rPr>
      </w:pPr>
      <w:r>
        <w:rPr>
          <w:b/>
          <w:noProof/>
        </w:rPr>
        <w:t>Първата част</w:t>
      </w:r>
      <w:r>
        <w:rPr>
          <w:noProof/>
        </w:rPr>
        <w:t xml:space="preserve"> („Общи разпоредби“) съдържа общите разпоредби на Споразумението за оттегляне („Споразумението“), включително определенията, териториалния обхват на Споразумението за оттеглян</w:t>
      </w:r>
      <w:r>
        <w:rPr>
          <w:noProof/>
        </w:rPr>
        <w:t>е, методите и принципите, свързани с действието, изпълнението и прилагането на Споразумението.</w:t>
      </w:r>
    </w:p>
    <w:p w:rsidR="006A5CA3" w:rsidRDefault="0065415D">
      <w:pPr>
        <w:rPr>
          <w:noProof/>
          <w:szCs w:val="24"/>
        </w:rPr>
      </w:pPr>
      <w:r>
        <w:rPr>
          <w:noProof/>
        </w:rPr>
        <w:t xml:space="preserve">Във </w:t>
      </w:r>
      <w:r>
        <w:rPr>
          <w:b/>
          <w:noProof/>
        </w:rPr>
        <w:t>втората част</w:t>
      </w:r>
      <w:r>
        <w:rPr>
          <w:noProof/>
        </w:rPr>
        <w:t xml:space="preserve"> („Права на гражданите“) са установени разпоредбите, насочени към запазване на засегнати от оттеглянето на Обединеното кралство статут и права, п</w:t>
      </w:r>
      <w:r>
        <w:rPr>
          <w:noProof/>
        </w:rPr>
        <w:t>роизтичащи от правото на Съюза, на гражданите на ЕС и на Обединеното кралство и на техните семейства. Втората част включва 4 дяла: Дял I („Общи разпоредби“), дял II („Права и задължения“), дял III („Координация на системите за социална сигурност“) и дял IV</w:t>
      </w:r>
      <w:r>
        <w:rPr>
          <w:noProof/>
        </w:rPr>
        <w:t xml:space="preserve"> („Други разпоредби“).</w:t>
      </w:r>
    </w:p>
    <w:p w:rsidR="006A5CA3" w:rsidRDefault="0065415D">
      <w:pPr>
        <w:rPr>
          <w:noProof/>
          <w:szCs w:val="24"/>
        </w:rPr>
      </w:pPr>
      <w:r>
        <w:rPr>
          <w:noProof/>
        </w:rPr>
        <w:t xml:space="preserve">В </w:t>
      </w:r>
      <w:r>
        <w:rPr>
          <w:b/>
          <w:noProof/>
        </w:rPr>
        <w:t>третата част</w:t>
      </w:r>
      <w:r>
        <w:rPr>
          <w:noProof/>
        </w:rPr>
        <w:t xml:space="preserve"> („Разпоредби за разделяне“) са установени разпоредбите за други въпроси, свързани с отделянето на Обединеното кралство от Съюза. Третата част включва 13 дяла: Дял I („Стоки, пуснати на пазара“), дял II („Текущи митниче</w:t>
      </w:r>
      <w:r>
        <w:rPr>
          <w:noProof/>
        </w:rPr>
        <w:t>ски процедури“), дял III („Текущи въпроси във връзка с данъка върху добавената стойност и акцизите“), дял IV („Интелектуална собственост“), дял V („Текущо полицейско и съдебно сътрудничество по наказателноправни въпроси“), дял VI („Текущо съдебно сътруднич</w:t>
      </w:r>
      <w:r>
        <w:rPr>
          <w:noProof/>
        </w:rPr>
        <w:t>ество по гражданскоправни и търговскоправни въпроси“), дял VII (Данни и информация, обработени или получени преди датата на влизане в сила или въз основа на това споразумение), дял VIII („Текущи процедури за възлагане на обществени поръчки и подобни процед</w:t>
      </w:r>
      <w:r>
        <w:rPr>
          <w:noProof/>
        </w:rPr>
        <w:t>ури“), дял IX („Въпроси, свързани с Евратом“), дял X („Съдебни и административни производства на Съюза“), дял XI („Процедури за административно сътрудничество между държавите членки и Обединеното кралство“), дял XII („Привилегии и имунитети“) и дял XIII („</w:t>
      </w:r>
      <w:r>
        <w:rPr>
          <w:noProof/>
        </w:rPr>
        <w:t xml:space="preserve">Други въпроси, свързани с функционирането на институциите, органите, службите и агенциите на Съюза“). </w:t>
      </w:r>
    </w:p>
    <w:p w:rsidR="006A5CA3" w:rsidRDefault="0065415D">
      <w:pPr>
        <w:rPr>
          <w:noProof/>
          <w:szCs w:val="24"/>
        </w:rPr>
      </w:pPr>
      <w:r>
        <w:rPr>
          <w:noProof/>
        </w:rPr>
        <w:t>В</w:t>
      </w:r>
      <w:r>
        <w:rPr>
          <w:b/>
          <w:noProof/>
        </w:rPr>
        <w:t xml:space="preserve"> четвъртата част</w:t>
      </w:r>
      <w:r>
        <w:rPr>
          <w:noProof/>
        </w:rPr>
        <w:t xml:space="preserve"> („Преход“) се установява преходният период, по време на който всички достижения на правото на ЕС ще се прилагат по отношение на Обедине</w:t>
      </w:r>
      <w:r>
        <w:rPr>
          <w:noProof/>
        </w:rPr>
        <w:t>ното кралство с някои изключения. По време на преходния период Обединеното кралство вече няма да бъде представено в институциите на Съюза, нито да участва в процеса на Съюза за подготовка и вземане на решения. Освен това в четвъртата част се установяват пр</w:t>
      </w:r>
      <w:r>
        <w:rPr>
          <w:noProof/>
        </w:rPr>
        <w:t>еходните разпоредби, приложими за Обединеното кралство по отношение на международните споразумения, сключени от Съюза или от държавите членки, действащи от негово име, или от Съюза и неговите държави членки, действащи съвместно. В съответствие с разпоредби</w:t>
      </w:r>
      <w:r>
        <w:rPr>
          <w:noProof/>
        </w:rPr>
        <w:t>те на член 129 Обединеното кралство ще бъде обвързано със задълженията, произтичащи от тези споразумения. В член 130 се предвижда механизъм за консултиране с цел определяне на възможностите за риболов на Обединеното кралство за преходния период. С член 131</w:t>
      </w:r>
      <w:r>
        <w:rPr>
          <w:noProof/>
        </w:rPr>
        <w:t xml:space="preserve"> ще се гарантира, че всички институции на Съюза ще запазят изцяло правомощията си по отношение на Обединеното кралство, включително компетентността на Съда на Европейския съюз. В член 132 се предвижда възможност за приемане на решение за удължаване на прех</w:t>
      </w:r>
      <w:r>
        <w:rPr>
          <w:noProof/>
        </w:rPr>
        <w:t>одния период до 1 или 2 години.</w:t>
      </w:r>
    </w:p>
    <w:p w:rsidR="006A5CA3" w:rsidRDefault="0065415D">
      <w:pPr>
        <w:rPr>
          <w:noProof/>
          <w:szCs w:val="24"/>
        </w:rPr>
      </w:pPr>
      <w:r>
        <w:rPr>
          <w:noProof/>
        </w:rPr>
        <w:t xml:space="preserve">В </w:t>
      </w:r>
      <w:r>
        <w:rPr>
          <w:b/>
          <w:noProof/>
        </w:rPr>
        <w:t>петата част</w:t>
      </w:r>
      <w:r>
        <w:rPr>
          <w:noProof/>
        </w:rPr>
        <w:t xml:space="preserve"> („Финансови разпоредби“) се определят подробни правила относно финансовото споразумение, включително подробни правила относно компонентите на финансовото споразумение, както и правила за изчисляване на стойност</w:t>
      </w:r>
      <w:r>
        <w:rPr>
          <w:noProof/>
        </w:rPr>
        <w:t>та на финансовото споразумение и условията за плащане. Определят се също така правила за реда и условията за продължаване на участието на Обединеното кралство в програмите на настоящата многогодишна финансова рамка (МФР) до тяхното приключване.</w:t>
      </w:r>
    </w:p>
    <w:p w:rsidR="006A5CA3" w:rsidRDefault="0065415D">
      <w:pPr>
        <w:rPr>
          <w:noProof/>
          <w:szCs w:val="24"/>
        </w:rPr>
      </w:pPr>
      <w:r>
        <w:rPr>
          <w:noProof/>
        </w:rPr>
        <w:t xml:space="preserve">В </w:t>
      </w:r>
      <w:r>
        <w:rPr>
          <w:b/>
          <w:noProof/>
        </w:rPr>
        <w:t xml:space="preserve">шестата </w:t>
      </w:r>
      <w:r>
        <w:rPr>
          <w:b/>
          <w:noProof/>
        </w:rPr>
        <w:t>част</w:t>
      </w:r>
      <w:r>
        <w:rPr>
          <w:noProof/>
        </w:rPr>
        <w:t xml:space="preserve"> („Институционални и заключителни разпоредби“) се определят правила за последователното тълкуване и прилагане на Споразумението и се създава Съвместен комитет, както и механизъм за уреждане на спорове. Тази част съдържа и задължение страните да положат</w:t>
      </w:r>
      <w:r>
        <w:rPr>
          <w:noProof/>
        </w:rPr>
        <w:t xml:space="preserve"> всички усилия, за да постигнат споразумение за бъдещите си отношения преди края на преходния период, както и разпоредби относно влизането в сила на Споразумението. </w:t>
      </w:r>
    </w:p>
    <w:p w:rsidR="006A5CA3" w:rsidRDefault="0065415D">
      <w:pPr>
        <w:rPr>
          <w:noProof/>
          <w:szCs w:val="24"/>
        </w:rPr>
      </w:pPr>
      <w:r>
        <w:rPr>
          <w:b/>
          <w:noProof/>
        </w:rPr>
        <w:t>Протоколът за Ирландия/Северна Ирландия</w:t>
      </w:r>
      <w:r>
        <w:rPr>
          <w:noProof/>
        </w:rPr>
        <w:t xml:space="preserve"> и неговите 10 приложения включват необходимите раз</w:t>
      </w:r>
      <w:r>
        <w:rPr>
          <w:noProof/>
        </w:rPr>
        <w:t>поредби за т.нар. предпазен механизъм за избягване на „твърда“ граница между Ирландия и Северна Ирландия. Това ще се прилага, освен ако и докато не бъде заменено напълно или частично от последващо споразумение. С протокола се създава единна митническа тери</w:t>
      </w:r>
      <w:r>
        <w:rPr>
          <w:noProof/>
        </w:rPr>
        <w:t>тория между ЕС и Обединеното кралство. По този начин ще се избегне необходимостта от тарифи, квоти или проверки на правилата за произход между ЕС и Обединеното кралство. В него се предвижда също така набор от мерки, за да се гарантира, че са налице еднакви</w:t>
      </w:r>
      <w:r>
        <w:rPr>
          <w:noProof/>
        </w:rPr>
        <w:t xml:space="preserve"> условия на конкуренция между ЕС и Обединеното кралство. Освен това с протокола се гарантира, че Митническият кодекс на Съюза (МКС), в който, наред с другото, се определят разпоредбите за допускане на продукти за свободно обращение в рамките на ЕС, ще прод</w:t>
      </w:r>
      <w:r>
        <w:rPr>
          <w:noProof/>
        </w:rPr>
        <w:t>ължи да се прилага за Северна Ирландия. Това ще гарантира, че предприятията от Северна Ирландия няма да са изправени пред ограничения при пускането на продукти на единния пазар на ЕС. В протокола се предвижда също, че по отношение на Северна Ирландия Обеди</w:t>
      </w:r>
      <w:r>
        <w:rPr>
          <w:noProof/>
        </w:rPr>
        <w:t>неното кралство ще продължи да спазва ограничен набор от правила, които са свързани с единния пазар на ЕС и са задължителни, за да се избегне „твърда“ граница: законодателството относно стоките, санитарните и фитосанитарните правила, правилата за селскосто</w:t>
      </w:r>
      <w:r>
        <w:rPr>
          <w:noProof/>
        </w:rPr>
        <w:t>панското производство, ДДС и акцизите, както и правилата за държавната помощ. Има също така разпоредби за запазване на единния пазар на електроенергия на остров Ирландия. Съгласно протокола общата зона за пътуване между Ирландия и Обединеното кралство и пр</w:t>
      </w:r>
      <w:r>
        <w:rPr>
          <w:noProof/>
        </w:rPr>
        <w:t>оизтичащите от нея права и привилегии ще продължат да се прилагат в съответствие с правото на ЕС, по-специално относно свободното движение на гражданите на ЕС. Ще продължи и сътрудничеството между Севера и Юга, както е определено в протокола, включително в</w:t>
      </w:r>
      <w:r>
        <w:rPr>
          <w:noProof/>
        </w:rPr>
        <w:t xml:space="preserve"> областта на околната среда, здравеопазването, селското стопанство, транспорта, образованието и туризма, както и в областта на енергетиката, телекомуникациите, радио- и телевизионното разпръскване, сладководния риболов, правосъдието и сигурността, висшето </w:t>
      </w:r>
      <w:r>
        <w:rPr>
          <w:noProof/>
        </w:rPr>
        <w:t>образование и спорта.</w:t>
      </w:r>
    </w:p>
    <w:p w:rsidR="006A5CA3" w:rsidRDefault="0065415D">
      <w:pPr>
        <w:rPr>
          <w:noProof/>
          <w:szCs w:val="24"/>
        </w:rPr>
      </w:pPr>
      <w:r>
        <w:rPr>
          <w:noProof/>
        </w:rPr>
        <w:t xml:space="preserve">Споразумението за оттегляне включва и </w:t>
      </w:r>
      <w:r>
        <w:rPr>
          <w:b/>
          <w:noProof/>
        </w:rPr>
        <w:t>Протокол за суверенните бази на Обединеното кралство в Кипър</w:t>
      </w:r>
      <w:r>
        <w:rPr>
          <w:noProof/>
        </w:rPr>
        <w:t xml:space="preserve"> („Протокол за СБ“). Предвид че отношенията между Съюза и зоните на суверенните бази в Кипър следва да се определят в контекста на членс</w:t>
      </w:r>
      <w:r>
        <w:rPr>
          <w:noProof/>
        </w:rPr>
        <w:t xml:space="preserve">твото на Кипър в Съюза, в Протокола за СБ се установяват подходящи механизми, позволяващи след оттеглянето на Обединеното кралство от Съюза да се постигнат целите на договореностите, определени в Протокол 3 от Акта за присъединяване на Република Кипър към </w:t>
      </w:r>
      <w:r>
        <w:rPr>
          <w:noProof/>
        </w:rPr>
        <w:t xml:space="preserve">Съюза. Както се подчертава в съвместното изявление от 19 юни 2018 г., и Съюзът, и Обединеното кралство са поели ангажимент за установяване на подходящи договорености за зоните на суверенните бази, „по-специално с цел да се защитят интересите на кипърските </w:t>
      </w:r>
      <w:r>
        <w:rPr>
          <w:noProof/>
        </w:rPr>
        <w:t>граждани, които живеят и работят в зоните на суверенните бази, след оттеглянето на Обединеното кралство от Съюза, при пълно зачитане на правата и задълженията по Договора за създаването“. Съюзът и Обединеното кралство са договорили условията за протокол, п</w:t>
      </w:r>
      <w:r>
        <w:rPr>
          <w:noProof/>
        </w:rPr>
        <w:t>риложен към Споразумението за оттегляне, по силата на който това ще се осъществи. Целта на протокола е да гарантира, че правото на ЕС, в зоните, посочени в Протокол 3 към Акта за присъединяване на Кипър, ще продължи да се прилага в зоните на суверенните ба</w:t>
      </w:r>
      <w:r>
        <w:rPr>
          <w:noProof/>
        </w:rPr>
        <w:t>зи без прекъсване или загуба на права по-специално за близо 11 000 кипърски граждани, които живеят и работят в района на зоните на суверенните бази. Това се отнася до редица области на политика, като данъчното облагане, стоките, селското стопанство, рибарс</w:t>
      </w:r>
      <w:r>
        <w:rPr>
          <w:noProof/>
        </w:rPr>
        <w:t>твото и ветеринарните и фитосанитарните правила. С протокола на Република Кипър се поверява отговорността за прилагането и изпълнението на правото на Съюза по отношение на повечето от обхванатите области, с изключение на сигурността и военните дела.</w:t>
      </w:r>
    </w:p>
    <w:p w:rsidR="006A5CA3" w:rsidRDefault="0065415D">
      <w:pPr>
        <w:rPr>
          <w:rStyle w:val="Emphasis"/>
          <w:noProof/>
          <w:szCs w:val="24"/>
        </w:rPr>
      </w:pPr>
      <w:r>
        <w:rPr>
          <w:noProof/>
        </w:rPr>
        <w:t>Накрая</w:t>
      </w:r>
      <w:r>
        <w:rPr>
          <w:noProof/>
        </w:rPr>
        <w:t xml:space="preserve">, Споразумението за оттегляне включва </w:t>
      </w:r>
      <w:r>
        <w:rPr>
          <w:b/>
          <w:noProof/>
          <w:u w:color="000000"/>
          <w:bdr w:val="nil"/>
        </w:rPr>
        <w:t>Протокол за Гибралтар</w:t>
      </w:r>
      <w:r>
        <w:rPr>
          <w:noProof/>
        </w:rPr>
        <w:t xml:space="preserve">, насочен към конкретни въпроси във връзка с Гибралтар, произтичащи от оттеглянето на Обединеното кралство от Съюза. В насоките на Европейския съвет от 29 април 2017 г. се посочва, че </w:t>
      </w:r>
      <w:r>
        <w:rPr>
          <w:rStyle w:val="Emphasis"/>
          <w:i w:val="0"/>
          <w:noProof/>
        </w:rPr>
        <w:t>„спрямо терит</w:t>
      </w:r>
      <w:r>
        <w:rPr>
          <w:rStyle w:val="Emphasis"/>
          <w:i w:val="0"/>
          <w:noProof/>
        </w:rPr>
        <w:t>орията на Гибралтар няма да е възможно да се прилага никакво споразумение между ЕС и Обединеното кралство без споразумение между Кралство Испания и Обединеното кралство“. Това беше припомнено в допълнителните указания на Съвета за водене на преговори от</w:t>
      </w:r>
      <w:r>
        <w:rPr>
          <w:noProof/>
        </w:rPr>
        <w:t xml:space="preserve"> 29</w:t>
      </w:r>
      <w:r>
        <w:rPr>
          <w:noProof/>
        </w:rPr>
        <w:t xml:space="preserve"> януари 2018 г. </w:t>
      </w:r>
      <w:r>
        <w:rPr>
          <w:rStyle w:val="Emphasis"/>
          <w:i w:val="0"/>
          <w:noProof/>
        </w:rPr>
        <w:t>и в насоките на Европейския съвет от 14 март 2018 г. В изявленията към протокола от заседанието на Европейския съвет на 25 ноември 2018 г. беше включена следната декларация на Европейския съвет и на Комисията: „</w:t>
      </w:r>
      <w:r>
        <w:rPr>
          <w:noProof/>
          <w:sz w:val="23"/>
        </w:rPr>
        <w:t>След като Обединеното кралств</w:t>
      </w:r>
      <w:r>
        <w:rPr>
          <w:noProof/>
          <w:sz w:val="23"/>
        </w:rPr>
        <w:t>о напусне Съюза, Гибралтар няма да бъде включен в териториалния обхват на споразуменията, които ще бъдат сключени между Съюза и Обединеното кралство. Това обаче не изключва възможността за отделни споразумения между Съюза и Обединеното кралство по отношени</w:t>
      </w:r>
      <w:r>
        <w:rPr>
          <w:noProof/>
          <w:sz w:val="23"/>
        </w:rPr>
        <w:t>е на Гибралтар. Без да се засяга компетентността на Съюза и при пълно зачитане на териториалната цялост на неговите държави членки, гарантирана от член 4, параграф 2 от Договора за Европейския съюз, за тези отделни споразумения ще е необходимо предварителн</w:t>
      </w:r>
      <w:r>
        <w:rPr>
          <w:noProof/>
          <w:sz w:val="23"/>
        </w:rPr>
        <w:t>ото съгласие на Кралство Испания“</w:t>
      </w:r>
      <w:r>
        <w:rPr>
          <w:rStyle w:val="Emphasis"/>
          <w:i w:val="0"/>
          <w:noProof/>
        </w:rPr>
        <w:t xml:space="preserve">. Освен това по този повод Европейският съвет и Комисията са издали тълкувателна декларация относно член 184 от Споразумението за оттегляне и териториалния обхват на бъдещите споразумения. </w:t>
      </w:r>
    </w:p>
    <w:p w:rsidR="006A5CA3" w:rsidRDefault="0065415D">
      <w:pPr>
        <w:rPr>
          <w:noProof/>
          <w:szCs w:val="24"/>
        </w:rPr>
      </w:pPr>
      <w:r>
        <w:rPr>
          <w:noProof/>
        </w:rPr>
        <w:t>Двустранните преговори между Испа</w:t>
      </w:r>
      <w:r>
        <w:rPr>
          <w:noProof/>
        </w:rPr>
        <w:t>ния и Обединеното кралство вече са приключени. Към Споразумението за оттегляне е приложен протокол относно тези двустранни договорености. Протоколът е част от пакет от двустранни меморандуми за разбирателство между Испания и Обединеното кралство във връзка</w:t>
      </w:r>
      <w:r>
        <w:rPr>
          <w:noProof/>
        </w:rPr>
        <w:t xml:space="preserve"> с Гибралтар. Това се отнася до двустранното сътрудничество във връзка с правата на гражданите, тютюневите изделия и други продукти, околната среда, полицейските и митническите въпроси, както и двустранното съгласие относно данъчното облагане и защитата на</w:t>
      </w:r>
      <w:r>
        <w:rPr>
          <w:noProof/>
        </w:rPr>
        <w:t xml:space="preserve"> финансовите интереси. По отношение на правата на гражданите с протокола се създава основата за административно сътрудничество между компетентните органи за прилагане на оттеглянето по отношение на хората, които живеят в района на Гибралтар, и по-специално</w:t>
      </w:r>
      <w:r>
        <w:rPr>
          <w:noProof/>
        </w:rPr>
        <w:t xml:space="preserve"> пограничните работници. По отношение на законодателството в областта на въздушния транспорт в него се предвижда възможност, в случай че Испания и Обединеното кралство постигнат споразумение относно използването на летището в Гибралтар, законодателството н</w:t>
      </w:r>
      <w:r>
        <w:rPr>
          <w:noProof/>
        </w:rPr>
        <w:t>а Съюза, което преди това не е било приложимо за Гибралтар, да се прилага по време на прехода. По отношение на фискалните въпроси и защитата на финансовите интереси с протокола се създава основата за административно сътрудничество между компетентните орган</w:t>
      </w:r>
      <w:r>
        <w:rPr>
          <w:noProof/>
        </w:rPr>
        <w:t>и за постигане на пълна прозрачност в областта на данъчното облагане, борбата с измамите, контрабандата и изпирането на пари. Обединеното кралство се ангажира също така в Гибралтар да се прилагат международните стандарти в тази област. Във връзка с тютюнев</w:t>
      </w:r>
      <w:r>
        <w:rPr>
          <w:noProof/>
        </w:rPr>
        <w:t xml:space="preserve">ите изделия Обединеното кралство се ангажира да ратифицира някои конвенции по отношение на Гибралтар и да въведе преди 30 юни 2020 г. система за проследимост и защитни мерки по отношение на цигарите. Във връзка с алкохола и бензина Обединеното кралство се </w:t>
      </w:r>
      <w:r>
        <w:rPr>
          <w:noProof/>
        </w:rPr>
        <w:t>ангажира да гарантира, че в Гибралтар е в сила данъчна система, която цели да предотврати измамите. По отношение на опазването на околната среда и риболова и сътрудничеството по полицейските и митническите въпроси с протокола се създава основата за админис</w:t>
      </w:r>
      <w:r>
        <w:rPr>
          <w:noProof/>
        </w:rPr>
        <w:t>тративно сътрудничество между компетентните органи. Създава се също специализиран комитет, който да следи за прилагането на този протокол.</w:t>
      </w:r>
    </w:p>
    <w:p w:rsidR="006A5CA3" w:rsidRDefault="0065415D">
      <w:pPr>
        <w:rPr>
          <w:noProof/>
          <w:szCs w:val="24"/>
        </w:rPr>
      </w:pPr>
      <w:r>
        <w:rPr>
          <w:noProof/>
        </w:rPr>
        <w:t>В Споразумението са включени също следните приложения:</w:t>
      </w:r>
    </w:p>
    <w:p w:rsidR="006A5CA3" w:rsidRDefault="0065415D">
      <w:pPr>
        <w:pStyle w:val="Bullet0"/>
        <w:numPr>
          <w:ilvl w:val="0"/>
          <w:numId w:val="11"/>
        </w:numPr>
        <w:rPr>
          <w:noProof/>
          <w:szCs w:val="24"/>
        </w:rPr>
      </w:pPr>
      <w:r>
        <w:rPr>
          <w:noProof/>
        </w:rPr>
        <w:t xml:space="preserve">Приложение I относно координацията по въпросите на социалната </w:t>
      </w:r>
      <w:r>
        <w:rPr>
          <w:noProof/>
        </w:rPr>
        <w:t>сигурност;</w:t>
      </w:r>
    </w:p>
    <w:p w:rsidR="006A5CA3" w:rsidRDefault="0065415D">
      <w:pPr>
        <w:pStyle w:val="Bullet0"/>
        <w:numPr>
          <w:ilvl w:val="0"/>
          <w:numId w:val="11"/>
        </w:numPr>
        <w:rPr>
          <w:noProof/>
          <w:szCs w:val="24"/>
        </w:rPr>
      </w:pPr>
      <w:r>
        <w:rPr>
          <w:noProof/>
        </w:rPr>
        <w:t>Приложение II относно разпоредбите на правото на Съюза, посочени в член 41, параграф 4;</w:t>
      </w:r>
    </w:p>
    <w:p w:rsidR="006A5CA3" w:rsidRDefault="0065415D">
      <w:pPr>
        <w:pStyle w:val="Bullet0"/>
        <w:rPr>
          <w:noProof/>
          <w:szCs w:val="24"/>
        </w:rPr>
      </w:pPr>
      <w:r>
        <w:rPr>
          <w:noProof/>
        </w:rPr>
        <w:t>Приложение III относно сроковете за ситуациите или митническите режими, посочени в член 49, параграф 1;</w:t>
      </w:r>
    </w:p>
    <w:p w:rsidR="006A5CA3" w:rsidRDefault="0065415D">
      <w:pPr>
        <w:pStyle w:val="Bullet0"/>
        <w:rPr>
          <w:noProof/>
          <w:szCs w:val="24"/>
        </w:rPr>
      </w:pPr>
      <w:r>
        <w:rPr>
          <w:noProof/>
        </w:rPr>
        <w:t>Приложение IV относно списъка на мрежите, информацион</w:t>
      </w:r>
      <w:r>
        <w:rPr>
          <w:noProof/>
        </w:rPr>
        <w:t>ните системи и базите данни, посочени в членове 50, 53, 99 и 100;</w:t>
      </w:r>
    </w:p>
    <w:p w:rsidR="006A5CA3" w:rsidRDefault="0065415D">
      <w:pPr>
        <w:pStyle w:val="Bullet0"/>
        <w:rPr>
          <w:noProof/>
          <w:szCs w:val="24"/>
        </w:rPr>
      </w:pPr>
      <w:r>
        <w:rPr>
          <w:noProof/>
        </w:rPr>
        <w:t>Приложение V относно Евратом;</w:t>
      </w:r>
    </w:p>
    <w:p w:rsidR="006A5CA3" w:rsidRDefault="0065415D">
      <w:pPr>
        <w:pStyle w:val="Bullet0"/>
        <w:numPr>
          <w:ilvl w:val="0"/>
          <w:numId w:val="9"/>
        </w:numPr>
        <w:rPr>
          <w:noProof/>
          <w:szCs w:val="24"/>
        </w:rPr>
      </w:pPr>
      <w:r>
        <w:rPr>
          <w:noProof/>
        </w:rPr>
        <w:t>Приложение VI относно списъка на процедурите за административно сътрудничество, посочени в член 98;</w:t>
      </w:r>
    </w:p>
    <w:p w:rsidR="006A5CA3" w:rsidRDefault="0065415D">
      <w:pPr>
        <w:pStyle w:val="Bullet0"/>
        <w:rPr>
          <w:noProof/>
          <w:szCs w:val="24"/>
        </w:rPr>
      </w:pPr>
      <w:r>
        <w:rPr>
          <w:noProof/>
        </w:rPr>
        <w:t>Приложение VII относно списъка на актовете/разпоредбите, пос</w:t>
      </w:r>
      <w:r>
        <w:rPr>
          <w:noProof/>
        </w:rPr>
        <w:t>очени в член 128, параграф 6;</w:t>
      </w:r>
    </w:p>
    <w:p w:rsidR="006A5CA3" w:rsidRDefault="0065415D">
      <w:pPr>
        <w:pStyle w:val="Bullet0"/>
        <w:rPr>
          <w:noProof/>
          <w:szCs w:val="24"/>
        </w:rPr>
      </w:pPr>
      <w:r>
        <w:rPr>
          <w:noProof/>
        </w:rPr>
        <w:t>Приложение VIII относно процедурния правилник на Съвместния комитет и специализираните комитети;</w:t>
      </w:r>
    </w:p>
    <w:p w:rsidR="006A5CA3" w:rsidRDefault="0065415D">
      <w:pPr>
        <w:pStyle w:val="Bullet0"/>
        <w:rPr>
          <w:noProof/>
          <w:szCs w:val="24"/>
        </w:rPr>
      </w:pPr>
      <w:r>
        <w:rPr>
          <w:noProof/>
        </w:rPr>
        <w:t>Приложение IX относно процедурния правилник за уреждането на спорове.</w:t>
      </w:r>
    </w:p>
    <w:p w:rsidR="006A5CA3" w:rsidRDefault="0065415D">
      <w:pPr>
        <w:rPr>
          <w:noProof/>
          <w:szCs w:val="24"/>
        </w:rPr>
      </w:pPr>
      <w:r>
        <w:rPr>
          <w:noProof/>
        </w:rPr>
        <w:t>Споразумението влиза в сила на 30 март 2019 година.</w:t>
      </w:r>
    </w:p>
    <w:p w:rsidR="006A5CA3" w:rsidRDefault="006A5CA3">
      <w:pPr>
        <w:rPr>
          <w:noProof/>
          <w:szCs w:val="24"/>
        </w:rPr>
        <w:sectPr w:rsidR="006A5CA3">
          <w:footerReference w:type="default" r:id="rId15"/>
          <w:footerReference w:type="first" r:id="rId16"/>
          <w:pgSz w:w="11907" w:h="16839"/>
          <w:pgMar w:top="1134" w:right="1417" w:bottom="1134" w:left="1417" w:header="709" w:footer="709" w:gutter="0"/>
          <w:cols w:space="708"/>
          <w:docGrid w:linePitch="360"/>
        </w:sectPr>
      </w:pPr>
    </w:p>
    <w:p w:rsidR="006A5CA3" w:rsidRDefault="0065415D">
      <w:pPr>
        <w:pStyle w:val="Rfrenceinterinstitutionnelle"/>
        <w:rPr>
          <w:noProof/>
        </w:rPr>
      </w:pPr>
      <w:r>
        <w:rPr>
          <w:noProof/>
        </w:rPr>
        <w:t>2018/0427 (NLE)</w:t>
      </w:r>
    </w:p>
    <w:p w:rsidR="006A5CA3" w:rsidRDefault="0065415D">
      <w:pPr>
        <w:pStyle w:val="Statut"/>
        <w:rPr>
          <w:noProof/>
        </w:rPr>
      </w:pPr>
      <w:r>
        <w:rPr>
          <w:noProof/>
        </w:rPr>
        <w:t>Предложение за</w:t>
      </w:r>
    </w:p>
    <w:p w:rsidR="006A5CA3" w:rsidRDefault="0065415D">
      <w:pPr>
        <w:pStyle w:val="Typedudocument"/>
        <w:rPr>
          <w:noProof/>
        </w:rPr>
      </w:pPr>
      <w:r>
        <w:rPr>
          <w:noProof/>
        </w:rPr>
        <w:t>РЕШЕНИЕ НА СЪВЕТА</w:t>
      </w:r>
    </w:p>
    <w:p w:rsidR="006A5CA3" w:rsidRDefault="0065415D">
      <w:pPr>
        <w:pStyle w:val="Titreobjet"/>
        <w:rPr>
          <w:noProof/>
        </w:rPr>
      </w:pPr>
      <w:r>
        <w:rPr>
          <w:noProof/>
        </w:rPr>
        <w:t>относно сключването на Споразумението за оттегляне на Обединеното кралство Великобритания и Северна Ирландия от Европейския съюз и Европейската общност за а</w:t>
      </w:r>
      <w:r>
        <w:rPr>
          <w:noProof/>
        </w:rPr>
        <w:t>томна енергия</w:t>
      </w:r>
      <w:r>
        <w:rPr>
          <w:noProof/>
        </w:rPr>
        <w:br/>
      </w:r>
    </w:p>
    <w:p w:rsidR="006A5CA3" w:rsidRDefault="0065415D">
      <w:pPr>
        <w:pStyle w:val="IntrtEEE"/>
        <w:rPr>
          <w:noProof/>
        </w:rPr>
      </w:pPr>
      <w:r>
        <w:rPr>
          <w:noProof/>
        </w:rPr>
        <w:t>(текст от значение за ЕИП)</w:t>
      </w:r>
    </w:p>
    <w:p w:rsidR="006A5CA3" w:rsidRDefault="0065415D">
      <w:pPr>
        <w:pStyle w:val="Institutionquiagit"/>
        <w:rPr>
          <w:noProof/>
          <w:szCs w:val="24"/>
        </w:rPr>
      </w:pPr>
      <w:r>
        <w:rPr>
          <w:noProof/>
        </w:rPr>
        <w:t>СЪВЕТЪТ НА ЕВРОПЕЙСКИЯ СЪЮЗ,</w:t>
      </w:r>
    </w:p>
    <w:p w:rsidR="006A5CA3" w:rsidRDefault="0065415D">
      <w:pPr>
        <w:rPr>
          <w:noProof/>
          <w:szCs w:val="24"/>
        </w:rPr>
      </w:pPr>
      <w:r>
        <w:rPr>
          <w:noProof/>
        </w:rPr>
        <w:t>като взе предвид Договора за Европейския съюз, и по-специално член 50, параграф 2 от него,</w:t>
      </w:r>
    </w:p>
    <w:p w:rsidR="006A5CA3" w:rsidRDefault="0065415D">
      <w:pPr>
        <w:rPr>
          <w:noProof/>
          <w:szCs w:val="24"/>
        </w:rPr>
      </w:pPr>
      <w:r>
        <w:rPr>
          <w:noProof/>
        </w:rPr>
        <w:t xml:space="preserve">като взе предвид Договора за създаване на Европейската общност за атомна енергия, и по-специално член 106а от него, </w:t>
      </w:r>
    </w:p>
    <w:p w:rsidR="006A5CA3" w:rsidRDefault="0065415D">
      <w:pPr>
        <w:rPr>
          <w:noProof/>
          <w:szCs w:val="24"/>
        </w:rPr>
      </w:pPr>
      <w:r>
        <w:rPr>
          <w:noProof/>
        </w:rPr>
        <w:t>като взе предвид предложението на Европейската комисия,</w:t>
      </w:r>
    </w:p>
    <w:p w:rsidR="006A5CA3" w:rsidRDefault="0065415D">
      <w:pPr>
        <w:rPr>
          <w:noProof/>
          <w:szCs w:val="24"/>
        </w:rPr>
      </w:pPr>
      <w:r>
        <w:rPr>
          <w:noProof/>
        </w:rPr>
        <w:t>като взе предвид одобрението на Европейския парламент,</w:t>
      </w:r>
    </w:p>
    <w:p w:rsidR="006A5CA3" w:rsidRDefault="0065415D">
      <w:pPr>
        <w:rPr>
          <w:noProof/>
          <w:szCs w:val="24"/>
        </w:rPr>
      </w:pPr>
      <w:r>
        <w:rPr>
          <w:noProof/>
        </w:rPr>
        <w:t>като взе предвид становището</w:t>
      </w:r>
      <w:r>
        <w:rPr>
          <w:noProof/>
        </w:rPr>
        <w:t xml:space="preserve"> на Европейската централна банка,</w:t>
      </w:r>
    </w:p>
    <w:p w:rsidR="006A5CA3" w:rsidRDefault="0065415D">
      <w:pPr>
        <w:rPr>
          <w:rFonts w:eastAsia="Times New Roman"/>
          <w:noProof/>
          <w:szCs w:val="24"/>
        </w:rPr>
      </w:pPr>
      <w:r>
        <w:rPr>
          <w:noProof/>
        </w:rPr>
        <w:t>като има предвид, че:</w:t>
      </w:r>
    </w:p>
    <w:p w:rsidR="006A5CA3" w:rsidRDefault="0065415D">
      <w:pPr>
        <w:pStyle w:val="ManualConsidrant"/>
        <w:rPr>
          <w:noProof/>
          <w:szCs w:val="24"/>
        </w:rPr>
      </w:pPr>
      <w:r>
        <w:t>(1)</w:t>
      </w:r>
      <w:r>
        <w:tab/>
      </w:r>
      <w:r>
        <w:rPr>
          <w:noProof/>
        </w:rPr>
        <w:t xml:space="preserve">В съответствие с Решение (ЕС, Евратом) № [...] на Съвета Споразумението за оттегляне на Обединеното кралство Великобритания и Северна Ирландия от Европейския съюз и Европейската общност за атомна </w:t>
      </w:r>
      <w:r>
        <w:rPr>
          <w:noProof/>
        </w:rPr>
        <w:t>енергия (наричано по-нататък „Споразумението“) беше подписано на [...] г.</w:t>
      </w:r>
    </w:p>
    <w:p w:rsidR="006A5CA3" w:rsidRDefault="0065415D">
      <w:pPr>
        <w:pStyle w:val="ManualConsidrant"/>
        <w:rPr>
          <w:noProof/>
          <w:szCs w:val="24"/>
        </w:rPr>
      </w:pPr>
      <w:r>
        <w:t>(2)</w:t>
      </w:r>
      <w:r>
        <w:tab/>
      </w:r>
      <w:r>
        <w:rPr>
          <w:noProof/>
        </w:rPr>
        <w:t>Споразумението следва да се одобри от името на Европейския съюз и Европейската общност за атомна енергия.</w:t>
      </w:r>
    </w:p>
    <w:p w:rsidR="006A5CA3" w:rsidRDefault="0065415D">
      <w:pPr>
        <w:pStyle w:val="ManualConsidrant"/>
        <w:rPr>
          <w:noProof/>
          <w:szCs w:val="24"/>
        </w:rPr>
      </w:pPr>
      <w:r>
        <w:t>(3)</w:t>
      </w:r>
      <w:r>
        <w:tab/>
      </w:r>
      <w:r>
        <w:rPr>
          <w:noProof/>
        </w:rPr>
        <w:t xml:space="preserve">Всички позовавания на Съюза в настоящото решение следва да се разбират като включващи Европейската общност за атомна енергия. </w:t>
      </w:r>
    </w:p>
    <w:p w:rsidR="006A5CA3" w:rsidRDefault="0065415D">
      <w:pPr>
        <w:pStyle w:val="ManualConsidrant"/>
        <w:rPr>
          <w:noProof/>
          <w:szCs w:val="24"/>
        </w:rPr>
      </w:pPr>
      <w:r>
        <w:t>(4)</w:t>
      </w:r>
      <w:r>
        <w:tab/>
      </w:r>
      <w:r>
        <w:rPr>
          <w:noProof/>
        </w:rPr>
        <w:t>На датата на влизане в сила на Споразумението мандатите на всички членове на институции, органи и агенции на Съюза, номиниран</w:t>
      </w:r>
      <w:r>
        <w:rPr>
          <w:noProof/>
        </w:rPr>
        <w:t>и, назначени или избрани по силата на членството на Обединеното кралство в Съюза, приключват автоматично в резултат на оттеглянето.</w:t>
      </w:r>
    </w:p>
    <w:p w:rsidR="006A5CA3" w:rsidRDefault="0065415D">
      <w:pPr>
        <w:pStyle w:val="ManualConsidrant"/>
        <w:rPr>
          <w:noProof/>
          <w:szCs w:val="24"/>
        </w:rPr>
      </w:pPr>
      <w:r>
        <w:t>(5)</w:t>
      </w:r>
      <w:r>
        <w:tab/>
      </w:r>
      <w:r>
        <w:rPr>
          <w:noProof/>
        </w:rPr>
        <w:t>Целесъобразно е да се определят условията за начина, по който Съюзът ще бъде представен в Съвместния комитет, създаден п</w:t>
      </w:r>
      <w:r>
        <w:rPr>
          <w:noProof/>
        </w:rPr>
        <w:t xml:space="preserve">о силата на Споразумението. Ако Съвместният комитет е оправомощен по силата на Споразумението да приема актове с правно действие, включително за целите на изменение на Споразумението във връзка с несъществени елементи, позициите, които следва да се заемат </w:t>
      </w:r>
      <w:r>
        <w:rPr>
          <w:noProof/>
        </w:rPr>
        <w:t xml:space="preserve">от името на Съюза в Съвместния комитет, се определят в съответствие с процедурата, определена в член 218, параграф 9 от Договора за функционирането на Европейския съюз. </w:t>
      </w:r>
    </w:p>
    <w:p w:rsidR="006A5CA3" w:rsidRDefault="0065415D">
      <w:pPr>
        <w:pStyle w:val="ManualConsidrant"/>
        <w:rPr>
          <w:noProof/>
          <w:szCs w:val="24"/>
        </w:rPr>
      </w:pPr>
      <w:r>
        <w:t>(6)</w:t>
      </w:r>
      <w:r>
        <w:tab/>
      </w:r>
      <w:r>
        <w:rPr>
          <w:noProof/>
        </w:rPr>
        <w:t>Когато позицията на Съюза, която следва да се заеме в рамките на Съвместния комите</w:t>
      </w:r>
      <w:r>
        <w:rPr>
          <w:noProof/>
        </w:rPr>
        <w:t xml:space="preserve">т, се отнася до удължаването на преходния период или прегледа на Протокола за Ирландия/Северна Ирландия, Съветът ще действа в съответствие с насоките на Европейския съвет. За всяко решение за удължаване на преходния период ще се взема предвид изпълнението </w:t>
      </w:r>
      <w:r>
        <w:rPr>
          <w:noProof/>
        </w:rPr>
        <w:t xml:space="preserve">на задълженията по Споразумението, включително протоколите към него. </w:t>
      </w:r>
    </w:p>
    <w:p w:rsidR="006A5CA3" w:rsidRDefault="0065415D">
      <w:pPr>
        <w:pStyle w:val="ManualConsidrant"/>
        <w:rPr>
          <w:noProof/>
          <w:szCs w:val="24"/>
        </w:rPr>
      </w:pPr>
      <w:r>
        <w:t>(7)</w:t>
      </w:r>
      <w:r>
        <w:tab/>
      </w:r>
      <w:r>
        <w:rPr>
          <w:noProof/>
        </w:rPr>
        <w:t>Когато е необходимо Съюзът да предприема действия, за да спази разпоредбите на Споразумението, такива действия следва да се предприемат в съответствие с разпоредбите на Договорите, к</w:t>
      </w:r>
      <w:r>
        <w:rPr>
          <w:noProof/>
        </w:rPr>
        <w:t>ато същевременно се зачитат границите на правомощията, предоставени на всяка институция. Поради това Комисията следва да предоставя на Обединеното кралство информацията или уведомленията, които се изискват в Споразумението, с изключение на случаите, в коит</w:t>
      </w:r>
      <w:r>
        <w:rPr>
          <w:noProof/>
        </w:rPr>
        <w:t>о в Споразумението са посочени други конкретни институции, органи, служби и агенции на Съюза, да се консултира с Обединеното кралство по конкретни въпроси, да кани представители на Обединеното кралство да присъстват, като част от делегацията на Съюза, на м</w:t>
      </w:r>
      <w:r>
        <w:rPr>
          <w:noProof/>
        </w:rPr>
        <w:t>еждународни заседания за водене на преговори и консултации или да представлява Съюза пред арбитражен състав, когато даден спор е отнесен за арбитраж в съответствие с член 170 от Споразумението. В съответствие със задължението за лоялно сътрудничество, посо</w:t>
      </w:r>
      <w:r>
        <w:rPr>
          <w:noProof/>
        </w:rPr>
        <w:t>чено в член 4, параграф 3 от Договора за Европейския съюз, Комисията следва да уведомява Съвета за подобни спорове. Поради същата причина Комисията следва да постигне съгласие с Обединеното кралство относно административните разпоредби, като например разпо</w:t>
      </w:r>
      <w:r>
        <w:rPr>
          <w:noProof/>
        </w:rPr>
        <w:t xml:space="preserve">редбите, посочени в член 134 от Споразумението. </w:t>
      </w:r>
    </w:p>
    <w:p w:rsidR="006A5CA3" w:rsidRDefault="0065415D">
      <w:pPr>
        <w:pStyle w:val="ManualConsidrant"/>
        <w:rPr>
          <w:noProof/>
          <w:szCs w:val="24"/>
        </w:rPr>
      </w:pPr>
      <w:r>
        <w:t>(8)</w:t>
      </w:r>
      <w:r>
        <w:tab/>
      </w:r>
      <w:r>
        <w:rPr>
          <w:noProof/>
        </w:rPr>
        <w:t>В своето изявление за протокола от заседанието на Съвета от 29 януари 2018 г. Комисията посочи, че след консултация със Съвета ще изготви документ с насоки относно последователното прилагане на член 128,</w:t>
      </w:r>
      <w:r>
        <w:rPr>
          <w:noProof/>
        </w:rPr>
        <w:t xml:space="preserve"> параграф 5 от Споразумението. </w:t>
      </w:r>
    </w:p>
    <w:p w:rsidR="006A5CA3" w:rsidRDefault="0065415D">
      <w:pPr>
        <w:pStyle w:val="ManualConsidrant"/>
        <w:rPr>
          <w:noProof/>
          <w:szCs w:val="24"/>
        </w:rPr>
      </w:pPr>
      <w:r>
        <w:t>(9)</w:t>
      </w:r>
      <w:r>
        <w:tab/>
      </w:r>
      <w:r>
        <w:rPr>
          <w:noProof/>
        </w:rPr>
        <w:t>Съгласно член 129, параграф 4 от Споразумението по време на преходния период Обединеното кралство може да договаря, подписва и ратифицира международни споразумения, сключени от него в негово собствено качество, в области</w:t>
      </w:r>
      <w:r>
        <w:rPr>
          <w:noProof/>
        </w:rPr>
        <w:t>те на изключителна компетентност на Съюза, при условие че тези споразумения не влизат в сила или не се прилагат по време на преходния период, освен ако това не е разрешено от Съюза. Необходимо е да се определят условията и процедурата за предоставяне на та</w:t>
      </w:r>
      <w:r>
        <w:rPr>
          <w:noProof/>
        </w:rPr>
        <w:t>кива разрешения. Предвид политическото значение на решенията за предоставяне на такива разрешения е целесъобразно да се предоставят правомощия на Съвета за приемането им посредством актове за изпълнение, по предложение на Комисията.</w:t>
      </w:r>
    </w:p>
    <w:p w:rsidR="006A5CA3" w:rsidRDefault="0065415D">
      <w:pPr>
        <w:pStyle w:val="ManualConsidrant"/>
        <w:rPr>
          <w:noProof/>
          <w:szCs w:val="24"/>
        </w:rPr>
      </w:pPr>
      <w:r>
        <w:t>(10)</w:t>
      </w:r>
      <w:r>
        <w:tab/>
      </w:r>
      <w:r>
        <w:rPr>
          <w:noProof/>
        </w:rPr>
        <w:t>В рамките на отдел</w:t>
      </w:r>
      <w:r>
        <w:rPr>
          <w:noProof/>
        </w:rPr>
        <w:t>ни протоколи в Споразумението са разгледани много специфичните ситуации на Ирландия/Северна Ирландия, на зоните на суверенните бази на Обединеното кралство в Кипър и на Гибралтар. Предвид евентуалната необходимост Ирландия, Република Кипър и Кралство Испан</w:t>
      </w:r>
      <w:r>
        <w:rPr>
          <w:noProof/>
        </w:rPr>
        <w:t>ия, съответно, да сключват такива двустранни споразумения с Обединеното кралство, тъй като това може да е необходимо за правилното функциониране на реда и условията, предвидени в тези специални протоколи, следва да се определят условията и процедурата за д</w:t>
      </w:r>
      <w:r>
        <w:rPr>
          <w:noProof/>
        </w:rPr>
        <w:t>аване на разрешение на съответната държава членка да преговаря и да сключва такива двустранни споразумения, когато те се отнасят до областите на изключителна компетентност на Съюза. Предвид политическото значение на решенията за предоставяне на такива разр</w:t>
      </w:r>
      <w:r>
        <w:rPr>
          <w:noProof/>
        </w:rPr>
        <w:t xml:space="preserve">ешения е целесъобразно да се предоставят правомощия на Съвета за приемането им посредством актове за изпълнение, по предложение на Комисията. </w:t>
      </w:r>
    </w:p>
    <w:p w:rsidR="006A5CA3" w:rsidRDefault="0065415D">
      <w:pPr>
        <w:pStyle w:val="ManualConsidrant"/>
        <w:rPr>
          <w:noProof/>
        </w:rPr>
      </w:pPr>
      <w:r>
        <w:t>(11)</w:t>
      </w:r>
      <w:r>
        <w:tab/>
      </w:r>
      <w:r>
        <w:rPr>
          <w:noProof/>
        </w:rPr>
        <w:t xml:space="preserve">В член 18, параграфи 1 и 4 от Споразумението се предвижда задължението приемащите държави членки да издават </w:t>
      </w:r>
      <w:r>
        <w:rPr>
          <w:noProof/>
        </w:rPr>
        <w:t>на граждани на Обединеното кралство, съответните членове на техните семейства и други лица, които попадат в обхвата на дял II от втората част на Споразумението, документ, удостоверяващ техния статус на пребиваване в съответствие със Споразумението. В член </w:t>
      </w:r>
      <w:r>
        <w:rPr>
          <w:noProof/>
        </w:rPr>
        <w:t>26 от Споразумението се предвижда задължението държавата членка по месторабота да издава на граждани на Обединеното кралство, които имат права като погранични работници съгласно Споразумението, документ, удостоверяващ статуса на погранични работници съглас</w:t>
      </w:r>
      <w:r>
        <w:rPr>
          <w:noProof/>
        </w:rPr>
        <w:t>но Споразумението. За да се осигурят еднакви условия за прилагането на тези разпоредби в рамките на Съюза с цел да се улесни признаването на такива документи, по-специално от страна на органите за граничен контрол, и да се предотвратят фалшифицирането и по</w:t>
      </w:r>
      <w:r>
        <w:rPr>
          <w:noProof/>
        </w:rPr>
        <w:t>дправянето чрез висококачествени защитни елементи, следва да бъдат предоставени изпълнителни правомощия на Комисията за определяне на срока на валидност и формата, включително техническите спецификации, както и на общото обозначение, което документите, изд</w:t>
      </w:r>
      <w:r>
        <w:rPr>
          <w:noProof/>
        </w:rPr>
        <w:t>адени съгласно членове 18 и 26 от Споразумението, следва да имат, указващо, че са били издадени в съответствие със Споразумението.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2"/>
      </w:r>
      <w:r>
        <w:rPr>
          <w:noProof/>
        </w:rPr>
        <w:t>.</w:t>
      </w:r>
      <w:r>
        <w:rPr>
          <w:noProof/>
        </w:rPr>
        <w:t xml:space="preserve"> За тази цел Комисията следва да бъде подпомогната от комитета, създаден с член 6 от Регламент (ЕО) № 1683/95 на Съвета</w:t>
      </w:r>
      <w:r>
        <w:rPr>
          <w:rStyle w:val="FootnoteReference"/>
          <w:noProof/>
        </w:rPr>
        <w:footnoteReference w:id="3"/>
      </w:r>
      <w:r>
        <w:rPr>
          <w:noProof/>
        </w:rPr>
        <w:t>. Ако е необходимо, тези актове за изпълнение могат да бъдат защитени с всякакви подходящи мерки за предотвратяване на риска от подправя</w:t>
      </w:r>
      <w:r>
        <w:rPr>
          <w:noProof/>
        </w:rPr>
        <w:t>не и фалшифициране. В този случай те следва да се съобщят само на органите, които държавите членки са определили, че ще отговарят за отпечатването, и на лица, които са надлежно оправомощени от държава членка или от Комисията. Тези актове за изпълнение не с</w:t>
      </w:r>
      <w:r>
        <w:rPr>
          <w:noProof/>
        </w:rPr>
        <w:t>ледва да засягат специалните договорености с Обединеното кралство, които Ирландия може да установи по силата на Споразумението относно движението на хора в общата зона за пътуване.</w:t>
      </w:r>
    </w:p>
    <w:p w:rsidR="006A5CA3" w:rsidRDefault="0065415D">
      <w:pPr>
        <w:pStyle w:val="ManualConsidrant"/>
        <w:rPr>
          <w:noProof/>
          <w:szCs w:val="24"/>
        </w:rPr>
      </w:pPr>
      <w:r>
        <w:t>(12)</w:t>
      </w:r>
      <w:r>
        <w:tab/>
      </w:r>
      <w:r>
        <w:rPr>
          <w:noProof/>
        </w:rPr>
        <w:t>В член 4, параграф 1 и член 13 от приложение 3 към Протокола за Ирланд</w:t>
      </w:r>
      <w:r>
        <w:rPr>
          <w:noProof/>
        </w:rPr>
        <w:t>ия/Северна Ирландия се предвижда Съюзът да определи образеца и обяснителните бележки за сертификата за движение А. UK и, съответно, образеца за етикета, който се поставя върху посочените пощенски пратки. Тези образци служат като писмени доказателства, че д</w:t>
      </w:r>
      <w:r>
        <w:rPr>
          <w:noProof/>
        </w:rPr>
        <w:t>адена стока попада в обхвата на приложение 2 от Протокола за Ирландия/Северна Ирландия. За тази цел на Комисията следва да бъдат предоставени изпълнителни правомощия за определяне на формата на тези образци и обяснителни бележки, включително техническите с</w:t>
      </w:r>
      <w:r>
        <w:rPr>
          <w:noProof/>
        </w:rPr>
        <w:t xml:space="preserve">пецификации. Тези правомощия следва да бъдат упражнявани в съответствие с Регламент (ЕС) № 182/2011 на Европейския парламент и на Съвета. За тази цел Комисията следва да бъде подпомогната от Комитета по Митническия кодекс, създаден с член 285 от Регламент </w:t>
      </w:r>
      <w:r>
        <w:rPr>
          <w:noProof/>
        </w:rPr>
        <w:t>(ЕС) № 952/2013 на Европейския парламент и на Съвета</w:t>
      </w:r>
      <w:r>
        <w:rPr>
          <w:rStyle w:val="FootnoteReference"/>
          <w:noProof/>
        </w:rPr>
        <w:footnoteReference w:id="4"/>
      </w:r>
      <w:r>
        <w:rPr>
          <w:noProof/>
        </w:rPr>
        <w:t>.</w:t>
      </w:r>
    </w:p>
    <w:p w:rsidR="006A5CA3" w:rsidRDefault="0065415D">
      <w:pPr>
        <w:pStyle w:val="ManualConsidrant"/>
        <w:rPr>
          <w:noProof/>
          <w:szCs w:val="24"/>
        </w:rPr>
      </w:pPr>
      <w:r>
        <w:t>(13)</w:t>
      </w:r>
      <w:r>
        <w:tab/>
      </w:r>
      <w:r>
        <w:rPr>
          <w:noProof/>
        </w:rPr>
        <w:t>Както е предвидено в член 50, параграф 4 от Договора за Европейския съюз, Обединеното кралство не участва нито в обсъжданията на Съвета относно настоящото решение, нито в приемането му,</w:t>
      </w:r>
    </w:p>
    <w:p w:rsidR="006A5CA3" w:rsidRDefault="0065415D">
      <w:pPr>
        <w:pStyle w:val="Formuledadoption"/>
        <w:rPr>
          <w:noProof/>
          <w:szCs w:val="24"/>
        </w:rPr>
      </w:pPr>
      <w:r>
        <w:rPr>
          <w:noProof/>
        </w:rPr>
        <w:t>ПРИЕ НАСТО</w:t>
      </w:r>
      <w:r>
        <w:rPr>
          <w:noProof/>
        </w:rPr>
        <w:t>ЯЩОТО РЕШЕНИЕ:</w:t>
      </w:r>
    </w:p>
    <w:p w:rsidR="006A5CA3" w:rsidRDefault="0065415D">
      <w:pPr>
        <w:pStyle w:val="Titrearticle"/>
        <w:rPr>
          <w:noProof/>
          <w:szCs w:val="24"/>
          <w:vertAlign w:val="superscript"/>
        </w:rPr>
      </w:pPr>
      <w:r>
        <w:rPr>
          <w:noProof/>
        </w:rPr>
        <w:t>Член 1</w:t>
      </w:r>
    </w:p>
    <w:p w:rsidR="006A5CA3" w:rsidRDefault="0065415D">
      <w:pPr>
        <w:rPr>
          <w:noProof/>
          <w:szCs w:val="24"/>
        </w:rPr>
      </w:pPr>
      <w:r>
        <w:rPr>
          <w:noProof/>
        </w:rPr>
        <w:t>Споразумението относно оттеглянето на Обединеното кралство Великобритания и Северна Ирландия от Европейския съюз и Европейската общност за атомна енергия (наричано по-нататък „Споразумението“) се одобрява от името на Съюза и на Европе</w:t>
      </w:r>
      <w:r>
        <w:rPr>
          <w:noProof/>
        </w:rPr>
        <w:t>йската общност за атомна енергия.</w:t>
      </w:r>
    </w:p>
    <w:p w:rsidR="006A5CA3" w:rsidRDefault="0065415D">
      <w:pPr>
        <w:widowControl w:val="0"/>
        <w:suppressAutoHyphens/>
        <w:spacing w:before="0" w:after="0"/>
        <w:contextualSpacing/>
        <w:jc w:val="left"/>
        <w:rPr>
          <w:rFonts w:eastAsia="Times New Roman"/>
          <w:noProof/>
          <w:szCs w:val="24"/>
        </w:rPr>
      </w:pPr>
      <w:r>
        <w:rPr>
          <w:noProof/>
        </w:rPr>
        <w:t>Всички позовавания на Съюза в настоящото решение се разбират като включващи Европейската общност за атомна енергия.</w:t>
      </w:r>
    </w:p>
    <w:p w:rsidR="006A5CA3" w:rsidRDefault="0065415D">
      <w:pPr>
        <w:pStyle w:val="Titrearticle"/>
        <w:ind w:left="567" w:hanging="567"/>
        <w:rPr>
          <w:noProof/>
          <w:szCs w:val="24"/>
        </w:rPr>
      </w:pPr>
      <w:r>
        <w:rPr>
          <w:noProof/>
        </w:rPr>
        <w:t>Член 2</w:t>
      </w:r>
    </w:p>
    <w:p w:rsidR="006A5CA3" w:rsidRDefault="0065415D">
      <w:pPr>
        <w:pStyle w:val="ManualNumPar1"/>
        <w:rPr>
          <w:noProof/>
          <w:szCs w:val="24"/>
        </w:rPr>
      </w:pPr>
      <w:r>
        <w:t>1.</w:t>
      </w:r>
      <w:r>
        <w:tab/>
      </w:r>
      <w:r>
        <w:rPr>
          <w:noProof/>
        </w:rPr>
        <w:t>Комисията представлява Съюза в Съвместния комитет и неговите специализирани комитети, предвидени</w:t>
      </w:r>
      <w:r>
        <w:rPr>
          <w:noProof/>
        </w:rPr>
        <w:t xml:space="preserve"> в членове 164 и 165 от Споразумението, както и в други специализирани комитети, които могат да бъдат установени в съответствие с член 164, параграф 2, буква б). </w:t>
      </w:r>
    </w:p>
    <w:p w:rsidR="006A5CA3" w:rsidRDefault="0065415D">
      <w:pPr>
        <w:pStyle w:val="ManualNumPar2"/>
        <w:rPr>
          <w:noProof/>
          <w:szCs w:val="24"/>
        </w:rPr>
      </w:pPr>
      <w:r>
        <w:t>1.1.</w:t>
      </w:r>
      <w:r>
        <w:tab/>
      </w:r>
      <w:r>
        <w:rPr>
          <w:noProof/>
        </w:rPr>
        <w:t>Ирландия, Република Кипър и Кралство Испания, съответно, могат да поискат представителят</w:t>
      </w:r>
      <w:r>
        <w:rPr>
          <w:noProof/>
        </w:rPr>
        <w:t xml:space="preserve"> на Комисията да бъде придружен от:</w:t>
      </w:r>
    </w:p>
    <w:p w:rsidR="006A5CA3" w:rsidRDefault="0065415D">
      <w:pPr>
        <w:pStyle w:val="Point1"/>
        <w:rPr>
          <w:noProof/>
        </w:rPr>
      </w:pPr>
      <w:r>
        <w:rPr>
          <w:noProof/>
        </w:rPr>
        <w:t>а)</w:t>
      </w:r>
      <w:r>
        <w:rPr>
          <w:noProof/>
        </w:rPr>
        <w:tab/>
        <w:t>представител на Ирландия на заседанията на специализирания комитет по въпроси, свързани с прилагането на Протокола за Ирландия/Северна Ирландия;</w:t>
      </w:r>
    </w:p>
    <w:p w:rsidR="006A5CA3" w:rsidRDefault="0065415D">
      <w:pPr>
        <w:pStyle w:val="Point1"/>
        <w:rPr>
          <w:noProof/>
        </w:rPr>
      </w:pPr>
      <w:r>
        <w:rPr>
          <w:noProof/>
        </w:rPr>
        <w:t>б)</w:t>
      </w:r>
      <w:r>
        <w:rPr>
          <w:noProof/>
        </w:rPr>
        <w:tab/>
        <w:t>представител на Република Кипър на заседанията на специализирания ком</w:t>
      </w:r>
      <w:r>
        <w:rPr>
          <w:noProof/>
        </w:rPr>
        <w:t>итет по въпроси, свързани с прилагането на Протокола за зоните на суверенните бази в Кипър;</w:t>
      </w:r>
    </w:p>
    <w:p w:rsidR="006A5CA3" w:rsidRDefault="0065415D">
      <w:pPr>
        <w:pStyle w:val="Point1"/>
        <w:rPr>
          <w:noProof/>
        </w:rPr>
      </w:pPr>
      <w:r>
        <w:rPr>
          <w:noProof/>
        </w:rPr>
        <w:t>в)</w:t>
      </w:r>
      <w:r>
        <w:rPr>
          <w:noProof/>
        </w:rPr>
        <w:tab/>
        <w:t>представител на Кралство Испания на заседанията на специализирания комитет по въпроси, свързани с прилагането на Протокола за Гибралтар.</w:t>
      </w:r>
    </w:p>
    <w:p w:rsidR="006A5CA3" w:rsidRDefault="0065415D">
      <w:pPr>
        <w:pStyle w:val="ManualNumPar1"/>
        <w:rPr>
          <w:noProof/>
          <w:szCs w:val="24"/>
        </w:rPr>
      </w:pPr>
      <w:r>
        <w:t>2.</w:t>
      </w:r>
      <w:r>
        <w:tab/>
      </w:r>
      <w:r>
        <w:rPr>
          <w:noProof/>
        </w:rPr>
        <w:t>Комисията гарантира, че Съветът е уведомен за графика на заседанията и дневния ред, посочени в член 164, параграф 2, член 165, параграфи 2 и 4 и приложение VIII, достатъчно време предварително, за да се даде възможност за осъществяване на необходимото увед</w:t>
      </w:r>
      <w:r>
        <w:rPr>
          <w:noProof/>
        </w:rPr>
        <w:t xml:space="preserve">омяване, консултиране и вземане на решения в Съвета. Съветът бива уведомен също така за резултатите от заседанията на Съвместния комитет. </w:t>
      </w:r>
    </w:p>
    <w:p w:rsidR="006A5CA3" w:rsidRDefault="0065415D">
      <w:pPr>
        <w:pStyle w:val="ManualNumPar1"/>
        <w:rPr>
          <w:noProof/>
          <w:szCs w:val="24"/>
        </w:rPr>
      </w:pPr>
      <w:r>
        <w:t>3.</w:t>
      </w:r>
      <w:r>
        <w:tab/>
      </w:r>
      <w:r>
        <w:rPr>
          <w:noProof/>
        </w:rPr>
        <w:t>През първите пет години след влизането в сила на Споразумението Комисията докладва ежегодно на Европейския парламе</w:t>
      </w:r>
      <w:r>
        <w:rPr>
          <w:noProof/>
        </w:rPr>
        <w:t xml:space="preserve">нт и на Съвета за изпълнението и прилагането на Споразумението, и по-специално на неговата втора част. </w:t>
      </w:r>
    </w:p>
    <w:p w:rsidR="006A5CA3" w:rsidRDefault="0065415D">
      <w:pPr>
        <w:pStyle w:val="Titrearticle"/>
        <w:rPr>
          <w:noProof/>
          <w:szCs w:val="24"/>
        </w:rPr>
      </w:pPr>
      <w:r>
        <w:rPr>
          <w:noProof/>
        </w:rPr>
        <w:t>Член 3</w:t>
      </w:r>
    </w:p>
    <w:p w:rsidR="006A5CA3" w:rsidRDefault="0065415D">
      <w:pPr>
        <w:pStyle w:val="ManualNumPar1"/>
        <w:rPr>
          <w:noProof/>
          <w:szCs w:val="24"/>
        </w:rPr>
      </w:pPr>
      <w:r>
        <w:t>1.</w:t>
      </w:r>
      <w:r>
        <w:tab/>
      </w:r>
      <w:r>
        <w:rPr>
          <w:noProof/>
        </w:rPr>
        <w:t xml:space="preserve">Съветът може да разреши на Обединеното кралство да изрази своето съгласие, в собствения си капацитет, да се обвърже с международно </w:t>
      </w:r>
      <w:r>
        <w:rPr>
          <w:noProof/>
        </w:rPr>
        <w:t>споразумение, което се очаква да влезе в сила или да се прилага по време на преходния период, в област на изключителна компетентност на Съюза. Такова разрешение може да бъде предоставено само ако:</w:t>
      </w:r>
    </w:p>
    <w:p w:rsidR="006A5CA3" w:rsidRDefault="0065415D">
      <w:pPr>
        <w:pStyle w:val="Point1"/>
        <w:rPr>
          <w:noProof/>
        </w:rPr>
      </w:pPr>
      <w:r>
        <w:rPr>
          <w:noProof/>
        </w:rPr>
        <w:t>а)</w:t>
      </w:r>
      <w:r>
        <w:rPr>
          <w:noProof/>
        </w:rPr>
        <w:tab/>
        <w:t>Обединеното кралство е показало, че е особено заинтересо</w:t>
      </w:r>
      <w:r>
        <w:rPr>
          <w:noProof/>
        </w:rPr>
        <w:t>вано въпросното международно споразумение да влезе в сила или да се прилага по време на преходния период;</w:t>
      </w:r>
    </w:p>
    <w:p w:rsidR="006A5CA3" w:rsidRDefault="0065415D">
      <w:pPr>
        <w:pStyle w:val="Point1"/>
        <w:rPr>
          <w:noProof/>
        </w:rPr>
      </w:pPr>
      <w:r>
        <w:rPr>
          <w:noProof/>
        </w:rPr>
        <w:t>б)</w:t>
      </w:r>
      <w:r>
        <w:rPr>
          <w:noProof/>
        </w:rPr>
        <w:tab/>
        <w:t>въпросното международно споразумение е съвместимо с правото на Съюза, приложимо по отношение на Обединеното кралство и в него в съответствие с член</w:t>
      </w:r>
      <w:r>
        <w:rPr>
          <w:noProof/>
        </w:rPr>
        <w:t> 127 от Споразумението и със задълженията, посочени в член 129, параграф 1 от Споразумението; и</w:t>
      </w:r>
    </w:p>
    <w:p w:rsidR="006A5CA3" w:rsidRDefault="0065415D">
      <w:pPr>
        <w:pStyle w:val="Point1"/>
        <w:rPr>
          <w:noProof/>
        </w:rPr>
      </w:pPr>
      <w:r>
        <w:rPr>
          <w:noProof/>
        </w:rPr>
        <w:t>в)</w:t>
      </w:r>
      <w:r>
        <w:rPr>
          <w:noProof/>
        </w:rPr>
        <w:tab/>
        <w:t>влизането в сила или прилагането по време на преходния период на въпросното международно споразумение няма да изложи на риск постигането на цел на външната д</w:t>
      </w:r>
      <w:r>
        <w:rPr>
          <w:noProof/>
        </w:rPr>
        <w:t>ейност на Съюза в съответната област, нито ще накърни по някакъв друг начин интересите на Съюза.</w:t>
      </w:r>
    </w:p>
    <w:p w:rsidR="006A5CA3" w:rsidRDefault="0065415D">
      <w:pPr>
        <w:pStyle w:val="ManualNumPar1"/>
        <w:rPr>
          <w:noProof/>
          <w:szCs w:val="24"/>
        </w:rPr>
      </w:pPr>
      <w:r>
        <w:t>2.</w:t>
      </w:r>
      <w:r>
        <w:tab/>
      </w:r>
      <w:r>
        <w:rPr>
          <w:noProof/>
        </w:rPr>
        <w:t>Разрешение, предоставено съгласно параграф 1, може да зависи от включването или премахването на някоя разпоредба от въпросното споразумение или от временнот</w:t>
      </w:r>
      <w:r>
        <w:rPr>
          <w:noProof/>
        </w:rPr>
        <w:t xml:space="preserve">о преустановяване на прилагането на някоя разпоредба от това споразумение, когато това е необходимо, за да се осигури съгласуваност с условията, определени в параграф 1. </w:t>
      </w:r>
    </w:p>
    <w:p w:rsidR="006A5CA3" w:rsidRDefault="0065415D">
      <w:pPr>
        <w:pStyle w:val="ManualNumPar1"/>
        <w:rPr>
          <w:noProof/>
        </w:rPr>
      </w:pPr>
      <w:r>
        <w:t>3.</w:t>
      </w:r>
      <w:r>
        <w:tab/>
      </w:r>
      <w:r>
        <w:rPr>
          <w:noProof/>
        </w:rPr>
        <w:t>Обединеното кралство уведомява Комисията за намерението си да изрази своето съглас</w:t>
      </w:r>
      <w:r>
        <w:rPr>
          <w:noProof/>
        </w:rPr>
        <w:t>ие, в собствения си капацитет, да се обвърже с международно споразумение, което се очаква да влезе в сила или да се прилага по време на преходния период, в област на изключителна компетентност на Съюза. Комисията уведомява незабавно Съвета за всяка нотифик</w:t>
      </w:r>
      <w:r>
        <w:rPr>
          <w:noProof/>
        </w:rPr>
        <w:t>ация от Обединеното кралство относно намерението му да изрази съгласието си, в собствения си капацитет, да се обвърже с въпросното международно споразумение.</w:t>
      </w:r>
    </w:p>
    <w:p w:rsidR="006A5CA3" w:rsidRDefault="0065415D">
      <w:pPr>
        <w:pStyle w:val="ManualNumPar1"/>
        <w:rPr>
          <w:noProof/>
        </w:rPr>
      </w:pPr>
      <w:r>
        <w:t>4.</w:t>
      </w:r>
      <w:r>
        <w:tab/>
      </w:r>
      <w:r>
        <w:rPr>
          <w:noProof/>
        </w:rPr>
        <w:t>Съветът приема решенията, посочени в параграф 1, чрез актове за изпълнение, по предложение на К</w:t>
      </w:r>
      <w:r>
        <w:rPr>
          <w:noProof/>
        </w:rPr>
        <w:t>омисията. Предложението на Комисията включва оценка на това дали условията, посочени в параграф 1, са изпълнени. Ако предоставената от Обединеното кралство информация е недостатъчна за оценката, Комисията може да изиска допълнителна информация.</w:t>
      </w:r>
    </w:p>
    <w:p w:rsidR="006A5CA3" w:rsidRDefault="0065415D">
      <w:pPr>
        <w:pStyle w:val="ManualNumPar1"/>
        <w:rPr>
          <w:noProof/>
          <w:szCs w:val="24"/>
        </w:rPr>
      </w:pPr>
      <w:r>
        <w:t>5.</w:t>
      </w:r>
      <w:r>
        <w:tab/>
      </w:r>
      <w:r>
        <w:rPr>
          <w:noProof/>
        </w:rPr>
        <w:t xml:space="preserve">Съветът </w:t>
      </w:r>
      <w:r>
        <w:rPr>
          <w:noProof/>
        </w:rPr>
        <w:t>уведомява Европейския парламент за всяко свое решение, взето съгласно параграф 1.</w:t>
      </w:r>
    </w:p>
    <w:p w:rsidR="006A5CA3" w:rsidRDefault="0065415D">
      <w:pPr>
        <w:pStyle w:val="Titrearticle"/>
        <w:rPr>
          <w:noProof/>
          <w:szCs w:val="24"/>
        </w:rPr>
      </w:pPr>
      <w:r>
        <w:rPr>
          <w:noProof/>
        </w:rPr>
        <w:t>Член 4</w:t>
      </w:r>
    </w:p>
    <w:p w:rsidR="006A5CA3" w:rsidRDefault="0065415D">
      <w:pPr>
        <w:pStyle w:val="ManualNumPar1"/>
        <w:rPr>
          <w:noProof/>
          <w:szCs w:val="24"/>
        </w:rPr>
      </w:pPr>
      <w:r>
        <w:t>1.</w:t>
      </w:r>
      <w:r>
        <w:tab/>
      </w:r>
      <w:r>
        <w:rPr>
          <w:noProof/>
        </w:rPr>
        <w:t>При надлежно обосновано искане съответно от страна на Ирландия, Република Кипър или Кралство Испания Съветът може да разреши на тези държави членки да водят прегово</w:t>
      </w:r>
      <w:r>
        <w:rPr>
          <w:noProof/>
        </w:rPr>
        <w:t>ри за сключване на двустранни споразумения с Обединеното кралство в областите на изключителна компетентност на Съюза. Такова разрешение може да бъде предоставено само ако:</w:t>
      </w:r>
    </w:p>
    <w:p w:rsidR="006A5CA3" w:rsidRDefault="0065415D">
      <w:pPr>
        <w:pStyle w:val="Point1"/>
        <w:rPr>
          <w:noProof/>
        </w:rPr>
      </w:pPr>
      <w:r>
        <w:rPr>
          <w:noProof/>
        </w:rPr>
        <w:t>а)</w:t>
      </w:r>
      <w:r>
        <w:rPr>
          <w:noProof/>
        </w:rPr>
        <w:tab/>
        <w:t>съответната държава членка предостави информация, която показва, че въпросното сп</w:t>
      </w:r>
      <w:r>
        <w:rPr>
          <w:noProof/>
        </w:rPr>
        <w:t>оразумение е необходимо за правилното функциониране на реда и условията, установени съответно в Протокола за Ирландия/Северна Ирландия, Протокола за суверенните бази на Обединеното кралство Великобритания и Северна Ирландия в Кипър и Протокола за Гибралтар</w:t>
      </w:r>
      <w:r>
        <w:rPr>
          <w:noProof/>
        </w:rPr>
        <w:t>, и е в съответствие с принципите и целите на Споразумението;</w:t>
      </w:r>
    </w:p>
    <w:p w:rsidR="006A5CA3" w:rsidRDefault="0065415D">
      <w:pPr>
        <w:pStyle w:val="Point1"/>
        <w:rPr>
          <w:noProof/>
        </w:rPr>
      </w:pPr>
      <w:r>
        <w:rPr>
          <w:noProof/>
        </w:rPr>
        <w:t>б)</w:t>
      </w:r>
      <w:r>
        <w:rPr>
          <w:noProof/>
        </w:rPr>
        <w:tab/>
        <w:t>въз основа на предоставената от държавата членка информация изглежда, че планираното споразумение е съвместимо с правото на Съюза; и</w:t>
      </w:r>
    </w:p>
    <w:p w:rsidR="006A5CA3" w:rsidRDefault="0065415D">
      <w:pPr>
        <w:pStyle w:val="Point1"/>
        <w:rPr>
          <w:noProof/>
        </w:rPr>
      </w:pPr>
      <w:r>
        <w:rPr>
          <w:noProof/>
        </w:rPr>
        <w:t>в)</w:t>
      </w:r>
      <w:r>
        <w:rPr>
          <w:noProof/>
        </w:rPr>
        <w:tab/>
        <w:t>планираното споразумение няма да изложи на риск постига</w:t>
      </w:r>
      <w:r>
        <w:rPr>
          <w:noProof/>
        </w:rPr>
        <w:t>нето на цел на външната дейност на Съюза в съответната област, нито ще накърни по някакъв друг начин интересите на Съюза.</w:t>
      </w:r>
    </w:p>
    <w:p w:rsidR="006A5CA3" w:rsidRDefault="0065415D">
      <w:pPr>
        <w:pStyle w:val="ManualNumPar1"/>
        <w:rPr>
          <w:noProof/>
          <w:szCs w:val="24"/>
        </w:rPr>
      </w:pPr>
      <w:r>
        <w:t>2.</w:t>
      </w:r>
      <w:r>
        <w:tab/>
      </w:r>
      <w:r>
        <w:rPr>
          <w:noProof/>
        </w:rPr>
        <w:t>Разрешение, предоставено съгласно параграф 1, може да зависи от включването или премахването на някоя разпоредба от въпросното спор</w:t>
      </w:r>
      <w:r>
        <w:rPr>
          <w:noProof/>
        </w:rPr>
        <w:t>азумение или от временното преустановяване на прилагането на някоя разпоредба от това споразумение, когато това е необходимо, за да се осигури съгласуваност с условията, определени в параграф 1.</w:t>
      </w:r>
    </w:p>
    <w:p w:rsidR="006A5CA3" w:rsidRDefault="0065415D">
      <w:pPr>
        <w:pStyle w:val="ManualNumPar1"/>
        <w:rPr>
          <w:noProof/>
          <w:szCs w:val="24"/>
        </w:rPr>
      </w:pPr>
      <w:r>
        <w:t>3.</w:t>
      </w:r>
      <w:r>
        <w:tab/>
      </w:r>
      <w:r>
        <w:rPr>
          <w:noProof/>
        </w:rPr>
        <w:t>Съответната държава членка уведомява Комисията за своето н</w:t>
      </w:r>
      <w:r>
        <w:rPr>
          <w:noProof/>
        </w:rPr>
        <w:t>амерение да започне преговори с Обединеното кралство. Комисията уведомява незабавно Съвета за това. Съответната държава членка предоставя на Комисията цялата информация, необходима за да се прецени дали са изпълнени условията, определени в параграф 1.</w:t>
      </w:r>
    </w:p>
    <w:p w:rsidR="006A5CA3" w:rsidRDefault="0065415D">
      <w:pPr>
        <w:pStyle w:val="ManualNumPar1"/>
        <w:rPr>
          <w:noProof/>
          <w:szCs w:val="24"/>
        </w:rPr>
      </w:pPr>
      <w:r>
        <w:t>4.</w:t>
      </w:r>
      <w:r>
        <w:tab/>
      </w:r>
      <w:r>
        <w:rPr>
          <w:noProof/>
        </w:rPr>
        <w:t>К</w:t>
      </w:r>
      <w:r>
        <w:rPr>
          <w:noProof/>
        </w:rPr>
        <w:t>омисията бива приканена от съответната държава членка да следи отблизо преговорите.</w:t>
      </w:r>
    </w:p>
    <w:p w:rsidR="006A5CA3" w:rsidRDefault="0065415D">
      <w:pPr>
        <w:pStyle w:val="ManualNumPar1"/>
        <w:rPr>
          <w:noProof/>
          <w:szCs w:val="24"/>
        </w:rPr>
      </w:pPr>
      <w:r>
        <w:t>5.</w:t>
      </w:r>
      <w:r>
        <w:tab/>
      </w:r>
      <w:r>
        <w:rPr>
          <w:noProof/>
        </w:rPr>
        <w:t>Преди да подпише двустранното споразумение, съответната държава членка уведомява Комисията за резултата от преговорите и предава текста на бъдещото споразумение на Комис</w:t>
      </w:r>
      <w:r>
        <w:rPr>
          <w:noProof/>
        </w:rPr>
        <w:t>ията, която уведомява незабавно Съвета. Съответната държава членка може да изрази съгласието си да бъде обвързана с въпросното двустранно споразумение само при условие че Съветът ѝ е дал разрешение да го направи.</w:t>
      </w:r>
    </w:p>
    <w:p w:rsidR="006A5CA3" w:rsidRDefault="0065415D">
      <w:pPr>
        <w:pStyle w:val="ManualNumPar1"/>
        <w:rPr>
          <w:noProof/>
          <w:szCs w:val="24"/>
        </w:rPr>
      </w:pPr>
      <w:r>
        <w:t>6.</w:t>
      </w:r>
      <w:r>
        <w:tab/>
      </w:r>
      <w:r>
        <w:rPr>
          <w:noProof/>
        </w:rPr>
        <w:t>Съветът приема решенията, посочени в пар</w:t>
      </w:r>
      <w:r>
        <w:rPr>
          <w:noProof/>
        </w:rPr>
        <w:t xml:space="preserve">аграфи 1 и 5, чрез актове за изпълнение, по предложение на Комисията. </w:t>
      </w:r>
    </w:p>
    <w:p w:rsidR="006A5CA3" w:rsidRDefault="0065415D">
      <w:pPr>
        <w:ind w:left="851"/>
        <w:rPr>
          <w:noProof/>
        </w:rPr>
      </w:pPr>
      <w:r>
        <w:rPr>
          <w:noProof/>
        </w:rPr>
        <w:t>Предложението на Комисията включва оценка на това дали условията, определени в параграф 1 и посочени в параграф 2, са изпълнени. Ако предоставената от държавата членка информация е недо</w:t>
      </w:r>
      <w:r>
        <w:rPr>
          <w:noProof/>
        </w:rPr>
        <w:t>статъчна за оценката, Комисията може да изиска допълнителна информация.</w:t>
      </w:r>
    </w:p>
    <w:p w:rsidR="006A5CA3" w:rsidRDefault="0065415D">
      <w:pPr>
        <w:pStyle w:val="ManualNumPar1"/>
        <w:rPr>
          <w:noProof/>
          <w:szCs w:val="24"/>
        </w:rPr>
      </w:pPr>
      <w:r>
        <w:t>7.</w:t>
      </w:r>
      <w:r>
        <w:tab/>
      </w:r>
      <w:r>
        <w:rPr>
          <w:noProof/>
        </w:rPr>
        <w:t xml:space="preserve">Когато Съветът даде разрешение съгласно параграфи 1 и 5, съответната държава членка уведомява Комисията за влизането в сила на съответното двустранно споразумение, както и за всяка </w:t>
      </w:r>
      <w:r>
        <w:rPr>
          <w:noProof/>
        </w:rPr>
        <w:t>последваща промяна в статута на споразумението.</w:t>
      </w:r>
    </w:p>
    <w:p w:rsidR="006A5CA3" w:rsidRDefault="0065415D">
      <w:pPr>
        <w:pStyle w:val="ManualNumPar1"/>
        <w:rPr>
          <w:noProof/>
          <w:szCs w:val="24"/>
        </w:rPr>
      </w:pPr>
      <w:r>
        <w:t>8.</w:t>
      </w:r>
      <w:r>
        <w:tab/>
      </w:r>
      <w:r>
        <w:rPr>
          <w:noProof/>
        </w:rPr>
        <w:t>Съветът уведомява Европейския парламент за решенията, взети съгласно параграфи 1 и 5.</w:t>
      </w:r>
    </w:p>
    <w:p w:rsidR="006A5CA3" w:rsidRDefault="0065415D">
      <w:pPr>
        <w:pStyle w:val="Titrearticle"/>
        <w:rPr>
          <w:noProof/>
          <w:szCs w:val="24"/>
        </w:rPr>
      </w:pPr>
      <w:r>
        <w:rPr>
          <w:noProof/>
        </w:rPr>
        <w:t>Член 5</w:t>
      </w:r>
    </w:p>
    <w:p w:rsidR="006A5CA3" w:rsidRDefault="0065415D">
      <w:pPr>
        <w:rPr>
          <w:noProof/>
        </w:rPr>
      </w:pPr>
      <w:r>
        <w:rPr>
          <w:noProof/>
        </w:rPr>
        <w:t>Комисията определя периода на валидност и формата, включително защитните елементи и общото обозначение, на докум</w:t>
      </w:r>
      <w:r>
        <w:rPr>
          <w:noProof/>
        </w:rPr>
        <w:t xml:space="preserve">ентите, които държавите членки издават в съответствие с член 18, параграфи 1 и 4 и член 26 от Споразумението. Тези актове за изпълнение се приемат в съответствие с процедурата по разглеждане, посочена в член 7. </w:t>
      </w:r>
    </w:p>
    <w:p w:rsidR="006A5CA3" w:rsidRDefault="0065415D">
      <w:pPr>
        <w:pStyle w:val="Titrearticle"/>
        <w:rPr>
          <w:noProof/>
          <w:szCs w:val="24"/>
        </w:rPr>
      </w:pPr>
      <w:r>
        <w:rPr>
          <w:noProof/>
        </w:rPr>
        <w:t>Член 6</w:t>
      </w:r>
    </w:p>
    <w:p w:rsidR="006A5CA3" w:rsidRDefault="0065415D">
      <w:pPr>
        <w:rPr>
          <w:noProof/>
        </w:rPr>
      </w:pPr>
      <w:r>
        <w:rPr>
          <w:noProof/>
        </w:rPr>
        <w:t>Комисията определя формата и обясните</w:t>
      </w:r>
      <w:r>
        <w:rPr>
          <w:noProof/>
        </w:rPr>
        <w:t>лните бележки, включително техническите спецификации на образците, посочени в член 4, параграф 1 и член 13 от приложение 3 към Протокола за Ирландия/Северна Ирландия към Споразумението. Тези актове за изпълнение се приемат в съответствие с процедурата по р</w:t>
      </w:r>
      <w:r>
        <w:rPr>
          <w:noProof/>
        </w:rPr>
        <w:t>азглеждане, посочена в член 7.</w:t>
      </w:r>
    </w:p>
    <w:p w:rsidR="006A5CA3" w:rsidRDefault="0065415D">
      <w:pPr>
        <w:pStyle w:val="Titrearticle"/>
        <w:rPr>
          <w:noProof/>
          <w:szCs w:val="24"/>
        </w:rPr>
      </w:pPr>
      <w:r>
        <w:rPr>
          <w:noProof/>
        </w:rPr>
        <w:t>Член 7</w:t>
      </w:r>
    </w:p>
    <w:p w:rsidR="006A5CA3" w:rsidRDefault="0065415D">
      <w:pPr>
        <w:pStyle w:val="ManualNumPar1"/>
        <w:rPr>
          <w:noProof/>
        </w:rPr>
      </w:pPr>
      <w:r>
        <w:t>1.</w:t>
      </w:r>
      <w:r>
        <w:tab/>
      </w:r>
      <w:r>
        <w:rPr>
          <w:noProof/>
        </w:rPr>
        <w:t>Комисията се подпомага от:</w:t>
      </w:r>
    </w:p>
    <w:p w:rsidR="006A5CA3" w:rsidRDefault="0065415D">
      <w:pPr>
        <w:pStyle w:val="Point1"/>
        <w:rPr>
          <w:noProof/>
        </w:rPr>
      </w:pPr>
      <w:r>
        <w:rPr>
          <w:noProof/>
        </w:rPr>
        <w:t>а)</w:t>
      </w:r>
      <w:r>
        <w:rPr>
          <w:noProof/>
        </w:rPr>
        <w:tab/>
        <w:t>комитета, създаден по силата на член 6 от Регламент (ЕО) № 1683/95, за приемането на актовете за изпълнение, посочени в член 5;</w:t>
      </w:r>
    </w:p>
    <w:p w:rsidR="006A5CA3" w:rsidRDefault="0065415D">
      <w:pPr>
        <w:pStyle w:val="Point1"/>
        <w:rPr>
          <w:noProof/>
        </w:rPr>
      </w:pPr>
      <w:r>
        <w:rPr>
          <w:noProof/>
        </w:rPr>
        <w:t>б)</w:t>
      </w:r>
      <w:r>
        <w:rPr>
          <w:noProof/>
        </w:rPr>
        <w:tab/>
        <w:t xml:space="preserve">Комитета по митническия кодекс, създаден по силата на </w:t>
      </w:r>
      <w:r>
        <w:rPr>
          <w:noProof/>
        </w:rPr>
        <w:t>член 285 от Регламент (ЕС) № 952/2013, за приемането на актовете за изпълнение, посочени в член 6.</w:t>
      </w:r>
    </w:p>
    <w:p w:rsidR="006A5CA3" w:rsidRDefault="0065415D">
      <w:pPr>
        <w:ind w:left="851"/>
        <w:rPr>
          <w:iCs/>
          <w:noProof/>
          <w:szCs w:val="24"/>
        </w:rPr>
      </w:pPr>
      <w:r>
        <w:rPr>
          <w:noProof/>
        </w:rPr>
        <w:t>Тези комитети са комитети по смисъла на Регламент (ЕС) № 182/2011.</w:t>
      </w:r>
    </w:p>
    <w:p w:rsidR="006A5CA3" w:rsidRDefault="0065415D">
      <w:pPr>
        <w:pStyle w:val="ManualNumPar1"/>
        <w:rPr>
          <w:noProof/>
        </w:rPr>
      </w:pPr>
      <w:r>
        <w:t>2.</w:t>
      </w:r>
      <w:r>
        <w:tab/>
      </w:r>
      <w:r>
        <w:rPr>
          <w:noProof/>
        </w:rPr>
        <w:t>При позоваване на настоящия параграф се прилага член 5 от Регламент (ЕС) № 182/2011.</w:t>
      </w:r>
    </w:p>
    <w:p w:rsidR="006A5CA3" w:rsidRDefault="0065415D">
      <w:pPr>
        <w:pStyle w:val="Titrearticle"/>
        <w:rPr>
          <w:noProof/>
          <w:szCs w:val="24"/>
        </w:rPr>
      </w:pPr>
      <w:r>
        <w:rPr>
          <w:noProof/>
        </w:rPr>
        <w:t>Член 8</w:t>
      </w:r>
    </w:p>
    <w:p w:rsidR="006A5CA3" w:rsidRDefault="0065415D">
      <w:pPr>
        <w:rPr>
          <w:noProof/>
          <w:szCs w:val="24"/>
        </w:rPr>
      </w:pPr>
      <w:r>
        <w:rPr>
          <w:noProof/>
        </w:rPr>
        <w:t>Председателят на Съвета се оправомощава да посочи лицето(ата), упълномощено(и) да депозира(т), от името на Съюза, уведомлението, предвидено в член 185 от Споразумението.</w:t>
      </w:r>
    </w:p>
    <w:p w:rsidR="006A5CA3" w:rsidRDefault="0065415D">
      <w:pPr>
        <w:pStyle w:val="Titrearticle"/>
        <w:rPr>
          <w:noProof/>
          <w:szCs w:val="24"/>
        </w:rPr>
      </w:pPr>
      <w:r>
        <w:rPr>
          <w:noProof/>
        </w:rPr>
        <w:t>Член 9</w:t>
      </w:r>
    </w:p>
    <w:p w:rsidR="006A5CA3" w:rsidRDefault="0065415D">
      <w:pPr>
        <w:widowControl w:val="0"/>
        <w:suppressAutoHyphens/>
        <w:spacing w:before="0" w:after="0" w:line="360" w:lineRule="auto"/>
        <w:contextualSpacing/>
        <w:jc w:val="left"/>
        <w:rPr>
          <w:rFonts w:eastAsia="Times New Roman"/>
          <w:noProof/>
          <w:szCs w:val="24"/>
        </w:rPr>
      </w:pPr>
      <w:r>
        <w:rPr>
          <w:noProof/>
        </w:rPr>
        <w:t>Настоящото решение влиза в сила в деня на приемането му.</w:t>
      </w:r>
    </w:p>
    <w:p w:rsidR="006A5CA3" w:rsidRDefault="0065415D">
      <w:pPr>
        <w:pStyle w:val="Fait"/>
        <w:rPr>
          <w:noProof/>
        </w:rPr>
      </w:pPr>
      <w:r>
        <w:t>Съставено в Брю</w:t>
      </w:r>
      <w:r>
        <w:t xml:space="preserve">ксел на </w:t>
      </w:r>
      <w:r>
        <w:rPr>
          <w:rStyle w:val="Marker"/>
        </w:rPr>
        <w:t>[…]</w:t>
      </w:r>
      <w:r>
        <w:t xml:space="preserve"> година.</w:t>
      </w:r>
    </w:p>
    <w:p w:rsidR="006A5CA3" w:rsidRDefault="0065415D">
      <w:pPr>
        <w:pStyle w:val="Institutionquisigne"/>
        <w:rPr>
          <w:noProof/>
          <w:szCs w:val="24"/>
        </w:rPr>
      </w:pPr>
      <w:r>
        <w:rPr>
          <w:noProof/>
        </w:rPr>
        <w:tab/>
        <w:t>За Съвета</w:t>
      </w:r>
    </w:p>
    <w:p w:rsidR="006A5CA3" w:rsidRDefault="0065415D">
      <w:pPr>
        <w:pStyle w:val="Personnequisigne"/>
        <w:rPr>
          <w:noProof/>
          <w:szCs w:val="24"/>
        </w:rPr>
      </w:pPr>
      <w:r>
        <w:rPr>
          <w:noProof/>
        </w:rPr>
        <w:tab/>
        <w:t>Председател</w:t>
      </w:r>
    </w:p>
    <w:p w:rsidR="006A5CA3" w:rsidRDefault="0065415D">
      <w:pPr>
        <w:pStyle w:val="Fichefinanciretitre"/>
        <w:rPr>
          <w:noProof/>
        </w:rPr>
      </w:pPr>
      <w:r>
        <w:rPr>
          <w:noProof/>
        </w:rPr>
        <w:br w:type="page"/>
        <w:t>ЗАКОНОДАТЕЛНА ФИНАНСОВА ОБОСНОВКА</w:t>
      </w:r>
    </w:p>
    <w:p w:rsidR="006A5CA3" w:rsidRDefault="0065415D">
      <w:pPr>
        <w:pStyle w:val="ManualHeading1"/>
        <w:rPr>
          <w:noProof/>
        </w:rPr>
      </w:pPr>
      <w:r>
        <w:rPr>
          <w:noProof/>
        </w:rPr>
        <w:t>1.</w:t>
      </w:r>
      <w:r>
        <w:rPr>
          <w:noProof/>
        </w:rPr>
        <w:tab/>
        <w:t xml:space="preserve">РАМКА НА ПРЕДЛОЖЕНИЕТО/ИНИЦИАТИВАТА </w:t>
      </w:r>
    </w:p>
    <w:p w:rsidR="006A5CA3" w:rsidRDefault="0065415D">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rsidR="006A5CA3" w:rsidRDefault="0065415D">
      <w:pPr>
        <w:pStyle w:val="ManualHeading2"/>
        <w:rPr>
          <w:b w:val="0"/>
          <w:noProof/>
        </w:rPr>
      </w:pPr>
      <w:r>
        <w:rPr>
          <w:noProof/>
        </w:rPr>
        <w:tab/>
      </w:r>
      <w:r>
        <w:rPr>
          <w:b w:val="0"/>
          <w:noProof/>
        </w:rPr>
        <w:t>1.2.</w:t>
      </w:r>
      <w:r>
        <w:rPr>
          <w:noProof/>
        </w:rPr>
        <w:tab/>
      </w:r>
      <w:r>
        <w:rPr>
          <w:b w:val="0"/>
          <w:noProof/>
        </w:rPr>
        <w:t>Съответни области на политиката</w:t>
      </w:r>
    </w:p>
    <w:p w:rsidR="006A5CA3" w:rsidRDefault="0065415D">
      <w:pPr>
        <w:pStyle w:val="ManualHeading2"/>
        <w:rPr>
          <w:b w:val="0"/>
          <w:noProof/>
        </w:rPr>
      </w:pPr>
      <w:r>
        <w:rPr>
          <w:noProof/>
        </w:rPr>
        <w:tab/>
      </w:r>
      <w:r>
        <w:rPr>
          <w:b w:val="0"/>
          <w:noProof/>
        </w:rPr>
        <w:t>1.3.</w:t>
      </w:r>
      <w:r>
        <w:rPr>
          <w:noProof/>
        </w:rPr>
        <w:tab/>
      </w:r>
      <w:r>
        <w:rPr>
          <w:b w:val="0"/>
          <w:noProof/>
        </w:rPr>
        <w:t xml:space="preserve">Предложението/инициативата е във връзка с: </w:t>
      </w:r>
    </w:p>
    <w:p w:rsidR="006A5CA3" w:rsidRDefault="0065415D">
      <w:pPr>
        <w:pStyle w:val="ManualHeading2"/>
        <w:rPr>
          <w:b w:val="0"/>
          <w:noProof/>
        </w:rPr>
      </w:pPr>
      <w:r>
        <w:rPr>
          <w:noProof/>
        </w:rPr>
        <w:tab/>
      </w:r>
      <w:r>
        <w:rPr>
          <w:b w:val="0"/>
          <w:noProof/>
        </w:rPr>
        <w:t>1.4.</w:t>
      </w:r>
      <w:r>
        <w:rPr>
          <w:noProof/>
        </w:rPr>
        <w:tab/>
      </w:r>
      <w:r>
        <w:rPr>
          <w:b w:val="0"/>
          <w:noProof/>
        </w:rPr>
        <w:t xml:space="preserve">Цели </w:t>
      </w:r>
    </w:p>
    <w:p w:rsidR="006A5CA3" w:rsidRDefault="0065415D">
      <w:pPr>
        <w:pStyle w:val="ManualHeading3"/>
        <w:rPr>
          <w:noProof/>
        </w:rPr>
      </w:pPr>
      <w:r>
        <w:rPr>
          <w:noProof/>
        </w:rPr>
        <w:tab/>
        <w:t>1.4.1.</w:t>
      </w:r>
      <w:r>
        <w:rPr>
          <w:noProof/>
        </w:rPr>
        <w:tab/>
        <w:t>Общи цели</w:t>
      </w:r>
    </w:p>
    <w:p w:rsidR="006A5CA3" w:rsidRDefault="0065415D">
      <w:pPr>
        <w:pStyle w:val="ManualHeading3"/>
        <w:rPr>
          <w:noProof/>
        </w:rPr>
      </w:pPr>
      <w:r>
        <w:rPr>
          <w:noProof/>
        </w:rPr>
        <w:tab/>
        <w:t>1.4.2.</w:t>
      </w:r>
      <w:r>
        <w:rPr>
          <w:noProof/>
        </w:rPr>
        <w:tab/>
        <w:t>Конкретни цели</w:t>
      </w:r>
    </w:p>
    <w:p w:rsidR="006A5CA3" w:rsidRDefault="0065415D">
      <w:pPr>
        <w:pStyle w:val="ManualHeading3"/>
        <w:rPr>
          <w:noProof/>
        </w:rPr>
      </w:pPr>
      <w:r>
        <w:rPr>
          <w:noProof/>
        </w:rPr>
        <w:tab/>
        <w:t>1.4.3.</w:t>
      </w:r>
      <w:r>
        <w:rPr>
          <w:noProof/>
        </w:rPr>
        <w:tab/>
        <w:t>Очаквани резултати и отражение</w:t>
      </w:r>
    </w:p>
    <w:p w:rsidR="006A5CA3" w:rsidRDefault="0065415D">
      <w:pPr>
        <w:pStyle w:val="ManualHeading3"/>
        <w:rPr>
          <w:noProof/>
        </w:rPr>
      </w:pPr>
      <w:r>
        <w:rPr>
          <w:noProof/>
        </w:rPr>
        <w:tab/>
        <w:t>1.4.4.</w:t>
      </w:r>
      <w:r>
        <w:rPr>
          <w:noProof/>
        </w:rPr>
        <w:tab/>
        <w:t>Показатели за изпълнението</w:t>
      </w:r>
    </w:p>
    <w:p w:rsidR="006A5CA3" w:rsidRDefault="0065415D">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rsidR="006A5CA3" w:rsidRDefault="0065415D">
      <w:pPr>
        <w:pStyle w:val="ManualHeading3"/>
        <w:rPr>
          <w:noProof/>
        </w:rPr>
      </w:pPr>
      <w:r>
        <w:rPr>
          <w:noProof/>
        </w:rPr>
        <w:tab/>
        <w:t>1.5.1.</w:t>
      </w:r>
      <w:r>
        <w:rPr>
          <w:noProof/>
        </w:rPr>
        <w:tab/>
        <w:t>Изисквания, които трябва да бъдат изпълнени в краткосрочна или дългосрочна п</w:t>
      </w:r>
      <w:r>
        <w:rPr>
          <w:noProof/>
        </w:rPr>
        <w:t>ерспектива, включително подробен график за изпълнението на инициативата</w:t>
      </w:r>
    </w:p>
    <w:p w:rsidR="006A5CA3" w:rsidRDefault="0065415D">
      <w:pPr>
        <w:pStyle w:val="ManualHeading3"/>
        <w:rPr>
          <w:noProof/>
        </w:rPr>
      </w:pPr>
      <w:r>
        <w:rPr>
          <w:noProof/>
        </w:rPr>
        <w:tab/>
        <w:t>1.5.2.</w:t>
      </w:r>
      <w:r>
        <w:rPr>
          <w:noProof/>
        </w:rPr>
        <w:tab/>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w:t>
      </w:r>
      <w:r>
        <w:rPr>
          <w:noProof/>
        </w:rPr>
        <w:t>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rsidR="006A5CA3" w:rsidRDefault="0065415D">
      <w:pPr>
        <w:pStyle w:val="ManualHeading3"/>
        <w:rPr>
          <w:noProof/>
        </w:rPr>
      </w:pPr>
      <w:r>
        <w:rPr>
          <w:noProof/>
        </w:rPr>
        <w:tab/>
        <w:t>1.5.3.</w:t>
      </w:r>
      <w:r>
        <w:rPr>
          <w:noProof/>
        </w:rPr>
        <w:tab/>
        <w:t xml:space="preserve">Изводи от подобен опит </w:t>
      </w:r>
      <w:r>
        <w:rPr>
          <w:noProof/>
        </w:rPr>
        <w:t>в миналото</w:t>
      </w:r>
    </w:p>
    <w:p w:rsidR="006A5CA3" w:rsidRDefault="0065415D">
      <w:pPr>
        <w:pStyle w:val="ManualHeading3"/>
        <w:rPr>
          <w:noProof/>
        </w:rPr>
      </w:pPr>
      <w:r>
        <w:rPr>
          <w:noProof/>
        </w:rPr>
        <w:tab/>
        <w:t>1.5.4.</w:t>
      </w:r>
      <w:r>
        <w:rPr>
          <w:noProof/>
        </w:rPr>
        <w:tab/>
        <w:t>Съвместимост с многогодишната финансова рамка и евентуални синергии с други подходящи инструменти</w:t>
      </w:r>
    </w:p>
    <w:p w:rsidR="006A5CA3" w:rsidRDefault="0065415D">
      <w:pPr>
        <w:pStyle w:val="ManualHeading3"/>
        <w:rPr>
          <w:noProof/>
        </w:rPr>
      </w:pPr>
      <w:r>
        <w:rPr>
          <w:noProof/>
        </w:rPr>
        <w:tab/>
        <w:t>1.5.5.</w:t>
      </w:r>
      <w:r>
        <w:rPr>
          <w:noProof/>
        </w:rPr>
        <w:tab/>
        <w:t>Оценка на различните налични варианти за финансиране, включително възможностите за преразпределяне на средства</w:t>
      </w:r>
    </w:p>
    <w:p w:rsidR="006A5CA3" w:rsidRDefault="0065415D">
      <w:pPr>
        <w:pStyle w:val="ManualHeading2"/>
        <w:rPr>
          <w:b w:val="0"/>
          <w:noProof/>
        </w:rPr>
      </w:pPr>
      <w:r>
        <w:rPr>
          <w:noProof/>
        </w:rPr>
        <w:tab/>
      </w:r>
      <w:r>
        <w:rPr>
          <w:b w:val="0"/>
          <w:noProof/>
        </w:rPr>
        <w:t>1.6.</w:t>
      </w:r>
      <w:r>
        <w:rPr>
          <w:noProof/>
        </w:rPr>
        <w:tab/>
      </w:r>
      <w:r>
        <w:rPr>
          <w:b w:val="0"/>
          <w:noProof/>
        </w:rPr>
        <w:t>Продължителност и финансово отражение на предложението/инициативата</w:t>
      </w:r>
    </w:p>
    <w:p w:rsidR="006A5CA3" w:rsidRDefault="0065415D">
      <w:pPr>
        <w:pStyle w:val="ManualHeading2"/>
        <w:rPr>
          <w:b w:val="0"/>
          <w:noProof/>
        </w:rPr>
        <w:sectPr w:rsidR="006A5CA3">
          <w:pgSz w:w="11907" w:h="16840" w:code="9"/>
          <w:pgMar w:top="1134" w:right="1418" w:bottom="1134" w:left="1418" w:header="709" w:footer="709" w:gutter="0"/>
          <w:cols w:space="708"/>
          <w:docGrid w:linePitch="360"/>
        </w:sectPr>
      </w:pPr>
      <w:r>
        <w:rPr>
          <w:noProof/>
        </w:rPr>
        <w:tab/>
      </w:r>
      <w:r>
        <w:rPr>
          <w:b w:val="0"/>
          <w:noProof/>
        </w:rPr>
        <w:t>1.7.</w:t>
      </w:r>
      <w:r>
        <w:rPr>
          <w:noProof/>
        </w:rPr>
        <w:tab/>
      </w:r>
      <w:r>
        <w:rPr>
          <w:b w:val="0"/>
          <w:noProof/>
        </w:rPr>
        <w:t>Планирани методи на управление</w:t>
      </w:r>
      <w:r>
        <w:rPr>
          <w:noProof/>
        </w:rPr>
        <w:tab/>
      </w:r>
    </w:p>
    <w:p w:rsidR="006A5CA3" w:rsidRDefault="0065415D">
      <w:pPr>
        <w:pStyle w:val="ManualHeading1"/>
        <w:rPr>
          <w:noProof/>
        </w:rPr>
      </w:pPr>
      <w:r>
        <w:rPr>
          <w:noProof/>
        </w:rPr>
        <w:t>2.</w:t>
      </w:r>
      <w:r>
        <w:rPr>
          <w:noProof/>
        </w:rPr>
        <w:tab/>
        <w:t xml:space="preserve">МЕРКИ ЗА УПРАВЛЕНИЕ </w:t>
      </w:r>
    </w:p>
    <w:p w:rsidR="006A5CA3" w:rsidRDefault="0065415D">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rsidR="006A5CA3" w:rsidRDefault="0065415D">
      <w:pPr>
        <w:pStyle w:val="ManualHeading2"/>
        <w:rPr>
          <w:b w:val="0"/>
          <w:noProof/>
        </w:rPr>
      </w:pPr>
      <w:r>
        <w:rPr>
          <w:noProof/>
        </w:rPr>
        <w:tab/>
      </w:r>
      <w:r>
        <w:rPr>
          <w:b w:val="0"/>
          <w:noProof/>
        </w:rPr>
        <w:t>2.2.</w:t>
      </w:r>
      <w:r>
        <w:rPr>
          <w:noProof/>
        </w:rPr>
        <w:tab/>
      </w:r>
      <w:r>
        <w:rPr>
          <w:b w:val="0"/>
          <w:noProof/>
        </w:rPr>
        <w:t>Системи за управление и контрол</w:t>
      </w:r>
    </w:p>
    <w:p w:rsidR="006A5CA3" w:rsidRDefault="0065415D">
      <w:pPr>
        <w:pStyle w:val="ManualHeading3"/>
        <w:rPr>
          <w:noProof/>
        </w:rPr>
      </w:pPr>
      <w:r>
        <w:rPr>
          <w:noProof/>
        </w:rPr>
        <w:tab/>
        <w:t>2.2.1.</w:t>
      </w:r>
      <w:r>
        <w:rPr>
          <w:noProof/>
        </w:rPr>
        <w:tab/>
        <w:t xml:space="preserve">Обосновка на </w:t>
      </w:r>
      <w:r>
        <w:rPr>
          <w:noProof/>
        </w:rPr>
        <w:t>предложените начини за управление, механизми за финансиране на изпълнението, начини за плащане и стратегия за контрол</w:t>
      </w:r>
    </w:p>
    <w:p w:rsidR="006A5CA3" w:rsidRDefault="0065415D">
      <w:pPr>
        <w:pStyle w:val="ManualHeading3"/>
        <w:rPr>
          <w:noProof/>
        </w:rPr>
      </w:pPr>
      <w:r>
        <w:rPr>
          <w:noProof/>
        </w:rPr>
        <w:tab/>
        <w:t>2.2.2.</w:t>
      </w:r>
      <w:r>
        <w:rPr>
          <w:noProof/>
        </w:rPr>
        <w:tab/>
        <w:t>Информация относно установените рискове и системите за вътрешен контрол, създадени с цел намаляването им</w:t>
      </w:r>
    </w:p>
    <w:p w:rsidR="006A5CA3" w:rsidRDefault="0065415D">
      <w:pPr>
        <w:pStyle w:val="ManualHeading3"/>
        <w:rPr>
          <w:noProof/>
        </w:rPr>
      </w:pPr>
      <w:r>
        <w:rPr>
          <w:noProof/>
        </w:rPr>
        <w:tab/>
        <w:t>2.2.3.</w:t>
      </w:r>
      <w:r>
        <w:rPr>
          <w:noProof/>
        </w:rPr>
        <w:tab/>
        <w:t>Оценка и обосновк</w:t>
      </w:r>
      <w:r>
        <w:rPr>
          <w:noProof/>
        </w:rPr>
        <w:t>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p>
    <w:p w:rsidR="006A5CA3" w:rsidRDefault="0065415D">
      <w:pPr>
        <w:pStyle w:val="ManualHeading2"/>
        <w:rPr>
          <w:b w:val="0"/>
          <w:noProof/>
        </w:rPr>
      </w:pPr>
      <w:r>
        <w:rPr>
          <w:noProof/>
        </w:rPr>
        <w:tab/>
      </w:r>
      <w:r>
        <w:rPr>
          <w:b w:val="0"/>
          <w:noProof/>
        </w:rPr>
        <w:t>2.3.</w:t>
      </w:r>
      <w:r>
        <w:rPr>
          <w:noProof/>
        </w:rPr>
        <w:tab/>
      </w:r>
      <w:r>
        <w:rPr>
          <w:b w:val="0"/>
          <w:noProof/>
        </w:rPr>
        <w:t>Мерки за предотвратяване на измами и нередност</w:t>
      </w:r>
      <w:r>
        <w:rPr>
          <w:b w:val="0"/>
          <w:noProof/>
        </w:rPr>
        <w:t xml:space="preserve">и </w:t>
      </w:r>
    </w:p>
    <w:p w:rsidR="006A5CA3" w:rsidRDefault="0065415D">
      <w:pPr>
        <w:pStyle w:val="ManualHeading1"/>
        <w:rPr>
          <w:noProof/>
        </w:rPr>
      </w:pPr>
      <w:r>
        <w:rPr>
          <w:noProof/>
        </w:rPr>
        <w:t>3.</w:t>
      </w:r>
      <w:r>
        <w:rPr>
          <w:noProof/>
        </w:rPr>
        <w:tab/>
        <w:t xml:space="preserve">ОЧАКВАНО ФИНАНСОВО ОТРАЖЕНИЕ НА ПРЕДЛОЖЕНИЕТО/ИНИЦИАТИВАТА </w:t>
      </w:r>
    </w:p>
    <w:p w:rsidR="006A5CA3" w:rsidRDefault="0065415D">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rsidR="006A5CA3" w:rsidRDefault="0065415D">
      <w:pPr>
        <w:pStyle w:val="ManualHeading2"/>
        <w:rPr>
          <w:noProof/>
        </w:rPr>
      </w:pPr>
      <w:r>
        <w:rPr>
          <w:noProof/>
        </w:rPr>
        <w:tab/>
      </w:r>
      <w:r>
        <w:rPr>
          <w:b w:val="0"/>
          <w:noProof/>
        </w:rPr>
        <w:t>3.2.</w:t>
      </w:r>
      <w:r>
        <w:rPr>
          <w:noProof/>
        </w:rPr>
        <w:tab/>
      </w:r>
      <w:r>
        <w:rPr>
          <w:b w:val="0"/>
          <w:noProof/>
        </w:rPr>
        <w:t>Очаквано финансово отражение на предложението върху бюджетните кредити</w:t>
      </w:r>
    </w:p>
    <w:p w:rsidR="006A5CA3" w:rsidRDefault="0065415D">
      <w:pPr>
        <w:pStyle w:val="ManualHeading3"/>
        <w:rPr>
          <w:noProof/>
        </w:rPr>
      </w:pPr>
      <w:r>
        <w:rPr>
          <w:noProof/>
        </w:rPr>
        <w:tab/>
        <w:t>3.2.1.</w:t>
      </w:r>
      <w:r>
        <w:rPr>
          <w:noProof/>
        </w:rPr>
        <w:tab/>
        <w:t>Обобщение на очаква</w:t>
      </w:r>
      <w:r>
        <w:rPr>
          <w:noProof/>
        </w:rPr>
        <w:t xml:space="preserve">ното отражение върху бюджетните кредити за оперативни разходи </w:t>
      </w:r>
    </w:p>
    <w:p w:rsidR="006A5CA3" w:rsidRDefault="0065415D">
      <w:pPr>
        <w:pStyle w:val="ManualHeading3"/>
        <w:rPr>
          <w:noProof/>
        </w:rPr>
      </w:pPr>
      <w:r>
        <w:rPr>
          <w:noProof/>
        </w:rPr>
        <w:tab/>
        <w:t>3.2.2.</w:t>
      </w:r>
      <w:r>
        <w:rPr>
          <w:noProof/>
        </w:rPr>
        <w:tab/>
        <w:t xml:space="preserve">Очакван резултат, финансиран с бюджетни кредити за оперативни разходи </w:t>
      </w:r>
    </w:p>
    <w:p w:rsidR="006A5CA3" w:rsidRDefault="0065415D">
      <w:pPr>
        <w:pStyle w:val="ManualHeading3"/>
        <w:rPr>
          <w:noProof/>
        </w:rPr>
      </w:pPr>
      <w:r>
        <w:rPr>
          <w:noProof/>
        </w:rPr>
        <w:tab/>
        <w:t>3.2.3.</w:t>
      </w:r>
      <w:r>
        <w:rPr>
          <w:noProof/>
        </w:rPr>
        <w:tab/>
        <w:t>Обобщение на очакваното отражение върху бюджетните кредити за административни разходи</w:t>
      </w:r>
    </w:p>
    <w:p w:rsidR="006A5CA3" w:rsidRDefault="0065415D">
      <w:pPr>
        <w:pStyle w:val="ManualHeading3"/>
        <w:rPr>
          <w:noProof/>
        </w:rPr>
      </w:pPr>
      <w:r>
        <w:rPr>
          <w:noProof/>
        </w:rPr>
        <w:tab/>
        <w:t>3.2.4.</w:t>
      </w:r>
      <w:r>
        <w:rPr>
          <w:noProof/>
        </w:rPr>
        <w:tab/>
        <w:t>Съвместимост</w:t>
      </w:r>
      <w:r>
        <w:rPr>
          <w:noProof/>
        </w:rPr>
        <w:t xml:space="preserve"> с настоящата многогодишна финансова рамка</w:t>
      </w:r>
    </w:p>
    <w:p w:rsidR="006A5CA3" w:rsidRDefault="0065415D">
      <w:pPr>
        <w:pStyle w:val="ManualHeading3"/>
        <w:rPr>
          <w:noProof/>
        </w:rPr>
      </w:pPr>
      <w:r>
        <w:rPr>
          <w:noProof/>
        </w:rPr>
        <w:tab/>
        <w:t>3.2.5.</w:t>
      </w:r>
      <w:r>
        <w:rPr>
          <w:noProof/>
        </w:rPr>
        <w:tab/>
        <w:t xml:space="preserve">Участие на трети страни във финансирането </w:t>
      </w:r>
    </w:p>
    <w:p w:rsidR="006A5CA3" w:rsidRDefault="0065415D">
      <w:pPr>
        <w:pStyle w:val="ManualHeading2"/>
        <w:jc w:val="left"/>
        <w:rPr>
          <w:noProof/>
        </w:rPr>
        <w:sectPr w:rsidR="006A5CA3">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rsidR="006A5CA3" w:rsidRDefault="0065415D">
      <w:pPr>
        <w:jc w:val="center"/>
        <w:rPr>
          <w:b/>
          <w:noProof/>
          <w:u w:val="single"/>
        </w:rPr>
      </w:pPr>
      <w:r>
        <w:rPr>
          <w:b/>
          <w:noProof/>
          <w:u w:val="single"/>
        </w:rPr>
        <w:t>ЗАКОНОДАТЕЛНА ФИНАНСОВА ОБОСНОВКА</w:t>
      </w:r>
    </w:p>
    <w:p w:rsidR="006A5CA3" w:rsidRDefault="0065415D">
      <w:pPr>
        <w:pStyle w:val="ManualHeading1"/>
        <w:rPr>
          <w:noProof/>
        </w:rPr>
      </w:pPr>
      <w:bookmarkStart w:id="1" w:name="_Toc514938007"/>
      <w:bookmarkStart w:id="2" w:name="_Toc520485025"/>
      <w:r>
        <w:t>1.</w:t>
      </w:r>
      <w:r>
        <w:tab/>
      </w:r>
      <w:r>
        <w:rPr>
          <w:noProof/>
        </w:rPr>
        <w:t>РАМКА НА ПРЕДЛОЖЕНИЕТО/ИНИЦИАТИВАТА</w:t>
      </w:r>
      <w:bookmarkEnd w:id="1"/>
      <w:bookmarkEnd w:id="2"/>
      <w:r>
        <w:rPr>
          <w:noProof/>
        </w:rPr>
        <w:t xml:space="preserve"> </w:t>
      </w:r>
    </w:p>
    <w:p w:rsidR="006A5CA3" w:rsidRDefault="0065415D">
      <w:pPr>
        <w:pStyle w:val="ManualHeading2"/>
        <w:rPr>
          <w:noProof/>
        </w:rPr>
      </w:pPr>
      <w:bookmarkStart w:id="3" w:name="_Toc514938008"/>
      <w:bookmarkStart w:id="4" w:name="_Toc520485026"/>
      <w:r>
        <w:t>1.1.</w:t>
      </w:r>
      <w:r>
        <w:tab/>
      </w:r>
      <w:r>
        <w:rPr>
          <w:noProof/>
        </w:rPr>
        <w:t>Наименование на пре</w:t>
      </w:r>
      <w:r>
        <w:rPr>
          <w:noProof/>
        </w:rPr>
        <w:t>дложението/инициативата</w:t>
      </w:r>
      <w:bookmarkEnd w:id="3"/>
      <w:bookmarkEnd w:id="4"/>
    </w:p>
    <w:p w:rsidR="006A5CA3" w:rsidRDefault="0065415D">
      <w:pPr>
        <w:pStyle w:val="Text1"/>
        <w:pBdr>
          <w:top w:val="single" w:sz="4" w:space="1" w:color="auto"/>
          <w:left w:val="single" w:sz="4" w:space="4" w:color="auto"/>
          <w:bottom w:val="single" w:sz="4" w:space="1" w:color="auto"/>
          <w:right w:val="single" w:sz="4" w:space="4" w:color="auto"/>
        </w:pBdr>
        <w:rPr>
          <w:noProof/>
        </w:rPr>
      </w:pPr>
      <w:bookmarkStart w:id="5" w:name="_Toc514938011"/>
      <w:bookmarkStart w:id="6" w:name="_Toc520485027"/>
      <w:r>
        <w:rPr>
          <w:noProof/>
        </w:rPr>
        <w:t>Споразумение за оттегляне на Обединено кралство Великобритания и Северна Ирландия от Европейския съюз и Европейската общност за атомна енергия</w:t>
      </w:r>
    </w:p>
    <w:p w:rsidR="006A5CA3" w:rsidRDefault="0065415D">
      <w:pPr>
        <w:pStyle w:val="ManualHeading2"/>
        <w:rPr>
          <w:noProof/>
        </w:rPr>
      </w:pPr>
      <w:r>
        <w:t>1.2.</w:t>
      </w:r>
      <w:r>
        <w:tab/>
      </w:r>
      <w:r>
        <w:rPr>
          <w:noProof/>
        </w:rPr>
        <w:t>Съответни области на политиката</w:t>
      </w:r>
      <w:bookmarkEnd w:id="5"/>
      <w:bookmarkEnd w:id="6"/>
      <w:r>
        <w:rPr>
          <w:i/>
          <w:noProof/>
        </w:rPr>
        <w:t xml:space="preserve"> </w:t>
      </w:r>
    </w:p>
    <w:p w:rsidR="006A5CA3" w:rsidRDefault="0065415D">
      <w:pPr>
        <w:pStyle w:val="Text1"/>
        <w:pBdr>
          <w:top w:val="single" w:sz="4" w:space="1" w:color="auto"/>
          <w:left w:val="single" w:sz="4" w:space="4" w:color="auto"/>
          <w:bottom w:val="single" w:sz="4" w:space="1" w:color="auto"/>
          <w:right w:val="single" w:sz="4" w:space="4" w:color="auto"/>
        </w:pBdr>
        <w:rPr>
          <w:noProof/>
        </w:rPr>
      </w:pPr>
      <w:bookmarkStart w:id="7" w:name="_Toc514938014"/>
      <w:bookmarkStart w:id="8" w:name="_Toc520485028"/>
      <w:r>
        <w:rPr>
          <w:noProof/>
        </w:rPr>
        <w:t xml:space="preserve">25 — Координиране на политиките на Комисията и </w:t>
      </w:r>
      <w:r>
        <w:rPr>
          <w:noProof/>
        </w:rPr>
        <w:t>правни съвети</w:t>
      </w:r>
    </w:p>
    <w:p w:rsidR="006A5CA3" w:rsidRDefault="0065415D">
      <w:pPr>
        <w:pStyle w:val="ManualHeading2"/>
        <w:rPr>
          <w:bCs/>
          <w:noProof/>
          <w:szCs w:val="24"/>
        </w:rPr>
      </w:pPr>
      <w:r>
        <w:t>1.3.</w:t>
      </w:r>
      <w:r>
        <w:tab/>
      </w:r>
      <w:r>
        <w:rPr>
          <w:noProof/>
        </w:rPr>
        <w:t>Предложението/инициативата е във връзка с:</w:t>
      </w:r>
      <w:bookmarkEnd w:id="7"/>
      <w:bookmarkEnd w:id="8"/>
      <w:r>
        <w:rPr>
          <w:noProof/>
        </w:rPr>
        <w:t xml:space="preserve"> </w:t>
      </w:r>
    </w:p>
    <w:p w:rsidR="006A5CA3" w:rsidRDefault="0065415D">
      <w:pPr>
        <w:pStyle w:val="Text1"/>
        <w:rPr>
          <w:b/>
          <w:noProof/>
          <w:sz w:val="22"/>
        </w:rPr>
      </w:pPr>
      <w:r>
        <w:rPr>
          <w:noProof/>
          <w:sz w:val="22"/>
        </w:rPr>
        <w:sym w:font="Wingdings" w:char="F0FE"/>
      </w:r>
      <w:r>
        <w:rPr>
          <w:b/>
          <w:i/>
          <w:noProof/>
          <w:sz w:val="22"/>
        </w:rPr>
        <w:t xml:space="preserve"> </w:t>
      </w:r>
      <w:r>
        <w:rPr>
          <w:b/>
          <w:noProof/>
        </w:rPr>
        <w:t>ново действие</w:t>
      </w:r>
      <w:r>
        <w:rPr>
          <w:b/>
          <w:noProof/>
          <w:sz w:val="22"/>
        </w:rPr>
        <w:t xml:space="preserve"> </w:t>
      </w:r>
    </w:p>
    <w:p w:rsidR="006A5CA3" w:rsidRDefault="0065415D">
      <w:pPr>
        <w:pStyle w:val="Text1"/>
        <w:rPr>
          <w:noProof/>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b/>
          <w:noProof/>
        </w:rPr>
        <w:footnoteReference w:id="5"/>
      </w:r>
      <w:r>
        <w:rPr>
          <w:noProof/>
          <w:sz w:val="22"/>
        </w:rPr>
        <w:t xml:space="preserve"> </w:t>
      </w:r>
    </w:p>
    <w:p w:rsidR="006A5CA3" w:rsidRDefault="0065415D">
      <w:pPr>
        <w:pStyle w:val="Text1"/>
        <w:rPr>
          <w:noProof/>
          <w:sz w:val="22"/>
        </w:rPr>
      </w:pPr>
      <w:r>
        <w:rPr>
          <w:noProof/>
          <w:sz w:val="22"/>
        </w:rPr>
        <w:sym w:font="Wingdings" w:char="F0A8"/>
      </w:r>
      <w:r>
        <w:rPr>
          <w:i/>
          <w:noProof/>
          <w:sz w:val="22"/>
        </w:rPr>
        <w:t xml:space="preserve"> </w:t>
      </w:r>
      <w:r>
        <w:rPr>
          <w:b/>
          <w:noProof/>
        </w:rPr>
        <w:t>продължаване на съществуващо действие</w:t>
      </w:r>
      <w:r>
        <w:rPr>
          <w:noProof/>
          <w:sz w:val="22"/>
        </w:rPr>
        <w:t xml:space="preserve"> </w:t>
      </w:r>
    </w:p>
    <w:p w:rsidR="006A5CA3" w:rsidRDefault="0065415D">
      <w:pPr>
        <w:pStyle w:val="Text1"/>
        <w:rPr>
          <w:noProof/>
        </w:rPr>
      </w:pPr>
      <w:r>
        <w:rPr>
          <w:noProof/>
          <w:sz w:val="22"/>
        </w:rPr>
        <w:sym w:font="Wingdings" w:char="F0A8"/>
      </w:r>
      <w:r>
        <w:rPr>
          <w:i/>
          <w:noProof/>
          <w:sz w:val="22"/>
        </w:rPr>
        <w:t xml:space="preserve"> </w:t>
      </w:r>
      <w:r>
        <w:rPr>
          <w:b/>
          <w:noProof/>
        </w:rPr>
        <w:t xml:space="preserve">сливане или пренасочване на едно или няколко действия към друго/ново </w:t>
      </w:r>
      <w:r>
        <w:rPr>
          <w:b/>
          <w:noProof/>
        </w:rPr>
        <w:t>действие</w:t>
      </w:r>
      <w:r>
        <w:rPr>
          <w:noProof/>
        </w:rPr>
        <w:t xml:space="preserve"> </w:t>
      </w:r>
    </w:p>
    <w:p w:rsidR="006A5CA3" w:rsidRDefault="0065415D">
      <w:pPr>
        <w:pStyle w:val="ManualHeading2"/>
        <w:rPr>
          <w:bCs/>
          <w:noProof/>
          <w:szCs w:val="24"/>
        </w:rPr>
      </w:pPr>
      <w:bookmarkStart w:id="9" w:name="_Toc514938015"/>
      <w:bookmarkStart w:id="10" w:name="_Toc520485029"/>
      <w:r>
        <w:t>1.4.</w:t>
      </w:r>
      <w:r>
        <w:tab/>
      </w:r>
      <w:r>
        <w:rPr>
          <w:noProof/>
        </w:rPr>
        <w:t>Цели</w:t>
      </w:r>
      <w:bookmarkEnd w:id="9"/>
      <w:bookmarkEnd w:id="10"/>
    </w:p>
    <w:p w:rsidR="006A5CA3" w:rsidRDefault="0065415D">
      <w:pPr>
        <w:pStyle w:val="ManualHeading3"/>
        <w:rPr>
          <w:noProof/>
        </w:rPr>
      </w:pPr>
      <w:bookmarkStart w:id="11" w:name="_Toc514938016"/>
      <w:bookmarkStart w:id="12" w:name="_Toc520485030"/>
      <w:r>
        <w:t>1.4.1.</w:t>
      </w:r>
      <w:r>
        <w:tab/>
      </w:r>
      <w:r>
        <w:rPr>
          <w:noProof/>
        </w:rPr>
        <w:t>Общи цели</w:t>
      </w:r>
      <w:bookmarkEnd w:id="11"/>
      <w:bookmarkEnd w:id="12"/>
    </w:p>
    <w:p w:rsidR="006A5CA3" w:rsidRDefault="0065415D">
      <w:pPr>
        <w:pStyle w:val="Text1"/>
        <w:pBdr>
          <w:top w:val="single" w:sz="4" w:space="1" w:color="auto"/>
          <w:left w:val="single" w:sz="4" w:space="4" w:color="auto"/>
          <w:bottom w:val="single" w:sz="4" w:space="1" w:color="auto"/>
          <w:right w:val="single" w:sz="4" w:space="4" w:color="auto"/>
        </w:pBdr>
        <w:rPr>
          <w:noProof/>
        </w:rPr>
      </w:pPr>
      <w:bookmarkStart w:id="13" w:name="_Toc514938018"/>
      <w:bookmarkStart w:id="14" w:name="_Toc520485031"/>
      <w:r>
        <w:rPr>
          <w:noProof/>
        </w:rPr>
        <w:t>Споразумението се основава на член 50, параграф 2 от ДЕС. В съответствие с насоките на Европейския съвет (член 50) от 29 април 2017 г. Споразумението за оттегляне има за цел:</w:t>
      </w:r>
    </w:p>
    <w:p w:rsidR="006A5CA3" w:rsidRDefault="0065415D">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осигуряване на яснота и правна сигурност п</w:t>
      </w:r>
      <w:r>
        <w:rPr>
          <w:noProof/>
        </w:rPr>
        <w:t xml:space="preserve">о отношение на ситуации, произтичащи от оттеглянето на Обединеното кралство от Съюза, както за гражданите, така и за предприятията, заинтересованите страни и международните партньори, </w:t>
      </w:r>
    </w:p>
    <w:p w:rsidR="006A5CA3" w:rsidRDefault="0065415D">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защита на гражданите, които са устроили живота си въз основа на права</w:t>
      </w:r>
      <w:r>
        <w:rPr>
          <w:noProof/>
        </w:rPr>
        <w:t>, произтичащи от членството на Обединеното кралство в Съюза,</w:t>
      </w:r>
    </w:p>
    <w:p w:rsidR="006A5CA3" w:rsidRDefault="0065415D">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уреждане на отделянето на Обединеното кралство от Съюза и освобождаването му от всички права и задължения, произтичащи от ангажиментите, поети като държава членка,</w:t>
      </w:r>
    </w:p>
    <w:p w:rsidR="006A5CA3" w:rsidRDefault="0065415D">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определяне на ограничени въ</w:t>
      </w:r>
      <w:r>
        <w:rPr>
          <w:noProof/>
        </w:rPr>
        <w:t>в времето преходни разпоредби, които са в интерес на Съюза,</w:t>
      </w:r>
    </w:p>
    <w:p w:rsidR="006A5CA3" w:rsidRDefault="0065415D">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гарантиране на спазването на финансовите задължения, произтичащи от целия период на членство на Обединеното кралство в Съюза, както от Съюза, така и от Обединеното кралство</w:t>
      </w:r>
    </w:p>
    <w:p w:rsidR="006A5CA3" w:rsidRDefault="0065415D">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осигуряване на ефек</w:t>
      </w:r>
      <w:r>
        <w:rPr>
          <w:noProof/>
        </w:rPr>
        <w:t xml:space="preserve">тивно управление, изпълнение и прилагане на споразумението, включително чрез институционални структури и ефективен механизъм за уреждане на спорове, при който се запазва ролята на Съда на Европейския съюз като краен арбитър по въпроси на правото на Съюза, </w:t>
      </w:r>
    </w:p>
    <w:p w:rsidR="006A5CA3" w:rsidRDefault="0065415D">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продължаване на подкрепата за целта за мир и помирение, залегнала в Споразумението от Разпети петък във всичките му части, както и на подкрепата и защитата на постиженията, ползите и ангажиментите на мирния процес на остров Ирландия,</w:t>
      </w:r>
    </w:p>
    <w:p w:rsidR="006A5CA3" w:rsidRDefault="0065415D">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защитаване на инт</w:t>
      </w:r>
      <w:r>
        <w:rPr>
          <w:noProof/>
        </w:rPr>
        <w:t>ересите на кипърските граждани, които живеят и работят в зоните на суверенните бази, и гарантиране, че след оттеглянето на Обединеното кралство няма да има прекъсване и загуба на права,</w:t>
      </w:r>
    </w:p>
    <w:p w:rsidR="006A5CA3" w:rsidRDefault="0065415D">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 xml:space="preserve">предвиждане на тясно сътрудничество между Испания и Обединеното </w:t>
      </w:r>
      <w:r>
        <w:rPr>
          <w:noProof/>
        </w:rPr>
        <w:t>кралство във връзка с Гибралтар относно изпълнението на Споразумението за оттегляне, и по-специално неговата част за правата на гражданите, и в редица други области на политика.</w:t>
      </w:r>
    </w:p>
    <w:p w:rsidR="006A5CA3" w:rsidRDefault="0065415D">
      <w:pPr>
        <w:pStyle w:val="ManualHeading3"/>
        <w:rPr>
          <w:bCs/>
          <w:noProof/>
          <w:szCs w:val="24"/>
        </w:rPr>
      </w:pPr>
      <w:r>
        <w:t>1.4.2.</w:t>
      </w:r>
      <w:r>
        <w:tab/>
      </w:r>
      <w:r>
        <w:rPr>
          <w:noProof/>
        </w:rPr>
        <w:t>Конкретни цели</w:t>
      </w:r>
      <w:bookmarkEnd w:id="13"/>
      <w:bookmarkEnd w:id="14"/>
    </w:p>
    <w:p w:rsidR="006A5CA3" w:rsidRDefault="0065415D">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Конкретни цели</w:t>
      </w:r>
    </w:p>
    <w:p w:rsidR="006A5CA3" w:rsidRDefault="0065415D">
      <w:pPr>
        <w:pStyle w:val="Text1"/>
        <w:pBdr>
          <w:top w:val="single" w:sz="4" w:space="1" w:color="auto"/>
          <w:left w:val="single" w:sz="4" w:space="4" w:color="auto"/>
          <w:bottom w:val="single" w:sz="4" w:space="1" w:color="auto"/>
          <w:right w:val="single" w:sz="4" w:space="4" w:color="auto"/>
        </w:pBdr>
        <w:rPr>
          <w:noProof/>
        </w:rPr>
      </w:pPr>
      <w:r>
        <w:rPr>
          <w:noProof/>
        </w:rPr>
        <w:t>Не се прилага</w:t>
      </w:r>
    </w:p>
    <w:p w:rsidR="006A5CA3" w:rsidRDefault="0065415D">
      <w:pPr>
        <w:pStyle w:val="ManualHeading3"/>
        <w:rPr>
          <w:noProof/>
        </w:rPr>
      </w:pPr>
      <w:bookmarkStart w:id="15" w:name="_Toc514938019"/>
      <w:bookmarkStart w:id="16" w:name="_Toc520485032"/>
      <w:r>
        <w:t>1.4.3.</w:t>
      </w:r>
      <w:r>
        <w:tab/>
      </w:r>
      <w:r>
        <w:rPr>
          <w:noProof/>
        </w:rPr>
        <w:t>Очаквани резултати и</w:t>
      </w:r>
      <w:r>
        <w:rPr>
          <w:noProof/>
        </w:rPr>
        <w:t xml:space="preserve"> отражение</w:t>
      </w:r>
      <w:bookmarkEnd w:id="15"/>
      <w:bookmarkEnd w:id="16"/>
    </w:p>
    <w:p w:rsidR="006A5CA3" w:rsidRDefault="0065415D">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rsidR="006A5CA3" w:rsidRDefault="0065415D">
      <w:pPr>
        <w:pStyle w:val="Text1"/>
        <w:pBdr>
          <w:top w:val="single" w:sz="4" w:space="1" w:color="auto"/>
          <w:left w:val="single" w:sz="4" w:space="4" w:color="auto"/>
          <w:bottom w:val="single" w:sz="4" w:space="1" w:color="auto"/>
          <w:right w:val="single" w:sz="4" w:space="4" w:color="auto"/>
        </w:pBdr>
        <w:rPr>
          <w:noProof/>
        </w:rPr>
      </w:pPr>
      <w:bookmarkStart w:id="17" w:name="_Toc514938023"/>
      <w:bookmarkStart w:id="18" w:name="_Toc520485033"/>
      <w:r>
        <w:rPr>
          <w:noProof/>
        </w:rPr>
        <w:t>Споразумението за оттегляне между ЕС и Обединеното кралство ще вдъхне увереност на гражданите, предприятията и международн</w:t>
      </w:r>
      <w:r>
        <w:rPr>
          <w:noProof/>
        </w:rPr>
        <w:t>ите партньори на Европа, че оттеглянето на Обединеното кралство от Съюза няма да бъде хаотично и неконтролирано.</w:t>
      </w:r>
    </w:p>
    <w:p w:rsidR="006A5CA3" w:rsidRDefault="0065415D">
      <w:pPr>
        <w:pStyle w:val="Text1"/>
        <w:pBdr>
          <w:top w:val="single" w:sz="4" w:space="1" w:color="auto"/>
          <w:left w:val="single" w:sz="4" w:space="4" w:color="auto"/>
          <w:bottom w:val="single" w:sz="4" w:space="1" w:color="auto"/>
          <w:right w:val="single" w:sz="4" w:space="4" w:color="auto"/>
        </w:pBdr>
        <w:rPr>
          <w:noProof/>
        </w:rPr>
      </w:pPr>
      <w:r>
        <w:rPr>
          <w:noProof/>
        </w:rPr>
        <w:t>Единственото отражение върху бюджета на Споразумението за оттегляне произтича от създаването на Съвместен комитет, който се състои от представи</w:t>
      </w:r>
      <w:r>
        <w:rPr>
          <w:noProof/>
        </w:rPr>
        <w:t>тели на Съюза и на Обединеното кралство. Съвместният комитет ще упражнява надзор и ще улеснява изпълнението и прилагането на Споразумението за оттегляне, ще взема решения относно задачите на специализираните комитети и ще упражнява надзор върху тяхната раб</w:t>
      </w:r>
      <w:r>
        <w:rPr>
          <w:noProof/>
        </w:rPr>
        <w:t xml:space="preserve">ота и също така ще внася изменения в Споразумението, когато това е изрично предвидено в самото Споразумение. В Споразумението се предвижда също така роля на Съвместния комитет за уреждането на спорове, разгледано в дял 3 от шеста част на Споразумението за </w:t>
      </w:r>
      <w:r>
        <w:rPr>
          <w:noProof/>
        </w:rPr>
        <w:t xml:space="preserve">оттегляне. </w:t>
      </w:r>
    </w:p>
    <w:p w:rsidR="006A5CA3" w:rsidRDefault="0065415D">
      <w:pPr>
        <w:pStyle w:val="Text1"/>
        <w:pBdr>
          <w:top w:val="single" w:sz="4" w:space="1" w:color="auto"/>
          <w:left w:val="single" w:sz="4" w:space="4" w:color="auto"/>
          <w:bottom w:val="single" w:sz="4" w:space="1" w:color="auto"/>
          <w:right w:val="single" w:sz="4" w:space="4" w:color="auto"/>
        </w:pBdr>
        <w:rPr>
          <w:noProof/>
        </w:rPr>
      </w:pPr>
      <w:r>
        <w:rPr>
          <w:noProof/>
        </w:rPr>
        <w:t xml:space="preserve">Съвместният комитет заседава поне веднъж годишно по искане на всяка от страните. Под надзора на Съвместния комитет ще функционират следните специализирани комитети, т.е. един подкомитет за всяка основна част на Споразумението за оттегляне: </w:t>
      </w:r>
    </w:p>
    <w:p w:rsidR="006A5CA3" w:rsidRDefault="0065415D">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r>
      <w:r>
        <w:rPr>
          <w:noProof/>
        </w:rPr>
        <w:t>Комитет по правата на гражданите;</w:t>
      </w:r>
    </w:p>
    <w:p w:rsidR="006A5CA3" w:rsidRDefault="0065415D">
      <w:pPr>
        <w:pStyle w:val="Text1"/>
        <w:pBdr>
          <w:top w:val="single" w:sz="4" w:space="1" w:color="auto"/>
          <w:left w:val="single" w:sz="4" w:space="4" w:color="auto"/>
          <w:bottom w:val="single" w:sz="4" w:space="1" w:color="auto"/>
          <w:right w:val="single" w:sz="4" w:space="4" w:color="auto"/>
        </w:pBdr>
        <w:rPr>
          <w:noProof/>
        </w:rPr>
      </w:pPr>
      <w:r>
        <w:rPr>
          <w:noProof/>
        </w:rPr>
        <w:t>б)</w:t>
      </w:r>
      <w:r>
        <w:rPr>
          <w:noProof/>
        </w:rPr>
        <w:tab/>
        <w:t>Комитет по другите разпоредби за разделяне;</w:t>
      </w:r>
    </w:p>
    <w:p w:rsidR="006A5CA3" w:rsidRDefault="0065415D">
      <w:pPr>
        <w:pStyle w:val="Text1"/>
        <w:pBdr>
          <w:top w:val="single" w:sz="4" w:space="1" w:color="auto"/>
          <w:left w:val="single" w:sz="4" w:space="4" w:color="auto"/>
          <w:bottom w:val="single" w:sz="4" w:space="1" w:color="auto"/>
          <w:right w:val="single" w:sz="4" w:space="4" w:color="auto"/>
        </w:pBdr>
        <w:rPr>
          <w:noProof/>
        </w:rPr>
      </w:pPr>
      <w:r>
        <w:rPr>
          <w:noProof/>
        </w:rPr>
        <w:t>в)</w:t>
      </w:r>
      <w:r>
        <w:rPr>
          <w:noProof/>
        </w:rPr>
        <w:tab/>
        <w:t>Комитет по въпроси, свързани с прилагането на Протокола за Ирландия/Северна Ирландия;</w:t>
      </w:r>
    </w:p>
    <w:p w:rsidR="006A5CA3" w:rsidRDefault="0065415D">
      <w:pPr>
        <w:pStyle w:val="Text1"/>
        <w:pBdr>
          <w:top w:val="single" w:sz="4" w:space="1" w:color="auto"/>
          <w:left w:val="single" w:sz="4" w:space="4" w:color="auto"/>
          <w:bottom w:val="single" w:sz="4" w:space="1" w:color="auto"/>
          <w:right w:val="single" w:sz="4" w:space="4" w:color="auto"/>
        </w:pBdr>
        <w:rPr>
          <w:noProof/>
        </w:rPr>
      </w:pPr>
      <w:r>
        <w:rPr>
          <w:noProof/>
        </w:rPr>
        <w:t>г)</w:t>
      </w:r>
      <w:r>
        <w:rPr>
          <w:noProof/>
        </w:rPr>
        <w:tab/>
        <w:t>Комитет по въпроси, свързани с прилагането на Протокола за зоните на суверенните ба</w:t>
      </w:r>
      <w:r>
        <w:rPr>
          <w:noProof/>
        </w:rPr>
        <w:t xml:space="preserve">зи в Кипър; </w:t>
      </w:r>
    </w:p>
    <w:p w:rsidR="006A5CA3" w:rsidRDefault="0065415D">
      <w:pPr>
        <w:pStyle w:val="Text1"/>
        <w:pBdr>
          <w:top w:val="single" w:sz="4" w:space="1" w:color="auto"/>
          <w:left w:val="single" w:sz="4" w:space="4" w:color="auto"/>
          <w:bottom w:val="single" w:sz="4" w:space="1" w:color="auto"/>
          <w:right w:val="single" w:sz="4" w:space="4" w:color="auto"/>
        </w:pBdr>
        <w:rPr>
          <w:noProof/>
          <w:spacing w:val="-4"/>
        </w:rPr>
      </w:pPr>
      <w:r>
        <w:rPr>
          <w:noProof/>
          <w:spacing w:val="-4"/>
        </w:rPr>
        <w:t>д)</w:t>
      </w:r>
      <w:r>
        <w:rPr>
          <w:noProof/>
          <w:spacing w:val="-4"/>
        </w:rPr>
        <w:tab/>
        <w:t>Комитет по въпроси, свързани с прилагането на Протокола за Гибралтар; и</w:t>
      </w:r>
    </w:p>
    <w:p w:rsidR="006A5CA3" w:rsidRDefault="0065415D">
      <w:pPr>
        <w:pStyle w:val="Text1"/>
        <w:pBdr>
          <w:top w:val="single" w:sz="4" w:space="1" w:color="auto"/>
          <w:left w:val="single" w:sz="4" w:space="4" w:color="auto"/>
          <w:bottom w:val="single" w:sz="4" w:space="1" w:color="auto"/>
          <w:right w:val="single" w:sz="4" w:space="4" w:color="auto"/>
        </w:pBdr>
        <w:rPr>
          <w:noProof/>
        </w:rPr>
      </w:pPr>
      <w:r>
        <w:rPr>
          <w:noProof/>
        </w:rPr>
        <w:t>е)</w:t>
      </w:r>
      <w:r>
        <w:rPr>
          <w:noProof/>
        </w:rPr>
        <w:tab/>
        <w:t>Комитет по финансовите разпоредби.</w:t>
      </w:r>
    </w:p>
    <w:p w:rsidR="006A5CA3" w:rsidRDefault="0065415D">
      <w:pPr>
        <w:pStyle w:val="ManualHeading3"/>
        <w:rPr>
          <w:noProof/>
          <w:szCs w:val="24"/>
        </w:rPr>
      </w:pPr>
      <w:r>
        <w:t>1.4.4.</w:t>
      </w:r>
      <w:r>
        <w:tab/>
      </w:r>
      <w:r>
        <w:rPr>
          <w:noProof/>
        </w:rPr>
        <w:t>Показатели за изпълнението</w:t>
      </w:r>
      <w:bookmarkEnd w:id="17"/>
      <w:bookmarkEnd w:id="18"/>
    </w:p>
    <w:p w:rsidR="006A5CA3" w:rsidRDefault="0065415D">
      <w:pPr>
        <w:pStyle w:val="Text1"/>
        <w:rPr>
          <w:i/>
          <w:noProof/>
          <w:sz w:val="20"/>
        </w:rPr>
      </w:pPr>
      <w:r>
        <w:rPr>
          <w:i/>
          <w:noProof/>
          <w:sz w:val="20"/>
        </w:rPr>
        <w:t>Да се посочат показателите за проследяване на напредъка и на постиженията.</w:t>
      </w:r>
    </w:p>
    <w:p w:rsidR="006A5CA3" w:rsidRDefault="0065415D">
      <w:pPr>
        <w:pStyle w:val="Text1"/>
        <w:pBdr>
          <w:top w:val="single" w:sz="4" w:space="1" w:color="auto"/>
          <w:left w:val="single" w:sz="4" w:space="4" w:color="auto"/>
          <w:bottom w:val="single" w:sz="4" w:space="1" w:color="auto"/>
          <w:right w:val="single" w:sz="4" w:space="4" w:color="auto"/>
        </w:pBdr>
        <w:rPr>
          <w:noProof/>
        </w:rPr>
      </w:pPr>
      <w:bookmarkStart w:id="19" w:name="_Toc514938025"/>
      <w:bookmarkStart w:id="20" w:name="_Toc520485034"/>
      <w:r>
        <w:rPr>
          <w:noProof/>
        </w:rPr>
        <w:t>Не се прилага</w:t>
      </w:r>
    </w:p>
    <w:p w:rsidR="006A5CA3" w:rsidRDefault="0065415D">
      <w:pPr>
        <w:pStyle w:val="ManualHeading2"/>
        <w:rPr>
          <w:bCs/>
          <w:noProof/>
          <w:szCs w:val="24"/>
        </w:rPr>
      </w:pPr>
      <w:r>
        <w:t>1.5.</w:t>
      </w:r>
      <w:r>
        <w:tab/>
      </w:r>
      <w:r>
        <w:rPr>
          <w:noProof/>
        </w:rPr>
        <w:t>Мо</w:t>
      </w:r>
      <w:r>
        <w:rPr>
          <w:noProof/>
        </w:rPr>
        <w:t>тиви за предложението/инициативата</w:t>
      </w:r>
      <w:bookmarkEnd w:id="19"/>
      <w:bookmarkEnd w:id="20"/>
      <w:r>
        <w:rPr>
          <w:noProof/>
        </w:rPr>
        <w:t xml:space="preserve"> </w:t>
      </w:r>
    </w:p>
    <w:p w:rsidR="006A5CA3" w:rsidRDefault="0065415D">
      <w:pPr>
        <w:pStyle w:val="ManualHeading3"/>
        <w:rPr>
          <w:noProof/>
        </w:rPr>
      </w:pPr>
      <w:bookmarkStart w:id="21" w:name="_Toc514938026"/>
      <w:bookmarkStart w:id="22" w:name="_Toc520485035"/>
      <w:r>
        <w:t>1.5.1.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bookmarkEnd w:id="21"/>
      <w:bookmarkEnd w:id="22"/>
    </w:p>
    <w:p w:rsidR="006A5CA3" w:rsidRDefault="0065415D">
      <w:pPr>
        <w:pStyle w:val="Text1"/>
        <w:pBdr>
          <w:top w:val="single" w:sz="4" w:space="1" w:color="auto"/>
          <w:left w:val="single" w:sz="4" w:space="4" w:color="auto"/>
          <w:bottom w:val="single" w:sz="4" w:space="1" w:color="auto"/>
          <w:right w:val="single" w:sz="4" w:space="4" w:color="auto"/>
        </w:pBdr>
        <w:rPr>
          <w:noProof/>
        </w:rPr>
      </w:pPr>
      <w:bookmarkStart w:id="23" w:name="_Toc514938029"/>
      <w:bookmarkStart w:id="24" w:name="_Toc520485036"/>
      <w:r>
        <w:rPr>
          <w:noProof/>
        </w:rPr>
        <w:t xml:space="preserve">Осигуряване на организирано оттегляне на Обединеното кралство от </w:t>
      </w:r>
      <w:r>
        <w:rPr>
          <w:noProof/>
        </w:rPr>
        <w:t>Съюза.</w:t>
      </w:r>
    </w:p>
    <w:p w:rsidR="006A5CA3" w:rsidRDefault="0065415D">
      <w:pPr>
        <w:pStyle w:val="ManualHeading3"/>
        <w:rPr>
          <w:bCs/>
          <w:noProof/>
          <w:szCs w:val="24"/>
        </w:rPr>
      </w:pPr>
      <w:r>
        <w:t>1.5.2.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w:t>
      </w:r>
      <w:r>
        <w:rPr>
          <w:noProof/>
        </w:rPr>
        <w:t>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bookmarkEnd w:id="23"/>
      <w:bookmarkEnd w:id="24"/>
    </w:p>
    <w:p w:rsidR="006A5CA3" w:rsidRDefault="0065415D">
      <w:pPr>
        <w:pStyle w:val="Text1"/>
        <w:pBdr>
          <w:top w:val="single" w:sz="4" w:space="0" w:color="auto"/>
          <w:left w:val="single" w:sz="4" w:space="4" w:color="auto"/>
          <w:bottom w:val="single" w:sz="4" w:space="1" w:color="auto"/>
          <w:right w:val="single" w:sz="4" w:space="4" w:color="auto"/>
        </w:pBdr>
        <w:rPr>
          <w:noProof/>
        </w:rPr>
      </w:pPr>
      <w:bookmarkStart w:id="25" w:name="_Toc514938030"/>
      <w:bookmarkStart w:id="26" w:name="_Toc520485037"/>
      <w:r>
        <w:rPr>
          <w:noProof/>
        </w:rPr>
        <w:t>Организираното оттегляне на Обединеното кралство от Съюза е в интерес както на Съюза, така и на О</w:t>
      </w:r>
      <w:r>
        <w:rPr>
          <w:noProof/>
        </w:rPr>
        <w:t>бединеното кралство, по-специално чрез осигуряване на правна сигурност за гражданите и предприятията от двете страни на Ламанша. Споразумението за оттегляне е необходимо, за да се ограничи евентуалният отрицателен ефект върху европейската икономика и бюдже</w:t>
      </w:r>
      <w:r>
        <w:rPr>
          <w:noProof/>
        </w:rPr>
        <w:t>та на Съюза, да се защитят правата на европейските граждани, живеещи и работещи в Обединеното кралство, както и да се запазят мирът и помирението на остров Ирландия, както е заложено в Споразумението от Разпети петък.</w:t>
      </w:r>
    </w:p>
    <w:p w:rsidR="006A5CA3" w:rsidRDefault="0065415D">
      <w:pPr>
        <w:pStyle w:val="ManualHeading3"/>
        <w:rPr>
          <w:noProof/>
        </w:rPr>
      </w:pPr>
      <w:r>
        <w:t>1.5.3.</w:t>
      </w:r>
      <w:r>
        <w:tab/>
      </w:r>
      <w:r>
        <w:rPr>
          <w:noProof/>
        </w:rPr>
        <w:t>Изводи от подобен опит в минал</w:t>
      </w:r>
      <w:r>
        <w:rPr>
          <w:noProof/>
        </w:rPr>
        <w:t>ото</w:t>
      </w:r>
      <w:bookmarkEnd w:id="25"/>
      <w:bookmarkEnd w:id="26"/>
    </w:p>
    <w:p w:rsidR="006A5CA3" w:rsidRDefault="0065415D">
      <w:pPr>
        <w:pStyle w:val="Text1"/>
        <w:pBdr>
          <w:top w:val="single" w:sz="4" w:space="1" w:color="auto"/>
          <w:left w:val="single" w:sz="4" w:space="4" w:color="auto"/>
          <w:bottom w:val="single" w:sz="4" w:space="1" w:color="auto"/>
          <w:right w:val="single" w:sz="4" w:space="4" w:color="auto"/>
        </w:pBdr>
        <w:rPr>
          <w:noProof/>
        </w:rPr>
      </w:pPr>
      <w:r>
        <w:t>Не се прилага</w:t>
      </w:r>
    </w:p>
    <w:p w:rsidR="006A5CA3" w:rsidRDefault="0065415D">
      <w:pPr>
        <w:pStyle w:val="ManualHeading3"/>
        <w:rPr>
          <w:noProof/>
        </w:rPr>
      </w:pPr>
      <w:bookmarkStart w:id="27" w:name="_Toc514938033"/>
      <w:bookmarkStart w:id="28" w:name="_Toc520485038"/>
      <w:r>
        <w:t>1.5.4.</w:t>
      </w:r>
      <w:r>
        <w:tab/>
      </w:r>
      <w:r>
        <w:rPr>
          <w:noProof/>
        </w:rPr>
        <w:t>Съвместимост с многогодишната финансова рамка и евентуални синергии с други подходящи инструменти</w:t>
      </w:r>
      <w:bookmarkEnd w:id="27"/>
      <w:bookmarkEnd w:id="28"/>
    </w:p>
    <w:p w:rsidR="006A5CA3" w:rsidRDefault="0065415D">
      <w:pPr>
        <w:pStyle w:val="Text1"/>
        <w:pBdr>
          <w:top w:val="single" w:sz="4" w:space="1" w:color="auto"/>
          <w:left w:val="single" w:sz="4" w:space="4" w:color="auto"/>
          <w:bottom w:val="single" w:sz="4" w:space="1" w:color="auto"/>
          <w:right w:val="single" w:sz="4" w:space="4" w:color="auto"/>
        </w:pBdr>
        <w:rPr>
          <w:noProof/>
        </w:rPr>
      </w:pPr>
      <w:bookmarkStart w:id="29" w:name="_Toc514938036"/>
      <w:bookmarkStart w:id="30" w:name="_Toc520485039"/>
      <w:r>
        <w:t>Не се прилага</w:t>
      </w:r>
    </w:p>
    <w:p w:rsidR="006A5CA3" w:rsidRDefault="0065415D">
      <w:pPr>
        <w:pStyle w:val="ManualHeading3"/>
        <w:rPr>
          <w:noProof/>
        </w:rPr>
      </w:pPr>
      <w:r>
        <w:t>1.5.5.</w:t>
      </w:r>
      <w:r>
        <w:tab/>
      </w:r>
      <w:r>
        <w:rPr>
          <w:noProof/>
        </w:rPr>
        <w:t>Оценка на различните налични варианти за финансиране, включително възможностите за преразпределяне на средства</w:t>
      </w:r>
      <w:bookmarkEnd w:id="29"/>
      <w:bookmarkEnd w:id="30"/>
    </w:p>
    <w:p w:rsidR="006A5CA3" w:rsidRDefault="0065415D">
      <w:pPr>
        <w:pStyle w:val="Text1"/>
        <w:pBdr>
          <w:top w:val="single" w:sz="4" w:space="1" w:color="auto"/>
          <w:left w:val="single" w:sz="4" w:space="4" w:color="auto"/>
          <w:bottom w:val="single" w:sz="4" w:space="1" w:color="auto"/>
          <w:right w:val="single" w:sz="4" w:space="4" w:color="auto"/>
        </w:pBdr>
        <w:rPr>
          <w:noProof/>
        </w:rPr>
      </w:pPr>
      <w:r>
        <w:t>Н</w:t>
      </w:r>
      <w:r>
        <w:t>е се прилага</w:t>
      </w:r>
    </w:p>
    <w:p w:rsidR="006A5CA3" w:rsidRDefault="0065415D">
      <w:pPr>
        <w:pStyle w:val="ManualHeading2"/>
        <w:rPr>
          <w:bCs/>
          <w:noProof/>
          <w:szCs w:val="24"/>
        </w:rPr>
      </w:pPr>
      <w:bookmarkStart w:id="31" w:name="_Toc514938039"/>
      <w:bookmarkStart w:id="32" w:name="_Toc520485040"/>
      <w:r>
        <w:t>1.6.</w:t>
      </w:r>
      <w:r>
        <w:tab/>
      </w:r>
      <w:r>
        <w:rPr>
          <w:noProof/>
        </w:rPr>
        <w:t>Продължителност и финансово отражение на предложението/инициативата</w:t>
      </w:r>
      <w:bookmarkEnd w:id="31"/>
      <w:bookmarkEnd w:id="32"/>
    </w:p>
    <w:p w:rsidR="006A5CA3" w:rsidRDefault="0065415D">
      <w:pPr>
        <w:pStyle w:val="Text1"/>
        <w:rPr>
          <w:noProof/>
        </w:rPr>
      </w:pPr>
      <w:r>
        <w:rPr>
          <w:noProof/>
        </w:rPr>
        <w:sym w:font="Wingdings" w:char="F0A8"/>
      </w:r>
      <w:r>
        <w:rPr>
          <w:b/>
          <w:i/>
          <w:noProof/>
        </w:rPr>
        <w:t xml:space="preserve"> </w:t>
      </w:r>
      <w:r>
        <w:rPr>
          <w:b/>
          <w:noProof/>
        </w:rPr>
        <w:t xml:space="preserve">ограничен срок на действие </w:t>
      </w:r>
    </w:p>
    <w:p w:rsidR="006A5CA3" w:rsidRDefault="0065415D">
      <w:pPr>
        <w:pStyle w:val="ListDash2"/>
        <w:rPr>
          <w:noProof/>
        </w:rPr>
      </w:pPr>
      <w:r>
        <w:rPr>
          <w:noProof/>
        </w:rPr>
        <w:sym w:font="Wingdings" w:char="F0A8"/>
      </w:r>
      <w:r>
        <w:rPr>
          <w:noProof/>
        </w:rPr>
        <w:tab/>
        <w:t xml:space="preserve">в сила от [ДД/ММ]ГГГГ до [ДД/ММ]ГГГГ </w:t>
      </w:r>
    </w:p>
    <w:p w:rsidR="006A5CA3" w:rsidRDefault="0065415D">
      <w:pPr>
        <w:pStyle w:val="ListDash2"/>
        <w:rPr>
          <w:noProof/>
        </w:rPr>
      </w:pPr>
      <w:r>
        <w:rPr>
          <w:noProof/>
        </w:rPr>
        <w:sym w:font="Wingdings" w:char="F0A8"/>
      </w:r>
      <w:r>
        <w:rPr>
          <w:noProof/>
        </w:rPr>
        <w:tab/>
        <w:t>Финансово отражение от ГГГГ до ГГГГ за бюджетни кредити за поети задължения и от ГГГГ до ГГГГ за б</w:t>
      </w:r>
      <w:r>
        <w:rPr>
          <w:noProof/>
        </w:rPr>
        <w:t xml:space="preserve">юджетни кредити за плащания. </w:t>
      </w:r>
    </w:p>
    <w:p w:rsidR="006A5CA3" w:rsidRDefault="0065415D">
      <w:pPr>
        <w:pStyle w:val="Text1"/>
        <w:rPr>
          <w:noProof/>
        </w:rPr>
      </w:pPr>
      <w:r>
        <w:rPr>
          <w:noProof/>
        </w:rPr>
        <w:sym w:font="Wingdings" w:char="F0FE"/>
      </w:r>
      <w:r>
        <w:rPr>
          <w:b/>
          <w:i/>
          <w:noProof/>
        </w:rPr>
        <w:t xml:space="preserve"> </w:t>
      </w:r>
      <w:r>
        <w:rPr>
          <w:b/>
          <w:noProof/>
        </w:rPr>
        <w:t>неограничен срок на действие</w:t>
      </w:r>
    </w:p>
    <w:p w:rsidR="006A5CA3" w:rsidRDefault="0065415D">
      <w:pPr>
        <w:pStyle w:val="ListDash1"/>
        <w:rPr>
          <w:noProof/>
        </w:rPr>
      </w:pPr>
      <w:r>
        <w:rPr>
          <w:noProof/>
        </w:rPr>
        <w:t>Изпълнение с период на започване на дейност от ГГГГ до ГГГГ,</w:t>
      </w:r>
    </w:p>
    <w:p w:rsidR="006A5CA3" w:rsidRDefault="0065415D">
      <w:pPr>
        <w:pStyle w:val="ListDash1"/>
        <w:rPr>
          <w:noProof/>
        </w:rPr>
      </w:pPr>
      <w:r>
        <w:rPr>
          <w:noProof/>
        </w:rPr>
        <w:t>последван от функциониране с пълен капацитет.</w:t>
      </w:r>
    </w:p>
    <w:p w:rsidR="006A5CA3" w:rsidRDefault="0065415D">
      <w:pPr>
        <w:pStyle w:val="ManualHeading2"/>
        <w:rPr>
          <w:bCs/>
          <w:noProof/>
          <w:szCs w:val="24"/>
        </w:rPr>
      </w:pPr>
      <w:bookmarkStart w:id="33" w:name="_Toc514938040"/>
      <w:bookmarkStart w:id="34" w:name="_Toc520485041"/>
      <w:r>
        <w:t>1.7.</w:t>
      </w:r>
      <w:r>
        <w:tab/>
      </w:r>
      <w:r>
        <w:rPr>
          <w:noProof/>
        </w:rPr>
        <w:t>Планирани методи на управление</w:t>
      </w:r>
      <w:r>
        <w:rPr>
          <w:rStyle w:val="FootnoteReference"/>
          <w:noProof/>
        </w:rPr>
        <w:footnoteReference w:id="6"/>
      </w:r>
      <w:bookmarkEnd w:id="33"/>
      <w:bookmarkEnd w:id="34"/>
      <w:r>
        <w:rPr>
          <w:rStyle w:val="FootnoteReference"/>
          <w:noProof/>
        </w:rPr>
        <w:t xml:space="preserve"> </w:t>
      </w:r>
    </w:p>
    <w:p w:rsidR="006A5CA3" w:rsidRDefault="0065415D">
      <w:pPr>
        <w:pStyle w:val="Text1"/>
        <w:rPr>
          <w:noProof/>
        </w:rPr>
      </w:pPr>
      <w:r>
        <w:rPr>
          <w:noProof/>
        </w:rPr>
        <w:sym w:font="Wingdings" w:char="F0FE"/>
      </w:r>
      <w:r>
        <w:rPr>
          <w:i/>
          <w:noProof/>
        </w:rPr>
        <w:t xml:space="preserve"> </w:t>
      </w:r>
      <w:r>
        <w:rPr>
          <w:b/>
          <w:noProof/>
        </w:rPr>
        <w:t>Пряко управление</w:t>
      </w:r>
      <w:r>
        <w:rPr>
          <w:noProof/>
        </w:rPr>
        <w:t xml:space="preserve"> от Комисията</w:t>
      </w:r>
    </w:p>
    <w:p w:rsidR="006A5CA3" w:rsidRDefault="0065415D">
      <w:pPr>
        <w:pStyle w:val="ListDash2"/>
        <w:rPr>
          <w:rFonts w:cs="EUAlbertina"/>
          <w:noProof/>
        </w:rPr>
      </w:pPr>
      <w:r>
        <w:rPr>
          <w:noProof/>
        </w:rPr>
        <w:sym w:font="Wingdings" w:char="F0FE"/>
      </w:r>
      <w:r>
        <w:rPr>
          <w:noProof/>
        </w:rPr>
        <w:tab/>
      </w:r>
      <w:r>
        <w:rPr>
          <w:noProof/>
        </w:rPr>
        <w:t xml:space="preserve">от нейните служби, включително от нейния персонал в делегациите на Съюза; </w:t>
      </w:r>
    </w:p>
    <w:p w:rsidR="006A5CA3" w:rsidRDefault="0065415D">
      <w:pPr>
        <w:pStyle w:val="ListDash2"/>
        <w:rPr>
          <w:noProof/>
        </w:rPr>
      </w:pPr>
      <w:r>
        <w:rPr>
          <w:noProof/>
        </w:rPr>
        <w:sym w:font="Wingdings" w:char="F0A8"/>
      </w:r>
      <w:r>
        <w:rPr>
          <w:noProof/>
        </w:rPr>
        <w:tab/>
        <w:t xml:space="preserve">от изпълнителните агенции. </w:t>
      </w:r>
    </w:p>
    <w:p w:rsidR="006A5CA3" w:rsidRDefault="0065415D">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rsidR="006A5CA3" w:rsidRDefault="0065415D">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rsidR="006A5CA3" w:rsidRDefault="0065415D">
      <w:pPr>
        <w:pStyle w:val="ListDash2"/>
        <w:rPr>
          <w:noProof/>
        </w:rPr>
      </w:pPr>
      <w:r>
        <w:rPr>
          <w:noProof/>
        </w:rPr>
        <w:sym w:font="Wingdings" w:char="F0A8"/>
      </w:r>
      <w:r>
        <w:rPr>
          <w:noProof/>
        </w:rPr>
        <w:t xml:space="preserve"> трети държави или органите, определени от тях;</w:t>
      </w:r>
    </w:p>
    <w:p w:rsidR="006A5CA3" w:rsidRDefault="0065415D">
      <w:pPr>
        <w:pStyle w:val="ListDash2"/>
        <w:rPr>
          <w:noProof/>
        </w:rPr>
      </w:pPr>
      <w:r>
        <w:rPr>
          <w:noProof/>
        </w:rPr>
        <w:sym w:font="Wingdings" w:char="F0A8"/>
      </w:r>
      <w:r>
        <w:rPr>
          <w:noProof/>
        </w:rPr>
        <w:t xml:space="preserve"> международни организации и техните агенции (да се уточни);</w:t>
      </w:r>
    </w:p>
    <w:p w:rsidR="006A5CA3" w:rsidRDefault="0065415D">
      <w:pPr>
        <w:pStyle w:val="ListDash2"/>
        <w:rPr>
          <w:noProof/>
        </w:rPr>
      </w:pPr>
      <w:r>
        <w:rPr>
          <w:noProof/>
        </w:rPr>
        <w:sym w:font="Wingdings" w:char="F0A8"/>
      </w:r>
      <w:r>
        <w:rPr>
          <w:noProof/>
        </w:rPr>
        <w:t xml:space="preserve"> ЕИБ и Европейския инвестиционен фонд;</w:t>
      </w:r>
    </w:p>
    <w:p w:rsidR="006A5CA3" w:rsidRDefault="0065415D">
      <w:pPr>
        <w:pStyle w:val="ListDash2"/>
        <w:rPr>
          <w:noProof/>
        </w:rPr>
      </w:pPr>
      <w:r>
        <w:rPr>
          <w:noProof/>
        </w:rPr>
        <w:sym w:font="Wingdings" w:char="F0A8"/>
      </w:r>
      <w:r>
        <w:rPr>
          <w:noProof/>
        </w:rPr>
        <w:t xml:space="preserve"> органите, посочени в членове 70 и 71 от Финансовия регламент;</w:t>
      </w:r>
    </w:p>
    <w:p w:rsidR="006A5CA3" w:rsidRDefault="0065415D">
      <w:pPr>
        <w:pStyle w:val="ListDash2"/>
        <w:rPr>
          <w:noProof/>
        </w:rPr>
      </w:pPr>
      <w:r>
        <w:rPr>
          <w:noProof/>
        </w:rPr>
        <w:sym w:font="Wingdings" w:char="F0A8"/>
      </w:r>
      <w:r>
        <w:rPr>
          <w:noProof/>
        </w:rPr>
        <w:t xml:space="preserve"> публичноправни органи;</w:t>
      </w:r>
    </w:p>
    <w:p w:rsidR="006A5CA3" w:rsidRDefault="0065415D">
      <w:pPr>
        <w:pStyle w:val="ListDash2"/>
        <w:rPr>
          <w:noProof/>
        </w:rPr>
      </w:pPr>
      <w:r>
        <w:rPr>
          <w:noProof/>
        </w:rPr>
        <w:sym w:font="Wingdings" w:char="F0A8"/>
      </w:r>
      <w:r>
        <w:rPr>
          <w:noProof/>
        </w:rPr>
        <w:t xml:space="preserve"> частноправни орг</w:t>
      </w:r>
      <w:r>
        <w:rPr>
          <w:noProof/>
        </w:rPr>
        <w:t>ани със задължение за обществена услуга, доколкото предоставят подходящи финансови гаранции;</w:t>
      </w:r>
    </w:p>
    <w:p w:rsidR="006A5CA3" w:rsidRDefault="0065415D">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w:t>
      </w:r>
      <w:r>
        <w:rPr>
          <w:noProof/>
        </w:rPr>
        <w:t>гаранции;</w:t>
      </w:r>
    </w:p>
    <w:p w:rsidR="006A5CA3" w:rsidRDefault="0065415D">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rsidR="006A5CA3" w:rsidRDefault="0065415D">
      <w:pPr>
        <w:pStyle w:val="ListDash2"/>
        <w:rPr>
          <w:i/>
          <w:noProof/>
          <w:sz w:val="18"/>
          <w:u w:val="single"/>
        </w:rPr>
      </w:pPr>
      <w:r>
        <w:rPr>
          <w:i/>
          <w:noProof/>
          <w:sz w:val="18"/>
        </w:rPr>
        <w:t>Ако е посочен повече от един метод на управление, пояснете в частта „Забележки“.</w:t>
      </w:r>
    </w:p>
    <w:p w:rsidR="006A5CA3" w:rsidRDefault="0065415D">
      <w:pPr>
        <w:rPr>
          <w:noProof/>
        </w:rPr>
      </w:pPr>
      <w:r>
        <w:rPr>
          <w:noProof/>
        </w:rPr>
        <w:t xml:space="preserve">Забележки </w:t>
      </w:r>
    </w:p>
    <w:p w:rsidR="006A5CA3" w:rsidRDefault="0065415D">
      <w:pPr>
        <w:pBdr>
          <w:top w:val="single" w:sz="4" w:space="1" w:color="auto"/>
          <w:left w:val="single" w:sz="4" w:space="4" w:color="auto"/>
          <w:bottom w:val="single" w:sz="4" w:space="1" w:color="auto"/>
          <w:right w:val="single" w:sz="4" w:space="4" w:color="auto"/>
        </w:pBdr>
        <w:rPr>
          <w:noProof/>
        </w:rPr>
      </w:pPr>
      <w:r>
        <w:t>[</w:t>
      </w:r>
      <w:r>
        <w:t>...]</w:t>
      </w:r>
    </w:p>
    <w:p w:rsidR="006A5CA3" w:rsidRDefault="006A5CA3">
      <w:pPr>
        <w:rPr>
          <w:noProof/>
        </w:rPr>
        <w:sectPr w:rsidR="006A5CA3">
          <w:pgSz w:w="11907" w:h="16840" w:code="9"/>
          <w:pgMar w:top="1134" w:right="1418" w:bottom="1134" w:left="1418" w:header="709" w:footer="709" w:gutter="0"/>
          <w:cols w:space="708"/>
          <w:docGrid w:linePitch="360"/>
        </w:sectPr>
      </w:pPr>
    </w:p>
    <w:p w:rsidR="006A5CA3" w:rsidRDefault="0065415D">
      <w:pPr>
        <w:pStyle w:val="ManualHeading1"/>
        <w:rPr>
          <w:bCs/>
          <w:noProof/>
          <w:szCs w:val="24"/>
        </w:rPr>
      </w:pPr>
      <w:bookmarkStart w:id="35" w:name="_Toc514938041"/>
      <w:bookmarkStart w:id="36" w:name="_Toc520485042"/>
      <w:r>
        <w:t>2.</w:t>
      </w:r>
      <w:r>
        <w:tab/>
      </w:r>
      <w:r>
        <w:rPr>
          <w:noProof/>
        </w:rPr>
        <w:t>МЕРКИ ЗА УПРАВЛЕНИЕ</w:t>
      </w:r>
      <w:bookmarkEnd w:id="35"/>
      <w:bookmarkEnd w:id="36"/>
      <w:r>
        <w:rPr>
          <w:noProof/>
        </w:rPr>
        <w:t xml:space="preserve"> </w:t>
      </w:r>
    </w:p>
    <w:p w:rsidR="006A5CA3" w:rsidRDefault="0065415D">
      <w:pPr>
        <w:pStyle w:val="ManualHeading2"/>
        <w:rPr>
          <w:noProof/>
        </w:rPr>
      </w:pPr>
      <w:bookmarkStart w:id="37" w:name="_Toc514938042"/>
      <w:bookmarkStart w:id="38" w:name="_Toc520485043"/>
      <w:r>
        <w:t>2.1.</w:t>
      </w:r>
      <w:r>
        <w:tab/>
      </w:r>
      <w:r>
        <w:rPr>
          <w:noProof/>
        </w:rPr>
        <w:t>Правила за мониторинг и докладване</w:t>
      </w:r>
      <w:bookmarkEnd w:id="37"/>
      <w:bookmarkEnd w:id="38"/>
      <w:r>
        <w:rPr>
          <w:noProof/>
        </w:rPr>
        <w:t xml:space="preserve"> </w:t>
      </w:r>
    </w:p>
    <w:p w:rsidR="006A5CA3" w:rsidRDefault="0065415D">
      <w:pPr>
        <w:pStyle w:val="Text1"/>
        <w:rPr>
          <w:i/>
          <w:noProof/>
          <w:sz w:val="20"/>
        </w:rPr>
      </w:pPr>
      <w:r>
        <w:rPr>
          <w:i/>
          <w:noProof/>
          <w:sz w:val="20"/>
        </w:rPr>
        <w:t>Да се посочат честотата и условията.</w:t>
      </w:r>
    </w:p>
    <w:p w:rsidR="006A5CA3" w:rsidRDefault="0065415D">
      <w:pPr>
        <w:pStyle w:val="Text1"/>
        <w:pBdr>
          <w:top w:val="single" w:sz="4" w:space="1" w:color="auto"/>
          <w:left w:val="single" w:sz="4" w:space="4" w:color="auto"/>
          <w:bottom w:val="single" w:sz="4" w:space="1" w:color="auto"/>
          <w:right w:val="single" w:sz="4" w:space="4" w:color="auto"/>
        </w:pBdr>
        <w:rPr>
          <w:noProof/>
        </w:rPr>
      </w:pPr>
      <w:bookmarkStart w:id="39" w:name="_Toc514938045"/>
      <w:bookmarkStart w:id="40" w:name="_Toc520485044"/>
      <w:r>
        <w:rPr>
          <w:noProof/>
        </w:rPr>
        <w:t>Съвместният комитет ще изготвя годишен доклад за функционирането на Споразумението.</w:t>
      </w:r>
    </w:p>
    <w:p w:rsidR="006A5CA3" w:rsidRDefault="0065415D">
      <w:pPr>
        <w:pStyle w:val="ManualHeading2"/>
        <w:rPr>
          <w:bCs/>
          <w:noProof/>
          <w:szCs w:val="24"/>
        </w:rPr>
      </w:pPr>
      <w:r>
        <w:t>2.2.</w:t>
      </w:r>
      <w:r>
        <w:tab/>
      </w:r>
      <w:r>
        <w:rPr>
          <w:noProof/>
        </w:rPr>
        <w:t>Системи за управление и контрол</w:t>
      </w:r>
      <w:bookmarkEnd w:id="39"/>
      <w:bookmarkEnd w:id="40"/>
      <w:r>
        <w:rPr>
          <w:noProof/>
        </w:rPr>
        <w:t xml:space="preserve"> </w:t>
      </w:r>
    </w:p>
    <w:p w:rsidR="006A5CA3" w:rsidRDefault="0065415D">
      <w:pPr>
        <w:pStyle w:val="ManualHeading3"/>
        <w:rPr>
          <w:noProof/>
        </w:rPr>
      </w:pPr>
      <w:bookmarkStart w:id="41" w:name="_Toc514938046"/>
      <w:bookmarkStart w:id="42" w:name="_Toc520485045"/>
      <w:r>
        <w:t>2.2.1.</w:t>
      </w:r>
      <w:r>
        <w:tab/>
      </w:r>
      <w:r>
        <w:rPr>
          <w:noProof/>
        </w:rPr>
        <w:t>Обосновка на предложените начини за управление, механизми за финансиране на изпълнението, начини за плащане и стратегия за контрол</w:t>
      </w:r>
      <w:bookmarkEnd w:id="41"/>
      <w:bookmarkEnd w:id="42"/>
    </w:p>
    <w:p w:rsidR="006A5CA3" w:rsidRDefault="0065415D">
      <w:pPr>
        <w:pStyle w:val="Text1"/>
        <w:pBdr>
          <w:top w:val="single" w:sz="4" w:space="1" w:color="auto"/>
          <w:left w:val="single" w:sz="4" w:space="4" w:color="auto"/>
          <w:bottom w:val="single" w:sz="4" w:space="1" w:color="auto"/>
          <w:right w:val="single" w:sz="4" w:space="4" w:color="auto"/>
        </w:pBdr>
        <w:rPr>
          <w:noProof/>
        </w:rPr>
      </w:pPr>
      <w:r>
        <w:t>Не се прилага</w:t>
      </w:r>
    </w:p>
    <w:p w:rsidR="006A5CA3" w:rsidRDefault="0065415D">
      <w:pPr>
        <w:pStyle w:val="ManualHeading3"/>
        <w:rPr>
          <w:bCs/>
          <w:noProof/>
          <w:szCs w:val="24"/>
        </w:rPr>
      </w:pPr>
      <w:bookmarkStart w:id="43" w:name="_Toc514938047"/>
      <w:bookmarkStart w:id="44" w:name="_Toc520485046"/>
      <w:r>
        <w:t>2.2.2.</w:t>
      </w:r>
      <w:r>
        <w:tab/>
      </w:r>
      <w:r>
        <w:rPr>
          <w:noProof/>
        </w:rPr>
        <w:t>Информация относно установените рискове и системите за вътрешен контрол, създадени с цел намалява</w:t>
      </w:r>
      <w:r>
        <w:rPr>
          <w:noProof/>
        </w:rPr>
        <w:t>нето им</w:t>
      </w:r>
      <w:bookmarkEnd w:id="43"/>
      <w:bookmarkEnd w:id="44"/>
    </w:p>
    <w:p w:rsidR="006A5CA3" w:rsidRDefault="0065415D">
      <w:pPr>
        <w:pStyle w:val="Text1"/>
        <w:pBdr>
          <w:top w:val="single" w:sz="4" w:space="1" w:color="auto"/>
          <w:left w:val="single" w:sz="4" w:space="4" w:color="auto"/>
          <w:bottom w:val="single" w:sz="4" w:space="1" w:color="auto"/>
          <w:right w:val="single" w:sz="4" w:space="4" w:color="auto"/>
        </w:pBdr>
      </w:pPr>
      <w:r>
        <w:t>Не се прилага</w:t>
      </w:r>
    </w:p>
    <w:p w:rsidR="006A5CA3" w:rsidRDefault="0065415D">
      <w:pPr>
        <w:pStyle w:val="ManualHeading3"/>
        <w:rPr>
          <w:noProof/>
        </w:rPr>
      </w:pPr>
      <w:bookmarkStart w:id="45" w:name="_Toc514938048"/>
      <w:bookmarkStart w:id="46" w:name="_Toc520485047"/>
      <w:r>
        <w:t>2.2.3.</w:t>
      </w:r>
      <w:r>
        <w:tab/>
      </w:r>
      <w:r>
        <w:rPr>
          <w:noProof/>
        </w:rPr>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bookmarkEnd w:id="45"/>
      <w:bookmarkEnd w:id="46"/>
      <w:r>
        <w:rPr>
          <w:noProof/>
        </w:rPr>
        <w:t xml:space="preserve"> </w:t>
      </w:r>
    </w:p>
    <w:p w:rsidR="006A5CA3" w:rsidRDefault="0065415D">
      <w:pPr>
        <w:pStyle w:val="Text1"/>
        <w:pBdr>
          <w:top w:val="single" w:sz="4" w:space="1" w:color="auto"/>
          <w:left w:val="single" w:sz="4" w:space="4" w:color="auto"/>
          <w:bottom w:val="single" w:sz="4" w:space="1" w:color="auto"/>
          <w:right w:val="single" w:sz="4" w:space="4" w:color="auto"/>
        </w:pBdr>
        <w:rPr>
          <w:noProof/>
        </w:rPr>
      </w:pPr>
      <w:r>
        <w:t>Не се</w:t>
      </w:r>
      <w:r>
        <w:t xml:space="preserve"> прилага</w:t>
      </w:r>
    </w:p>
    <w:p w:rsidR="006A5CA3" w:rsidRDefault="0065415D">
      <w:pPr>
        <w:pStyle w:val="ManualHeading2"/>
        <w:rPr>
          <w:bCs/>
          <w:noProof/>
          <w:szCs w:val="24"/>
        </w:rPr>
      </w:pPr>
      <w:bookmarkStart w:id="47" w:name="_Toc514938049"/>
      <w:bookmarkStart w:id="48" w:name="_Toc520485048"/>
      <w:r>
        <w:t>2.3.</w:t>
      </w:r>
      <w:r>
        <w:tab/>
      </w:r>
      <w:r>
        <w:rPr>
          <w:noProof/>
        </w:rPr>
        <w:t>Мерки за предотвратяване на измами и нередности</w:t>
      </w:r>
      <w:bookmarkEnd w:id="47"/>
      <w:bookmarkEnd w:id="48"/>
      <w:r>
        <w:rPr>
          <w:noProof/>
        </w:rPr>
        <w:t xml:space="preserve"> </w:t>
      </w:r>
    </w:p>
    <w:p w:rsidR="006A5CA3" w:rsidRDefault="0065415D">
      <w:pPr>
        <w:pStyle w:val="Text1"/>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rsidR="006A5CA3" w:rsidRDefault="0065415D">
      <w:pPr>
        <w:pStyle w:val="Text1"/>
        <w:pBdr>
          <w:top w:val="single" w:sz="4" w:space="1" w:color="auto"/>
          <w:left w:val="single" w:sz="4" w:space="4" w:color="auto"/>
          <w:bottom w:val="single" w:sz="4" w:space="1" w:color="auto"/>
          <w:right w:val="single" w:sz="4" w:space="4" w:color="auto"/>
        </w:pBdr>
        <w:rPr>
          <w:noProof/>
        </w:rPr>
      </w:pPr>
      <w:r>
        <w:t>[...]</w:t>
      </w:r>
    </w:p>
    <w:p w:rsidR="006A5CA3" w:rsidRDefault="0065415D">
      <w:pPr>
        <w:pStyle w:val="Text1"/>
        <w:pBdr>
          <w:top w:val="single" w:sz="4" w:space="1" w:color="auto"/>
          <w:left w:val="single" w:sz="4" w:space="4" w:color="auto"/>
          <w:bottom w:val="single" w:sz="4" w:space="1" w:color="auto"/>
          <w:right w:val="single" w:sz="4" w:space="4" w:color="auto"/>
        </w:pBdr>
        <w:rPr>
          <w:noProof/>
        </w:rPr>
      </w:pPr>
      <w:r>
        <w:t>[...]</w:t>
      </w:r>
    </w:p>
    <w:p w:rsidR="006A5CA3" w:rsidRDefault="006A5CA3">
      <w:pPr>
        <w:rPr>
          <w:noProof/>
        </w:rPr>
        <w:sectPr w:rsidR="006A5CA3">
          <w:pgSz w:w="11907" w:h="16840" w:code="9"/>
          <w:pgMar w:top="1134" w:right="1418" w:bottom="1134" w:left="1418" w:header="709" w:footer="709" w:gutter="0"/>
          <w:cols w:space="708"/>
          <w:docGrid w:linePitch="360"/>
        </w:sectPr>
      </w:pPr>
    </w:p>
    <w:p w:rsidR="006A5CA3" w:rsidRDefault="0065415D">
      <w:pPr>
        <w:pStyle w:val="ManualHeading1"/>
        <w:rPr>
          <w:bCs/>
          <w:noProof/>
          <w:szCs w:val="24"/>
        </w:rPr>
      </w:pPr>
      <w:bookmarkStart w:id="49" w:name="_Toc514938050"/>
      <w:bookmarkStart w:id="50" w:name="_Toc520485049"/>
      <w:r>
        <w:t>3.</w:t>
      </w:r>
      <w:r>
        <w:tab/>
      </w:r>
      <w:r>
        <w:rPr>
          <w:noProof/>
        </w:rPr>
        <w:t>ОЧАКВАНО ФИНАНСОВО ОТРАЖЕНИЕ НА ПРЕ</w:t>
      </w:r>
      <w:r>
        <w:rPr>
          <w:noProof/>
        </w:rPr>
        <w:t>ДЛОЖЕНИЕТО/ИНИЦИАТИВАТА</w:t>
      </w:r>
      <w:bookmarkEnd w:id="49"/>
      <w:bookmarkEnd w:id="50"/>
      <w:r>
        <w:rPr>
          <w:noProof/>
        </w:rPr>
        <w:t xml:space="preserve"> </w:t>
      </w:r>
    </w:p>
    <w:p w:rsidR="006A5CA3" w:rsidRDefault="0065415D">
      <w:pPr>
        <w:pStyle w:val="ManualHeading2"/>
        <w:rPr>
          <w:noProof/>
        </w:rPr>
      </w:pPr>
      <w:bookmarkStart w:id="51" w:name="_Toc514938051"/>
      <w:bookmarkStart w:id="52" w:name="_Toc520485050"/>
      <w:r>
        <w:t>3.1.</w:t>
      </w:r>
      <w:r>
        <w:tab/>
      </w:r>
      <w:r>
        <w:rPr>
          <w:noProof/>
        </w:rPr>
        <w:t>Съответни функции от многогодишната финансова рамка и разходни бюджетни редове</w:t>
      </w:r>
      <w:bookmarkEnd w:id="51"/>
      <w:bookmarkEnd w:id="52"/>
      <w:r>
        <w:rPr>
          <w:noProof/>
        </w:rPr>
        <w:t xml:space="preserve"> </w:t>
      </w:r>
    </w:p>
    <w:p w:rsidR="006A5CA3" w:rsidRDefault="0065415D">
      <w:pPr>
        <w:pStyle w:val="ListBullet1"/>
        <w:rPr>
          <w:noProof/>
        </w:rPr>
      </w:pPr>
      <w:r>
        <w:rPr>
          <w:noProof/>
        </w:rPr>
        <w:t xml:space="preserve">Съществуващи бюджетни редове </w:t>
      </w:r>
    </w:p>
    <w:p w:rsidR="006A5CA3" w:rsidRDefault="0065415D">
      <w:pPr>
        <w:pStyle w:val="Text1"/>
        <w:rPr>
          <w:i/>
          <w:noProof/>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6A5CA3">
        <w:tc>
          <w:tcPr>
            <w:tcW w:w="1080" w:type="dxa"/>
            <w:vMerge w:val="restart"/>
            <w:vAlign w:val="center"/>
          </w:tcPr>
          <w:p w:rsidR="006A5CA3" w:rsidRDefault="0065415D">
            <w:pPr>
              <w:spacing w:before="60" w:after="60"/>
              <w:jc w:val="center"/>
              <w:rPr>
                <w:noProof/>
              </w:rPr>
            </w:pPr>
            <w:r>
              <w:rPr>
                <w:noProof/>
                <w:sz w:val="18"/>
              </w:rPr>
              <w:t>Функция от многогодишната финансова р</w:t>
            </w:r>
            <w:r>
              <w:rPr>
                <w:noProof/>
                <w:sz w:val="18"/>
              </w:rPr>
              <w:t>амка</w:t>
            </w:r>
          </w:p>
        </w:tc>
        <w:tc>
          <w:tcPr>
            <w:tcW w:w="3960" w:type="dxa"/>
            <w:vAlign w:val="center"/>
          </w:tcPr>
          <w:p w:rsidR="006A5CA3" w:rsidRDefault="0065415D">
            <w:pPr>
              <w:spacing w:before="60" w:after="60"/>
              <w:jc w:val="center"/>
              <w:rPr>
                <w:noProof/>
              </w:rPr>
            </w:pPr>
            <w:r>
              <w:rPr>
                <w:noProof/>
                <w:sz w:val="20"/>
              </w:rPr>
              <w:t>Бюджетен ред</w:t>
            </w:r>
          </w:p>
        </w:tc>
        <w:tc>
          <w:tcPr>
            <w:tcW w:w="1080" w:type="dxa"/>
            <w:vAlign w:val="center"/>
          </w:tcPr>
          <w:p w:rsidR="006A5CA3" w:rsidRDefault="0065415D">
            <w:pPr>
              <w:spacing w:before="60" w:after="60"/>
              <w:jc w:val="center"/>
              <w:rPr>
                <w:noProof/>
              </w:rPr>
            </w:pPr>
            <w:r>
              <w:rPr>
                <w:noProof/>
                <w:sz w:val="18"/>
              </w:rPr>
              <w:t>Вид</w:t>
            </w:r>
            <w:r>
              <w:rPr>
                <w:noProof/>
                <w:sz w:val="22"/>
              </w:rPr>
              <w:br/>
            </w:r>
            <w:r>
              <w:rPr>
                <w:noProof/>
                <w:sz w:val="18"/>
              </w:rPr>
              <w:t>разход</w:t>
            </w:r>
          </w:p>
        </w:tc>
        <w:tc>
          <w:tcPr>
            <w:tcW w:w="4440" w:type="dxa"/>
            <w:gridSpan w:val="4"/>
            <w:vAlign w:val="center"/>
          </w:tcPr>
          <w:p w:rsidR="006A5CA3" w:rsidRDefault="0065415D">
            <w:pPr>
              <w:spacing w:before="60" w:after="60"/>
              <w:jc w:val="center"/>
              <w:rPr>
                <w:noProof/>
              </w:rPr>
            </w:pPr>
            <w:r>
              <w:rPr>
                <w:noProof/>
                <w:sz w:val="20"/>
              </w:rPr>
              <w:t xml:space="preserve">Финансов принос </w:t>
            </w:r>
          </w:p>
        </w:tc>
      </w:tr>
      <w:tr w:rsidR="006A5CA3">
        <w:tc>
          <w:tcPr>
            <w:tcW w:w="1080" w:type="dxa"/>
            <w:vMerge/>
            <w:vAlign w:val="center"/>
          </w:tcPr>
          <w:p w:rsidR="006A5CA3" w:rsidRDefault="006A5CA3">
            <w:pPr>
              <w:jc w:val="center"/>
              <w:rPr>
                <w:noProof/>
              </w:rPr>
            </w:pPr>
          </w:p>
        </w:tc>
        <w:tc>
          <w:tcPr>
            <w:tcW w:w="3960" w:type="dxa"/>
            <w:vAlign w:val="center"/>
          </w:tcPr>
          <w:p w:rsidR="006A5CA3" w:rsidRDefault="0065415D">
            <w:pPr>
              <w:rPr>
                <w:noProof/>
              </w:rPr>
            </w:pPr>
            <w:r>
              <w:rPr>
                <w:noProof/>
                <w:sz w:val="20"/>
              </w:rPr>
              <w:t xml:space="preserve">Номер </w:t>
            </w:r>
            <w:r>
              <w:rPr>
                <w:noProof/>
                <w:sz w:val="22"/>
              </w:rPr>
              <w:br/>
            </w:r>
            <w:r>
              <w:rPr>
                <w:noProof/>
                <w:sz w:val="20"/>
              </w:rPr>
              <w:t>5</w:t>
            </w:r>
            <w:r>
              <w:rPr>
                <w:noProof/>
              </w:rPr>
              <w:br/>
            </w:r>
            <w:r>
              <w:rPr>
                <w:noProof/>
                <w:sz w:val="20"/>
              </w:rPr>
              <w:t>[Функция „Администрация“]</w:t>
            </w:r>
          </w:p>
        </w:tc>
        <w:tc>
          <w:tcPr>
            <w:tcW w:w="1080" w:type="dxa"/>
            <w:vAlign w:val="center"/>
          </w:tcPr>
          <w:p w:rsidR="006A5CA3" w:rsidRDefault="0065415D">
            <w:pPr>
              <w:jc w:val="center"/>
              <w:rPr>
                <w:noProof/>
              </w:rPr>
            </w:pPr>
            <w:r>
              <w:rPr>
                <w:noProof/>
                <w:sz w:val="18"/>
              </w:rPr>
              <w:t>Многогод./едногод.</w:t>
            </w:r>
            <w:r>
              <w:rPr>
                <w:rStyle w:val="FootnoteReference"/>
                <w:noProof/>
                <w:sz w:val="18"/>
              </w:rPr>
              <w:footnoteReference w:id="7"/>
            </w:r>
            <w:r>
              <w:rPr>
                <w:noProof/>
              </w:rPr>
              <w:t>.</w:t>
            </w:r>
          </w:p>
        </w:tc>
        <w:tc>
          <w:tcPr>
            <w:tcW w:w="956" w:type="dxa"/>
            <w:vAlign w:val="center"/>
          </w:tcPr>
          <w:p w:rsidR="006A5CA3" w:rsidRDefault="0065415D">
            <w:pPr>
              <w:jc w:val="center"/>
              <w:rPr>
                <w:noProof/>
              </w:rPr>
            </w:pPr>
            <w:r>
              <w:rPr>
                <w:noProof/>
                <w:sz w:val="18"/>
              </w:rPr>
              <w:t>от държави от ЕАСТ</w:t>
            </w:r>
            <w:r>
              <w:rPr>
                <w:rStyle w:val="FootnoteReference"/>
                <w:noProof/>
                <w:sz w:val="18"/>
              </w:rPr>
              <w:footnoteReference w:id="8"/>
            </w:r>
          </w:p>
          <w:p w:rsidR="006A5CA3" w:rsidRDefault="006A5CA3">
            <w:pPr>
              <w:spacing w:before="0" w:after="0"/>
              <w:jc w:val="center"/>
              <w:rPr>
                <w:b/>
                <w:noProof/>
                <w:sz w:val="18"/>
              </w:rPr>
            </w:pPr>
          </w:p>
        </w:tc>
        <w:tc>
          <w:tcPr>
            <w:tcW w:w="1080" w:type="dxa"/>
            <w:vAlign w:val="center"/>
          </w:tcPr>
          <w:p w:rsidR="006A5CA3" w:rsidRDefault="0065415D">
            <w:pPr>
              <w:jc w:val="center"/>
              <w:rPr>
                <w:noProof/>
              </w:rPr>
            </w:pPr>
            <w:r>
              <w:rPr>
                <w:noProof/>
                <w:sz w:val="18"/>
              </w:rPr>
              <w:t>от държави кандидатки</w:t>
            </w:r>
            <w:r>
              <w:rPr>
                <w:rStyle w:val="FootnoteReference"/>
                <w:noProof/>
                <w:sz w:val="18"/>
              </w:rPr>
              <w:footnoteReference w:id="9"/>
            </w:r>
          </w:p>
          <w:p w:rsidR="006A5CA3" w:rsidRDefault="006A5CA3">
            <w:pPr>
              <w:spacing w:before="0" w:after="0"/>
              <w:jc w:val="center"/>
              <w:rPr>
                <w:noProof/>
                <w:sz w:val="18"/>
              </w:rPr>
            </w:pPr>
          </w:p>
        </w:tc>
        <w:tc>
          <w:tcPr>
            <w:tcW w:w="956" w:type="dxa"/>
            <w:vAlign w:val="center"/>
          </w:tcPr>
          <w:p w:rsidR="006A5CA3" w:rsidRDefault="0065415D">
            <w:pPr>
              <w:jc w:val="center"/>
              <w:rPr>
                <w:noProof/>
                <w:sz w:val="18"/>
              </w:rPr>
            </w:pPr>
            <w:r>
              <w:rPr>
                <w:noProof/>
                <w:sz w:val="18"/>
              </w:rPr>
              <w:t>от трети държави</w:t>
            </w:r>
          </w:p>
        </w:tc>
        <w:tc>
          <w:tcPr>
            <w:tcW w:w="1448" w:type="dxa"/>
            <w:vAlign w:val="center"/>
          </w:tcPr>
          <w:p w:rsidR="006A5CA3" w:rsidRDefault="0065415D">
            <w:pPr>
              <w:jc w:val="center"/>
              <w:rPr>
                <w:noProof/>
              </w:rPr>
            </w:pPr>
            <w:r>
              <w:rPr>
                <w:noProof/>
                <w:sz w:val="16"/>
              </w:rPr>
              <w:t xml:space="preserve">по смисъла на член 21, параграф 2, буква б) от Финансовия регламент </w:t>
            </w:r>
          </w:p>
        </w:tc>
      </w:tr>
      <w:tr w:rsidR="006A5CA3">
        <w:tc>
          <w:tcPr>
            <w:tcW w:w="1080" w:type="dxa"/>
            <w:vAlign w:val="center"/>
          </w:tcPr>
          <w:p w:rsidR="006A5CA3" w:rsidRDefault="006A5CA3">
            <w:pPr>
              <w:jc w:val="center"/>
              <w:rPr>
                <w:noProof/>
                <w:color w:val="0000FF"/>
              </w:rPr>
            </w:pPr>
          </w:p>
        </w:tc>
        <w:tc>
          <w:tcPr>
            <w:tcW w:w="3960" w:type="dxa"/>
            <w:vAlign w:val="center"/>
          </w:tcPr>
          <w:p w:rsidR="006A5CA3" w:rsidRDefault="0065415D">
            <w:pPr>
              <w:spacing w:before="60"/>
              <w:rPr>
                <w:noProof/>
              </w:rPr>
            </w:pPr>
            <w:r>
              <w:rPr>
                <w:noProof/>
              </w:rPr>
              <w:t xml:space="preserve">XX 01 01 01 </w:t>
            </w:r>
            <w:r>
              <w:rPr>
                <w:noProof/>
              </w:rPr>
              <w:t>Разходи, свързани с длъжностните лица и временно наетите служители, работещи в институцията.</w:t>
            </w:r>
          </w:p>
        </w:tc>
        <w:tc>
          <w:tcPr>
            <w:tcW w:w="1080" w:type="dxa"/>
            <w:vAlign w:val="center"/>
          </w:tcPr>
          <w:p w:rsidR="006A5CA3" w:rsidRDefault="0065415D">
            <w:pPr>
              <w:jc w:val="center"/>
              <w:rPr>
                <w:noProof/>
              </w:rPr>
            </w:pPr>
            <w:r>
              <w:rPr>
                <w:noProof/>
              </w:rPr>
              <w:t>Многогод.</w:t>
            </w:r>
          </w:p>
        </w:tc>
        <w:tc>
          <w:tcPr>
            <w:tcW w:w="956" w:type="dxa"/>
            <w:vAlign w:val="center"/>
          </w:tcPr>
          <w:p w:rsidR="006A5CA3" w:rsidRDefault="0065415D">
            <w:pPr>
              <w:jc w:val="center"/>
              <w:rPr>
                <w:noProof/>
              </w:rPr>
            </w:pPr>
            <w:r>
              <w:rPr>
                <w:noProof/>
              </w:rPr>
              <w:t>НЕ</w:t>
            </w:r>
          </w:p>
        </w:tc>
        <w:tc>
          <w:tcPr>
            <w:tcW w:w="1080" w:type="dxa"/>
            <w:vAlign w:val="center"/>
          </w:tcPr>
          <w:p w:rsidR="006A5CA3" w:rsidRDefault="0065415D">
            <w:pPr>
              <w:jc w:val="center"/>
              <w:rPr>
                <w:noProof/>
              </w:rPr>
            </w:pPr>
            <w:r>
              <w:rPr>
                <w:noProof/>
              </w:rPr>
              <w:t>НЕ</w:t>
            </w:r>
          </w:p>
        </w:tc>
        <w:tc>
          <w:tcPr>
            <w:tcW w:w="956" w:type="dxa"/>
            <w:vAlign w:val="center"/>
          </w:tcPr>
          <w:p w:rsidR="006A5CA3" w:rsidRDefault="0065415D">
            <w:pPr>
              <w:jc w:val="center"/>
              <w:rPr>
                <w:noProof/>
              </w:rPr>
            </w:pPr>
            <w:r>
              <w:rPr>
                <w:noProof/>
              </w:rPr>
              <w:t>НЕ</w:t>
            </w:r>
          </w:p>
        </w:tc>
        <w:tc>
          <w:tcPr>
            <w:tcW w:w="1448" w:type="dxa"/>
            <w:vAlign w:val="center"/>
          </w:tcPr>
          <w:p w:rsidR="006A5CA3" w:rsidRDefault="0065415D">
            <w:pPr>
              <w:jc w:val="center"/>
              <w:rPr>
                <w:noProof/>
              </w:rPr>
            </w:pPr>
            <w:r>
              <w:rPr>
                <w:noProof/>
              </w:rPr>
              <w:t>НЕ</w:t>
            </w:r>
          </w:p>
        </w:tc>
      </w:tr>
      <w:tr w:rsidR="006A5CA3">
        <w:tc>
          <w:tcPr>
            <w:tcW w:w="1080" w:type="dxa"/>
            <w:vAlign w:val="center"/>
          </w:tcPr>
          <w:p w:rsidR="006A5CA3" w:rsidRDefault="006A5CA3">
            <w:pPr>
              <w:jc w:val="center"/>
              <w:rPr>
                <w:noProof/>
                <w:color w:val="0000FF"/>
              </w:rPr>
            </w:pPr>
          </w:p>
        </w:tc>
        <w:tc>
          <w:tcPr>
            <w:tcW w:w="3960" w:type="dxa"/>
            <w:vAlign w:val="center"/>
          </w:tcPr>
          <w:p w:rsidR="006A5CA3" w:rsidRDefault="0065415D">
            <w:pPr>
              <w:spacing w:before="60"/>
            </w:pPr>
            <w:r>
              <w:rPr>
                <w:noProof/>
              </w:rPr>
              <w:t>XX 01 02 11 01 Разходи за мисии и представителни разходи</w:t>
            </w:r>
          </w:p>
        </w:tc>
        <w:tc>
          <w:tcPr>
            <w:tcW w:w="1080" w:type="dxa"/>
            <w:vAlign w:val="center"/>
          </w:tcPr>
          <w:p w:rsidR="006A5CA3" w:rsidRDefault="0065415D">
            <w:pPr>
              <w:jc w:val="center"/>
              <w:rPr>
                <w:noProof/>
              </w:rPr>
            </w:pPr>
            <w:r>
              <w:rPr>
                <w:noProof/>
              </w:rPr>
              <w:t>Многогод.</w:t>
            </w:r>
          </w:p>
        </w:tc>
        <w:tc>
          <w:tcPr>
            <w:tcW w:w="956" w:type="dxa"/>
            <w:vAlign w:val="center"/>
          </w:tcPr>
          <w:p w:rsidR="006A5CA3" w:rsidRDefault="0065415D">
            <w:pPr>
              <w:jc w:val="center"/>
              <w:rPr>
                <w:noProof/>
              </w:rPr>
            </w:pPr>
            <w:r>
              <w:rPr>
                <w:noProof/>
              </w:rPr>
              <w:t>НЕ</w:t>
            </w:r>
          </w:p>
        </w:tc>
        <w:tc>
          <w:tcPr>
            <w:tcW w:w="1080" w:type="dxa"/>
            <w:vAlign w:val="center"/>
          </w:tcPr>
          <w:p w:rsidR="006A5CA3" w:rsidRDefault="0065415D">
            <w:pPr>
              <w:jc w:val="center"/>
              <w:rPr>
                <w:noProof/>
              </w:rPr>
            </w:pPr>
            <w:r>
              <w:rPr>
                <w:noProof/>
              </w:rPr>
              <w:t>НЕ</w:t>
            </w:r>
          </w:p>
        </w:tc>
        <w:tc>
          <w:tcPr>
            <w:tcW w:w="956" w:type="dxa"/>
            <w:vAlign w:val="center"/>
          </w:tcPr>
          <w:p w:rsidR="006A5CA3" w:rsidRDefault="0065415D">
            <w:pPr>
              <w:jc w:val="center"/>
              <w:rPr>
                <w:noProof/>
              </w:rPr>
            </w:pPr>
            <w:r>
              <w:rPr>
                <w:noProof/>
              </w:rPr>
              <w:t>НЕ</w:t>
            </w:r>
          </w:p>
        </w:tc>
        <w:tc>
          <w:tcPr>
            <w:tcW w:w="1448" w:type="dxa"/>
            <w:vAlign w:val="center"/>
          </w:tcPr>
          <w:p w:rsidR="006A5CA3" w:rsidRDefault="0065415D">
            <w:pPr>
              <w:jc w:val="center"/>
              <w:rPr>
                <w:noProof/>
              </w:rPr>
            </w:pPr>
            <w:r>
              <w:rPr>
                <w:noProof/>
              </w:rPr>
              <w:t>НЕ</w:t>
            </w:r>
          </w:p>
        </w:tc>
      </w:tr>
    </w:tbl>
    <w:p w:rsidR="006A5CA3" w:rsidRDefault="0065415D">
      <w:pPr>
        <w:pStyle w:val="ListBullet1"/>
        <w:rPr>
          <w:noProof/>
        </w:rPr>
      </w:pPr>
      <w:r>
        <w:rPr>
          <w:noProof/>
        </w:rPr>
        <w:t xml:space="preserve">Поискани нови бюджетни редове </w:t>
      </w:r>
    </w:p>
    <w:p w:rsidR="006A5CA3" w:rsidRDefault="0065415D">
      <w:pPr>
        <w:pStyle w:val="Text1"/>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6A5CA3">
        <w:tc>
          <w:tcPr>
            <w:tcW w:w="1080" w:type="dxa"/>
            <w:vMerge w:val="restart"/>
            <w:vAlign w:val="center"/>
          </w:tcPr>
          <w:p w:rsidR="006A5CA3" w:rsidRDefault="0065415D">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rsidR="006A5CA3" w:rsidRDefault="0065415D">
            <w:pPr>
              <w:spacing w:before="60" w:after="60"/>
              <w:jc w:val="center"/>
              <w:rPr>
                <w:noProof/>
              </w:rPr>
            </w:pPr>
            <w:r>
              <w:rPr>
                <w:noProof/>
                <w:sz w:val="20"/>
              </w:rPr>
              <w:t>Бюджетен ред</w:t>
            </w:r>
          </w:p>
        </w:tc>
        <w:tc>
          <w:tcPr>
            <w:tcW w:w="1080" w:type="dxa"/>
            <w:vAlign w:val="center"/>
          </w:tcPr>
          <w:p w:rsidR="006A5CA3" w:rsidRDefault="0065415D">
            <w:pPr>
              <w:spacing w:before="60" w:after="60"/>
              <w:jc w:val="center"/>
              <w:rPr>
                <w:noProof/>
              </w:rPr>
            </w:pPr>
            <w:r>
              <w:rPr>
                <w:noProof/>
                <w:sz w:val="18"/>
              </w:rPr>
              <w:t>Вид</w:t>
            </w:r>
            <w:r>
              <w:rPr>
                <w:noProof/>
                <w:sz w:val="22"/>
              </w:rPr>
              <w:br/>
            </w:r>
            <w:r>
              <w:rPr>
                <w:noProof/>
                <w:sz w:val="18"/>
              </w:rPr>
              <w:t>разход</w:t>
            </w:r>
          </w:p>
        </w:tc>
        <w:tc>
          <w:tcPr>
            <w:tcW w:w="4440" w:type="dxa"/>
            <w:gridSpan w:val="4"/>
            <w:vAlign w:val="center"/>
          </w:tcPr>
          <w:p w:rsidR="006A5CA3" w:rsidRDefault="0065415D">
            <w:pPr>
              <w:spacing w:before="60" w:after="60"/>
              <w:jc w:val="center"/>
              <w:rPr>
                <w:noProof/>
              </w:rPr>
            </w:pPr>
            <w:r>
              <w:rPr>
                <w:noProof/>
                <w:sz w:val="20"/>
              </w:rPr>
              <w:t xml:space="preserve">Финансов принос </w:t>
            </w:r>
          </w:p>
        </w:tc>
      </w:tr>
      <w:tr w:rsidR="006A5CA3">
        <w:tc>
          <w:tcPr>
            <w:tcW w:w="1080" w:type="dxa"/>
            <w:vMerge/>
            <w:vAlign w:val="center"/>
          </w:tcPr>
          <w:p w:rsidR="006A5CA3" w:rsidRDefault="006A5CA3">
            <w:pPr>
              <w:jc w:val="center"/>
              <w:rPr>
                <w:noProof/>
              </w:rPr>
            </w:pPr>
          </w:p>
        </w:tc>
        <w:tc>
          <w:tcPr>
            <w:tcW w:w="3960" w:type="dxa"/>
            <w:vAlign w:val="center"/>
          </w:tcPr>
          <w:p w:rsidR="006A5CA3" w:rsidRDefault="0065415D">
            <w:pPr>
              <w:rPr>
                <w:noProof/>
              </w:rPr>
            </w:pPr>
            <w:r>
              <w:rPr>
                <w:noProof/>
                <w:sz w:val="20"/>
              </w:rPr>
              <w:t xml:space="preserve">Номер </w:t>
            </w:r>
            <w:r>
              <w:rPr>
                <w:noProof/>
              </w:rPr>
              <w:br/>
              <w:t>[…]</w:t>
            </w:r>
            <w:r>
              <w:rPr>
                <w:noProof/>
                <w:sz w:val="20"/>
              </w:rPr>
              <w:t>[Наименование………………………………………]</w:t>
            </w:r>
          </w:p>
        </w:tc>
        <w:tc>
          <w:tcPr>
            <w:tcW w:w="1080" w:type="dxa"/>
            <w:vAlign w:val="center"/>
          </w:tcPr>
          <w:p w:rsidR="006A5CA3" w:rsidRDefault="0065415D">
            <w:pPr>
              <w:jc w:val="center"/>
              <w:rPr>
                <w:noProof/>
              </w:rPr>
            </w:pPr>
            <w:r>
              <w:rPr>
                <w:noProof/>
                <w:sz w:val="18"/>
              </w:rPr>
              <w:t>Многогод./едногод.</w:t>
            </w:r>
          </w:p>
        </w:tc>
        <w:tc>
          <w:tcPr>
            <w:tcW w:w="956" w:type="dxa"/>
            <w:vAlign w:val="center"/>
          </w:tcPr>
          <w:p w:rsidR="006A5CA3" w:rsidRDefault="0065415D">
            <w:pPr>
              <w:jc w:val="center"/>
              <w:rPr>
                <w:noProof/>
                <w:sz w:val="18"/>
              </w:rPr>
            </w:pPr>
            <w:r>
              <w:rPr>
                <w:noProof/>
                <w:sz w:val="18"/>
              </w:rPr>
              <w:t>от държави от ЕАСТ</w:t>
            </w:r>
          </w:p>
        </w:tc>
        <w:tc>
          <w:tcPr>
            <w:tcW w:w="1080" w:type="dxa"/>
            <w:vAlign w:val="center"/>
          </w:tcPr>
          <w:p w:rsidR="006A5CA3" w:rsidRDefault="0065415D">
            <w:pPr>
              <w:jc w:val="center"/>
              <w:rPr>
                <w:noProof/>
                <w:sz w:val="18"/>
              </w:rPr>
            </w:pPr>
            <w:r>
              <w:rPr>
                <w:noProof/>
                <w:sz w:val="18"/>
              </w:rPr>
              <w:t>от държави кандидатки</w:t>
            </w:r>
          </w:p>
        </w:tc>
        <w:tc>
          <w:tcPr>
            <w:tcW w:w="956" w:type="dxa"/>
            <w:vAlign w:val="center"/>
          </w:tcPr>
          <w:p w:rsidR="006A5CA3" w:rsidRDefault="0065415D">
            <w:pPr>
              <w:jc w:val="center"/>
              <w:rPr>
                <w:noProof/>
                <w:sz w:val="18"/>
              </w:rPr>
            </w:pPr>
            <w:r>
              <w:rPr>
                <w:noProof/>
                <w:sz w:val="18"/>
              </w:rPr>
              <w:t>от трети държави</w:t>
            </w:r>
          </w:p>
        </w:tc>
        <w:tc>
          <w:tcPr>
            <w:tcW w:w="1448" w:type="dxa"/>
            <w:vAlign w:val="center"/>
          </w:tcPr>
          <w:p w:rsidR="006A5CA3" w:rsidRDefault="0065415D">
            <w:pPr>
              <w:jc w:val="center"/>
              <w:rPr>
                <w:noProof/>
              </w:rPr>
            </w:pPr>
            <w:r>
              <w:rPr>
                <w:noProof/>
                <w:sz w:val="16"/>
              </w:rPr>
              <w:t xml:space="preserve">по смисъла на член 21, параграф 2, буква б) от Финансовия регламент </w:t>
            </w:r>
          </w:p>
        </w:tc>
      </w:tr>
      <w:tr w:rsidR="006A5CA3">
        <w:tc>
          <w:tcPr>
            <w:tcW w:w="1080" w:type="dxa"/>
            <w:vAlign w:val="center"/>
          </w:tcPr>
          <w:p w:rsidR="006A5CA3" w:rsidRDefault="006A5CA3">
            <w:pPr>
              <w:jc w:val="center"/>
              <w:rPr>
                <w:noProof/>
                <w:color w:val="0000FF"/>
              </w:rPr>
            </w:pPr>
          </w:p>
        </w:tc>
        <w:tc>
          <w:tcPr>
            <w:tcW w:w="3960" w:type="dxa"/>
            <w:vAlign w:val="center"/>
          </w:tcPr>
          <w:p w:rsidR="006A5CA3" w:rsidRDefault="0065415D">
            <w:pPr>
              <w:spacing w:before="60"/>
              <w:rPr>
                <w:noProof/>
              </w:rPr>
            </w:pPr>
            <w:r>
              <w:rPr>
                <w:noProof/>
              </w:rPr>
              <w:t>[…][XX.ГГ.ГГ.ГГ]</w:t>
            </w:r>
          </w:p>
          <w:p w:rsidR="006A5CA3" w:rsidRDefault="006A5CA3">
            <w:pPr>
              <w:spacing w:after="60"/>
              <w:rPr>
                <w:noProof/>
              </w:rPr>
            </w:pPr>
          </w:p>
        </w:tc>
        <w:tc>
          <w:tcPr>
            <w:tcW w:w="1080" w:type="dxa"/>
            <w:vAlign w:val="center"/>
          </w:tcPr>
          <w:p w:rsidR="006A5CA3" w:rsidRDefault="006A5CA3">
            <w:pPr>
              <w:jc w:val="center"/>
              <w:rPr>
                <w:noProof/>
              </w:rPr>
            </w:pPr>
          </w:p>
        </w:tc>
        <w:tc>
          <w:tcPr>
            <w:tcW w:w="956" w:type="dxa"/>
            <w:vAlign w:val="center"/>
          </w:tcPr>
          <w:p w:rsidR="006A5CA3" w:rsidRDefault="0065415D">
            <w:pPr>
              <w:jc w:val="center"/>
              <w:rPr>
                <w:noProof/>
              </w:rPr>
            </w:pPr>
            <w:r>
              <w:rPr>
                <w:noProof/>
              </w:rPr>
              <w:t>ДА/НЕ</w:t>
            </w:r>
          </w:p>
        </w:tc>
        <w:tc>
          <w:tcPr>
            <w:tcW w:w="1080" w:type="dxa"/>
            <w:vAlign w:val="center"/>
          </w:tcPr>
          <w:p w:rsidR="006A5CA3" w:rsidRDefault="0065415D">
            <w:pPr>
              <w:jc w:val="center"/>
              <w:rPr>
                <w:noProof/>
                <w:sz w:val="18"/>
              </w:rPr>
            </w:pPr>
            <w:r>
              <w:rPr>
                <w:noProof/>
              </w:rPr>
              <w:t>ДА/НЕ</w:t>
            </w:r>
          </w:p>
        </w:tc>
        <w:tc>
          <w:tcPr>
            <w:tcW w:w="956" w:type="dxa"/>
            <w:vAlign w:val="center"/>
          </w:tcPr>
          <w:p w:rsidR="006A5CA3" w:rsidRDefault="0065415D">
            <w:pPr>
              <w:jc w:val="center"/>
              <w:rPr>
                <w:noProof/>
                <w:sz w:val="18"/>
              </w:rPr>
            </w:pPr>
            <w:r>
              <w:rPr>
                <w:noProof/>
              </w:rPr>
              <w:t>ДА/НЕ</w:t>
            </w:r>
          </w:p>
        </w:tc>
        <w:tc>
          <w:tcPr>
            <w:tcW w:w="1448" w:type="dxa"/>
            <w:vAlign w:val="center"/>
          </w:tcPr>
          <w:p w:rsidR="006A5CA3" w:rsidRDefault="0065415D">
            <w:pPr>
              <w:jc w:val="center"/>
              <w:rPr>
                <w:noProof/>
              </w:rPr>
            </w:pPr>
            <w:r>
              <w:rPr>
                <w:noProof/>
              </w:rPr>
              <w:t>ДА/НЕ</w:t>
            </w:r>
          </w:p>
        </w:tc>
      </w:tr>
    </w:tbl>
    <w:p w:rsidR="006A5CA3" w:rsidRDefault="006A5CA3">
      <w:pPr>
        <w:rPr>
          <w:noProof/>
        </w:rPr>
        <w:sectPr w:rsidR="006A5CA3">
          <w:pgSz w:w="11907" w:h="16840" w:code="1"/>
          <w:pgMar w:top="1134" w:right="1418" w:bottom="1134" w:left="1418" w:header="709" w:footer="709" w:gutter="0"/>
          <w:cols w:space="708"/>
          <w:docGrid w:linePitch="360"/>
        </w:sectPr>
      </w:pPr>
    </w:p>
    <w:p w:rsidR="006A5CA3" w:rsidRDefault="0065415D">
      <w:pPr>
        <w:pStyle w:val="ManualHeading2"/>
        <w:rPr>
          <w:bCs/>
          <w:noProof/>
          <w:szCs w:val="24"/>
        </w:rPr>
      </w:pPr>
      <w:bookmarkStart w:id="53" w:name="_Toc514938052"/>
      <w:bookmarkStart w:id="54" w:name="_Toc520485051"/>
      <w:r>
        <w:t>3.2.</w:t>
      </w:r>
      <w:r>
        <w:tab/>
      </w:r>
      <w:r>
        <w:rPr>
          <w:noProof/>
        </w:rPr>
        <w:t>Очаквано финансово отражение на предложението върху бюджетните кредити</w:t>
      </w:r>
      <w:bookmarkEnd w:id="53"/>
      <w:bookmarkEnd w:id="54"/>
      <w:r>
        <w:rPr>
          <w:noProof/>
        </w:rPr>
        <w:t xml:space="preserve"> </w:t>
      </w:r>
    </w:p>
    <w:p w:rsidR="006A5CA3" w:rsidRDefault="0065415D">
      <w:pPr>
        <w:pStyle w:val="ManualHeading3"/>
        <w:rPr>
          <w:noProof/>
        </w:rPr>
      </w:pPr>
      <w:bookmarkStart w:id="55" w:name="_Toc514938053"/>
      <w:bookmarkStart w:id="56" w:name="_Toc520485052"/>
      <w:r>
        <w:t>3.2.1.</w:t>
      </w:r>
      <w:r>
        <w:tab/>
      </w:r>
      <w:r>
        <w:rPr>
          <w:noProof/>
        </w:rPr>
        <w:t xml:space="preserve">Обобщение на </w:t>
      </w:r>
      <w:r>
        <w:rPr>
          <w:noProof/>
        </w:rPr>
        <w:t>очакваното отражение върху бюджетните кредити за оперативни разходи</w:t>
      </w:r>
      <w:bookmarkEnd w:id="55"/>
      <w:bookmarkEnd w:id="56"/>
      <w:r>
        <w:rPr>
          <w:noProof/>
        </w:rPr>
        <w:t xml:space="preserve"> </w:t>
      </w:r>
    </w:p>
    <w:p w:rsidR="006A5CA3" w:rsidRDefault="0065415D">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rsidR="006A5CA3" w:rsidRDefault="0065415D">
      <w:pPr>
        <w:pStyle w:val="ListDash1"/>
        <w:rPr>
          <w:noProof/>
        </w:rPr>
      </w:pPr>
      <w:r>
        <w:rPr>
          <w:noProof/>
        </w:rPr>
        <w:sym w:font="Wingdings" w:char="F0A8"/>
      </w:r>
      <w:r>
        <w:rPr>
          <w:noProof/>
        </w:rPr>
        <w:tab/>
        <w:t>Предложението/инициативата налага използване на бюджетни кредити за оперативни разходи съгла</w:t>
      </w:r>
      <w:r>
        <w:rPr>
          <w:noProof/>
        </w:rPr>
        <w:t>сно обяснението по-долу:</w:t>
      </w:r>
    </w:p>
    <w:p w:rsidR="006A5CA3" w:rsidRDefault="0065415D">
      <w:pPr>
        <w:jc w:val="right"/>
        <w:rPr>
          <w:noProof/>
          <w:sz w:val="18"/>
          <w:szCs w:val="18"/>
        </w:rPr>
      </w:pPr>
      <w:r>
        <w:rPr>
          <w:noProof/>
          <w:sz w:val="18"/>
        </w:rPr>
        <w:t>млн. евро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6A5CA3">
        <w:trPr>
          <w:jc w:val="center"/>
        </w:trPr>
        <w:tc>
          <w:tcPr>
            <w:tcW w:w="4744" w:type="dxa"/>
            <w:shd w:val="thinDiagStripe" w:color="C0C0C0" w:fill="auto"/>
            <w:vAlign w:val="center"/>
          </w:tcPr>
          <w:p w:rsidR="006A5CA3" w:rsidRDefault="0065415D">
            <w:pPr>
              <w:spacing w:before="60" w:after="60"/>
              <w:jc w:val="center"/>
              <w:rPr>
                <w:b/>
                <w:noProof/>
              </w:rPr>
            </w:pPr>
            <w:r>
              <w:rPr>
                <w:b/>
                <w:noProof/>
                <w:sz w:val="22"/>
              </w:rPr>
              <w:t>Функция от многогодишната финансова</w:t>
            </w:r>
            <w:r>
              <w:rPr>
                <w:noProof/>
                <w:sz w:val="22"/>
              </w:rPr>
              <w:br/>
            </w:r>
            <w:r>
              <w:rPr>
                <w:b/>
                <w:noProof/>
                <w:sz w:val="22"/>
              </w:rPr>
              <w:t xml:space="preserve">рамка </w:t>
            </w:r>
          </w:p>
        </w:tc>
        <w:tc>
          <w:tcPr>
            <w:tcW w:w="1080" w:type="dxa"/>
            <w:vAlign w:val="center"/>
          </w:tcPr>
          <w:p w:rsidR="006A5CA3" w:rsidRDefault="0065415D">
            <w:pPr>
              <w:spacing w:before="60" w:after="60"/>
              <w:jc w:val="center"/>
              <w:rPr>
                <w:noProof/>
              </w:rPr>
            </w:pPr>
            <w:r>
              <w:rPr>
                <w:noProof/>
                <w:sz w:val="22"/>
              </w:rPr>
              <w:t>Номер</w:t>
            </w:r>
          </w:p>
        </w:tc>
        <w:tc>
          <w:tcPr>
            <w:tcW w:w="7817" w:type="dxa"/>
            <w:vAlign w:val="center"/>
          </w:tcPr>
          <w:p w:rsidR="006A5CA3" w:rsidRDefault="006A5CA3">
            <w:pPr>
              <w:spacing w:before="60" w:after="60"/>
              <w:rPr>
                <w:noProof/>
              </w:rPr>
            </w:pPr>
          </w:p>
        </w:tc>
      </w:tr>
    </w:tbl>
    <w:p w:rsidR="006A5CA3" w:rsidRDefault="006A5CA3">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6A5CA3">
        <w:tc>
          <w:tcPr>
            <w:tcW w:w="3960" w:type="dxa"/>
            <w:vAlign w:val="center"/>
          </w:tcPr>
          <w:p w:rsidR="006A5CA3" w:rsidRDefault="0065415D">
            <w:pPr>
              <w:jc w:val="center"/>
              <w:rPr>
                <w:noProof/>
              </w:rPr>
            </w:pPr>
            <w:r>
              <w:rPr>
                <w:noProof/>
                <w:sz w:val="22"/>
              </w:rPr>
              <w:t>ГД: &lt;…….&gt;</w:t>
            </w:r>
          </w:p>
        </w:tc>
        <w:tc>
          <w:tcPr>
            <w:tcW w:w="1560" w:type="dxa"/>
            <w:gridSpan w:val="2"/>
          </w:tcPr>
          <w:p w:rsidR="006A5CA3" w:rsidRDefault="006A5CA3">
            <w:pPr>
              <w:rPr>
                <w:noProof/>
                <w:sz w:val="20"/>
              </w:rPr>
            </w:pPr>
          </w:p>
        </w:tc>
        <w:tc>
          <w:tcPr>
            <w:tcW w:w="534" w:type="dxa"/>
          </w:tcPr>
          <w:p w:rsidR="006A5CA3" w:rsidRDefault="006A5CA3">
            <w:pPr>
              <w:jc w:val="center"/>
              <w:rPr>
                <w:noProof/>
                <w:sz w:val="20"/>
              </w:rPr>
            </w:pPr>
          </w:p>
        </w:tc>
        <w:tc>
          <w:tcPr>
            <w:tcW w:w="868" w:type="dxa"/>
            <w:vAlign w:val="center"/>
          </w:tcPr>
          <w:p w:rsidR="006A5CA3" w:rsidRDefault="0065415D">
            <w:pPr>
              <w:jc w:val="center"/>
              <w:rPr>
                <w:noProof/>
                <w:sz w:val="20"/>
              </w:rPr>
            </w:pPr>
            <w:r>
              <w:rPr>
                <w:noProof/>
                <w:sz w:val="20"/>
              </w:rPr>
              <w:t>Година</w:t>
            </w:r>
            <w:r>
              <w:rPr>
                <w:noProof/>
                <w:sz w:val="22"/>
              </w:rPr>
              <w:br/>
            </w:r>
            <w:r>
              <w:rPr>
                <w:b/>
                <w:noProof/>
                <w:sz w:val="20"/>
              </w:rPr>
              <w:t>N</w:t>
            </w:r>
            <w:r>
              <w:rPr>
                <w:rStyle w:val="FootnoteReference"/>
                <w:b/>
                <w:noProof/>
                <w:sz w:val="20"/>
              </w:rPr>
              <w:footnoteReference w:id="10"/>
            </w:r>
          </w:p>
        </w:tc>
        <w:tc>
          <w:tcPr>
            <w:tcW w:w="868" w:type="dxa"/>
            <w:vAlign w:val="center"/>
          </w:tcPr>
          <w:p w:rsidR="006A5CA3" w:rsidRDefault="0065415D">
            <w:pPr>
              <w:jc w:val="center"/>
              <w:rPr>
                <w:noProof/>
                <w:sz w:val="20"/>
              </w:rPr>
            </w:pPr>
            <w:r>
              <w:rPr>
                <w:noProof/>
                <w:sz w:val="20"/>
              </w:rPr>
              <w:t>Година</w:t>
            </w:r>
            <w:r>
              <w:rPr>
                <w:noProof/>
                <w:sz w:val="22"/>
              </w:rPr>
              <w:br/>
            </w:r>
            <w:r>
              <w:rPr>
                <w:b/>
                <w:noProof/>
                <w:sz w:val="20"/>
              </w:rPr>
              <w:t>N+1</w:t>
            </w:r>
          </w:p>
        </w:tc>
        <w:tc>
          <w:tcPr>
            <w:tcW w:w="868" w:type="dxa"/>
            <w:vAlign w:val="center"/>
          </w:tcPr>
          <w:p w:rsidR="006A5CA3" w:rsidRDefault="0065415D">
            <w:pPr>
              <w:jc w:val="center"/>
              <w:rPr>
                <w:noProof/>
                <w:sz w:val="20"/>
              </w:rPr>
            </w:pPr>
            <w:r>
              <w:rPr>
                <w:noProof/>
                <w:sz w:val="20"/>
              </w:rPr>
              <w:t>Година</w:t>
            </w:r>
            <w:r>
              <w:rPr>
                <w:noProof/>
                <w:sz w:val="22"/>
              </w:rPr>
              <w:br/>
            </w:r>
            <w:r>
              <w:rPr>
                <w:b/>
                <w:noProof/>
                <w:sz w:val="20"/>
              </w:rPr>
              <w:t>N+2</w:t>
            </w:r>
          </w:p>
        </w:tc>
        <w:tc>
          <w:tcPr>
            <w:tcW w:w="868" w:type="dxa"/>
            <w:vAlign w:val="center"/>
          </w:tcPr>
          <w:p w:rsidR="006A5CA3" w:rsidRDefault="0065415D">
            <w:pPr>
              <w:jc w:val="center"/>
              <w:rPr>
                <w:noProof/>
                <w:sz w:val="20"/>
              </w:rPr>
            </w:pPr>
            <w:r>
              <w:rPr>
                <w:noProof/>
                <w:sz w:val="20"/>
              </w:rPr>
              <w:t>Година</w:t>
            </w:r>
            <w:r>
              <w:rPr>
                <w:noProof/>
                <w:sz w:val="22"/>
              </w:rPr>
              <w:br/>
            </w:r>
            <w:r>
              <w:rPr>
                <w:b/>
                <w:noProof/>
                <w:sz w:val="20"/>
              </w:rPr>
              <w:t>N+3</w:t>
            </w:r>
          </w:p>
        </w:tc>
        <w:tc>
          <w:tcPr>
            <w:tcW w:w="2604" w:type="dxa"/>
            <w:gridSpan w:val="3"/>
            <w:vAlign w:val="center"/>
          </w:tcPr>
          <w:p w:rsidR="006A5CA3" w:rsidRDefault="0065415D">
            <w:pPr>
              <w:jc w:val="center"/>
              <w:rPr>
                <w:b/>
                <w:noProof/>
                <w:sz w:val="18"/>
              </w:rPr>
            </w:pPr>
            <w:r>
              <w:rPr>
                <w:noProof/>
                <w:sz w:val="18"/>
              </w:rPr>
              <w:t xml:space="preserve">Да се добавят толкова години, колкото е необходимо, за да се обхване </w:t>
            </w:r>
            <w:r>
              <w:rPr>
                <w:noProof/>
                <w:sz w:val="18"/>
              </w:rPr>
              <w:t>продължителността на отражението (вж. точка 1.6)</w:t>
            </w:r>
          </w:p>
        </w:tc>
        <w:tc>
          <w:tcPr>
            <w:tcW w:w="1777" w:type="dxa"/>
            <w:vAlign w:val="center"/>
          </w:tcPr>
          <w:p w:rsidR="006A5CA3" w:rsidRDefault="0065415D">
            <w:pPr>
              <w:jc w:val="center"/>
              <w:rPr>
                <w:b/>
                <w:noProof/>
                <w:sz w:val="20"/>
              </w:rPr>
            </w:pPr>
            <w:r>
              <w:rPr>
                <w:b/>
                <w:noProof/>
                <w:sz w:val="20"/>
              </w:rPr>
              <w:t>ОБЩО</w:t>
            </w:r>
          </w:p>
        </w:tc>
      </w:tr>
      <w:tr w:rsidR="006A5CA3">
        <w:trPr>
          <w:trHeight w:val="213"/>
        </w:trPr>
        <w:tc>
          <w:tcPr>
            <w:tcW w:w="6054" w:type="dxa"/>
            <w:gridSpan w:val="4"/>
            <w:vAlign w:val="center"/>
          </w:tcPr>
          <w:p w:rsidR="006A5CA3" w:rsidRDefault="0065415D">
            <w:pPr>
              <w:spacing w:before="20" w:after="20"/>
              <w:rPr>
                <w:noProof/>
                <w:sz w:val="21"/>
              </w:rPr>
            </w:pPr>
            <w:r>
              <w:rPr>
                <w:noProof/>
                <w:sz w:val="21"/>
              </w:rPr>
              <w:sym w:font="Wingdings" w:char="F09F"/>
            </w:r>
            <w:r>
              <w:rPr>
                <w:noProof/>
                <w:sz w:val="21"/>
              </w:rPr>
              <w:t>Бюджетни кредити за оперативни разходи</w:t>
            </w:r>
          </w:p>
        </w:tc>
        <w:tc>
          <w:tcPr>
            <w:tcW w:w="868" w:type="dxa"/>
            <w:vAlign w:val="center"/>
          </w:tcPr>
          <w:p w:rsidR="006A5CA3" w:rsidRDefault="006A5CA3">
            <w:pPr>
              <w:rPr>
                <w:noProof/>
                <w:sz w:val="20"/>
              </w:rPr>
            </w:pPr>
          </w:p>
        </w:tc>
        <w:tc>
          <w:tcPr>
            <w:tcW w:w="868" w:type="dxa"/>
            <w:vAlign w:val="center"/>
          </w:tcPr>
          <w:p w:rsidR="006A5CA3" w:rsidRDefault="006A5CA3">
            <w:pPr>
              <w:rPr>
                <w:noProof/>
                <w:sz w:val="20"/>
              </w:rPr>
            </w:pPr>
          </w:p>
        </w:tc>
        <w:tc>
          <w:tcPr>
            <w:tcW w:w="868" w:type="dxa"/>
            <w:vAlign w:val="center"/>
          </w:tcPr>
          <w:p w:rsidR="006A5CA3" w:rsidRDefault="006A5CA3">
            <w:pPr>
              <w:rPr>
                <w:noProof/>
                <w:sz w:val="20"/>
              </w:rPr>
            </w:pPr>
          </w:p>
        </w:tc>
        <w:tc>
          <w:tcPr>
            <w:tcW w:w="868" w:type="dxa"/>
            <w:vAlign w:val="center"/>
          </w:tcPr>
          <w:p w:rsidR="006A5CA3" w:rsidRDefault="006A5CA3">
            <w:pPr>
              <w:rPr>
                <w:noProof/>
                <w:sz w:val="20"/>
              </w:rPr>
            </w:pPr>
          </w:p>
        </w:tc>
        <w:tc>
          <w:tcPr>
            <w:tcW w:w="868" w:type="dxa"/>
            <w:vAlign w:val="center"/>
          </w:tcPr>
          <w:p w:rsidR="006A5CA3" w:rsidRDefault="006A5CA3">
            <w:pPr>
              <w:rPr>
                <w:noProof/>
                <w:sz w:val="20"/>
              </w:rPr>
            </w:pPr>
          </w:p>
        </w:tc>
        <w:tc>
          <w:tcPr>
            <w:tcW w:w="868" w:type="dxa"/>
            <w:vAlign w:val="center"/>
          </w:tcPr>
          <w:p w:rsidR="006A5CA3" w:rsidRDefault="006A5CA3">
            <w:pPr>
              <w:rPr>
                <w:noProof/>
                <w:sz w:val="20"/>
              </w:rPr>
            </w:pPr>
          </w:p>
        </w:tc>
        <w:tc>
          <w:tcPr>
            <w:tcW w:w="868" w:type="dxa"/>
            <w:vAlign w:val="center"/>
          </w:tcPr>
          <w:p w:rsidR="006A5CA3" w:rsidRDefault="006A5CA3">
            <w:pPr>
              <w:rPr>
                <w:b/>
                <w:noProof/>
                <w:sz w:val="20"/>
              </w:rPr>
            </w:pPr>
          </w:p>
        </w:tc>
        <w:tc>
          <w:tcPr>
            <w:tcW w:w="1777" w:type="dxa"/>
            <w:vAlign w:val="center"/>
          </w:tcPr>
          <w:p w:rsidR="006A5CA3" w:rsidRDefault="006A5CA3">
            <w:pPr>
              <w:rPr>
                <w:b/>
                <w:noProof/>
                <w:sz w:val="20"/>
              </w:rPr>
            </w:pPr>
          </w:p>
        </w:tc>
      </w:tr>
      <w:tr w:rsidR="006A5CA3">
        <w:trPr>
          <w:trHeight w:val="277"/>
        </w:trPr>
        <w:tc>
          <w:tcPr>
            <w:tcW w:w="3960" w:type="dxa"/>
            <w:vMerge w:val="restart"/>
            <w:vAlign w:val="center"/>
          </w:tcPr>
          <w:p w:rsidR="006A5CA3" w:rsidRDefault="0065415D">
            <w:pPr>
              <w:rPr>
                <w:noProof/>
              </w:rPr>
            </w:pPr>
            <w:r>
              <w:rPr>
                <w:noProof/>
                <w:sz w:val="20"/>
              </w:rPr>
              <w:t>Бюджетен ред</w:t>
            </w:r>
            <w:r>
              <w:rPr>
                <w:rStyle w:val="FootnoteReference"/>
                <w:noProof/>
                <w:sz w:val="20"/>
              </w:rPr>
              <w:footnoteReference w:id="11"/>
            </w:r>
          </w:p>
        </w:tc>
        <w:tc>
          <w:tcPr>
            <w:tcW w:w="1440" w:type="dxa"/>
            <w:vAlign w:val="center"/>
          </w:tcPr>
          <w:p w:rsidR="006A5CA3" w:rsidRDefault="0065415D">
            <w:pPr>
              <w:spacing w:before="20" w:after="20"/>
              <w:rPr>
                <w:noProof/>
                <w:sz w:val="18"/>
              </w:rPr>
            </w:pPr>
            <w:r>
              <w:rPr>
                <w:noProof/>
                <w:sz w:val="18"/>
              </w:rPr>
              <w:t>Поети задължения</w:t>
            </w:r>
          </w:p>
        </w:tc>
        <w:tc>
          <w:tcPr>
            <w:tcW w:w="654" w:type="dxa"/>
            <w:gridSpan w:val="2"/>
            <w:vAlign w:val="center"/>
          </w:tcPr>
          <w:p w:rsidR="006A5CA3" w:rsidRDefault="0065415D">
            <w:pPr>
              <w:spacing w:before="20" w:after="20"/>
              <w:jc w:val="center"/>
              <w:rPr>
                <w:noProof/>
                <w:sz w:val="14"/>
              </w:rPr>
            </w:pPr>
            <w:r>
              <w:rPr>
                <w:noProof/>
                <w:sz w:val="14"/>
              </w:rPr>
              <w:t>(1а)</w:t>
            </w: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b/>
                <w:noProof/>
                <w:sz w:val="20"/>
              </w:rPr>
            </w:pPr>
          </w:p>
        </w:tc>
        <w:tc>
          <w:tcPr>
            <w:tcW w:w="1777" w:type="dxa"/>
            <w:vAlign w:val="center"/>
          </w:tcPr>
          <w:p w:rsidR="006A5CA3" w:rsidRDefault="006A5CA3">
            <w:pPr>
              <w:spacing w:before="20" w:after="20"/>
              <w:jc w:val="right"/>
              <w:rPr>
                <w:b/>
                <w:noProof/>
                <w:sz w:val="20"/>
              </w:rPr>
            </w:pPr>
          </w:p>
        </w:tc>
      </w:tr>
      <w:tr w:rsidR="006A5CA3">
        <w:tc>
          <w:tcPr>
            <w:tcW w:w="3960" w:type="dxa"/>
            <w:vMerge/>
          </w:tcPr>
          <w:p w:rsidR="006A5CA3" w:rsidRDefault="006A5CA3">
            <w:pPr>
              <w:jc w:val="center"/>
              <w:rPr>
                <w:noProof/>
                <w:sz w:val="20"/>
              </w:rPr>
            </w:pPr>
          </w:p>
        </w:tc>
        <w:tc>
          <w:tcPr>
            <w:tcW w:w="1440" w:type="dxa"/>
            <w:vAlign w:val="center"/>
          </w:tcPr>
          <w:p w:rsidR="006A5CA3" w:rsidRDefault="0065415D">
            <w:pPr>
              <w:spacing w:before="20" w:after="20"/>
              <w:rPr>
                <w:noProof/>
                <w:sz w:val="18"/>
              </w:rPr>
            </w:pPr>
            <w:r>
              <w:rPr>
                <w:noProof/>
                <w:sz w:val="18"/>
              </w:rPr>
              <w:t>Плащания</w:t>
            </w:r>
          </w:p>
        </w:tc>
        <w:tc>
          <w:tcPr>
            <w:tcW w:w="654" w:type="dxa"/>
            <w:gridSpan w:val="2"/>
            <w:vAlign w:val="center"/>
          </w:tcPr>
          <w:p w:rsidR="006A5CA3" w:rsidRDefault="0065415D">
            <w:pPr>
              <w:spacing w:before="20" w:after="20"/>
              <w:jc w:val="center"/>
              <w:rPr>
                <w:noProof/>
                <w:sz w:val="14"/>
              </w:rPr>
            </w:pPr>
            <w:r>
              <w:rPr>
                <w:noProof/>
                <w:sz w:val="14"/>
              </w:rPr>
              <w:t>(2а)</w:t>
            </w: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b/>
                <w:noProof/>
                <w:sz w:val="20"/>
              </w:rPr>
            </w:pPr>
          </w:p>
        </w:tc>
        <w:tc>
          <w:tcPr>
            <w:tcW w:w="1777" w:type="dxa"/>
            <w:vAlign w:val="center"/>
          </w:tcPr>
          <w:p w:rsidR="006A5CA3" w:rsidRDefault="006A5CA3">
            <w:pPr>
              <w:spacing w:before="20" w:after="20"/>
              <w:jc w:val="right"/>
              <w:rPr>
                <w:b/>
                <w:noProof/>
                <w:sz w:val="20"/>
              </w:rPr>
            </w:pPr>
          </w:p>
        </w:tc>
      </w:tr>
      <w:tr w:rsidR="006A5CA3">
        <w:tc>
          <w:tcPr>
            <w:tcW w:w="3960" w:type="dxa"/>
            <w:vMerge w:val="restart"/>
            <w:vAlign w:val="center"/>
          </w:tcPr>
          <w:p w:rsidR="006A5CA3" w:rsidRDefault="0065415D">
            <w:pPr>
              <w:rPr>
                <w:noProof/>
              </w:rPr>
            </w:pPr>
            <w:r>
              <w:rPr>
                <w:noProof/>
                <w:sz w:val="20"/>
              </w:rPr>
              <w:t>Бюджетен ред</w:t>
            </w:r>
          </w:p>
        </w:tc>
        <w:tc>
          <w:tcPr>
            <w:tcW w:w="1440" w:type="dxa"/>
            <w:vAlign w:val="center"/>
          </w:tcPr>
          <w:p w:rsidR="006A5CA3" w:rsidRDefault="0065415D">
            <w:pPr>
              <w:spacing w:before="20" w:after="20"/>
              <w:rPr>
                <w:noProof/>
                <w:sz w:val="18"/>
              </w:rPr>
            </w:pPr>
            <w:r>
              <w:rPr>
                <w:noProof/>
                <w:sz w:val="18"/>
              </w:rPr>
              <w:t>Поети задължения</w:t>
            </w:r>
          </w:p>
        </w:tc>
        <w:tc>
          <w:tcPr>
            <w:tcW w:w="654" w:type="dxa"/>
            <w:gridSpan w:val="2"/>
            <w:vAlign w:val="center"/>
          </w:tcPr>
          <w:p w:rsidR="006A5CA3" w:rsidRDefault="0065415D">
            <w:pPr>
              <w:spacing w:before="20" w:after="20"/>
              <w:jc w:val="center"/>
              <w:rPr>
                <w:noProof/>
                <w:sz w:val="14"/>
              </w:rPr>
            </w:pPr>
            <w:r>
              <w:rPr>
                <w:noProof/>
                <w:sz w:val="14"/>
              </w:rPr>
              <w:t>(1б)</w:t>
            </w: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b/>
                <w:noProof/>
                <w:sz w:val="20"/>
              </w:rPr>
            </w:pPr>
          </w:p>
        </w:tc>
        <w:tc>
          <w:tcPr>
            <w:tcW w:w="1777" w:type="dxa"/>
            <w:vAlign w:val="center"/>
          </w:tcPr>
          <w:p w:rsidR="006A5CA3" w:rsidRDefault="006A5CA3">
            <w:pPr>
              <w:spacing w:before="20" w:after="20"/>
              <w:jc w:val="right"/>
              <w:rPr>
                <w:b/>
                <w:noProof/>
                <w:sz w:val="20"/>
              </w:rPr>
            </w:pPr>
          </w:p>
        </w:tc>
      </w:tr>
      <w:tr w:rsidR="006A5CA3">
        <w:tc>
          <w:tcPr>
            <w:tcW w:w="3960" w:type="dxa"/>
            <w:vMerge/>
          </w:tcPr>
          <w:p w:rsidR="006A5CA3" w:rsidRDefault="006A5CA3">
            <w:pPr>
              <w:jc w:val="center"/>
              <w:rPr>
                <w:noProof/>
                <w:sz w:val="20"/>
              </w:rPr>
            </w:pPr>
          </w:p>
        </w:tc>
        <w:tc>
          <w:tcPr>
            <w:tcW w:w="1440" w:type="dxa"/>
            <w:vAlign w:val="center"/>
          </w:tcPr>
          <w:p w:rsidR="006A5CA3" w:rsidRDefault="0065415D">
            <w:pPr>
              <w:spacing w:before="20" w:after="20"/>
              <w:rPr>
                <w:noProof/>
                <w:sz w:val="18"/>
              </w:rPr>
            </w:pPr>
            <w:r>
              <w:rPr>
                <w:noProof/>
                <w:sz w:val="18"/>
              </w:rPr>
              <w:t>Плащания</w:t>
            </w:r>
          </w:p>
        </w:tc>
        <w:tc>
          <w:tcPr>
            <w:tcW w:w="654" w:type="dxa"/>
            <w:gridSpan w:val="2"/>
            <w:vAlign w:val="center"/>
          </w:tcPr>
          <w:p w:rsidR="006A5CA3" w:rsidRDefault="0065415D">
            <w:pPr>
              <w:spacing w:before="20" w:after="20"/>
              <w:jc w:val="center"/>
              <w:rPr>
                <w:noProof/>
                <w:sz w:val="14"/>
              </w:rPr>
            </w:pPr>
            <w:r>
              <w:rPr>
                <w:noProof/>
                <w:sz w:val="14"/>
              </w:rPr>
              <w:t>(2б)</w:t>
            </w: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b/>
                <w:noProof/>
                <w:sz w:val="20"/>
              </w:rPr>
            </w:pPr>
          </w:p>
        </w:tc>
        <w:tc>
          <w:tcPr>
            <w:tcW w:w="1777" w:type="dxa"/>
            <w:vAlign w:val="center"/>
          </w:tcPr>
          <w:p w:rsidR="006A5CA3" w:rsidRDefault="006A5CA3">
            <w:pPr>
              <w:spacing w:before="20" w:after="20"/>
              <w:jc w:val="right"/>
              <w:rPr>
                <w:b/>
                <w:noProof/>
                <w:sz w:val="20"/>
              </w:rPr>
            </w:pPr>
          </w:p>
        </w:tc>
      </w:tr>
      <w:tr w:rsidR="006A5CA3">
        <w:trPr>
          <w:trHeight w:val="231"/>
        </w:trPr>
        <w:tc>
          <w:tcPr>
            <w:tcW w:w="6054" w:type="dxa"/>
            <w:gridSpan w:val="4"/>
            <w:vAlign w:val="center"/>
          </w:tcPr>
          <w:p w:rsidR="006A5CA3" w:rsidRDefault="0065415D">
            <w:pPr>
              <w:spacing w:before="20" w:after="20"/>
              <w:rPr>
                <w:noProof/>
              </w:rPr>
            </w:pPr>
            <w:r>
              <w:rPr>
                <w:noProof/>
                <w:sz w:val="21"/>
              </w:rPr>
              <w:t xml:space="preserve">Бюджетни </w:t>
            </w:r>
            <w:r>
              <w:rPr>
                <w:noProof/>
                <w:sz w:val="21"/>
              </w:rPr>
              <w:t>кредити за административни разходи, финансирани от пакета за определени програми</w:t>
            </w:r>
            <w:r>
              <w:rPr>
                <w:rStyle w:val="FootnoteReference"/>
                <w:noProof/>
                <w:sz w:val="21"/>
              </w:rPr>
              <w:footnoteReference w:id="12"/>
            </w:r>
            <w:r>
              <w:rPr>
                <w:noProof/>
                <w:sz w:val="21"/>
              </w:rPr>
              <w:t xml:space="preserve"> </w:t>
            </w:r>
          </w:p>
          <w:p w:rsidR="006A5CA3" w:rsidRDefault="006A5CA3">
            <w:pPr>
              <w:spacing w:before="0" w:after="0"/>
              <w:rPr>
                <w:noProof/>
              </w:rPr>
            </w:pPr>
          </w:p>
        </w:tc>
        <w:tc>
          <w:tcPr>
            <w:tcW w:w="868" w:type="dxa"/>
            <w:vAlign w:val="center"/>
          </w:tcPr>
          <w:p w:rsidR="006A5CA3" w:rsidRDefault="006A5CA3">
            <w:pPr>
              <w:rPr>
                <w:b/>
                <w:noProof/>
                <w:sz w:val="20"/>
              </w:rPr>
            </w:pPr>
          </w:p>
        </w:tc>
        <w:tc>
          <w:tcPr>
            <w:tcW w:w="868" w:type="dxa"/>
            <w:vAlign w:val="center"/>
          </w:tcPr>
          <w:p w:rsidR="006A5CA3" w:rsidRDefault="006A5CA3">
            <w:pPr>
              <w:rPr>
                <w:b/>
                <w:noProof/>
                <w:sz w:val="20"/>
              </w:rPr>
            </w:pPr>
          </w:p>
        </w:tc>
        <w:tc>
          <w:tcPr>
            <w:tcW w:w="868" w:type="dxa"/>
            <w:vAlign w:val="center"/>
          </w:tcPr>
          <w:p w:rsidR="006A5CA3" w:rsidRDefault="006A5CA3">
            <w:pPr>
              <w:rPr>
                <w:b/>
                <w:noProof/>
                <w:sz w:val="20"/>
              </w:rPr>
            </w:pPr>
          </w:p>
        </w:tc>
        <w:tc>
          <w:tcPr>
            <w:tcW w:w="868" w:type="dxa"/>
            <w:vAlign w:val="center"/>
          </w:tcPr>
          <w:p w:rsidR="006A5CA3" w:rsidRDefault="006A5CA3">
            <w:pPr>
              <w:rPr>
                <w:b/>
                <w:noProof/>
                <w:sz w:val="20"/>
              </w:rPr>
            </w:pPr>
          </w:p>
        </w:tc>
        <w:tc>
          <w:tcPr>
            <w:tcW w:w="868" w:type="dxa"/>
            <w:vAlign w:val="center"/>
          </w:tcPr>
          <w:p w:rsidR="006A5CA3" w:rsidRDefault="006A5CA3">
            <w:pPr>
              <w:rPr>
                <w:b/>
                <w:noProof/>
                <w:sz w:val="20"/>
              </w:rPr>
            </w:pPr>
          </w:p>
        </w:tc>
        <w:tc>
          <w:tcPr>
            <w:tcW w:w="868" w:type="dxa"/>
            <w:vAlign w:val="center"/>
          </w:tcPr>
          <w:p w:rsidR="006A5CA3" w:rsidRDefault="006A5CA3">
            <w:pPr>
              <w:rPr>
                <w:b/>
                <w:noProof/>
                <w:sz w:val="20"/>
              </w:rPr>
            </w:pPr>
          </w:p>
        </w:tc>
        <w:tc>
          <w:tcPr>
            <w:tcW w:w="868" w:type="dxa"/>
            <w:vAlign w:val="center"/>
          </w:tcPr>
          <w:p w:rsidR="006A5CA3" w:rsidRDefault="006A5CA3">
            <w:pPr>
              <w:rPr>
                <w:b/>
                <w:noProof/>
                <w:sz w:val="20"/>
              </w:rPr>
            </w:pPr>
          </w:p>
        </w:tc>
        <w:tc>
          <w:tcPr>
            <w:tcW w:w="1777" w:type="dxa"/>
            <w:vAlign w:val="center"/>
          </w:tcPr>
          <w:p w:rsidR="006A5CA3" w:rsidRDefault="006A5CA3">
            <w:pPr>
              <w:rPr>
                <w:b/>
                <w:noProof/>
                <w:sz w:val="20"/>
              </w:rPr>
            </w:pPr>
          </w:p>
        </w:tc>
      </w:tr>
      <w:tr w:rsidR="006A5CA3">
        <w:trPr>
          <w:trHeight w:val="319"/>
        </w:trPr>
        <w:tc>
          <w:tcPr>
            <w:tcW w:w="3960" w:type="dxa"/>
            <w:vAlign w:val="center"/>
          </w:tcPr>
          <w:p w:rsidR="006A5CA3" w:rsidRDefault="0065415D">
            <w:pPr>
              <w:spacing w:before="60" w:after="60"/>
              <w:rPr>
                <w:noProof/>
              </w:rPr>
            </w:pPr>
            <w:r>
              <w:rPr>
                <w:noProof/>
                <w:sz w:val="20"/>
              </w:rPr>
              <w:t>Бюджетен ред</w:t>
            </w:r>
          </w:p>
        </w:tc>
        <w:tc>
          <w:tcPr>
            <w:tcW w:w="1440" w:type="dxa"/>
            <w:vAlign w:val="center"/>
          </w:tcPr>
          <w:p w:rsidR="006A5CA3" w:rsidRDefault="006A5CA3">
            <w:pPr>
              <w:spacing w:before="40" w:after="40"/>
              <w:jc w:val="right"/>
              <w:rPr>
                <w:noProof/>
                <w:sz w:val="18"/>
              </w:rPr>
            </w:pPr>
          </w:p>
        </w:tc>
        <w:tc>
          <w:tcPr>
            <w:tcW w:w="654" w:type="dxa"/>
            <w:gridSpan w:val="2"/>
            <w:vAlign w:val="center"/>
          </w:tcPr>
          <w:p w:rsidR="006A5CA3" w:rsidRDefault="0065415D">
            <w:pPr>
              <w:spacing w:before="40" w:after="40"/>
              <w:jc w:val="center"/>
              <w:rPr>
                <w:noProof/>
                <w:sz w:val="14"/>
              </w:rPr>
            </w:pPr>
            <w:r>
              <w:rPr>
                <w:noProof/>
                <w:sz w:val="14"/>
              </w:rPr>
              <w:t>(3)</w:t>
            </w:r>
          </w:p>
        </w:tc>
        <w:tc>
          <w:tcPr>
            <w:tcW w:w="868" w:type="dxa"/>
            <w:vAlign w:val="center"/>
          </w:tcPr>
          <w:p w:rsidR="006A5CA3" w:rsidRDefault="006A5CA3">
            <w:pPr>
              <w:spacing w:before="40" w:after="40"/>
              <w:jc w:val="right"/>
              <w:rPr>
                <w:b/>
                <w:noProof/>
                <w:sz w:val="20"/>
              </w:rPr>
            </w:pPr>
          </w:p>
        </w:tc>
        <w:tc>
          <w:tcPr>
            <w:tcW w:w="868" w:type="dxa"/>
            <w:vAlign w:val="center"/>
          </w:tcPr>
          <w:p w:rsidR="006A5CA3" w:rsidRDefault="006A5CA3">
            <w:pPr>
              <w:spacing w:before="40" w:after="40"/>
              <w:jc w:val="right"/>
              <w:rPr>
                <w:b/>
                <w:noProof/>
                <w:sz w:val="20"/>
              </w:rPr>
            </w:pPr>
          </w:p>
        </w:tc>
        <w:tc>
          <w:tcPr>
            <w:tcW w:w="868" w:type="dxa"/>
            <w:vAlign w:val="center"/>
          </w:tcPr>
          <w:p w:rsidR="006A5CA3" w:rsidRDefault="006A5CA3">
            <w:pPr>
              <w:spacing w:before="40" w:after="40"/>
              <w:jc w:val="right"/>
              <w:rPr>
                <w:b/>
                <w:noProof/>
                <w:sz w:val="20"/>
              </w:rPr>
            </w:pPr>
          </w:p>
        </w:tc>
        <w:tc>
          <w:tcPr>
            <w:tcW w:w="868" w:type="dxa"/>
            <w:vAlign w:val="center"/>
          </w:tcPr>
          <w:p w:rsidR="006A5CA3" w:rsidRDefault="006A5CA3">
            <w:pPr>
              <w:spacing w:before="40" w:after="40"/>
              <w:jc w:val="right"/>
              <w:rPr>
                <w:b/>
                <w:noProof/>
                <w:sz w:val="20"/>
              </w:rPr>
            </w:pPr>
          </w:p>
        </w:tc>
        <w:tc>
          <w:tcPr>
            <w:tcW w:w="868" w:type="dxa"/>
            <w:vAlign w:val="center"/>
          </w:tcPr>
          <w:p w:rsidR="006A5CA3" w:rsidRDefault="006A5CA3">
            <w:pPr>
              <w:spacing w:before="40" w:after="40"/>
              <w:jc w:val="right"/>
              <w:rPr>
                <w:b/>
                <w:noProof/>
                <w:sz w:val="20"/>
              </w:rPr>
            </w:pPr>
          </w:p>
        </w:tc>
        <w:tc>
          <w:tcPr>
            <w:tcW w:w="868" w:type="dxa"/>
            <w:vAlign w:val="center"/>
          </w:tcPr>
          <w:p w:rsidR="006A5CA3" w:rsidRDefault="006A5CA3">
            <w:pPr>
              <w:spacing w:before="40" w:after="40"/>
              <w:jc w:val="right"/>
              <w:rPr>
                <w:b/>
                <w:noProof/>
                <w:sz w:val="20"/>
              </w:rPr>
            </w:pPr>
          </w:p>
        </w:tc>
        <w:tc>
          <w:tcPr>
            <w:tcW w:w="868" w:type="dxa"/>
            <w:vAlign w:val="center"/>
          </w:tcPr>
          <w:p w:rsidR="006A5CA3" w:rsidRDefault="006A5CA3">
            <w:pPr>
              <w:spacing w:before="40" w:after="40"/>
              <w:jc w:val="right"/>
              <w:rPr>
                <w:b/>
                <w:noProof/>
                <w:sz w:val="20"/>
              </w:rPr>
            </w:pPr>
          </w:p>
        </w:tc>
        <w:tc>
          <w:tcPr>
            <w:tcW w:w="1777" w:type="dxa"/>
            <w:vAlign w:val="center"/>
          </w:tcPr>
          <w:p w:rsidR="006A5CA3" w:rsidRDefault="006A5CA3">
            <w:pPr>
              <w:spacing w:before="40" w:after="40"/>
              <w:jc w:val="right"/>
              <w:rPr>
                <w:b/>
                <w:noProof/>
                <w:sz w:val="20"/>
              </w:rPr>
            </w:pPr>
          </w:p>
        </w:tc>
      </w:tr>
      <w:tr w:rsidR="006A5CA3">
        <w:tc>
          <w:tcPr>
            <w:tcW w:w="3960" w:type="dxa"/>
            <w:vMerge w:val="restart"/>
            <w:vAlign w:val="center"/>
          </w:tcPr>
          <w:p w:rsidR="006A5CA3" w:rsidRDefault="0065415D">
            <w:pPr>
              <w:jc w:val="center"/>
              <w:rPr>
                <w:b/>
                <w:noProof/>
              </w:rPr>
            </w:pPr>
            <w:r>
              <w:rPr>
                <w:b/>
                <w:noProof/>
                <w:sz w:val="22"/>
              </w:rPr>
              <w:t>ОБЩО бюджетни кредити</w:t>
            </w:r>
            <w:r>
              <w:rPr>
                <w:noProof/>
                <w:sz w:val="22"/>
              </w:rPr>
              <w:br/>
            </w:r>
            <w:r>
              <w:rPr>
                <w:b/>
                <w:noProof/>
                <w:sz w:val="22"/>
              </w:rPr>
              <w:t xml:space="preserve">за ГД </w:t>
            </w:r>
            <w:r>
              <w:rPr>
                <w:noProof/>
                <w:sz w:val="22"/>
              </w:rPr>
              <w:t>&lt;…….&gt;</w:t>
            </w:r>
          </w:p>
        </w:tc>
        <w:tc>
          <w:tcPr>
            <w:tcW w:w="1440" w:type="dxa"/>
            <w:vAlign w:val="center"/>
          </w:tcPr>
          <w:p w:rsidR="006A5CA3" w:rsidRDefault="0065415D">
            <w:pPr>
              <w:rPr>
                <w:noProof/>
                <w:sz w:val="18"/>
              </w:rPr>
            </w:pPr>
            <w:r>
              <w:rPr>
                <w:noProof/>
                <w:sz w:val="18"/>
              </w:rPr>
              <w:t>Поети задължения</w:t>
            </w:r>
          </w:p>
        </w:tc>
        <w:tc>
          <w:tcPr>
            <w:tcW w:w="654" w:type="dxa"/>
            <w:gridSpan w:val="2"/>
            <w:vAlign w:val="center"/>
          </w:tcPr>
          <w:p w:rsidR="006A5CA3" w:rsidRDefault="0065415D">
            <w:pPr>
              <w:jc w:val="center"/>
              <w:rPr>
                <w:noProof/>
                <w:sz w:val="14"/>
              </w:rPr>
            </w:pPr>
            <w:r>
              <w:rPr>
                <w:noProof/>
                <w:sz w:val="14"/>
              </w:rPr>
              <w:t>=1а+1б+3</w:t>
            </w: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b/>
                <w:noProof/>
                <w:sz w:val="20"/>
              </w:rPr>
            </w:pPr>
          </w:p>
        </w:tc>
        <w:tc>
          <w:tcPr>
            <w:tcW w:w="1777" w:type="dxa"/>
            <w:vAlign w:val="center"/>
          </w:tcPr>
          <w:p w:rsidR="006A5CA3" w:rsidRDefault="006A5CA3">
            <w:pPr>
              <w:spacing w:before="20" w:after="20"/>
              <w:jc w:val="right"/>
              <w:rPr>
                <w:b/>
                <w:noProof/>
                <w:sz w:val="20"/>
              </w:rPr>
            </w:pPr>
          </w:p>
        </w:tc>
      </w:tr>
      <w:tr w:rsidR="006A5CA3">
        <w:tc>
          <w:tcPr>
            <w:tcW w:w="3960" w:type="dxa"/>
            <w:vMerge/>
          </w:tcPr>
          <w:p w:rsidR="006A5CA3" w:rsidRDefault="006A5CA3">
            <w:pPr>
              <w:rPr>
                <w:noProof/>
                <w:sz w:val="20"/>
              </w:rPr>
            </w:pPr>
          </w:p>
        </w:tc>
        <w:tc>
          <w:tcPr>
            <w:tcW w:w="1440" w:type="dxa"/>
            <w:vAlign w:val="center"/>
          </w:tcPr>
          <w:p w:rsidR="006A5CA3" w:rsidRDefault="0065415D">
            <w:pPr>
              <w:rPr>
                <w:noProof/>
                <w:sz w:val="18"/>
              </w:rPr>
            </w:pPr>
            <w:r>
              <w:rPr>
                <w:noProof/>
                <w:sz w:val="18"/>
              </w:rPr>
              <w:t>Плащания</w:t>
            </w:r>
          </w:p>
        </w:tc>
        <w:tc>
          <w:tcPr>
            <w:tcW w:w="654" w:type="dxa"/>
            <w:gridSpan w:val="2"/>
            <w:vAlign w:val="center"/>
          </w:tcPr>
          <w:p w:rsidR="006A5CA3" w:rsidRDefault="0065415D">
            <w:pPr>
              <w:jc w:val="center"/>
              <w:rPr>
                <w:noProof/>
                <w:sz w:val="14"/>
              </w:rPr>
            </w:pPr>
            <w:r>
              <w:rPr>
                <w:noProof/>
                <w:sz w:val="14"/>
              </w:rPr>
              <w:t>=2а+2б</w:t>
            </w:r>
          </w:p>
          <w:p w:rsidR="006A5CA3" w:rsidRDefault="0065415D">
            <w:pPr>
              <w:jc w:val="center"/>
              <w:rPr>
                <w:noProof/>
                <w:sz w:val="14"/>
              </w:rPr>
            </w:pPr>
            <w:r>
              <w:rPr>
                <w:noProof/>
                <w:sz w:val="14"/>
              </w:rPr>
              <w:t>+3</w:t>
            </w: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b/>
                <w:noProof/>
                <w:sz w:val="20"/>
              </w:rPr>
            </w:pPr>
          </w:p>
        </w:tc>
        <w:tc>
          <w:tcPr>
            <w:tcW w:w="1777" w:type="dxa"/>
            <w:vAlign w:val="center"/>
          </w:tcPr>
          <w:p w:rsidR="006A5CA3" w:rsidRDefault="006A5CA3">
            <w:pPr>
              <w:spacing w:before="20" w:after="20"/>
              <w:jc w:val="right"/>
              <w:rPr>
                <w:b/>
                <w:noProof/>
                <w:sz w:val="20"/>
              </w:rPr>
            </w:pPr>
          </w:p>
        </w:tc>
      </w:tr>
    </w:tbl>
    <w:p w:rsidR="006A5CA3" w:rsidRDefault="006A5CA3">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6A5CA3">
        <w:trPr>
          <w:trHeight w:val="277"/>
        </w:trPr>
        <w:tc>
          <w:tcPr>
            <w:tcW w:w="3960" w:type="dxa"/>
            <w:vMerge w:val="restart"/>
            <w:vAlign w:val="center"/>
          </w:tcPr>
          <w:p w:rsidR="006A5CA3" w:rsidRDefault="0065415D">
            <w:pPr>
              <w:spacing w:before="20" w:after="20"/>
              <w:rPr>
                <w:noProof/>
              </w:rPr>
            </w:pPr>
            <w:r>
              <w:rPr>
                <w:noProof/>
              </w:rPr>
              <w:br w:type="page"/>
            </w:r>
            <w:r>
              <w:rPr>
                <w:noProof/>
                <w:sz w:val="21"/>
              </w:rPr>
              <w:sym w:font="Wingdings" w:char="F09F"/>
            </w:r>
            <w:r>
              <w:rPr>
                <w:noProof/>
                <w:sz w:val="21"/>
              </w:rPr>
              <w:t>ОБЩО бюджетни кредити за оперативни</w:t>
            </w:r>
            <w:r>
              <w:rPr>
                <w:noProof/>
                <w:sz w:val="21"/>
              </w:rPr>
              <w:t xml:space="preserve"> разходи</w:t>
            </w:r>
          </w:p>
        </w:tc>
        <w:tc>
          <w:tcPr>
            <w:tcW w:w="1440" w:type="dxa"/>
            <w:vAlign w:val="center"/>
          </w:tcPr>
          <w:p w:rsidR="006A5CA3" w:rsidRDefault="0065415D">
            <w:pPr>
              <w:spacing w:beforeLines="20" w:before="48" w:afterLines="20" w:after="48"/>
              <w:rPr>
                <w:noProof/>
                <w:sz w:val="18"/>
              </w:rPr>
            </w:pPr>
            <w:r>
              <w:rPr>
                <w:noProof/>
                <w:sz w:val="18"/>
              </w:rPr>
              <w:t>Поети задължения</w:t>
            </w:r>
          </w:p>
        </w:tc>
        <w:tc>
          <w:tcPr>
            <w:tcW w:w="654" w:type="dxa"/>
            <w:vAlign w:val="center"/>
          </w:tcPr>
          <w:p w:rsidR="006A5CA3" w:rsidRDefault="0065415D">
            <w:pPr>
              <w:spacing w:beforeLines="20" w:before="48" w:afterLines="20" w:after="48"/>
              <w:jc w:val="center"/>
              <w:rPr>
                <w:noProof/>
                <w:sz w:val="14"/>
              </w:rPr>
            </w:pPr>
            <w:r>
              <w:rPr>
                <w:noProof/>
                <w:sz w:val="14"/>
              </w:rPr>
              <w:t>(4)</w:t>
            </w: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b/>
                <w:noProof/>
                <w:sz w:val="20"/>
              </w:rPr>
            </w:pPr>
          </w:p>
        </w:tc>
        <w:tc>
          <w:tcPr>
            <w:tcW w:w="1777" w:type="dxa"/>
            <w:vAlign w:val="center"/>
          </w:tcPr>
          <w:p w:rsidR="006A5CA3" w:rsidRDefault="006A5CA3">
            <w:pPr>
              <w:spacing w:before="20" w:after="20"/>
              <w:jc w:val="right"/>
              <w:rPr>
                <w:b/>
                <w:noProof/>
                <w:sz w:val="20"/>
              </w:rPr>
            </w:pPr>
          </w:p>
        </w:tc>
      </w:tr>
      <w:tr w:rsidR="006A5CA3">
        <w:tc>
          <w:tcPr>
            <w:tcW w:w="3960" w:type="dxa"/>
            <w:vMerge/>
          </w:tcPr>
          <w:p w:rsidR="006A5CA3" w:rsidRDefault="006A5CA3">
            <w:pPr>
              <w:jc w:val="center"/>
              <w:rPr>
                <w:noProof/>
                <w:sz w:val="20"/>
              </w:rPr>
            </w:pPr>
          </w:p>
        </w:tc>
        <w:tc>
          <w:tcPr>
            <w:tcW w:w="1440" w:type="dxa"/>
            <w:vAlign w:val="center"/>
          </w:tcPr>
          <w:p w:rsidR="006A5CA3" w:rsidRDefault="0065415D">
            <w:pPr>
              <w:spacing w:beforeLines="20" w:before="48" w:afterLines="20" w:after="48"/>
              <w:rPr>
                <w:noProof/>
                <w:sz w:val="18"/>
              </w:rPr>
            </w:pPr>
            <w:r>
              <w:rPr>
                <w:noProof/>
                <w:sz w:val="18"/>
              </w:rPr>
              <w:t>Плащания</w:t>
            </w:r>
          </w:p>
        </w:tc>
        <w:tc>
          <w:tcPr>
            <w:tcW w:w="654" w:type="dxa"/>
            <w:vAlign w:val="center"/>
          </w:tcPr>
          <w:p w:rsidR="006A5CA3" w:rsidRDefault="0065415D">
            <w:pPr>
              <w:spacing w:beforeLines="20" w:before="48" w:afterLines="20" w:after="48"/>
              <w:jc w:val="center"/>
              <w:rPr>
                <w:noProof/>
                <w:sz w:val="14"/>
              </w:rPr>
            </w:pPr>
            <w:r>
              <w:rPr>
                <w:noProof/>
                <w:sz w:val="14"/>
              </w:rPr>
              <w:t>(5)</w:t>
            </w: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b/>
                <w:noProof/>
                <w:sz w:val="20"/>
              </w:rPr>
            </w:pPr>
          </w:p>
        </w:tc>
        <w:tc>
          <w:tcPr>
            <w:tcW w:w="1777" w:type="dxa"/>
            <w:vAlign w:val="center"/>
          </w:tcPr>
          <w:p w:rsidR="006A5CA3" w:rsidRDefault="006A5CA3">
            <w:pPr>
              <w:spacing w:before="20" w:after="20"/>
              <w:jc w:val="right"/>
              <w:rPr>
                <w:b/>
                <w:noProof/>
                <w:sz w:val="20"/>
              </w:rPr>
            </w:pPr>
          </w:p>
        </w:tc>
      </w:tr>
      <w:tr w:rsidR="006A5CA3">
        <w:trPr>
          <w:trHeight w:val="533"/>
        </w:trPr>
        <w:tc>
          <w:tcPr>
            <w:tcW w:w="5400" w:type="dxa"/>
            <w:gridSpan w:val="2"/>
            <w:vAlign w:val="center"/>
          </w:tcPr>
          <w:p w:rsidR="006A5CA3" w:rsidRDefault="0065415D">
            <w:pPr>
              <w:spacing w:beforeLines="20" w:before="48" w:afterLines="20" w:after="48"/>
              <w:rPr>
                <w:noProof/>
              </w:rPr>
            </w:pPr>
            <w:r>
              <w:rPr>
                <w:noProof/>
                <w:sz w:val="21"/>
              </w:rPr>
              <w:sym w:font="Wingdings" w:char="F09F"/>
            </w:r>
            <w:r>
              <w:rPr>
                <w:noProof/>
                <w:sz w:val="21"/>
              </w:rPr>
              <w:t>ОБЩО бюджетни кредити за административни разходи, финансирани от пакета за определени програми</w:t>
            </w:r>
          </w:p>
        </w:tc>
        <w:tc>
          <w:tcPr>
            <w:tcW w:w="654" w:type="dxa"/>
            <w:vAlign w:val="center"/>
          </w:tcPr>
          <w:p w:rsidR="006A5CA3" w:rsidRDefault="0065415D">
            <w:pPr>
              <w:spacing w:beforeLines="20" w:before="48" w:afterLines="20" w:after="48"/>
              <w:jc w:val="center"/>
              <w:rPr>
                <w:noProof/>
                <w:sz w:val="14"/>
              </w:rPr>
            </w:pPr>
            <w:r>
              <w:rPr>
                <w:noProof/>
                <w:sz w:val="14"/>
              </w:rPr>
              <w:t>(6)</w:t>
            </w:r>
          </w:p>
        </w:tc>
        <w:tc>
          <w:tcPr>
            <w:tcW w:w="868" w:type="dxa"/>
            <w:vAlign w:val="center"/>
          </w:tcPr>
          <w:p w:rsidR="006A5CA3" w:rsidRDefault="006A5CA3">
            <w:pPr>
              <w:spacing w:before="20" w:after="20"/>
              <w:jc w:val="right"/>
              <w:rPr>
                <w:b/>
                <w:noProof/>
                <w:sz w:val="20"/>
              </w:rPr>
            </w:pPr>
          </w:p>
        </w:tc>
        <w:tc>
          <w:tcPr>
            <w:tcW w:w="868" w:type="dxa"/>
            <w:vAlign w:val="center"/>
          </w:tcPr>
          <w:p w:rsidR="006A5CA3" w:rsidRDefault="006A5CA3">
            <w:pPr>
              <w:spacing w:before="20" w:after="20"/>
              <w:jc w:val="right"/>
              <w:rPr>
                <w:b/>
                <w:noProof/>
                <w:sz w:val="20"/>
              </w:rPr>
            </w:pPr>
          </w:p>
        </w:tc>
        <w:tc>
          <w:tcPr>
            <w:tcW w:w="868" w:type="dxa"/>
            <w:vAlign w:val="center"/>
          </w:tcPr>
          <w:p w:rsidR="006A5CA3" w:rsidRDefault="006A5CA3">
            <w:pPr>
              <w:spacing w:before="20" w:after="20"/>
              <w:jc w:val="right"/>
              <w:rPr>
                <w:b/>
                <w:noProof/>
                <w:sz w:val="20"/>
              </w:rPr>
            </w:pPr>
          </w:p>
        </w:tc>
        <w:tc>
          <w:tcPr>
            <w:tcW w:w="868" w:type="dxa"/>
            <w:vAlign w:val="center"/>
          </w:tcPr>
          <w:p w:rsidR="006A5CA3" w:rsidRDefault="006A5CA3">
            <w:pPr>
              <w:spacing w:before="20" w:after="20"/>
              <w:jc w:val="right"/>
              <w:rPr>
                <w:b/>
                <w:noProof/>
                <w:sz w:val="20"/>
              </w:rPr>
            </w:pPr>
          </w:p>
        </w:tc>
        <w:tc>
          <w:tcPr>
            <w:tcW w:w="868" w:type="dxa"/>
            <w:vAlign w:val="center"/>
          </w:tcPr>
          <w:p w:rsidR="006A5CA3" w:rsidRDefault="006A5CA3">
            <w:pPr>
              <w:spacing w:before="20" w:after="20"/>
              <w:jc w:val="right"/>
              <w:rPr>
                <w:b/>
                <w:noProof/>
                <w:sz w:val="20"/>
              </w:rPr>
            </w:pPr>
          </w:p>
        </w:tc>
        <w:tc>
          <w:tcPr>
            <w:tcW w:w="868" w:type="dxa"/>
            <w:vAlign w:val="center"/>
          </w:tcPr>
          <w:p w:rsidR="006A5CA3" w:rsidRDefault="006A5CA3">
            <w:pPr>
              <w:spacing w:before="20" w:after="20"/>
              <w:jc w:val="right"/>
              <w:rPr>
                <w:b/>
                <w:noProof/>
                <w:sz w:val="20"/>
              </w:rPr>
            </w:pPr>
          </w:p>
        </w:tc>
        <w:tc>
          <w:tcPr>
            <w:tcW w:w="868" w:type="dxa"/>
            <w:vAlign w:val="center"/>
          </w:tcPr>
          <w:p w:rsidR="006A5CA3" w:rsidRDefault="006A5CA3">
            <w:pPr>
              <w:spacing w:before="20" w:after="20"/>
              <w:jc w:val="right"/>
              <w:rPr>
                <w:b/>
                <w:noProof/>
                <w:sz w:val="20"/>
              </w:rPr>
            </w:pPr>
          </w:p>
        </w:tc>
        <w:tc>
          <w:tcPr>
            <w:tcW w:w="1777" w:type="dxa"/>
            <w:vAlign w:val="center"/>
          </w:tcPr>
          <w:p w:rsidR="006A5CA3" w:rsidRDefault="006A5CA3">
            <w:pPr>
              <w:spacing w:before="20" w:after="20"/>
              <w:jc w:val="right"/>
              <w:rPr>
                <w:b/>
                <w:noProof/>
                <w:sz w:val="20"/>
              </w:rPr>
            </w:pPr>
          </w:p>
        </w:tc>
      </w:tr>
      <w:tr w:rsidR="006A5CA3">
        <w:tc>
          <w:tcPr>
            <w:tcW w:w="3960" w:type="dxa"/>
            <w:vMerge w:val="restart"/>
            <w:shd w:val="thinDiagStripe" w:color="C0C0C0" w:fill="auto"/>
            <w:vAlign w:val="center"/>
          </w:tcPr>
          <w:p w:rsidR="006A5CA3" w:rsidRDefault="0065415D">
            <w:pPr>
              <w:jc w:val="center"/>
              <w:rPr>
                <w:b/>
                <w:noProof/>
              </w:rPr>
            </w:pPr>
            <w:r>
              <w:rPr>
                <w:b/>
                <w:noProof/>
                <w:sz w:val="22"/>
              </w:rPr>
              <w:t>ОБЩО бюджетни кредити</w:t>
            </w:r>
            <w:r>
              <w:rPr>
                <w:noProof/>
                <w:sz w:val="22"/>
              </w:rPr>
              <w:br/>
            </w:r>
            <w:r>
              <w:rPr>
                <w:b/>
                <w:noProof/>
                <w:sz w:val="22"/>
              </w:rPr>
              <w:t>за ФУНКЦИЯ &lt;….&gt;</w:t>
            </w:r>
            <w:r>
              <w:rPr>
                <w:noProof/>
                <w:sz w:val="22"/>
              </w:rPr>
              <w:br/>
              <w:t>от многогодишната финансова рамка</w:t>
            </w:r>
          </w:p>
        </w:tc>
        <w:tc>
          <w:tcPr>
            <w:tcW w:w="1440" w:type="dxa"/>
            <w:vAlign w:val="center"/>
          </w:tcPr>
          <w:p w:rsidR="006A5CA3" w:rsidRDefault="0065415D">
            <w:pPr>
              <w:rPr>
                <w:noProof/>
                <w:sz w:val="18"/>
              </w:rPr>
            </w:pPr>
            <w:r>
              <w:rPr>
                <w:noProof/>
                <w:sz w:val="18"/>
              </w:rPr>
              <w:t xml:space="preserve">Поети </w:t>
            </w:r>
            <w:r>
              <w:rPr>
                <w:noProof/>
                <w:sz w:val="18"/>
              </w:rPr>
              <w:t>задължения</w:t>
            </w:r>
          </w:p>
        </w:tc>
        <w:tc>
          <w:tcPr>
            <w:tcW w:w="654" w:type="dxa"/>
            <w:vAlign w:val="center"/>
          </w:tcPr>
          <w:p w:rsidR="006A5CA3" w:rsidRDefault="0065415D">
            <w:pPr>
              <w:jc w:val="center"/>
              <w:rPr>
                <w:noProof/>
                <w:sz w:val="14"/>
              </w:rPr>
            </w:pPr>
            <w:r>
              <w:rPr>
                <w:noProof/>
                <w:sz w:val="14"/>
              </w:rPr>
              <w:t>=4+6</w:t>
            </w: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b/>
                <w:noProof/>
                <w:sz w:val="20"/>
              </w:rPr>
            </w:pPr>
          </w:p>
        </w:tc>
        <w:tc>
          <w:tcPr>
            <w:tcW w:w="1777" w:type="dxa"/>
            <w:vAlign w:val="center"/>
          </w:tcPr>
          <w:p w:rsidR="006A5CA3" w:rsidRDefault="006A5CA3">
            <w:pPr>
              <w:spacing w:before="20" w:after="20"/>
              <w:jc w:val="right"/>
              <w:rPr>
                <w:b/>
                <w:noProof/>
                <w:sz w:val="20"/>
              </w:rPr>
            </w:pPr>
          </w:p>
        </w:tc>
      </w:tr>
      <w:tr w:rsidR="006A5CA3">
        <w:tc>
          <w:tcPr>
            <w:tcW w:w="3960" w:type="dxa"/>
            <w:vMerge/>
            <w:shd w:val="thinDiagStripe" w:color="C0C0C0" w:fill="auto"/>
          </w:tcPr>
          <w:p w:rsidR="006A5CA3" w:rsidRDefault="006A5CA3">
            <w:pPr>
              <w:rPr>
                <w:noProof/>
                <w:sz w:val="20"/>
              </w:rPr>
            </w:pPr>
          </w:p>
        </w:tc>
        <w:tc>
          <w:tcPr>
            <w:tcW w:w="1440" w:type="dxa"/>
            <w:vAlign w:val="center"/>
          </w:tcPr>
          <w:p w:rsidR="006A5CA3" w:rsidRDefault="0065415D">
            <w:pPr>
              <w:rPr>
                <w:noProof/>
                <w:sz w:val="18"/>
              </w:rPr>
            </w:pPr>
            <w:r>
              <w:rPr>
                <w:noProof/>
                <w:sz w:val="18"/>
              </w:rPr>
              <w:t>Плащания</w:t>
            </w:r>
          </w:p>
        </w:tc>
        <w:tc>
          <w:tcPr>
            <w:tcW w:w="654" w:type="dxa"/>
            <w:vAlign w:val="center"/>
          </w:tcPr>
          <w:p w:rsidR="006A5CA3" w:rsidRDefault="0065415D">
            <w:pPr>
              <w:jc w:val="center"/>
              <w:rPr>
                <w:noProof/>
                <w:sz w:val="14"/>
              </w:rPr>
            </w:pPr>
            <w:r>
              <w:rPr>
                <w:noProof/>
                <w:sz w:val="14"/>
              </w:rPr>
              <w:t>=5+6</w:t>
            </w: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b/>
                <w:noProof/>
                <w:sz w:val="20"/>
              </w:rPr>
            </w:pPr>
          </w:p>
        </w:tc>
        <w:tc>
          <w:tcPr>
            <w:tcW w:w="1777" w:type="dxa"/>
            <w:vAlign w:val="center"/>
          </w:tcPr>
          <w:p w:rsidR="006A5CA3" w:rsidRDefault="006A5CA3">
            <w:pPr>
              <w:spacing w:before="20" w:after="20"/>
              <w:jc w:val="right"/>
              <w:rPr>
                <w:b/>
                <w:noProof/>
                <w:sz w:val="20"/>
              </w:rPr>
            </w:pPr>
          </w:p>
        </w:tc>
      </w:tr>
    </w:tbl>
    <w:p w:rsidR="006A5CA3" w:rsidRDefault="0065415D">
      <w:pPr>
        <w:spacing w:after="40"/>
        <w:rPr>
          <w:b/>
          <w:noProof/>
          <w:sz w:val="22"/>
          <w:u w:val="single"/>
        </w:rPr>
      </w:pPr>
      <w:r>
        <w:rPr>
          <w:b/>
          <w:noProof/>
          <w:sz w:val="22"/>
          <w:u w:val="single"/>
        </w:rPr>
        <w:t>Ако предложението/инициативата има отражение върху повече от една оперативна функция, повторете частта по-горе:</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6A5CA3">
        <w:trPr>
          <w:trHeight w:val="277"/>
        </w:trPr>
        <w:tc>
          <w:tcPr>
            <w:tcW w:w="3960" w:type="dxa"/>
            <w:vMerge w:val="restart"/>
            <w:tcBorders>
              <w:top w:val="single" w:sz="4" w:space="0" w:color="auto"/>
              <w:left w:val="single" w:sz="4" w:space="0" w:color="auto"/>
              <w:bottom w:val="single" w:sz="4" w:space="0" w:color="FF0000"/>
            </w:tcBorders>
            <w:vAlign w:val="center"/>
          </w:tcPr>
          <w:p w:rsidR="006A5CA3" w:rsidRDefault="0065415D">
            <w:pPr>
              <w:spacing w:before="20" w:after="20"/>
              <w:rPr>
                <w:noProof/>
              </w:rPr>
            </w:pPr>
            <w:r>
              <w:rPr>
                <w:noProof/>
                <w:sz w:val="21"/>
              </w:rPr>
              <w:sym w:font="Wingdings" w:char="F09F"/>
            </w:r>
            <w:r>
              <w:rPr>
                <w:noProof/>
                <w:sz w:val="21"/>
              </w:rPr>
              <w:t>ОБЩО бюджетни кредити за оперативни разходи (всички оперативни функции)</w:t>
            </w:r>
          </w:p>
        </w:tc>
        <w:tc>
          <w:tcPr>
            <w:tcW w:w="1440" w:type="dxa"/>
            <w:tcBorders>
              <w:top w:val="single" w:sz="4" w:space="0" w:color="auto"/>
            </w:tcBorders>
            <w:vAlign w:val="center"/>
          </w:tcPr>
          <w:p w:rsidR="006A5CA3" w:rsidRDefault="0065415D">
            <w:pPr>
              <w:spacing w:beforeLines="20" w:before="48" w:afterLines="20" w:after="48"/>
              <w:rPr>
                <w:noProof/>
                <w:sz w:val="18"/>
              </w:rPr>
            </w:pPr>
            <w:r>
              <w:rPr>
                <w:noProof/>
                <w:sz w:val="18"/>
              </w:rPr>
              <w:t>Поети задължения</w:t>
            </w:r>
          </w:p>
        </w:tc>
        <w:tc>
          <w:tcPr>
            <w:tcW w:w="654" w:type="dxa"/>
            <w:tcBorders>
              <w:top w:val="single" w:sz="4" w:space="0" w:color="auto"/>
            </w:tcBorders>
            <w:vAlign w:val="center"/>
          </w:tcPr>
          <w:p w:rsidR="006A5CA3" w:rsidRDefault="0065415D">
            <w:pPr>
              <w:spacing w:beforeLines="20" w:before="48" w:afterLines="20" w:after="48"/>
              <w:jc w:val="center"/>
              <w:rPr>
                <w:noProof/>
                <w:sz w:val="14"/>
              </w:rPr>
            </w:pPr>
            <w:r>
              <w:rPr>
                <w:noProof/>
                <w:sz w:val="14"/>
              </w:rPr>
              <w:t>(4)</w:t>
            </w:r>
          </w:p>
        </w:tc>
        <w:tc>
          <w:tcPr>
            <w:tcW w:w="868" w:type="dxa"/>
            <w:tcBorders>
              <w:top w:val="single" w:sz="4" w:space="0" w:color="auto"/>
            </w:tcBorders>
            <w:vAlign w:val="center"/>
          </w:tcPr>
          <w:p w:rsidR="006A5CA3" w:rsidRDefault="006A5CA3">
            <w:pPr>
              <w:spacing w:before="20" w:after="20"/>
              <w:jc w:val="right"/>
              <w:rPr>
                <w:noProof/>
                <w:sz w:val="20"/>
              </w:rPr>
            </w:pPr>
          </w:p>
        </w:tc>
        <w:tc>
          <w:tcPr>
            <w:tcW w:w="868" w:type="dxa"/>
            <w:tcBorders>
              <w:top w:val="single" w:sz="4" w:space="0" w:color="auto"/>
            </w:tcBorders>
            <w:vAlign w:val="center"/>
          </w:tcPr>
          <w:p w:rsidR="006A5CA3" w:rsidRDefault="006A5CA3">
            <w:pPr>
              <w:spacing w:before="20" w:after="20"/>
              <w:jc w:val="right"/>
              <w:rPr>
                <w:noProof/>
                <w:sz w:val="20"/>
              </w:rPr>
            </w:pPr>
          </w:p>
        </w:tc>
        <w:tc>
          <w:tcPr>
            <w:tcW w:w="868" w:type="dxa"/>
            <w:tcBorders>
              <w:top w:val="single" w:sz="4" w:space="0" w:color="auto"/>
            </w:tcBorders>
            <w:vAlign w:val="center"/>
          </w:tcPr>
          <w:p w:rsidR="006A5CA3" w:rsidRDefault="006A5CA3">
            <w:pPr>
              <w:spacing w:before="20" w:after="20"/>
              <w:jc w:val="right"/>
              <w:rPr>
                <w:noProof/>
                <w:sz w:val="20"/>
              </w:rPr>
            </w:pPr>
          </w:p>
        </w:tc>
        <w:tc>
          <w:tcPr>
            <w:tcW w:w="868" w:type="dxa"/>
            <w:tcBorders>
              <w:top w:val="single" w:sz="4" w:space="0" w:color="auto"/>
            </w:tcBorders>
            <w:vAlign w:val="center"/>
          </w:tcPr>
          <w:p w:rsidR="006A5CA3" w:rsidRDefault="006A5CA3">
            <w:pPr>
              <w:spacing w:before="20" w:after="20"/>
              <w:jc w:val="right"/>
              <w:rPr>
                <w:noProof/>
                <w:sz w:val="20"/>
              </w:rPr>
            </w:pPr>
          </w:p>
        </w:tc>
        <w:tc>
          <w:tcPr>
            <w:tcW w:w="868" w:type="dxa"/>
            <w:tcBorders>
              <w:top w:val="single" w:sz="4" w:space="0" w:color="auto"/>
            </w:tcBorders>
            <w:vAlign w:val="center"/>
          </w:tcPr>
          <w:p w:rsidR="006A5CA3" w:rsidRDefault="006A5CA3">
            <w:pPr>
              <w:spacing w:before="20" w:after="20"/>
              <w:jc w:val="right"/>
              <w:rPr>
                <w:noProof/>
                <w:sz w:val="20"/>
              </w:rPr>
            </w:pPr>
          </w:p>
        </w:tc>
        <w:tc>
          <w:tcPr>
            <w:tcW w:w="868" w:type="dxa"/>
            <w:tcBorders>
              <w:top w:val="single" w:sz="4" w:space="0" w:color="auto"/>
            </w:tcBorders>
            <w:vAlign w:val="center"/>
          </w:tcPr>
          <w:p w:rsidR="006A5CA3" w:rsidRDefault="006A5CA3">
            <w:pPr>
              <w:spacing w:before="20" w:after="20"/>
              <w:jc w:val="right"/>
              <w:rPr>
                <w:noProof/>
                <w:sz w:val="20"/>
              </w:rPr>
            </w:pPr>
          </w:p>
        </w:tc>
        <w:tc>
          <w:tcPr>
            <w:tcW w:w="868" w:type="dxa"/>
            <w:tcBorders>
              <w:top w:val="single" w:sz="4" w:space="0" w:color="auto"/>
            </w:tcBorders>
            <w:vAlign w:val="center"/>
          </w:tcPr>
          <w:p w:rsidR="006A5CA3" w:rsidRDefault="006A5CA3">
            <w:pPr>
              <w:spacing w:before="20" w:after="20"/>
              <w:jc w:val="right"/>
              <w:rPr>
                <w:b/>
                <w:noProof/>
                <w:sz w:val="20"/>
              </w:rPr>
            </w:pPr>
          </w:p>
        </w:tc>
        <w:tc>
          <w:tcPr>
            <w:tcW w:w="1777" w:type="dxa"/>
            <w:tcBorders>
              <w:top w:val="single" w:sz="4" w:space="0" w:color="auto"/>
              <w:right w:val="single" w:sz="4" w:space="0" w:color="auto"/>
            </w:tcBorders>
            <w:vAlign w:val="center"/>
          </w:tcPr>
          <w:p w:rsidR="006A5CA3" w:rsidRDefault="006A5CA3">
            <w:pPr>
              <w:spacing w:before="20" w:after="20"/>
              <w:jc w:val="right"/>
              <w:rPr>
                <w:b/>
                <w:noProof/>
                <w:sz w:val="20"/>
              </w:rPr>
            </w:pPr>
          </w:p>
        </w:tc>
      </w:tr>
      <w:tr w:rsidR="006A5CA3">
        <w:tc>
          <w:tcPr>
            <w:tcW w:w="3960" w:type="dxa"/>
            <w:vMerge/>
            <w:tcBorders>
              <w:top w:val="single" w:sz="4" w:space="0" w:color="FF0000"/>
              <w:left w:val="single" w:sz="4" w:space="0" w:color="auto"/>
              <w:bottom w:val="single" w:sz="4" w:space="0" w:color="FF0000"/>
            </w:tcBorders>
          </w:tcPr>
          <w:p w:rsidR="006A5CA3" w:rsidRDefault="006A5CA3">
            <w:pPr>
              <w:jc w:val="center"/>
              <w:rPr>
                <w:noProof/>
                <w:sz w:val="20"/>
              </w:rPr>
            </w:pPr>
          </w:p>
        </w:tc>
        <w:tc>
          <w:tcPr>
            <w:tcW w:w="1440" w:type="dxa"/>
            <w:vAlign w:val="center"/>
          </w:tcPr>
          <w:p w:rsidR="006A5CA3" w:rsidRDefault="0065415D">
            <w:pPr>
              <w:spacing w:beforeLines="20" w:before="48" w:afterLines="20" w:after="48"/>
              <w:rPr>
                <w:noProof/>
                <w:sz w:val="18"/>
              </w:rPr>
            </w:pPr>
            <w:r>
              <w:rPr>
                <w:noProof/>
                <w:sz w:val="18"/>
              </w:rPr>
              <w:t>Плащания</w:t>
            </w:r>
          </w:p>
        </w:tc>
        <w:tc>
          <w:tcPr>
            <w:tcW w:w="654" w:type="dxa"/>
            <w:vAlign w:val="center"/>
          </w:tcPr>
          <w:p w:rsidR="006A5CA3" w:rsidRDefault="0065415D">
            <w:pPr>
              <w:spacing w:beforeLines="20" w:before="48" w:afterLines="20" w:after="48"/>
              <w:jc w:val="center"/>
              <w:rPr>
                <w:noProof/>
                <w:sz w:val="14"/>
              </w:rPr>
            </w:pPr>
            <w:r>
              <w:rPr>
                <w:noProof/>
                <w:sz w:val="14"/>
              </w:rPr>
              <w:t>(5)</w:t>
            </w: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b/>
                <w:noProof/>
                <w:sz w:val="20"/>
              </w:rPr>
            </w:pPr>
          </w:p>
        </w:tc>
        <w:tc>
          <w:tcPr>
            <w:tcW w:w="1777" w:type="dxa"/>
            <w:tcBorders>
              <w:right w:val="single" w:sz="4" w:space="0" w:color="auto"/>
            </w:tcBorders>
            <w:vAlign w:val="center"/>
          </w:tcPr>
          <w:p w:rsidR="006A5CA3" w:rsidRDefault="006A5CA3">
            <w:pPr>
              <w:spacing w:before="20" w:after="20"/>
              <w:jc w:val="right"/>
              <w:rPr>
                <w:b/>
                <w:noProof/>
                <w:sz w:val="20"/>
              </w:rPr>
            </w:pPr>
          </w:p>
        </w:tc>
      </w:tr>
      <w:tr w:rsidR="006A5CA3">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6A5CA3" w:rsidRDefault="0065415D">
            <w:pPr>
              <w:spacing w:beforeLines="20" w:before="48" w:afterLines="20" w:after="48"/>
              <w:rPr>
                <w:noProof/>
              </w:rPr>
            </w:pPr>
            <w:r>
              <w:rPr>
                <w:noProof/>
                <w:sz w:val="21"/>
              </w:rPr>
              <w:t xml:space="preserve"> ОБЩО бюджетни кредити за административни разходи, финансирани от пакета за определени програми (всички оперативни функции)</w:t>
            </w:r>
          </w:p>
        </w:tc>
        <w:tc>
          <w:tcPr>
            <w:tcW w:w="654" w:type="dxa"/>
            <w:vAlign w:val="center"/>
          </w:tcPr>
          <w:p w:rsidR="006A5CA3" w:rsidRDefault="006A5CA3">
            <w:pPr>
              <w:rPr>
                <w:noProof/>
              </w:rPr>
            </w:pPr>
          </w:p>
          <w:p w:rsidR="006A5CA3" w:rsidRDefault="0065415D">
            <w:pPr>
              <w:spacing w:beforeLines="20" w:before="48" w:afterLines="20" w:after="48"/>
              <w:jc w:val="center"/>
              <w:rPr>
                <w:noProof/>
                <w:sz w:val="14"/>
              </w:rPr>
            </w:pPr>
            <w:r>
              <w:rPr>
                <w:noProof/>
                <w:sz w:val="14"/>
              </w:rPr>
              <w:t>(6)</w:t>
            </w:r>
          </w:p>
        </w:tc>
        <w:tc>
          <w:tcPr>
            <w:tcW w:w="868" w:type="dxa"/>
            <w:vAlign w:val="center"/>
          </w:tcPr>
          <w:p w:rsidR="006A5CA3" w:rsidRDefault="006A5CA3">
            <w:pPr>
              <w:spacing w:before="20" w:after="20"/>
              <w:jc w:val="right"/>
              <w:rPr>
                <w:b/>
                <w:noProof/>
                <w:sz w:val="20"/>
              </w:rPr>
            </w:pPr>
          </w:p>
        </w:tc>
        <w:tc>
          <w:tcPr>
            <w:tcW w:w="868" w:type="dxa"/>
            <w:vAlign w:val="center"/>
          </w:tcPr>
          <w:p w:rsidR="006A5CA3" w:rsidRDefault="006A5CA3">
            <w:pPr>
              <w:spacing w:before="20" w:after="20"/>
              <w:jc w:val="right"/>
              <w:rPr>
                <w:b/>
                <w:noProof/>
                <w:sz w:val="20"/>
              </w:rPr>
            </w:pPr>
          </w:p>
        </w:tc>
        <w:tc>
          <w:tcPr>
            <w:tcW w:w="868" w:type="dxa"/>
            <w:vAlign w:val="center"/>
          </w:tcPr>
          <w:p w:rsidR="006A5CA3" w:rsidRDefault="006A5CA3">
            <w:pPr>
              <w:spacing w:before="20" w:after="20"/>
              <w:jc w:val="right"/>
              <w:rPr>
                <w:b/>
                <w:noProof/>
                <w:sz w:val="20"/>
              </w:rPr>
            </w:pPr>
          </w:p>
        </w:tc>
        <w:tc>
          <w:tcPr>
            <w:tcW w:w="868" w:type="dxa"/>
            <w:vAlign w:val="center"/>
          </w:tcPr>
          <w:p w:rsidR="006A5CA3" w:rsidRDefault="006A5CA3">
            <w:pPr>
              <w:spacing w:before="20" w:after="20"/>
              <w:jc w:val="right"/>
              <w:rPr>
                <w:b/>
                <w:noProof/>
                <w:sz w:val="20"/>
              </w:rPr>
            </w:pPr>
          </w:p>
        </w:tc>
        <w:tc>
          <w:tcPr>
            <w:tcW w:w="868" w:type="dxa"/>
            <w:vAlign w:val="center"/>
          </w:tcPr>
          <w:p w:rsidR="006A5CA3" w:rsidRDefault="006A5CA3">
            <w:pPr>
              <w:spacing w:before="20" w:after="20"/>
              <w:jc w:val="right"/>
              <w:rPr>
                <w:b/>
                <w:noProof/>
                <w:sz w:val="20"/>
              </w:rPr>
            </w:pPr>
          </w:p>
        </w:tc>
        <w:tc>
          <w:tcPr>
            <w:tcW w:w="868" w:type="dxa"/>
            <w:vAlign w:val="center"/>
          </w:tcPr>
          <w:p w:rsidR="006A5CA3" w:rsidRDefault="006A5CA3">
            <w:pPr>
              <w:spacing w:before="20" w:after="20"/>
              <w:jc w:val="right"/>
              <w:rPr>
                <w:b/>
                <w:noProof/>
                <w:sz w:val="20"/>
              </w:rPr>
            </w:pPr>
          </w:p>
        </w:tc>
        <w:tc>
          <w:tcPr>
            <w:tcW w:w="868" w:type="dxa"/>
            <w:vAlign w:val="center"/>
          </w:tcPr>
          <w:p w:rsidR="006A5CA3" w:rsidRDefault="006A5CA3">
            <w:pPr>
              <w:spacing w:before="20" w:after="20"/>
              <w:jc w:val="right"/>
              <w:rPr>
                <w:b/>
                <w:noProof/>
                <w:sz w:val="20"/>
              </w:rPr>
            </w:pPr>
          </w:p>
        </w:tc>
        <w:tc>
          <w:tcPr>
            <w:tcW w:w="1777" w:type="dxa"/>
            <w:vAlign w:val="center"/>
          </w:tcPr>
          <w:p w:rsidR="006A5CA3" w:rsidRDefault="006A5CA3">
            <w:pPr>
              <w:spacing w:before="20" w:after="20"/>
              <w:jc w:val="right"/>
              <w:rPr>
                <w:b/>
                <w:noProof/>
                <w:sz w:val="20"/>
              </w:rPr>
            </w:pPr>
          </w:p>
        </w:tc>
      </w:tr>
      <w:tr w:rsidR="006A5CA3">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6A5CA3" w:rsidRDefault="0065415D">
            <w:pPr>
              <w:jc w:val="center"/>
              <w:rPr>
                <w:b/>
                <w:noProof/>
              </w:rPr>
            </w:pPr>
            <w:r>
              <w:rPr>
                <w:b/>
                <w:noProof/>
                <w:sz w:val="22"/>
              </w:rPr>
              <w:t>ОБЩО бюджетни кредити</w:t>
            </w:r>
            <w:r>
              <w:rPr>
                <w:noProof/>
                <w:sz w:val="22"/>
              </w:rPr>
              <w:br/>
            </w:r>
            <w:r>
              <w:rPr>
                <w:b/>
                <w:noProof/>
                <w:sz w:val="22"/>
              </w:rPr>
              <w:t>за ФУНКЦИИ 1—4</w:t>
            </w:r>
            <w:r>
              <w:rPr>
                <w:noProof/>
                <w:sz w:val="22"/>
              </w:rPr>
              <w:br/>
              <w:t>от многогодишната финансова рамка</w:t>
            </w:r>
            <w:r>
              <w:rPr>
                <w:noProof/>
                <w:sz w:val="22"/>
              </w:rPr>
              <w:br/>
            </w:r>
            <w:r>
              <w:rPr>
                <w:noProof/>
                <w:sz w:val="20"/>
              </w:rPr>
              <w:t xml:space="preserve">(референтна </w:t>
            </w:r>
            <w:r>
              <w:rPr>
                <w:noProof/>
                <w:sz w:val="20"/>
              </w:rPr>
              <w:t>стойност)</w:t>
            </w:r>
          </w:p>
        </w:tc>
        <w:tc>
          <w:tcPr>
            <w:tcW w:w="1440" w:type="dxa"/>
            <w:vAlign w:val="center"/>
          </w:tcPr>
          <w:p w:rsidR="006A5CA3" w:rsidRDefault="0065415D">
            <w:pPr>
              <w:rPr>
                <w:noProof/>
                <w:sz w:val="18"/>
              </w:rPr>
            </w:pPr>
            <w:r>
              <w:rPr>
                <w:noProof/>
                <w:sz w:val="18"/>
              </w:rPr>
              <w:t>Поети задължения</w:t>
            </w:r>
          </w:p>
        </w:tc>
        <w:tc>
          <w:tcPr>
            <w:tcW w:w="654" w:type="dxa"/>
            <w:vAlign w:val="center"/>
          </w:tcPr>
          <w:p w:rsidR="006A5CA3" w:rsidRDefault="0065415D">
            <w:pPr>
              <w:jc w:val="center"/>
              <w:rPr>
                <w:noProof/>
                <w:sz w:val="14"/>
              </w:rPr>
            </w:pPr>
            <w:r>
              <w:rPr>
                <w:noProof/>
                <w:sz w:val="14"/>
              </w:rPr>
              <w:t>=4+6</w:t>
            </w: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b/>
                <w:noProof/>
                <w:sz w:val="20"/>
              </w:rPr>
            </w:pPr>
          </w:p>
        </w:tc>
        <w:tc>
          <w:tcPr>
            <w:tcW w:w="1777" w:type="dxa"/>
            <w:tcBorders>
              <w:right w:val="single" w:sz="4" w:space="0" w:color="auto"/>
            </w:tcBorders>
            <w:vAlign w:val="center"/>
          </w:tcPr>
          <w:p w:rsidR="006A5CA3" w:rsidRDefault="006A5CA3">
            <w:pPr>
              <w:spacing w:before="20" w:after="20"/>
              <w:jc w:val="right"/>
              <w:rPr>
                <w:b/>
                <w:noProof/>
                <w:sz w:val="20"/>
              </w:rPr>
            </w:pPr>
          </w:p>
        </w:tc>
      </w:tr>
      <w:tr w:rsidR="006A5CA3">
        <w:tc>
          <w:tcPr>
            <w:tcW w:w="3960" w:type="dxa"/>
            <w:vMerge/>
            <w:tcBorders>
              <w:top w:val="single" w:sz="4" w:space="0" w:color="FF0000"/>
              <w:left w:val="single" w:sz="4" w:space="0" w:color="auto"/>
              <w:bottom w:val="single" w:sz="4" w:space="0" w:color="auto"/>
            </w:tcBorders>
            <w:shd w:val="thinDiagStripe" w:color="C0C0C0" w:fill="auto"/>
          </w:tcPr>
          <w:p w:rsidR="006A5CA3" w:rsidRDefault="006A5CA3">
            <w:pPr>
              <w:rPr>
                <w:noProof/>
                <w:sz w:val="20"/>
              </w:rPr>
            </w:pPr>
          </w:p>
        </w:tc>
        <w:tc>
          <w:tcPr>
            <w:tcW w:w="1440" w:type="dxa"/>
            <w:tcBorders>
              <w:bottom w:val="single" w:sz="4" w:space="0" w:color="auto"/>
            </w:tcBorders>
            <w:vAlign w:val="center"/>
          </w:tcPr>
          <w:p w:rsidR="006A5CA3" w:rsidRDefault="0065415D">
            <w:pPr>
              <w:rPr>
                <w:noProof/>
                <w:sz w:val="18"/>
              </w:rPr>
            </w:pPr>
            <w:r>
              <w:rPr>
                <w:noProof/>
                <w:sz w:val="18"/>
              </w:rPr>
              <w:t>Плащания</w:t>
            </w:r>
          </w:p>
        </w:tc>
        <w:tc>
          <w:tcPr>
            <w:tcW w:w="654" w:type="dxa"/>
            <w:tcBorders>
              <w:bottom w:val="single" w:sz="4" w:space="0" w:color="auto"/>
            </w:tcBorders>
            <w:vAlign w:val="center"/>
          </w:tcPr>
          <w:p w:rsidR="006A5CA3" w:rsidRDefault="0065415D">
            <w:pPr>
              <w:jc w:val="center"/>
              <w:rPr>
                <w:noProof/>
                <w:sz w:val="14"/>
              </w:rPr>
            </w:pPr>
            <w:r>
              <w:rPr>
                <w:noProof/>
                <w:sz w:val="14"/>
              </w:rPr>
              <w:t>=5+6</w:t>
            </w:r>
          </w:p>
        </w:tc>
        <w:tc>
          <w:tcPr>
            <w:tcW w:w="868" w:type="dxa"/>
            <w:tcBorders>
              <w:bottom w:val="single" w:sz="4" w:space="0" w:color="auto"/>
            </w:tcBorders>
            <w:vAlign w:val="center"/>
          </w:tcPr>
          <w:p w:rsidR="006A5CA3" w:rsidRDefault="006A5CA3">
            <w:pPr>
              <w:spacing w:before="20" w:after="20"/>
              <w:jc w:val="right"/>
              <w:rPr>
                <w:noProof/>
                <w:sz w:val="20"/>
              </w:rPr>
            </w:pPr>
          </w:p>
        </w:tc>
        <w:tc>
          <w:tcPr>
            <w:tcW w:w="868" w:type="dxa"/>
            <w:tcBorders>
              <w:bottom w:val="single" w:sz="4" w:space="0" w:color="auto"/>
            </w:tcBorders>
            <w:vAlign w:val="center"/>
          </w:tcPr>
          <w:p w:rsidR="006A5CA3" w:rsidRDefault="006A5CA3">
            <w:pPr>
              <w:spacing w:before="20" w:after="20"/>
              <w:jc w:val="right"/>
              <w:rPr>
                <w:noProof/>
                <w:sz w:val="20"/>
              </w:rPr>
            </w:pPr>
          </w:p>
        </w:tc>
        <w:tc>
          <w:tcPr>
            <w:tcW w:w="868" w:type="dxa"/>
            <w:tcBorders>
              <w:bottom w:val="single" w:sz="4" w:space="0" w:color="auto"/>
            </w:tcBorders>
            <w:vAlign w:val="center"/>
          </w:tcPr>
          <w:p w:rsidR="006A5CA3" w:rsidRDefault="006A5CA3">
            <w:pPr>
              <w:spacing w:before="20" w:after="20"/>
              <w:jc w:val="right"/>
              <w:rPr>
                <w:noProof/>
                <w:sz w:val="20"/>
              </w:rPr>
            </w:pPr>
          </w:p>
        </w:tc>
        <w:tc>
          <w:tcPr>
            <w:tcW w:w="868" w:type="dxa"/>
            <w:tcBorders>
              <w:bottom w:val="single" w:sz="4" w:space="0" w:color="auto"/>
            </w:tcBorders>
            <w:vAlign w:val="center"/>
          </w:tcPr>
          <w:p w:rsidR="006A5CA3" w:rsidRDefault="006A5CA3">
            <w:pPr>
              <w:spacing w:before="20" w:after="20"/>
              <w:jc w:val="right"/>
              <w:rPr>
                <w:noProof/>
                <w:sz w:val="20"/>
              </w:rPr>
            </w:pPr>
          </w:p>
        </w:tc>
        <w:tc>
          <w:tcPr>
            <w:tcW w:w="868" w:type="dxa"/>
            <w:tcBorders>
              <w:bottom w:val="single" w:sz="4" w:space="0" w:color="auto"/>
            </w:tcBorders>
            <w:vAlign w:val="center"/>
          </w:tcPr>
          <w:p w:rsidR="006A5CA3" w:rsidRDefault="006A5CA3">
            <w:pPr>
              <w:spacing w:before="20" w:after="20"/>
              <w:jc w:val="right"/>
              <w:rPr>
                <w:noProof/>
                <w:sz w:val="20"/>
              </w:rPr>
            </w:pPr>
          </w:p>
        </w:tc>
        <w:tc>
          <w:tcPr>
            <w:tcW w:w="868" w:type="dxa"/>
            <w:tcBorders>
              <w:bottom w:val="single" w:sz="4" w:space="0" w:color="auto"/>
            </w:tcBorders>
            <w:vAlign w:val="center"/>
          </w:tcPr>
          <w:p w:rsidR="006A5CA3" w:rsidRDefault="006A5CA3">
            <w:pPr>
              <w:spacing w:before="20" w:after="20"/>
              <w:jc w:val="right"/>
              <w:rPr>
                <w:noProof/>
                <w:sz w:val="20"/>
              </w:rPr>
            </w:pPr>
          </w:p>
        </w:tc>
        <w:tc>
          <w:tcPr>
            <w:tcW w:w="868" w:type="dxa"/>
            <w:tcBorders>
              <w:bottom w:val="single" w:sz="4" w:space="0" w:color="auto"/>
            </w:tcBorders>
            <w:vAlign w:val="center"/>
          </w:tcPr>
          <w:p w:rsidR="006A5CA3" w:rsidRDefault="006A5CA3">
            <w:pPr>
              <w:spacing w:before="20" w:after="20"/>
              <w:jc w:val="right"/>
              <w:rPr>
                <w:b/>
                <w:noProof/>
                <w:sz w:val="20"/>
              </w:rPr>
            </w:pPr>
          </w:p>
        </w:tc>
        <w:tc>
          <w:tcPr>
            <w:tcW w:w="1777" w:type="dxa"/>
            <w:tcBorders>
              <w:bottom w:val="single" w:sz="4" w:space="0" w:color="auto"/>
              <w:right w:val="single" w:sz="4" w:space="0" w:color="auto"/>
            </w:tcBorders>
            <w:vAlign w:val="center"/>
          </w:tcPr>
          <w:p w:rsidR="006A5CA3" w:rsidRDefault="006A5CA3">
            <w:pPr>
              <w:spacing w:before="20" w:after="20"/>
              <w:jc w:val="right"/>
              <w:rPr>
                <w:b/>
                <w:noProof/>
                <w:sz w:val="20"/>
              </w:rPr>
            </w:pPr>
          </w:p>
        </w:tc>
      </w:tr>
    </w:tbl>
    <w:p w:rsidR="006A5CA3" w:rsidRDefault="006A5CA3">
      <w:pPr>
        <w:rPr>
          <w:noProof/>
        </w:rPr>
      </w:pPr>
    </w:p>
    <w:p w:rsidR="006A5CA3" w:rsidRDefault="0065415D">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6A5CA3">
        <w:trPr>
          <w:jc w:val="center"/>
        </w:trPr>
        <w:tc>
          <w:tcPr>
            <w:tcW w:w="4744" w:type="dxa"/>
            <w:shd w:val="thinDiagStripe" w:color="C0C0C0" w:fill="auto"/>
            <w:vAlign w:val="center"/>
          </w:tcPr>
          <w:p w:rsidR="006A5CA3" w:rsidRDefault="0065415D">
            <w:pPr>
              <w:spacing w:before="60" w:after="60"/>
              <w:jc w:val="center"/>
              <w:rPr>
                <w:b/>
                <w:noProof/>
              </w:rPr>
            </w:pPr>
            <w:r>
              <w:rPr>
                <w:noProof/>
              </w:rPr>
              <w:br w:type="page"/>
            </w:r>
            <w:r>
              <w:rPr>
                <w:b/>
                <w:noProof/>
                <w:sz w:val="22"/>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rsidR="006A5CA3" w:rsidRDefault="0065415D">
            <w:pPr>
              <w:spacing w:before="60" w:after="60"/>
              <w:jc w:val="center"/>
              <w:rPr>
                <w:noProof/>
              </w:rPr>
            </w:pPr>
            <w:r>
              <w:rPr>
                <w:b/>
                <w:noProof/>
                <w:sz w:val="22"/>
              </w:rPr>
              <w:t>5</w:t>
            </w:r>
          </w:p>
        </w:tc>
        <w:tc>
          <w:tcPr>
            <w:tcW w:w="7817" w:type="dxa"/>
            <w:vAlign w:val="center"/>
          </w:tcPr>
          <w:p w:rsidR="006A5CA3" w:rsidRDefault="0065415D">
            <w:pPr>
              <w:spacing w:before="60" w:after="60"/>
              <w:rPr>
                <w:noProof/>
              </w:rPr>
            </w:pPr>
            <w:r>
              <w:rPr>
                <w:noProof/>
                <w:sz w:val="22"/>
              </w:rPr>
              <w:t xml:space="preserve">„Административни разходи“ </w:t>
            </w:r>
          </w:p>
        </w:tc>
      </w:tr>
    </w:tbl>
    <w:p w:rsidR="006A5CA3" w:rsidRDefault="0065415D">
      <w:pPr>
        <w:jc w:val="left"/>
        <w:rPr>
          <w:noProof/>
          <w:sz w:val="20"/>
        </w:rPr>
      </w:pPr>
      <w:r>
        <w:rPr>
          <w:noProof/>
        </w:rPr>
        <w:t xml:space="preserve">Тази част следва да бъде попълнена, като се използва таблицата за бюджетни данни от административно естество, която най-напред се въвежда в </w:t>
      </w:r>
      <w:hyperlink r:id="rId17">
        <w:r>
          <w:rPr>
            <w:rStyle w:val="Hyperlink"/>
            <w:noProof/>
          </w:rPr>
          <w:t>приложението към финансовата обосновка</w:t>
        </w:r>
      </w:hyperlink>
      <w:r>
        <w:rPr>
          <w:noProof/>
        </w:rPr>
        <w:t xml:space="preserve"> (приложение V към вътрешните правила), което се качва в DECIDE за провеждането на вътрешни консултации между службите.</w:t>
      </w:r>
    </w:p>
    <w:p w:rsidR="006A5CA3" w:rsidRDefault="0065415D">
      <w:pPr>
        <w:jc w:val="right"/>
        <w:rPr>
          <w:noProof/>
          <w:sz w:val="20"/>
        </w:rPr>
      </w:pPr>
      <w:r>
        <w:rPr>
          <w:noProof/>
          <w:sz w:val="20"/>
        </w:rPr>
        <w:t>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6A5CA3">
        <w:tc>
          <w:tcPr>
            <w:tcW w:w="3960" w:type="dxa"/>
            <w:tcBorders>
              <w:top w:val="nil"/>
              <w:left w:val="nil"/>
              <w:right w:val="nil"/>
            </w:tcBorders>
            <w:vAlign w:val="center"/>
          </w:tcPr>
          <w:p w:rsidR="006A5CA3" w:rsidRDefault="006A5CA3">
            <w:pPr>
              <w:jc w:val="center"/>
              <w:rPr>
                <w:noProof/>
              </w:rPr>
            </w:pPr>
          </w:p>
        </w:tc>
        <w:tc>
          <w:tcPr>
            <w:tcW w:w="1560" w:type="dxa"/>
            <w:tcBorders>
              <w:top w:val="nil"/>
              <w:left w:val="nil"/>
              <w:right w:val="nil"/>
            </w:tcBorders>
          </w:tcPr>
          <w:p w:rsidR="006A5CA3" w:rsidRDefault="006A5CA3">
            <w:pPr>
              <w:rPr>
                <w:noProof/>
                <w:sz w:val="20"/>
              </w:rPr>
            </w:pPr>
          </w:p>
        </w:tc>
        <w:tc>
          <w:tcPr>
            <w:tcW w:w="534" w:type="dxa"/>
            <w:tcBorders>
              <w:top w:val="nil"/>
              <w:left w:val="nil"/>
            </w:tcBorders>
          </w:tcPr>
          <w:p w:rsidR="006A5CA3" w:rsidRDefault="006A5CA3">
            <w:pPr>
              <w:jc w:val="center"/>
              <w:rPr>
                <w:noProof/>
                <w:sz w:val="20"/>
              </w:rPr>
            </w:pPr>
          </w:p>
        </w:tc>
        <w:tc>
          <w:tcPr>
            <w:tcW w:w="868" w:type="dxa"/>
            <w:vAlign w:val="center"/>
          </w:tcPr>
          <w:p w:rsidR="006A5CA3" w:rsidRDefault="0065415D">
            <w:pPr>
              <w:jc w:val="center"/>
              <w:rPr>
                <w:noProof/>
                <w:sz w:val="20"/>
              </w:rPr>
            </w:pPr>
            <w:r>
              <w:rPr>
                <w:noProof/>
                <w:sz w:val="20"/>
              </w:rPr>
              <w:t>Година</w:t>
            </w:r>
            <w:r>
              <w:rPr>
                <w:noProof/>
                <w:sz w:val="22"/>
              </w:rPr>
              <w:br/>
            </w:r>
            <w:r>
              <w:rPr>
                <w:b/>
                <w:noProof/>
                <w:sz w:val="20"/>
              </w:rPr>
              <w:t>N</w:t>
            </w:r>
          </w:p>
        </w:tc>
        <w:tc>
          <w:tcPr>
            <w:tcW w:w="868" w:type="dxa"/>
            <w:vAlign w:val="center"/>
          </w:tcPr>
          <w:p w:rsidR="006A5CA3" w:rsidRDefault="0065415D">
            <w:pPr>
              <w:jc w:val="center"/>
              <w:rPr>
                <w:noProof/>
                <w:sz w:val="20"/>
              </w:rPr>
            </w:pPr>
            <w:r>
              <w:rPr>
                <w:noProof/>
                <w:sz w:val="20"/>
              </w:rPr>
              <w:t>Година</w:t>
            </w:r>
            <w:r>
              <w:rPr>
                <w:noProof/>
                <w:sz w:val="22"/>
              </w:rPr>
              <w:br/>
            </w:r>
            <w:r>
              <w:rPr>
                <w:b/>
                <w:noProof/>
                <w:sz w:val="20"/>
              </w:rPr>
              <w:t>N+1</w:t>
            </w:r>
          </w:p>
        </w:tc>
        <w:tc>
          <w:tcPr>
            <w:tcW w:w="868" w:type="dxa"/>
            <w:vAlign w:val="center"/>
          </w:tcPr>
          <w:p w:rsidR="006A5CA3" w:rsidRDefault="0065415D">
            <w:pPr>
              <w:jc w:val="center"/>
              <w:rPr>
                <w:noProof/>
                <w:sz w:val="20"/>
              </w:rPr>
            </w:pPr>
            <w:r>
              <w:rPr>
                <w:noProof/>
                <w:sz w:val="20"/>
              </w:rPr>
              <w:t>Година</w:t>
            </w:r>
            <w:r>
              <w:rPr>
                <w:noProof/>
                <w:sz w:val="22"/>
              </w:rPr>
              <w:br/>
            </w:r>
            <w:r>
              <w:rPr>
                <w:b/>
                <w:noProof/>
                <w:sz w:val="20"/>
              </w:rPr>
              <w:t>N+2</w:t>
            </w:r>
          </w:p>
        </w:tc>
        <w:tc>
          <w:tcPr>
            <w:tcW w:w="868" w:type="dxa"/>
            <w:vAlign w:val="center"/>
          </w:tcPr>
          <w:p w:rsidR="006A5CA3" w:rsidRDefault="0065415D">
            <w:pPr>
              <w:jc w:val="center"/>
              <w:rPr>
                <w:noProof/>
                <w:sz w:val="20"/>
              </w:rPr>
            </w:pPr>
            <w:r>
              <w:rPr>
                <w:noProof/>
                <w:sz w:val="20"/>
              </w:rPr>
              <w:t>Година</w:t>
            </w:r>
            <w:r>
              <w:rPr>
                <w:noProof/>
                <w:sz w:val="22"/>
              </w:rPr>
              <w:br/>
            </w:r>
            <w:r>
              <w:rPr>
                <w:b/>
                <w:noProof/>
                <w:sz w:val="20"/>
              </w:rPr>
              <w:t>N+3</w:t>
            </w:r>
          </w:p>
        </w:tc>
        <w:tc>
          <w:tcPr>
            <w:tcW w:w="2604" w:type="dxa"/>
            <w:gridSpan w:val="3"/>
            <w:vAlign w:val="center"/>
          </w:tcPr>
          <w:p w:rsidR="006A5CA3" w:rsidRDefault="0065415D">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rsidR="006A5CA3" w:rsidRDefault="0065415D">
            <w:pPr>
              <w:jc w:val="center"/>
              <w:rPr>
                <w:b/>
                <w:noProof/>
                <w:sz w:val="20"/>
              </w:rPr>
            </w:pPr>
            <w:r>
              <w:rPr>
                <w:b/>
                <w:noProof/>
                <w:sz w:val="20"/>
              </w:rPr>
              <w:t>ОБЩО</w:t>
            </w:r>
          </w:p>
        </w:tc>
      </w:tr>
      <w:tr w:rsidR="006A5CA3">
        <w:trPr>
          <w:gridAfter w:val="10"/>
          <w:wAfter w:w="9947" w:type="dxa"/>
        </w:trPr>
        <w:tc>
          <w:tcPr>
            <w:tcW w:w="3960" w:type="dxa"/>
            <w:vAlign w:val="center"/>
          </w:tcPr>
          <w:p w:rsidR="006A5CA3" w:rsidRDefault="0065415D">
            <w:pPr>
              <w:spacing w:before="60" w:after="60"/>
              <w:jc w:val="center"/>
              <w:rPr>
                <w:noProof/>
              </w:rPr>
            </w:pPr>
            <w:r>
              <w:rPr>
                <w:noProof/>
                <w:sz w:val="22"/>
              </w:rPr>
              <w:t>ГД: SG (и потенциално SJ,...)</w:t>
            </w:r>
          </w:p>
        </w:tc>
      </w:tr>
      <w:tr w:rsidR="006A5CA3">
        <w:trPr>
          <w:trHeight w:val="313"/>
        </w:trPr>
        <w:tc>
          <w:tcPr>
            <w:tcW w:w="6054" w:type="dxa"/>
            <w:gridSpan w:val="3"/>
            <w:vAlign w:val="center"/>
          </w:tcPr>
          <w:p w:rsidR="006A5CA3" w:rsidRDefault="0065415D">
            <w:pPr>
              <w:spacing w:before="20" w:after="20"/>
              <w:rPr>
                <w:noProof/>
              </w:rPr>
            </w:pPr>
            <w:r>
              <w:rPr>
                <w:noProof/>
                <w:sz w:val="22"/>
              </w:rPr>
              <w:sym w:font="Wingdings" w:char="F09F"/>
            </w:r>
            <w:r>
              <w:rPr>
                <w:noProof/>
                <w:sz w:val="22"/>
              </w:rPr>
              <w:t xml:space="preserve"> Човешки ресурси </w:t>
            </w:r>
          </w:p>
        </w:tc>
        <w:tc>
          <w:tcPr>
            <w:tcW w:w="868" w:type="dxa"/>
            <w:vAlign w:val="center"/>
          </w:tcPr>
          <w:p w:rsidR="006A5CA3" w:rsidRDefault="0065415D">
            <w:pPr>
              <w:spacing w:before="20" w:after="20"/>
              <w:jc w:val="right"/>
              <w:rPr>
                <w:noProof/>
                <w:sz w:val="18"/>
                <w:szCs w:val="18"/>
              </w:rPr>
            </w:pPr>
            <w:r>
              <w:rPr>
                <w:noProof/>
                <w:sz w:val="18"/>
              </w:rPr>
              <w:t>286 000</w:t>
            </w:r>
          </w:p>
        </w:tc>
        <w:tc>
          <w:tcPr>
            <w:tcW w:w="868" w:type="dxa"/>
            <w:vAlign w:val="center"/>
          </w:tcPr>
          <w:p w:rsidR="006A5CA3" w:rsidRDefault="0065415D">
            <w:pPr>
              <w:spacing w:before="20" w:after="20"/>
              <w:jc w:val="right"/>
              <w:rPr>
                <w:noProof/>
                <w:sz w:val="18"/>
                <w:szCs w:val="18"/>
              </w:rPr>
            </w:pPr>
            <w:r>
              <w:rPr>
                <w:noProof/>
                <w:sz w:val="18"/>
              </w:rPr>
              <w:t>286 000</w:t>
            </w:r>
          </w:p>
        </w:tc>
        <w:tc>
          <w:tcPr>
            <w:tcW w:w="868" w:type="dxa"/>
            <w:vAlign w:val="center"/>
          </w:tcPr>
          <w:p w:rsidR="006A5CA3" w:rsidRDefault="0065415D">
            <w:pPr>
              <w:spacing w:before="20" w:after="20"/>
              <w:jc w:val="right"/>
              <w:rPr>
                <w:noProof/>
                <w:sz w:val="18"/>
                <w:szCs w:val="18"/>
              </w:rPr>
            </w:pPr>
            <w:r>
              <w:rPr>
                <w:noProof/>
                <w:sz w:val="18"/>
              </w:rPr>
              <w:t>286 000</w:t>
            </w:r>
          </w:p>
        </w:tc>
        <w:tc>
          <w:tcPr>
            <w:tcW w:w="868" w:type="dxa"/>
            <w:vAlign w:val="center"/>
          </w:tcPr>
          <w:p w:rsidR="006A5CA3" w:rsidRDefault="0065415D">
            <w:pPr>
              <w:spacing w:before="20" w:after="20"/>
              <w:jc w:val="right"/>
              <w:rPr>
                <w:noProof/>
                <w:sz w:val="18"/>
                <w:szCs w:val="18"/>
              </w:rPr>
            </w:pPr>
            <w:r>
              <w:rPr>
                <w:noProof/>
                <w:sz w:val="18"/>
              </w:rPr>
              <w:t>286 000</w:t>
            </w: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b/>
                <w:noProof/>
                <w:sz w:val="20"/>
              </w:rPr>
            </w:pPr>
          </w:p>
        </w:tc>
        <w:tc>
          <w:tcPr>
            <w:tcW w:w="1777" w:type="dxa"/>
            <w:vAlign w:val="center"/>
          </w:tcPr>
          <w:p w:rsidR="006A5CA3" w:rsidRDefault="006A5CA3">
            <w:pPr>
              <w:spacing w:before="20" w:after="20"/>
              <w:jc w:val="right"/>
              <w:rPr>
                <w:b/>
                <w:noProof/>
                <w:sz w:val="20"/>
              </w:rPr>
            </w:pPr>
          </w:p>
        </w:tc>
      </w:tr>
      <w:tr w:rsidR="006A5CA3">
        <w:trPr>
          <w:trHeight w:val="351"/>
        </w:trPr>
        <w:tc>
          <w:tcPr>
            <w:tcW w:w="6054" w:type="dxa"/>
            <w:gridSpan w:val="3"/>
            <w:vAlign w:val="center"/>
          </w:tcPr>
          <w:p w:rsidR="006A5CA3" w:rsidRDefault="0065415D">
            <w:pPr>
              <w:spacing w:before="20" w:after="20"/>
              <w:rPr>
                <w:noProof/>
              </w:rPr>
            </w:pPr>
            <w:r>
              <w:rPr>
                <w:noProof/>
                <w:sz w:val="22"/>
              </w:rPr>
              <w:sym w:font="Wingdings" w:char="F09F"/>
            </w:r>
            <w:r>
              <w:rPr>
                <w:noProof/>
                <w:sz w:val="22"/>
              </w:rPr>
              <w:t xml:space="preserve"> Други административни разходи </w:t>
            </w:r>
          </w:p>
        </w:tc>
        <w:tc>
          <w:tcPr>
            <w:tcW w:w="868" w:type="dxa"/>
            <w:vAlign w:val="center"/>
          </w:tcPr>
          <w:p w:rsidR="006A5CA3" w:rsidRDefault="0065415D">
            <w:pPr>
              <w:spacing w:before="20" w:after="20"/>
              <w:jc w:val="right"/>
              <w:rPr>
                <w:noProof/>
                <w:sz w:val="18"/>
                <w:szCs w:val="18"/>
              </w:rPr>
            </w:pPr>
            <w:r>
              <w:rPr>
                <w:noProof/>
                <w:sz w:val="18"/>
              </w:rPr>
              <w:t>2 000</w:t>
            </w:r>
          </w:p>
        </w:tc>
        <w:tc>
          <w:tcPr>
            <w:tcW w:w="868" w:type="dxa"/>
            <w:vAlign w:val="center"/>
          </w:tcPr>
          <w:p w:rsidR="006A5CA3" w:rsidRDefault="0065415D">
            <w:pPr>
              <w:spacing w:before="20" w:after="20"/>
              <w:jc w:val="right"/>
              <w:rPr>
                <w:noProof/>
                <w:sz w:val="18"/>
                <w:szCs w:val="18"/>
              </w:rPr>
            </w:pPr>
            <w:r>
              <w:rPr>
                <w:noProof/>
                <w:sz w:val="18"/>
              </w:rPr>
              <w:t>2 000</w:t>
            </w:r>
          </w:p>
        </w:tc>
        <w:tc>
          <w:tcPr>
            <w:tcW w:w="868" w:type="dxa"/>
            <w:vAlign w:val="center"/>
          </w:tcPr>
          <w:p w:rsidR="006A5CA3" w:rsidRDefault="0065415D">
            <w:pPr>
              <w:spacing w:before="20" w:after="20"/>
              <w:jc w:val="right"/>
              <w:rPr>
                <w:noProof/>
                <w:sz w:val="18"/>
                <w:szCs w:val="18"/>
              </w:rPr>
            </w:pPr>
            <w:r>
              <w:rPr>
                <w:noProof/>
                <w:sz w:val="18"/>
              </w:rPr>
              <w:t>2 000</w:t>
            </w:r>
          </w:p>
        </w:tc>
        <w:tc>
          <w:tcPr>
            <w:tcW w:w="868" w:type="dxa"/>
            <w:vAlign w:val="center"/>
          </w:tcPr>
          <w:p w:rsidR="006A5CA3" w:rsidRDefault="0065415D">
            <w:pPr>
              <w:spacing w:before="20" w:after="20"/>
              <w:jc w:val="right"/>
              <w:rPr>
                <w:noProof/>
                <w:sz w:val="18"/>
                <w:szCs w:val="18"/>
              </w:rPr>
            </w:pPr>
            <w:r>
              <w:rPr>
                <w:noProof/>
                <w:sz w:val="18"/>
              </w:rPr>
              <w:t>2 000</w:t>
            </w:r>
          </w:p>
        </w:tc>
        <w:tc>
          <w:tcPr>
            <w:tcW w:w="868" w:type="dxa"/>
            <w:vAlign w:val="center"/>
          </w:tcPr>
          <w:p w:rsidR="006A5CA3" w:rsidRDefault="006A5CA3">
            <w:pPr>
              <w:spacing w:before="20" w:after="20"/>
              <w:jc w:val="right"/>
              <w:rPr>
                <w:b/>
                <w:noProof/>
                <w:sz w:val="20"/>
              </w:rPr>
            </w:pPr>
          </w:p>
        </w:tc>
        <w:tc>
          <w:tcPr>
            <w:tcW w:w="868" w:type="dxa"/>
            <w:vAlign w:val="center"/>
          </w:tcPr>
          <w:p w:rsidR="006A5CA3" w:rsidRDefault="006A5CA3">
            <w:pPr>
              <w:spacing w:before="20" w:after="20"/>
              <w:jc w:val="right"/>
              <w:rPr>
                <w:b/>
                <w:noProof/>
                <w:sz w:val="20"/>
              </w:rPr>
            </w:pPr>
          </w:p>
        </w:tc>
        <w:tc>
          <w:tcPr>
            <w:tcW w:w="868" w:type="dxa"/>
            <w:vAlign w:val="center"/>
          </w:tcPr>
          <w:p w:rsidR="006A5CA3" w:rsidRDefault="006A5CA3">
            <w:pPr>
              <w:spacing w:before="20" w:after="20"/>
              <w:jc w:val="right"/>
              <w:rPr>
                <w:b/>
                <w:noProof/>
                <w:sz w:val="20"/>
              </w:rPr>
            </w:pPr>
          </w:p>
        </w:tc>
        <w:tc>
          <w:tcPr>
            <w:tcW w:w="1777" w:type="dxa"/>
            <w:vAlign w:val="center"/>
          </w:tcPr>
          <w:p w:rsidR="006A5CA3" w:rsidRDefault="006A5CA3">
            <w:pPr>
              <w:spacing w:before="20" w:after="20"/>
              <w:jc w:val="right"/>
              <w:rPr>
                <w:b/>
                <w:noProof/>
                <w:sz w:val="20"/>
              </w:rPr>
            </w:pPr>
          </w:p>
        </w:tc>
      </w:tr>
      <w:tr w:rsidR="006A5CA3">
        <w:tc>
          <w:tcPr>
            <w:tcW w:w="3960" w:type="dxa"/>
            <w:vAlign w:val="center"/>
          </w:tcPr>
          <w:p w:rsidR="006A5CA3" w:rsidRDefault="0065415D">
            <w:pPr>
              <w:jc w:val="center"/>
              <w:rPr>
                <w:b/>
                <w:noProof/>
              </w:rPr>
            </w:pPr>
            <w:r>
              <w:rPr>
                <w:b/>
                <w:noProof/>
                <w:sz w:val="22"/>
              </w:rPr>
              <w:t>ОБЩО ГД</w:t>
            </w:r>
          </w:p>
        </w:tc>
        <w:tc>
          <w:tcPr>
            <w:tcW w:w="2094" w:type="dxa"/>
            <w:gridSpan w:val="2"/>
            <w:vAlign w:val="center"/>
          </w:tcPr>
          <w:p w:rsidR="006A5CA3" w:rsidRDefault="0065415D">
            <w:pPr>
              <w:spacing w:before="60" w:after="60"/>
              <w:jc w:val="left"/>
              <w:rPr>
                <w:noProof/>
                <w:sz w:val="18"/>
                <w:szCs w:val="18"/>
              </w:rPr>
            </w:pPr>
            <w:r>
              <w:rPr>
                <w:noProof/>
                <w:sz w:val="18"/>
              </w:rPr>
              <w:t>Бюджетни кредити</w:t>
            </w:r>
          </w:p>
        </w:tc>
        <w:tc>
          <w:tcPr>
            <w:tcW w:w="868" w:type="dxa"/>
            <w:vAlign w:val="center"/>
          </w:tcPr>
          <w:p w:rsidR="006A5CA3" w:rsidRDefault="0065415D">
            <w:pPr>
              <w:spacing w:before="60" w:after="60"/>
              <w:jc w:val="right"/>
              <w:rPr>
                <w:noProof/>
                <w:sz w:val="18"/>
                <w:szCs w:val="18"/>
              </w:rPr>
            </w:pPr>
            <w:r>
              <w:rPr>
                <w:noProof/>
                <w:sz w:val="18"/>
              </w:rPr>
              <w:t>288 000</w:t>
            </w:r>
          </w:p>
        </w:tc>
        <w:tc>
          <w:tcPr>
            <w:tcW w:w="868" w:type="dxa"/>
            <w:vAlign w:val="center"/>
          </w:tcPr>
          <w:p w:rsidR="006A5CA3" w:rsidRDefault="0065415D">
            <w:pPr>
              <w:spacing w:before="20" w:after="20"/>
              <w:jc w:val="right"/>
              <w:rPr>
                <w:noProof/>
                <w:sz w:val="18"/>
                <w:szCs w:val="18"/>
              </w:rPr>
            </w:pPr>
            <w:r>
              <w:rPr>
                <w:noProof/>
                <w:sz w:val="18"/>
              </w:rPr>
              <w:t>288 000</w:t>
            </w:r>
          </w:p>
        </w:tc>
        <w:tc>
          <w:tcPr>
            <w:tcW w:w="868" w:type="dxa"/>
            <w:vAlign w:val="center"/>
          </w:tcPr>
          <w:p w:rsidR="006A5CA3" w:rsidRDefault="0065415D">
            <w:pPr>
              <w:spacing w:before="20" w:after="20"/>
              <w:jc w:val="right"/>
              <w:rPr>
                <w:noProof/>
                <w:sz w:val="18"/>
                <w:szCs w:val="18"/>
              </w:rPr>
            </w:pPr>
            <w:r>
              <w:rPr>
                <w:noProof/>
                <w:sz w:val="18"/>
              </w:rPr>
              <w:t>288 000</w:t>
            </w:r>
          </w:p>
        </w:tc>
        <w:tc>
          <w:tcPr>
            <w:tcW w:w="868" w:type="dxa"/>
            <w:vAlign w:val="center"/>
          </w:tcPr>
          <w:p w:rsidR="006A5CA3" w:rsidRDefault="0065415D">
            <w:pPr>
              <w:spacing w:before="20" w:after="20"/>
              <w:jc w:val="right"/>
              <w:rPr>
                <w:noProof/>
                <w:sz w:val="18"/>
                <w:szCs w:val="18"/>
              </w:rPr>
            </w:pPr>
            <w:r>
              <w:rPr>
                <w:noProof/>
                <w:sz w:val="18"/>
              </w:rPr>
              <w:t>288 000</w:t>
            </w: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b/>
                <w:noProof/>
                <w:sz w:val="20"/>
              </w:rPr>
            </w:pPr>
          </w:p>
        </w:tc>
        <w:tc>
          <w:tcPr>
            <w:tcW w:w="1777" w:type="dxa"/>
            <w:vAlign w:val="center"/>
          </w:tcPr>
          <w:p w:rsidR="006A5CA3" w:rsidRDefault="006A5CA3">
            <w:pPr>
              <w:spacing w:before="20" w:after="20"/>
              <w:jc w:val="right"/>
              <w:rPr>
                <w:b/>
                <w:noProof/>
                <w:sz w:val="20"/>
              </w:rPr>
            </w:pPr>
          </w:p>
        </w:tc>
      </w:tr>
    </w:tbl>
    <w:p w:rsidR="006A5CA3" w:rsidRDefault="006A5CA3">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6A5CA3">
        <w:tc>
          <w:tcPr>
            <w:tcW w:w="3960" w:type="dxa"/>
            <w:shd w:val="thinDiagStripe" w:color="C0C0C0" w:fill="auto"/>
            <w:vAlign w:val="center"/>
          </w:tcPr>
          <w:p w:rsidR="006A5CA3" w:rsidRDefault="0065415D">
            <w:pPr>
              <w:jc w:val="center"/>
              <w:rPr>
                <w:b/>
                <w:noProof/>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rsidR="006A5CA3" w:rsidRDefault="0065415D">
            <w:pPr>
              <w:spacing w:before="40" w:after="40"/>
              <w:rPr>
                <w:noProof/>
              </w:rPr>
            </w:pPr>
            <w:r>
              <w:rPr>
                <w:noProof/>
                <w:sz w:val="18"/>
              </w:rPr>
              <w:t>(Общо поети задължения = oбщо плащания)</w:t>
            </w:r>
          </w:p>
        </w:tc>
        <w:tc>
          <w:tcPr>
            <w:tcW w:w="868" w:type="dxa"/>
            <w:vAlign w:val="center"/>
          </w:tcPr>
          <w:p w:rsidR="006A5CA3" w:rsidRDefault="0065415D">
            <w:pPr>
              <w:spacing w:before="60" w:after="60"/>
              <w:jc w:val="right"/>
              <w:rPr>
                <w:noProof/>
                <w:sz w:val="18"/>
                <w:szCs w:val="18"/>
              </w:rPr>
            </w:pPr>
            <w:r>
              <w:rPr>
                <w:noProof/>
                <w:sz w:val="18"/>
              </w:rPr>
              <w:t>288 000</w:t>
            </w:r>
          </w:p>
        </w:tc>
        <w:tc>
          <w:tcPr>
            <w:tcW w:w="868" w:type="dxa"/>
            <w:vAlign w:val="center"/>
          </w:tcPr>
          <w:p w:rsidR="006A5CA3" w:rsidRDefault="0065415D">
            <w:pPr>
              <w:spacing w:before="20" w:after="20"/>
              <w:jc w:val="right"/>
              <w:rPr>
                <w:noProof/>
                <w:sz w:val="18"/>
                <w:szCs w:val="18"/>
              </w:rPr>
            </w:pPr>
            <w:r>
              <w:rPr>
                <w:noProof/>
                <w:sz w:val="18"/>
              </w:rPr>
              <w:t>288 000</w:t>
            </w:r>
          </w:p>
        </w:tc>
        <w:tc>
          <w:tcPr>
            <w:tcW w:w="868" w:type="dxa"/>
            <w:vAlign w:val="center"/>
          </w:tcPr>
          <w:p w:rsidR="006A5CA3" w:rsidRDefault="0065415D">
            <w:pPr>
              <w:spacing w:before="20" w:after="20"/>
              <w:jc w:val="right"/>
              <w:rPr>
                <w:noProof/>
                <w:sz w:val="18"/>
                <w:szCs w:val="18"/>
              </w:rPr>
            </w:pPr>
            <w:r>
              <w:rPr>
                <w:noProof/>
                <w:sz w:val="18"/>
              </w:rPr>
              <w:t xml:space="preserve">288 </w:t>
            </w:r>
            <w:r>
              <w:rPr>
                <w:noProof/>
                <w:sz w:val="18"/>
              </w:rPr>
              <w:t>000</w:t>
            </w:r>
          </w:p>
        </w:tc>
        <w:tc>
          <w:tcPr>
            <w:tcW w:w="868" w:type="dxa"/>
            <w:vAlign w:val="center"/>
          </w:tcPr>
          <w:p w:rsidR="006A5CA3" w:rsidRDefault="0065415D">
            <w:pPr>
              <w:spacing w:before="20" w:after="20"/>
              <w:jc w:val="right"/>
              <w:rPr>
                <w:noProof/>
                <w:sz w:val="18"/>
                <w:szCs w:val="18"/>
              </w:rPr>
            </w:pPr>
            <w:r>
              <w:rPr>
                <w:noProof/>
                <w:sz w:val="18"/>
              </w:rPr>
              <w:t>288 000</w:t>
            </w: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noProof/>
                <w:sz w:val="20"/>
              </w:rPr>
            </w:pPr>
          </w:p>
        </w:tc>
        <w:tc>
          <w:tcPr>
            <w:tcW w:w="868" w:type="dxa"/>
            <w:vAlign w:val="center"/>
          </w:tcPr>
          <w:p w:rsidR="006A5CA3" w:rsidRDefault="006A5CA3">
            <w:pPr>
              <w:spacing w:before="20" w:after="20"/>
              <w:jc w:val="right"/>
              <w:rPr>
                <w:b/>
                <w:noProof/>
                <w:sz w:val="20"/>
              </w:rPr>
            </w:pPr>
          </w:p>
        </w:tc>
        <w:tc>
          <w:tcPr>
            <w:tcW w:w="1777" w:type="dxa"/>
            <w:vAlign w:val="center"/>
          </w:tcPr>
          <w:p w:rsidR="006A5CA3" w:rsidRDefault="006A5CA3">
            <w:pPr>
              <w:spacing w:before="20" w:after="20"/>
              <w:jc w:val="right"/>
              <w:rPr>
                <w:b/>
                <w:noProof/>
                <w:sz w:val="20"/>
              </w:rPr>
            </w:pPr>
          </w:p>
        </w:tc>
      </w:tr>
    </w:tbl>
    <w:p w:rsidR="006A5CA3" w:rsidRDefault="0065415D">
      <w:pPr>
        <w:jc w:val="right"/>
        <w:rPr>
          <w:noProof/>
          <w:sz w:val="20"/>
        </w:rPr>
      </w:pPr>
      <w:r>
        <w:rPr>
          <w:noProof/>
          <w:sz w:val="20"/>
        </w:rPr>
        <w:t>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6A5CA3">
        <w:tc>
          <w:tcPr>
            <w:tcW w:w="3960" w:type="dxa"/>
            <w:tcBorders>
              <w:top w:val="nil"/>
              <w:left w:val="nil"/>
              <w:right w:val="nil"/>
            </w:tcBorders>
            <w:vAlign w:val="center"/>
          </w:tcPr>
          <w:p w:rsidR="006A5CA3" w:rsidRDefault="006A5CA3">
            <w:pPr>
              <w:jc w:val="center"/>
              <w:rPr>
                <w:noProof/>
              </w:rPr>
            </w:pPr>
          </w:p>
        </w:tc>
        <w:tc>
          <w:tcPr>
            <w:tcW w:w="1560" w:type="dxa"/>
            <w:tcBorders>
              <w:top w:val="nil"/>
              <w:left w:val="nil"/>
              <w:right w:val="nil"/>
            </w:tcBorders>
          </w:tcPr>
          <w:p w:rsidR="006A5CA3" w:rsidRDefault="006A5CA3">
            <w:pPr>
              <w:rPr>
                <w:noProof/>
                <w:sz w:val="20"/>
              </w:rPr>
            </w:pPr>
          </w:p>
        </w:tc>
        <w:tc>
          <w:tcPr>
            <w:tcW w:w="534" w:type="dxa"/>
            <w:tcBorders>
              <w:top w:val="nil"/>
              <w:left w:val="nil"/>
            </w:tcBorders>
          </w:tcPr>
          <w:p w:rsidR="006A5CA3" w:rsidRDefault="006A5CA3">
            <w:pPr>
              <w:jc w:val="center"/>
              <w:rPr>
                <w:noProof/>
                <w:sz w:val="20"/>
              </w:rPr>
            </w:pPr>
          </w:p>
        </w:tc>
        <w:tc>
          <w:tcPr>
            <w:tcW w:w="868" w:type="dxa"/>
            <w:vAlign w:val="center"/>
          </w:tcPr>
          <w:p w:rsidR="006A5CA3" w:rsidRDefault="0065415D">
            <w:pPr>
              <w:jc w:val="center"/>
              <w:rPr>
                <w:noProof/>
                <w:sz w:val="20"/>
              </w:rPr>
            </w:pPr>
            <w:r>
              <w:rPr>
                <w:noProof/>
                <w:sz w:val="20"/>
              </w:rPr>
              <w:t>Година</w:t>
            </w:r>
            <w:r>
              <w:rPr>
                <w:noProof/>
                <w:sz w:val="22"/>
              </w:rPr>
              <w:br/>
            </w:r>
            <w:r>
              <w:rPr>
                <w:b/>
                <w:noProof/>
                <w:sz w:val="20"/>
              </w:rPr>
              <w:t>N</w:t>
            </w:r>
            <w:r>
              <w:rPr>
                <w:rStyle w:val="FootnoteReference"/>
                <w:b/>
                <w:noProof/>
                <w:sz w:val="20"/>
              </w:rPr>
              <w:footnoteReference w:id="13"/>
            </w:r>
          </w:p>
        </w:tc>
        <w:tc>
          <w:tcPr>
            <w:tcW w:w="868" w:type="dxa"/>
            <w:vAlign w:val="center"/>
          </w:tcPr>
          <w:p w:rsidR="006A5CA3" w:rsidRDefault="0065415D">
            <w:pPr>
              <w:jc w:val="center"/>
              <w:rPr>
                <w:noProof/>
                <w:sz w:val="20"/>
              </w:rPr>
            </w:pPr>
            <w:r>
              <w:rPr>
                <w:noProof/>
                <w:sz w:val="20"/>
              </w:rPr>
              <w:t>Година</w:t>
            </w:r>
            <w:r>
              <w:rPr>
                <w:noProof/>
                <w:sz w:val="22"/>
              </w:rPr>
              <w:br/>
            </w:r>
            <w:r>
              <w:rPr>
                <w:b/>
                <w:noProof/>
                <w:sz w:val="20"/>
              </w:rPr>
              <w:t>N+1</w:t>
            </w:r>
          </w:p>
        </w:tc>
        <w:tc>
          <w:tcPr>
            <w:tcW w:w="868" w:type="dxa"/>
            <w:vAlign w:val="center"/>
          </w:tcPr>
          <w:p w:rsidR="006A5CA3" w:rsidRDefault="0065415D">
            <w:pPr>
              <w:jc w:val="center"/>
              <w:rPr>
                <w:noProof/>
                <w:sz w:val="20"/>
              </w:rPr>
            </w:pPr>
            <w:r>
              <w:rPr>
                <w:noProof/>
                <w:sz w:val="20"/>
              </w:rPr>
              <w:t>Година</w:t>
            </w:r>
            <w:r>
              <w:rPr>
                <w:noProof/>
                <w:sz w:val="22"/>
              </w:rPr>
              <w:br/>
            </w:r>
            <w:r>
              <w:rPr>
                <w:b/>
                <w:noProof/>
                <w:sz w:val="20"/>
              </w:rPr>
              <w:t>N+2</w:t>
            </w:r>
          </w:p>
        </w:tc>
        <w:tc>
          <w:tcPr>
            <w:tcW w:w="868" w:type="dxa"/>
            <w:vAlign w:val="center"/>
          </w:tcPr>
          <w:p w:rsidR="006A5CA3" w:rsidRDefault="0065415D">
            <w:pPr>
              <w:jc w:val="center"/>
              <w:rPr>
                <w:noProof/>
                <w:sz w:val="20"/>
              </w:rPr>
            </w:pPr>
            <w:r>
              <w:rPr>
                <w:noProof/>
                <w:sz w:val="20"/>
              </w:rPr>
              <w:t>Година</w:t>
            </w:r>
            <w:r>
              <w:rPr>
                <w:noProof/>
                <w:sz w:val="22"/>
              </w:rPr>
              <w:br/>
            </w:r>
            <w:r>
              <w:rPr>
                <w:b/>
                <w:noProof/>
                <w:sz w:val="20"/>
              </w:rPr>
              <w:t>N+3</w:t>
            </w:r>
          </w:p>
        </w:tc>
        <w:tc>
          <w:tcPr>
            <w:tcW w:w="2604" w:type="dxa"/>
            <w:gridSpan w:val="3"/>
            <w:vAlign w:val="center"/>
          </w:tcPr>
          <w:p w:rsidR="006A5CA3" w:rsidRDefault="0065415D">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rsidR="006A5CA3" w:rsidRDefault="0065415D">
            <w:pPr>
              <w:jc w:val="center"/>
              <w:rPr>
                <w:b/>
                <w:noProof/>
                <w:sz w:val="20"/>
              </w:rPr>
            </w:pPr>
            <w:r>
              <w:rPr>
                <w:b/>
                <w:noProof/>
                <w:sz w:val="20"/>
              </w:rPr>
              <w:t>ОБЩО</w:t>
            </w:r>
          </w:p>
        </w:tc>
      </w:tr>
      <w:tr w:rsidR="006A5CA3">
        <w:tc>
          <w:tcPr>
            <w:tcW w:w="3960" w:type="dxa"/>
            <w:vMerge w:val="restart"/>
            <w:shd w:val="clear" w:color="auto" w:fill="C0C0C0"/>
            <w:vAlign w:val="center"/>
          </w:tcPr>
          <w:p w:rsidR="006A5CA3" w:rsidRDefault="0065415D">
            <w:pPr>
              <w:jc w:val="center"/>
              <w:rPr>
                <w:b/>
                <w:noProof/>
              </w:rPr>
            </w:pPr>
            <w:r>
              <w:rPr>
                <w:b/>
                <w:noProof/>
                <w:sz w:val="22"/>
              </w:rPr>
              <w:t xml:space="preserve">ОБЩО бюджетни </w:t>
            </w:r>
            <w:r>
              <w:rPr>
                <w:b/>
                <w:noProof/>
                <w:sz w:val="22"/>
              </w:rPr>
              <w:t>кредити</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rsidR="006A5CA3" w:rsidRDefault="0065415D">
            <w:pPr>
              <w:rPr>
                <w:noProof/>
                <w:sz w:val="14"/>
              </w:rPr>
            </w:pPr>
            <w:r>
              <w:rPr>
                <w:noProof/>
                <w:sz w:val="18"/>
              </w:rPr>
              <w:t>Поети задължения</w:t>
            </w:r>
          </w:p>
        </w:tc>
        <w:tc>
          <w:tcPr>
            <w:tcW w:w="868" w:type="dxa"/>
            <w:vAlign w:val="center"/>
          </w:tcPr>
          <w:p w:rsidR="006A5CA3" w:rsidRDefault="0065415D">
            <w:pPr>
              <w:spacing w:before="60" w:after="60"/>
              <w:jc w:val="right"/>
              <w:rPr>
                <w:noProof/>
                <w:sz w:val="20"/>
              </w:rPr>
            </w:pPr>
            <w:r>
              <w:rPr>
                <w:noProof/>
                <w:sz w:val="18"/>
              </w:rPr>
              <w:t>288 000</w:t>
            </w:r>
          </w:p>
        </w:tc>
        <w:tc>
          <w:tcPr>
            <w:tcW w:w="868" w:type="dxa"/>
            <w:vAlign w:val="center"/>
          </w:tcPr>
          <w:p w:rsidR="006A5CA3" w:rsidRDefault="0065415D">
            <w:pPr>
              <w:spacing w:before="60" w:after="60"/>
              <w:jc w:val="right"/>
              <w:rPr>
                <w:noProof/>
                <w:sz w:val="20"/>
              </w:rPr>
            </w:pPr>
            <w:r>
              <w:rPr>
                <w:noProof/>
                <w:sz w:val="18"/>
              </w:rPr>
              <w:t>288 000</w:t>
            </w:r>
          </w:p>
        </w:tc>
        <w:tc>
          <w:tcPr>
            <w:tcW w:w="868" w:type="dxa"/>
            <w:vAlign w:val="center"/>
          </w:tcPr>
          <w:p w:rsidR="006A5CA3" w:rsidRDefault="0065415D">
            <w:pPr>
              <w:spacing w:before="60" w:after="60"/>
              <w:jc w:val="right"/>
              <w:rPr>
                <w:noProof/>
                <w:sz w:val="20"/>
              </w:rPr>
            </w:pPr>
            <w:r>
              <w:rPr>
                <w:noProof/>
                <w:sz w:val="18"/>
              </w:rPr>
              <w:t>288 000</w:t>
            </w:r>
          </w:p>
        </w:tc>
        <w:tc>
          <w:tcPr>
            <w:tcW w:w="868" w:type="dxa"/>
            <w:vAlign w:val="center"/>
          </w:tcPr>
          <w:p w:rsidR="006A5CA3" w:rsidRDefault="0065415D">
            <w:pPr>
              <w:spacing w:before="60" w:after="60"/>
              <w:jc w:val="right"/>
              <w:rPr>
                <w:noProof/>
                <w:sz w:val="20"/>
              </w:rPr>
            </w:pPr>
            <w:r>
              <w:rPr>
                <w:noProof/>
                <w:sz w:val="18"/>
              </w:rPr>
              <w:t>288 000</w:t>
            </w:r>
          </w:p>
        </w:tc>
        <w:tc>
          <w:tcPr>
            <w:tcW w:w="868" w:type="dxa"/>
            <w:vAlign w:val="center"/>
          </w:tcPr>
          <w:p w:rsidR="006A5CA3" w:rsidRDefault="006A5CA3">
            <w:pPr>
              <w:spacing w:before="60" w:after="60"/>
              <w:jc w:val="right"/>
              <w:rPr>
                <w:noProof/>
                <w:sz w:val="20"/>
              </w:rPr>
            </w:pPr>
          </w:p>
        </w:tc>
        <w:tc>
          <w:tcPr>
            <w:tcW w:w="868" w:type="dxa"/>
            <w:vAlign w:val="center"/>
          </w:tcPr>
          <w:p w:rsidR="006A5CA3" w:rsidRDefault="006A5CA3">
            <w:pPr>
              <w:spacing w:before="60" w:after="60"/>
              <w:jc w:val="right"/>
              <w:rPr>
                <w:noProof/>
                <w:sz w:val="20"/>
              </w:rPr>
            </w:pPr>
          </w:p>
        </w:tc>
        <w:tc>
          <w:tcPr>
            <w:tcW w:w="868" w:type="dxa"/>
            <w:vAlign w:val="center"/>
          </w:tcPr>
          <w:p w:rsidR="006A5CA3" w:rsidRDefault="006A5CA3">
            <w:pPr>
              <w:spacing w:before="60" w:after="60"/>
              <w:jc w:val="right"/>
              <w:rPr>
                <w:b/>
                <w:noProof/>
                <w:sz w:val="20"/>
              </w:rPr>
            </w:pPr>
          </w:p>
        </w:tc>
        <w:tc>
          <w:tcPr>
            <w:tcW w:w="1777" w:type="dxa"/>
            <w:vAlign w:val="center"/>
          </w:tcPr>
          <w:p w:rsidR="006A5CA3" w:rsidRDefault="006A5CA3">
            <w:pPr>
              <w:spacing w:before="60" w:after="60"/>
              <w:jc w:val="right"/>
              <w:rPr>
                <w:b/>
                <w:noProof/>
                <w:sz w:val="20"/>
              </w:rPr>
            </w:pPr>
          </w:p>
        </w:tc>
      </w:tr>
      <w:tr w:rsidR="006A5CA3">
        <w:tc>
          <w:tcPr>
            <w:tcW w:w="3960" w:type="dxa"/>
            <w:vMerge/>
            <w:shd w:val="clear" w:color="auto" w:fill="C0C0C0"/>
          </w:tcPr>
          <w:p w:rsidR="006A5CA3" w:rsidRDefault="006A5CA3">
            <w:pPr>
              <w:rPr>
                <w:noProof/>
                <w:sz w:val="20"/>
              </w:rPr>
            </w:pPr>
          </w:p>
        </w:tc>
        <w:tc>
          <w:tcPr>
            <w:tcW w:w="2094" w:type="dxa"/>
            <w:gridSpan w:val="2"/>
            <w:vAlign w:val="center"/>
          </w:tcPr>
          <w:p w:rsidR="006A5CA3" w:rsidRDefault="0065415D">
            <w:pPr>
              <w:rPr>
                <w:noProof/>
                <w:sz w:val="14"/>
              </w:rPr>
            </w:pPr>
            <w:r>
              <w:rPr>
                <w:noProof/>
                <w:sz w:val="18"/>
              </w:rPr>
              <w:t>Плащания</w:t>
            </w:r>
          </w:p>
        </w:tc>
        <w:tc>
          <w:tcPr>
            <w:tcW w:w="868" w:type="dxa"/>
            <w:vAlign w:val="center"/>
          </w:tcPr>
          <w:p w:rsidR="006A5CA3" w:rsidRDefault="0065415D">
            <w:pPr>
              <w:spacing w:before="60" w:after="60"/>
              <w:jc w:val="right"/>
              <w:rPr>
                <w:noProof/>
                <w:sz w:val="20"/>
              </w:rPr>
            </w:pPr>
            <w:r>
              <w:rPr>
                <w:noProof/>
                <w:sz w:val="18"/>
              </w:rPr>
              <w:t>288 000</w:t>
            </w:r>
          </w:p>
        </w:tc>
        <w:tc>
          <w:tcPr>
            <w:tcW w:w="868" w:type="dxa"/>
            <w:vAlign w:val="center"/>
          </w:tcPr>
          <w:p w:rsidR="006A5CA3" w:rsidRDefault="0065415D">
            <w:pPr>
              <w:spacing w:before="60" w:after="60"/>
              <w:jc w:val="right"/>
              <w:rPr>
                <w:noProof/>
                <w:sz w:val="20"/>
              </w:rPr>
            </w:pPr>
            <w:r>
              <w:rPr>
                <w:noProof/>
                <w:sz w:val="18"/>
              </w:rPr>
              <w:t>288 000</w:t>
            </w:r>
          </w:p>
        </w:tc>
        <w:tc>
          <w:tcPr>
            <w:tcW w:w="868" w:type="dxa"/>
            <w:vAlign w:val="center"/>
          </w:tcPr>
          <w:p w:rsidR="006A5CA3" w:rsidRDefault="0065415D">
            <w:pPr>
              <w:spacing w:before="60" w:after="60"/>
              <w:jc w:val="right"/>
              <w:rPr>
                <w:noProof/>
                <w:sz w:val="20"/>
              </w:rPr>
            </w:pPr>
            <w:r>
              <w:rPr>
                <w:noProof/>
                <w:sz w:val="18"/>
              </w:rPr>
              <w:t>288 000</w:t>
            </w:r>
          </w:p>
        </w:tc>
        <w:tc>
          <w:tcPr>
            <w:tcW w:w="868" w:type="dxa"/>
            <w:vAlign w:val="center"/>
          </w:tcPr>
          <w:p w:rsidR="006A5CA3" w:rsidRDefault="0065415D">
            <w:pPr>
              <w:spacing w:before="60" w:after="60"/>
              <w:jc w:val="right"/>
              <w:rPr>
                <w:noProof/>
                <w:sz w:val="20"/>
              </w:rPr>
            </w:pPr>
            <w:r>
              <w:rPr>
                <w:noProof/>
                <w:sz w:val="18"/>
              </w:rPr>
              <w:t>288 000</w:t>
            </w:r>
          </w:p>
        </w:tc>
        <w:tc>
          <w:tcPr>
            <w:tcW w:w="868" w:type="dxa"/>
            <w:vAlign w:val="center"/>
          </w:tcPr>
          <w:p w:rsidR="006A5CA3" w:rsidRDefault="006A5CA3">
            <w:pPr>
              <w:spacing w:before="60" w:after="60"/>
              <w:jc w:val="right"/>
              <w:rPr>
                <w:noProof/>
                <w:sz w:val="20"/>
              </w:rPr>
            </w:pPr>
          </w:p>
        </w:tc>
        <w:tc>
          <w:tcPr>
            <w:tcW w:w="868" w:type="dxa"/>
            <w:vAlign w:val="center"/>
          </w:tcPr>
          <w:p w:rsidR="006A5CA3" w:rsidRDefault="006A5CA3">
            <w:pPr>
              <w:spacing w:before="60" w:after="60"/>
              <w:jc w:val="right"/>
              <w:rPr>
                <w:noProof/>
                <w:sz w:val="20"/>
              </w:rPr>
            </w:pPr>
          </w:p>
        </w:tc>
        <w:tc>
          <w:tcPr>
            <w:tcW w:w="868" w:type="dxa"/>
            <w:vAlign w:val="center"/>
          </w:tcPr>
          <w:p w:rsidR="006A5CA3" w:rsidRDefault="006A5CA3">
            <w:pPr>
              <w:spacing w:before="60" w:after="60"/>
              <w:jc w:val="right"/>
              <w:rPr>
                <w:b/>
                <w:noProof/>
                <w:sz w:val="20"/>
              </w:rPr>
            </w:pPr>
          </w:p>
        </w:tc>
        <w:tc>
          <w:tcPr>
            <w:tcW w:w="1777" w:type="dxa"/>
            <w:vAlign w:val="center"/>
          </w:tcPr>
          <w:p w:rsidR="006A5CA3" w:rsidRDefault="006A5CA3">
            <w:pPr>
              <w:spacing w:before="60" w:after="60"/>
              <w:jc w:val="right"/>
              <w:rPr>
                <w:b/>
                <w:noProof/>
                <w:sz w:val="20"/>
              </w:rPr>
            </w:pPr>
          </w:p>
        </w:tc>
      </w:tr>
    </w:tbl>
    <w:p w:rsidR="006A5CA3" w:rsidRDefault="006A5CA3">
      <w:pPr>
        <w:rPr>
          <w:noProof/>
        </w:rPr>
      </w:pPr>
    </w:p>
    <w:p w:rsidR="006A5CA3" w:rsidRDefault="0065415D">
      <w:pPr>
        <w:pStyle w:val="ManualHeading3"/>
        <w:rPr>
          <w:bCs/>
          <w:noProof/>
          <w:szCs w:val="24"/>
        </w:rPr>
      </w:pPr>
      <w:bookmarkStart w:id="57" w:name="_Toc514938054"/>
      <w:bookmarkStart w:id="58" w:name="_Toc520485053"/>
      <w:r>
        <w:t>3.2.2.</w:t>
      </w:r>
      <w:r>
        <w:tab/>
      </w:r>
      <w:r>
        <w:rPr>
          <w:noProof/>
        </w:rPr>
        <w:t>Очакван резултат, финансиран с бюджетни кредити за оперативни разходи</w:t>
      </w:r>
      <w:bookmarkEnd w:id="57"/>
      <w:bookmarkEnd w:id="58"/>
      <w:r>
        <w:rPr>
          <w:noProof/>
        </w:rPr>
        <w:t xml:space="preserve"> </w:t>
      </w:r>
    </w:p>
    <w:p w:rsidR="006A5CA3" w:rsidRDefault="0065415D">
      <w:pPr>
        <w:jc w:val="right"/>
        <w:rPr>
          <w:noProof/>
          <w:sz w:val="20"/>
        </w:rPr>
      </w:pPr>
      <w:r>
        <w:rPr>
          <w:noProof/>
          <w:sz w:val="20"/>
        </w:rPr>
        <w:t xml:space="preserve">Бюджетни кредити </w:t>
      </w:r>
      <w:r>
        <w:rPr>
          <w:noProof/>
          <w:sz w:val="20"/>
        </w:rPr>
        <w:t>за поети задължения в млн. евро (до третия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6A5CA3">
        <w:trPr>
          <w:jc w:val="center"/>
        </w:trPr>
        <w:tc>
          <w:tcPr>
            <w:tcW w:w="1423" w:type="dxa"/>
            <w:vMerge w:val="restart"/>
            <w:vAlign w:val="center"/>
          </w:tcPr>
          <w:p w:rsidR="006A5CA3" w:rsidRDefault="0065415D">
            <w:pPr>
              <w:ind w:right="-29"/>
              <w:jc w:val="center"/>
              <w:rPr>
                <w:b/>
                <w:noProof/>
                <w:sz w:val="18"/>
                <w:szCs w:val="18"/>
              </w:rPr>
            </w:pPr>
            <w:r>
              <w:rPr>
                <w:b/>
                <w:noProof/>
                <w:sz w:val="18"/>
              </w:rPr>
              <w:t xml:space="preserve">Да се посочат целите и резултатите </w:t>
            </w:r>
          </w:p>
          <w:p w:rsidR="006A5CA3" w:rsidRDefault="006A5CA3">
            <w:pPr>
              <w:ind w:right="-29"/>
              <w:jc w:val="center"/>
              <w:rPr>
                <w:b/>
                <w:noProof/>
                <w:sz w:val="18"/>
                <w:szCs w:val="18"/>
              </w:rPr>
            </w:pPr>
          </w:p>
          <w:p w:rsidR="006A5CA3" w:rsidRDefault="0065415D">
            <w:pPr>
              <w:ind w:right="-29"/>
              <w:jc w:val="center"/>
              <w:rPr>
                <w:noProof/>
                <w:sz w:val="18"/>
                <w:szCs w:val="18"/>
              </w:rPr>
            </w:pPr>
            <w:r>
              <w:rPr>
                <w:noProof/>
                <w:sz w:val="18"/>
              </w:rPr>
              <w:sym w:font="Wingdings" w:char="F0F2"/>
            </w:r>
          </w:p>
        </w:tc>
        <w:tc>
          <w:tcPr>
            <w:tcW w:w="720" w:type="dxa"/>
            <w:vAlign w:val="center"/>
          </w:tcPr>
          <w:p w:rsidR="006A5CA3" w:rsidRDefault="006A5CA3">
            <w:pPr>
              <w:ind w:right="-29"/>
              <w:jc w:val="center"/>
              <w:rPr>
                <w:noProof/>
                <w:sz w:val="18"/>
                <w:szCs w:val="18"/>
              </w:rPr>
            </w:pPr>
          </w:p>
        </w:tc>
        <w:tc>
          <w:tcPr>
            <w:tcW w:w="701" w:type="dxa"/>
            <w:vAlign w:val="center"/>
          </w:tcPr>
          <w:p w:rsidR="006A5CA3" w:rsidRDefault="006A5CA3">
            <w:pPr>
              <w:ind w:right="-29"/>
              <w:jc w:val="center"/>
              <w:rPr>
                <w:noProof/>
                <w:sz w:val="18"/>
                <w:szCs w:val="18"/>
              </w:rPr>
            </w:pPr>
          </w:p>
        </w:tc>
        <w:tc>
          <w:tcPr>
            <w:tcW w:w="1224" w:type="dxa"/>
            <w:gridSpan w:val="2"/>
            <w:tcBorders>
              <w:left w:val="nil"/>
            </w:tcBorders>
            <w:vAlign w:val="center"/>
          </w:tcPr>
          <w:p w:rsidR="006A5CA3" w:rsidRDefault="0065415D">
            <w:pPr>
              <w:ind w:right="-29"/>
              <w:jc w:val="center"/>
              <w:rPr>
                <w:noProof/>
                <w:sz w:val="18"/>
                <w:szCs w:val="18"/>
              </w:rPr>
            </w:pPr>
            <w:r>
              <w:rPr>
                <w:noProof/>
                <w:sz w:val="18"/>
              </w:rPr>
              <w:t>Година</w:t>
            </w:r>
            <w:r>
              <w:rPr>
                <w:noProof/>
                <w:sz w:val="22"/>
              </w:rPr>
              <w:br/>
            </w:r>
            <w:r>
              <w:rPr>
                <w:b/>
                <w:noProof/>
                <w:sz w:val="18"/>
              </w:rPr>
              <w:t>N</w:t>
            </w:r>
          </w:p>
        </w:tc>
        <w:tc>
          <w:tcPr>
            <w:tcW w:w="1260" w:type="dxa"/>
            <w:gridSpan w:val="2"/>
            <w:vAlign w:val="center"/>
          </w:tcPr>
          <w:p w:rsidR="006A5CA3" w:rsidRDefault="0065415D">
            <w:pPr>
              <w:ind w:right="-29"/>
              <w:jc w:val="center"/>
              <w:rPr>
                <w:noProof/>
                <w:sz w:val="18"/>
                <w:szCs w:val="18"/>
              </w:rPr>
            </w:pPr>
            <w:r>
              <w:rPr>
                <w:noProof/>
                <w:sz w:val="18"/>
              </w:rPr>
              <w:t>Година</w:t>
            </w:r>
            <w:r>
              <w:rPr>
                <w:noProof/>
                <w:sz w:val="22"/>
              </w:rPr>
              <w:br/>
            </w:r>
            <w:r>
              <w:rPr>
                <w:b/>
                <w:noProof/>
                <w:sz w:val="18"/>
              </w:rPr>
              <w:t>N+1</w:t>
            </w:r>
          </w:p>
        </w:tc>
        <w:tc>
          <w:tcPr>
            <w:tcW w:w="1440" w:type="dxa"/>
            <w:gridSpan w:val="2"/>
            <w:vAlign w:val="center"/>
          </w:tcPr>
          <w:p w:rsidR="006A5CA3" w:rsidRDefault="0065415D">
            <w:pPr>
              <w:ind w:right="-29"/>
              <w:jc w:val="center"/>
              <w:rPr>
                <w:noProof/>
                <w:sz w:val="18"/>
                <w:szCs w:val="18"/>
              </w:rPr>
            </w:pPr>
            <w:r>
              <w:rPr>
                <w:noProof/>
                <w:sz w:val="18"/>
              </w:rPr>
              <w:t>Година</w:t>
            </w:r>
            <w:r>
              <w:rPr>
                <w:noProof/>
                <w:sz w:val="22"/>
              </w:rPr>
              <w:br/>
            </w:r>
            <w:r>
              <w:rPr>
                <w:b/>
                <w:noProof/>
                <w:sz w:val="18"/>
              </w:rPr>
              <w:t>N+2</w:t>
            </w:r>
          </w:p>
        </w:tc>
        <w:tc>
          <w:tcPr>
            <w:tcW w:w="1620" w:type="dxa"/>
            <w:gridSpan w:val="3"/>
            <w:vAlign w:val="center"/>
          </w:tcPr>
          <w:p w:rsidR="006A5CA3" w:rsidRDefault="0065415D">
            <w:pPr>
              <w:ind w:right="-29"/>
              <w:jc w:val="center"/>
              <w:rPr>
                <w:noProof/>
                <w:sz w:val="18"/>
                <w:szCs w:val="18"/>
              </w:rPr>
            </w:pPr>
            <w:r>
              <w:rPr>
                <w:noProof/>
                <w:sz w:val="18"/>
              </w:rPr>
              <w:t>Година</w:t>
            </w:r>
            <w:r>
              <w:rPr>
                <w:noProof/>
                <w:sz w:val="22"/>
              </w:rPr>
              <w:br/>
            </w:r>
            <w:r>
              <w:rPr>
                <w:b/>
                <w:noProof/>
                <w:sz w:val="18"/>
              </w:rPr>
              <w:t>N+3</w:t>
            </w:r>
          </w:p>
        </w:tc>
        <w:tc>
          <w:tcPr>
            <w:tcW w:w="3600" w:type="dxa"/>
            <w:gridSpan w:val="6"/>
            <w:vAlign w:val="center"/>
          </w:tcPr>
          <w:p w:rsidR="006A5CA3" w:rsidRDefault="0065415D">
            <w:pPr>
              <w:jc w:val="center"/>
              <w:rPr>
                <w:noProof/>
                <w:sz w:val="18"/>
                <w:szCs w:val="18"/>
              </w:rPr>
            </w:pPr>
            <w:r>
              <w:rPr>
                <w:noProof/>
                <w:sz w:val="18"/>
              </w:rPr>
              <w:t xml:space="preserve">Да се добавят толкова години, колкото е необходимо, за да се обхване продължителността на </w:t>
            </w:r>
            <w:r>
              <w:rPr>
                <w:noProof/>
                <w:sz w:val="18"/>
              </w:rPr>
              <w:t>отражението (вж. точка 1.6)</w:t>
            </w:r>
          </w:p>
        </w:tc>
        <w:tc>
          <w:tcPr>
            <w:tcW w:w="1620" w:type="dxa"/>
            <w:gridSpan w:val="2"/>
            <w:tcBorders>
              <w:left w:val="nil"/>
              <w:bottom w:val="nil"/>
            </w:tcBorders>
            <w:vAlign w:val="center"/>
          </w:tcPr>
          <w:p w:rsidR="006A5CA3" w:rsidRDefault="0065415D">
            <w:pPr>
              <w:ind w:right="-29"/>
              <w:jc w:val="center"/>
              <w:rPr>
                <w:noProof/>
                <w:sz w:val="18"/>
                <w:szCs w:val="18"/>
              </w:rPr>
            </w:pPr>
            <w:r>
              <w:rPr>
                <w:b/>
                <w:noProof/>
                <w:sz w:val="18"/>
              </w:rPr>
              <w:t>ОБЩО</w:t>
            </w:r>
          </w:p>
        </w:tc>
      </w:tr>
      <w:tr w:rsidR="006A5CA3">
        <w:trPr>
          <w:jc w:val="center"/>
        </w:trPr>
        <w:tc>
          <w:tcPr>
            <w:tcW w:w="1423" w:type="dxa"/>
            <w:vMerge/>
            <w:vAlign w:val="center"/>
          </w:tcPr>
          <w:p w:rsidR="006A5CA3" w:rsidRDefault="006A5CA3">
            <w:pPr>
              <w:ind w:right="-29"/>
              <w:jc w:val="center"/>
              <w:rPr>
                <w:noProof/>
                <w:sz w:val="18"/>
                <w:szCs w:val="18"/>
              </w:rPr>
            </w:pPr>
          </w:p>
        </w:tc>
        <w:tc>
          <w:tcPr>
            <w:tcW w:w="12185" w:type="dxa"/>
            <w:gridSpan w:val="19"/>
            <w:vAlign w:val="center"/>
          </w:tcPr>
          <w:p w:rsidR="006A5CA3" w:rsidRDefault="0065415D">
            <w:pPr>
              <w:spacing w:before="60" w:after="60"/>
              <w:ind w:right="-29"/>
              <w:jc w:val="center"/>
              <w:rPr>
                <w:noProof/>
                <w:sz w:val="18"/>
                <w:szCs w:val="18"/>
              </w:rPr>
            </w:pPr>
            <w:r>
              <w:rPr>
                <w:b/>
                <w:noProof/>
                <w:sz w:val="18"/>
              </w:rPr>
              <w:t>РЕЗУЛТАТИ</w:t>
            </w:r>
          </w:p>
        </w:tc>
      </w:tr>
      <w:tr w:rsidR="006A5CA3">
        <w:trPr>
          <w:cantSplit/>
          <w:trHeight w:val="1134"/>
          <w:jc w:val="center"/>
        </w:trPr>
        <w:tc>
          <w:tcPr>
            <w:tcW w:w="1423" w:type="dxa"/>
            <w:vMerge/>
            <w:vAlign w:val="center"/>
          </w:tcPr>
          <w:p w:rsidR="006A5CA3" w:rsidRDefault="006A5CA3">
            <w:pPr>
              <w:rPr>
                <w:noProof/>
                <w:sz w:val="18"/>
                <w:szCs w:val="18"/>
              </w:rPr>
            </w:pPr>
          </w:p>
        </w:tc>
        <w:tc>
          <w:tcPr>
            <w:tcW w:w="720" w:type="dxa"/>
            <w:vAlign w:val="center"/>
          </w:tcPr>
          <w:p w:rsidR="006A5CA3" w:rsidRDefault="0065415D">
            <w:pPr>
              <w:jc w:val="center"/>
              <w:rPr>
                <w:noProof/>
                <w:sz w:val="18"/>
                <w:szCs w:val="18"/>
              </w:rPr>
            </w:pPr>
            <w:r>
              <w:rPr>
                <w:noProof/>
                <w:sz w:val="18"/>
              </w:rPr>
              <w:t>Вид</w:t>
            </w:r>
            <w:r>
              <w:rPr>
                <w:rStyle w:val="FootnoteReference"/>
                <w:noProof/>
                <w:sz w:val="18"/>
              </w:rPr>
              <w:footnoteReference w:id="14"/>
            </w:r>
          </w:p>
          <w:p w:rsidR="006A5CA3" w:rsidRDefault="006A5CA3">
            <w:pPr>
              <w:spacing w:before="0" w:after="0"/>
              <w:jc w:val="center"/>
              <w:rPr>
                <w:noProof/>
                <w:sz w:val="18"/>
                <w:szCs w:val="18"/>
              </w:rPr>
            </w:pPr>
          </w:p>
        </w:tc>
        <w:tc>
          <w:tcPr>
            <w:tcW w:w="701" w:type="dxa"/>
            <w:vAlign w:val="center"/>
          </w:tcPr>
          <w:p w:rsidR="006A5CA3" w:rsidRDefault="0065415D">
            <w:pPr>
              <w:jc w:val="center"/>
              <w:rPr>
                <w:noProof/>
                <w:sz w:val="18"/>
                <w:szCs w:val="18"/>
              </w:rPr>
            </w:pPr>
            <w:r>
              <w:rPr>
                <w:noProof/>
                <w:sz w:val="18"/>
              </w:rPr>
              <w:t>Средни разходи</w:t>
            </w:r>
          </w:p>
        </w:tc>
        <w:tc>
          <w:tcPr>
            <w:tcW w:w="504" w:type="dxa"/>
            <w:tcBorders>
              <w:left w:val="nil"/>
              <w:right w:val="dashSmallGap" w:sz="4" w:space="0" w:color="auto"/>
            </w:tcBorders>
            <w:shd w:val="pct10" w:color="auto" w:fill="auto"/>
            <w:textDirection w:val="btLr"/>
            <w:vAlign w:val="center"/>
          </w:tcPr>
          <w:p w:rsidR="006A5CA3" w:rsidRDefault="0065415D">
            <w:pPr>
              <w:ind w:left="113" w:right="113"/>
              <w:jc w:val="center"/>
              <w:rPr>
                <w:noProof/>
                <w:sz w:val="18"/>
                <w:szCs w:val="18"/>
              </w:rPr>
            </w:pPr>
            <w:r>
              <w:rPr>
                <w:noProof/>
                <w:sz w:val="18"/>
              </w:rPr>
              <w:t>Не</w:t>
            </w:r>
          </w:p>
        </w:tc>
        <w:tc>
          <w:tcPr>
            <w:tcW w:w="720" w:type="dxa"/>
            <w:tcBorders>
              <w:left w:val="dashSmallGap" w:sz="4" w:space="0" w:color="auto"/>
            </w:tcBorders>
            <w:shd w:val="pct10" w:color="auto" w:fill="auto"/>
            <w:vAlign w:val="center"/>
          </w:tcPr>
          <w:p w:rsidR="006A5CA3" w:rsidRDefault="0065415D">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6A5CA3" w:rsidRDefault="0065415D">
            <w:pPr>
              <w:ind w:left="113" w:right="113"/>
              <w:jc w:val="center"/>
              <w:rPr>
                <w:noProof/>
                <w:sz w:val="18"/>
                <w:szCs w:val="18"/>
              </w:rPr>
            </w:pPr>
            <w:r>
              <w:rPr>
                <w:noProof/>
                <w:sz w:val="18"/>
              </w:rPr>
              <w:t>Не</w:t>
            </w:r>
          </w:p>
        </w:tc>
        <w:tc>
          <w:tcPr>
            <w:tcW w:w="720" w:type="dxa"/>
            <w:tcBorders>
              <w:left w:val="dashSmallGap" w:sz="4" w:space="0" w:color="auto"/>
            </w:tcBorders>
            <w:shd w:val="pct10" w:color="auto" w:fill="auto"/>
            <w:vAlign w:val="center"/>
          </w:tcPr>
          <w:p w:rsidR="006A5CA3" w:rsidRDefault="0065415D">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rsidR="006A5CA3" w:rsidRDefault="0065415D">
            <w:pPr>
              <w:ind w:left="113" w:right="113"/>
              <w:jc w:val="center"/>
              <w:rPr>
                <w:noProof/>
                <w:sz w:val="18"/>
                <w:szCs w:val="18"/>
              </w:rPr>
            </w:pPr>
            <w:r>
              <w:rPr>
                <w:noProof/>
                <w:sz w:val="18"/>
              </w:rPr>
              <w:t>Не</w:t>
            </w:r>
          </w:p>
        </w:tc>
        <w:tc>
          <w:tcPr>
            <w:tcW w:w="720" w:type="dxa"/>
            <w:tcBorders>
              <w:left w:val="dashSmallGap" w:sz="4" w:space="0" w:color="auto"/>
            </w:tcBorders>
            <w:shd w:val="pct10" w:color="auto" w:fill="auto"/>
            <w:vAlign w:val="center"/>
          </w:tcPr>
          <w:p w:rsidR="006A5CA3" w:rsidRDefault="0065415D">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rsidR="006A5CA3" w:rsidRDefault="0065415D">
            <w:pPr>
              <w:ind w:left="113" w:right="113"/>
              <w:jc w:val="center"/>
              <w:rPr>
                <w:noProof/>
                <w:sz w:val="18"/>
                <w:szCs w:val="18"/>
              </w:rPr>
            </w:pPr>
            <w:r>
              <w:rPr>
                <w:noProof/>
                <w:sz w:val="18"/>
              </w:rPr>
              <w:t>Не</w:t>
            </w:r>
          </w:p>
        </w:tc>
        <w:tc>
          <w:tcPr>
            <w:tcW w:w="720" w:type="dxa"/>
            <w:gridSpan w:val="2"/>
            <w:tcBorders>
              <w:left w:val="dashSmallGap" w:sz="4" w:space="0" w:color="auto"/>
            </w:tcBorders>
            <w:shd w:val="pct10" w:color="auto" w:fill="auto"/>
            <w:vAlign w:val="center"/>
          </w:tcPr>
          <w:p w:rsidR="006A5CA3" w:rsidRDefault="0065415D">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6A5CA3" w:rsidRDefault="0065415D">
            <w:pPr>
              <w:ind w:left="113" w:right="113"/>
              <w:jc w:val="center"/>
              <w:rPr>
                <w:noProof/>
                <w:sz w:val="18"/>
                <w:szCs w:val="18"/>
              </w:rPr>
            </w:pPr>
            <w:r>
              <w:rPr>
                <w:noProof/>
                <w:sz w:val="18"/>
              </w:rPr>
              <w:t>Не</w:t>
            </w:r>
          </w:p>
        </w:tc>
        <w:tc>
          <w:tcPr>
            <w:tcW w:w="648" w:type="dxa"/>
            <w:tcBorders>
              <w:left w:val="dashSmallGap" w:sz="4" w:space="0" w:color="auto"/>
            </w:tcBorders>
            <w:shd w:val="pct10" w:color="auto" w:fill="auto"/>
            <w:vAlign w:val="center"/>
          </w:tcPr>
          <w:p w:rsidR="006A5CA3" w:rsidRDefault="0065415D">
            <w:pPr>
              <w:jc w:val="center"/>
              <w:rPr>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rsidR="006A5CA3" w:rsidRDefault="0065415D">
            <w:pPr>
              <w:ind w:left="113" w:right="113"/>
              <w:jc w:val="center"/>
              <w:rPr>
                <w:noProof/>
                <w:sz w:val="18"/>
                <w:szCs w:val="18"/>
              </w:rPr>
            </w:pPr>
            <w:r>
              <w:rPr>
                <w:noProof/>
                <w:sz w:val="18"/>
              </w:rPr>
              <w:t>Не</w:t>
            </w:r>
          </w:p>
        </w:tc>
        <w:tc>
          <w:tcPr>
            <w:tcW w:w="720" w:type="dxa"/>
            <w:tcBorders>
              <w:left w:val="dashSmallGap" w:sz="4" w:space="0" w:color="auto"/>
            </w:tcBorders>
            <w:shd w:val="pct10" w:color="auto" w:fill="auto"/>
            <w:vAlign w:val="center"/>
          </w:tcPr>
          <w:p w:rsidR="006A5CA3" w:rsidRDefault="0065415D">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6A5CA3" w:rsidRDefault="0065415D">
            <w:pPr>
              <w:ind w:left="113" w:right="113"/>
              <w:jc w:val="center"/>
              <w:rPr>
                <w:noProof/>
                <w:sz w:val="18"/>
                <w:szCs w:val="18"/>
              </w:rPr>
            </w:pPr>
            <w:r>
              <w:rPr>
                <w:noProof/>
                <w:sz w:val="18"/>
              </w:rPr>
              <w:t>Не</w:t>
            </w:r>
          </w:p>
        </w:tc>
        <w:tc>
          <w:tcPr>
            <w:tcW w:w="720" w:type="dxa"/>
            <w:tcBorders>
              <w:left w:val="dashSmallGap" w:sz="4" w:space="0" w:color="auto"/>
            </w:tcBorders>
            <w:shd w:val="pct10" w:color="auto" w:fill="auto"/>
            <w:vAlign w:val="center"/>
          </w:tcPr>
          <w:p w:rsidR="006A5CA3" w:rsidRDefault="0065415D">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rsidR="006A5CA3" w:rsidRDefault="0065415D">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rsidR="006A5CA3" w:rsidRDefault="0065415D">
            <w:pPr>
              <w:jc w:val="center"/>
              <w:rPr>
                <w:noProof/>
                <w:sz w:val="18"/>
                <w:szCs w:val="18"/>
              </w:rPr>
            </w:pPr>
            <w:r>
              <w:rPr>
                <w:noProof/>
                <w:sz w:val="18"/>
              </w:rPr>
              <w:t>Общо разходи</w:t>
            </w:r>
          </w:p>
        </w:tc>
      </w:tr>
      <w:tr w:rsidR="006A5CA3">
        <w:trPr>
          <w:jc w:val="center"/>
        </w:trPr>
        <w:tc>
          <w:tcPr>
            <w:tcW w:w="2844" w:type="dxa"/>
            <w:gridSpan w:val="3"/>
            <w:vAlign w:val="center"/>
          </w:tcPr>
          <w:p w:rsidR="006A5CA3" w:rsidRDefault="0065415D">
            <w:pPr>
              <w:spacing w:before="60" w:after="60"/>
              <w:ind w:right="-29"/>
              <w:jc w:val="center"/>
              <w:rPr>
                <w:noProof/>
                <w:sz w:val="18"/>
                <w:szCs w:val="18"/>
              </w:rPr>
            </w:pPr>
            <w:r>
              <w:rPr>
                <w:noProof/>
                <w:sz w:val="18"/>
              </w:rPr>
              <w:t>КОНКРЕТНА ЦЕЛ № 1</w:t>
            </w:r>
            <w:r>
              <w:rPr>
                <w:rStyle w:val="FootnoteReference"/>
                <w:noProof/>
                <w:sz w:val="18"/>
              </w:rPr>
              <w:footnoteReference w:id="15"/>
            </w:r>
            <w:r>
              <w:rPr>
                <w:noProof/>
                <w:sz w:val="18"/>
              </w:rPr>
              <w:t>…</w:t>
            </w:r>
          </w:p>
        </w:tc>
        <w:tc>
          <w:tcPr>
            <w:tcW w:w="504" w:type="dxa"/>
            <w:tcBorders>
              <w:top w:val="nil"/>
              <w:left w:val="nil"/>
              <w:bottom w:val="nil"/>
              <w:right w:val="nil"/>
            </w:tcBorders>
          </w:tcPr>
          <w:p w:rsidR="006A5CA3" w:rsidRDefault="006A5CA3">
            <w:pPr>
              <w:spacing w:before="60" w:after="60"/>
              <w:ind w:right="-29"/>
              <w:jc w:val="center"/>
              <w:rPr>
                <w:noProof/>
                <w:sz w:val="18"/>
                <w:szCs w:val="18"/>
              </w:rPr>
            </w:pPr>
          </w:p>
        </w:tc>
        <w:tc>
          <w:tcPr>
            <w:tcW w:w="720" w:type="dxa"/>
            <w:tcBorders>
              <w:top w:val="nil"/>
              <w:left w:val="nil"/>
              <w:bottom w:val="nil"/>
              <w:right w:val="nil"/>
            </w:tcBorders>
          </w:tcPr>
          <w:p w:rsidR="006A5CA3" w:rsidRDefault="006A5CA3">
            <w:pPr>
              <w:spacing w:before="60" w:after="60"/>
              <w:ind w:right="-29"/>
              <w:jc w:val="center"/>
              <w:rPr>
                <w:noProof/>
                <w:sz w:val="18"/>
                <w:szCs w:val="18"/>
              </w:rPr>
            </w:pPr>
          </w:p>
        </w:tc>
        <w:tc>
          <w:tcPr>
            <w:tcW w:w="540" w:type="dxa"/>
            <w:tcBorders>
              <w:top w:val="nil"/>
              <w:left w:val="nil"/>
              <w:bottom w:val="nil"/>
              <w:right w:val="nil"/>
            </w:tcBorders>
          </w:tcPr>
          <w:p w:rsidR="006A5CA3" w:rsidRDefault="006A5CA3">
            <w:pPr>
              <w:spacing w:before="60" w:after="60"/>
              <w:ind w:right="-29"/>
              <w:jc w:val="center"/>
              <w:rPr>
                <w:noProof/>
                <w:sz w:val="18"/>
                <w:szCs w:val="18"/>
              </w:rPr>
            </w:pPr>
          </w:p>
        </w:tc>
        <w:tc>
          <w:tcPr>
            <w:tcW w:w="720" w:type="dxa"/>
            <w:tcBorders>
              <w:top w:val="nil"/>
              <w:left w:val="nil"/>
              <w:bottom w:val="nil"/>
              <w:right w:val="nil"/>
            </w:tcBorders>
          </w:tcPr>
          <w:p w:rsidR="006A5CA3" w:rsidRDefault="006A5CA3">
            <w:pPr>
              <w:spacing w:before="60" w:after="60"/>
              <w:ind w:right="-29"/>
              <w:jc w:val="center"/>
              <w:rPr>
                <w:noProof/>
                <w:sz w:val="18"/>
                <w:szCs w:val="18"/>
              </w:rPr>
            </w:pPr>
          </w:p>
        </w:tc>
        <w:tc>
          <w:tcPr>
            <w:tcW w:w="720" w:type="dxa"/>
            <w:tcBorders>
              <w:top w:val="nil"/>
              <w:left w:val="nil"/>
              <w:bottom w:val="nil"/>
              <w:right w:val="nil"/>
            </w:tcBorders>
          </w:tcPr>
          <w:p w:rsidR="006A5CA3" w:rsidRDefault="006A5CA3">
            <w:pPr>
              <w:spacing w:before="60" w:after="60"/>
              <w:ind w:right="-29"/>
              <w:jc w:val="center"/>
              <w:rPr>
                <w:noProof/>
                <w:sz w:val="18"/>
                <w:szCs w:val="18"/>
              </w:rPr>
            </w:pPr>
          </w:p>
        </w:tc>
        <w:tc>
          <w:tcPr>
            <w:tcW w:w="720" w:type="dxa"/>
            <w:tcBorders>
              <w:top w:val="nil"/>
              <w:left w:val="nil"/>
              <w:bottom w:val="nil"/>
              <w:right w:val="nil"/>
            </w:tcBorders>
          </w:tcPr>
          <w:p w:rsidR="006A5CA3" w:rsidRDefault="006A5CA3">
            <w:pPr>
              <w:spacing w:before="60" w:after="60"/>
              <w:ind w:right="-29"/>
              <w:jc w:val="center"/>
              <w:rPr>
                <w:noProof/>
                <w:sz w:val="18"/>
                <w:szCs w:val="18"/>
              </w:rPr>
            </w:pPr>
          </w:p>
        </w:tc>
        <w:tc>
          <w:tcPr>
            <w:tcW w:w="900" w:type="dxa"/>
            <w:tcBorders>
              <w:top w:val="nil"/>
              <w:left w:val="nil"/>
              <w:bottom w:val="nil"/>
              <w:right w:val="nil"/>
            </w:tcBorders>
          </w:tcPr>
          <w:p w:rsidR="006A5CA3" w:rsidRDefault="006A5CA3">
            <w:pPr>
              <w:spacing w:before="60" w:after="60"/>
              <w:ind w:right="-29"/>
              <w:jc w:val="center"/>
              <w:rPr>
                <w:noProof/>
                <w:sz w:val="18"/>
                <w:szCs w:val="18"/>
              </w:rPr>
            </w:pPr>
          </w:p>
        </w:tc>
        <w:tc>
          <w:tcPr>
            <w:tcW w:w="720" w:type="dxa"/>
            <w:gridSpan w:val="2"/>
            <w:tcBorders>
              <w:top w:val="nil"/>
              <w:left w:val="nil"/>
              <w:bottom w:val="nil"/>
              <w:right w:val="nil"/>
            </w:tcBorders>
          </w:tcPr>
          <w:p w:rsidR="006A5CA3" w:rsidRDefault="006A5CA3">
            <w:pPr>
              <w:spacing w:before="60" w:after="60"/>
              <w:ind w:right="-29"/>
              <w:jc w:val="center"/>
              <w:rPr>
                <w:noProof/>
                <w:sz w:val="18"/>
                <w:szCs w:val="18"/>
              </w:rPr>
            </w:pPr>
          </w:p>
        </w:tc>
        <w:tc>
          <w:tcPr>
            <w:tcW w:w="540" w:type="dxa"/>
            <w:tcBorders>
              <w:top w:val="nil"/>
              <w:left w:val="nil"/>
              <w:bottom w:val="nil"/>
              <w:right w:val="nil"/>
            </w:tcBorders>
          </w:tcPr>
          <w:p w:rsidR="006A5CA3" w:rsidRDefault="006A5CA3">
            <w:pPr>
              <w:spacing w:before="60" w:after="60"/>
              <w:ind w:right="-29"/>
              <w:jc w:val="center"/>
              <w:rPr>
                <w:noProof/>
                <w:sz w:val="18"/>
                <w:szCs w:val="18"/>
              </w:rPr>
            </w:pPr>
          </w:p>
        </w:tc>
        <w:tc>
          <w:tcPr>
            <w:tcW w:w="648" w:type="dxa"/>
            <w:tcBorders>
              <w:top w:val="nil"/>
              <w:left w:val="nil"/>
              <w:bottom w:val="nil"/>
              <w:right w:val="nil"/>
            </w:tcBorders>
          </w:tcPr>
          <w:p w:rsidR="006A5CA3" w:rsidRDefault="006A5CA3">
            <w:pPr>
              <w:spacing w:before="60" w:after="60"/>
              <w:ind w:right="-29"/>
              <w:jc w:val="center"/>
              <w:rPr>
                <w:noProof/>
                <w:sz w:val="18"/>
                <w:szCs w:val="18"/>
              </w:rPr>
            </w:pPr>
          </w:p>
        </w:tc>
        <w:tc>
          <w:tcPr>
            <w:tcW w:w="432" w:type="dxa"/>
            <w:tcBorders>
              <w:top w:val="nil"/>
              <w:left w:val="nil"/>
              <w:bottom w:val="nil"/>
              <w:right w:val="nil"/>
            </w:tcBorders>
          </w:tcPr>
          <w:p w:rsidR="006A5CA3" w:rsidRDefault="006A5CA3">
            <w:pPr>
              <w:spacing w:before="60" w:after="60"/>
              <w:ind w:right="-29"/>
              <w:jc w:val="center"/>
              <w:rPr>
                <w:noProof/>
                <w:sz w:val="18"/>
                <w:szCs w:val="18"/>
              </w:rPr>
            </w:pPr>
          </w:p>
        </w:tc>
        <w:tc>
          <w:tcPr>
            <w:tcW w:w="720" w:type="dxa"/>
            <w:tcBorders>
              <w:top w:val="nil"/>
              <w:left w:val="nil"/>
              <w:bottom w:val="nil"/>
              <w:right w:val="nil"/>
            </w:tcBorders>
          </w:tcPr>
          <w:p w:rsidR="006A5CA3" w:rsidRDefault="006A5CA3">
            <w:pPr>
              <w:spacing w:before="60" w:after="60"/>
              <w:ind w:right="-29"/>
              <w:jc w:val="center"/>
              <w:rPr>
                <w:noProof/>
                <w:sz w:val="18"/>
                <w:szCs w:val="18"/>
              </w:rPr>
            </w:pPr>
          </w:p>
        </w:tc>
        <w:tc>
          <w:tcPr>
            <w:tcW w:w="540" w:type="dxa"/>
            <w:tcBorders>
              <w:top w:val="nil"/>
              <w:left w:val="nil"/>
              <w:bottom w:val="nil"/>
              <w:right w:val="nil"/>
            </w:tcBorders>
          </w:tcPr>
          <w:p w:rsidR="006A5CA3" w:rsidRDefault="006A5CA3">
            <w:pPr>
              <w:spacing w:before="60" w:after="60"/>
              <w:ind w:right="-29"/>
              <w:jc w:val="center"/>
              <w:rPr>
                <w:noProof/>
                <w:sz w:val="18"/>
                <w:szCs w:val="18"/>
              </w:rPr>
            </w:pPr>
          </w:p>
        </w:tc>
        <w:tc>
          <w:tcPr>
            <w:tcW w:w="720" w:type="dxa"/>
            <w:tcBorders>
              <w:top w:val="nil"/>
              <w:left w:val="nil"/>
              <w:bottom w:val="nil"/>
              <w:right w:val="nil"/>
            </w:tcBorders>
          </w:tcPr>
          <w:p w:rsidR="006A5CA3" w:rsidRDefault="006A5CA3">
            <w:pPr>
              <w:spacing w:before="60" w:after="60"/>
              <w:ind w:right="-29"/>
              <w:jc w:val="center"/>
              <w:rPr>
                <w:noProof/>
                <w:sz w:val="18"/>
                <w:szCs w:val="18"/>
              </w:rPr>
            </w:pPr>
          </w:p>
        </w:tc>
        <w:tc>
          <w:tcPr>
            <w:tcW w:w="720" w:type="dxa"/>
            <w:tcBorders>
              <w:top w:val="nil"/>
              <w:left w:val="nil"/>
              <w:bottom w:val="nil"/>
              <w:right w:val="nil"/>
            </w:tcBorders>
          </w:tcPr>
          <w:p w:rsidR="006A5CA3" w:rsidRDefault="006A5CA3">
            <w:pPr>
              <w:spacing w:before="60" w:after="60"/>
              <w:ind w:right="-29"/>
              <w:jc w:val="center"/>
              <w:rPr>
                <w:noProof/>
                <w:sz w:val="18"/>
                <w:szCs w:val="18"/>
              </w:rPr>
            </w:pPr>
          </w:p>
        </w:tc>
        <w:tc>
          <w:tcPr>
            <w:tcW w:w="900" w:type="dxa"/>
            <w:tcBorders>
              <w:top w:val="nil"/>
              <w:left w:val="nil"/>
              <w:bottom w:val="nil"/>
              <w:right w:val="nil"/>
            </w:tcBorders>
          </w:tcPr>
          <w:p w:rsidR="006A5CA3" w:rsidRDefault="006A5CA3">
            <w:pPr>
              <w:spacing w:before="60" w:after="60"/>
              <w:ind w:right="-29"/>
              <w:jc w:val="center"/>
              <w:rPr>
                <w:noProof/>
                <w:sz w:val="18"/>
                <w:szCs w:val="18"/>
              </w:rPr>
            </w:pPr>
          </w:p>
        </w:tc>
      </w:tr>
      <w:tr w:rsidR="006A5CA3">
        <w:trPr>
          <w:trHeight w:hRule="exact" w:val="369"/>
          <w:jc w:val="center"/>
        </w:trPr>
        <w:tc>
          <w:tcPr>
            <w:tcW w:w="1423" w:type="dxa"/>
          </w:tcPr>
          <w:p w:rsidR="006A5CA3" w:rsidRDefault="0065415D">
            <w:pPr>
              <w:ind w:right="-29"/>
              <w:jc w:val="center"/>
              <w:rPr>
                <w:noProof/>
                <w:sz w:val="18"/>
                <w:szCs w:val="18"/>
              </w:rPr>
            </w:pPr>
            <w:r>
              <w:rPr>
                <w:noProof/>
                <w:sz w:val="18"/>
              </w:rPr>
              <w:t>- Резултат</w:t>
            </w:r>
          </w:p>
        </w:tc>
        <w:tc>
          <w:tcPr>
            <w:tcW w:w="720" w:type="dxa"/>
          </w:tcPr>
          <w:p w:rsidR="006A5CA3" w:rsidRDefault="006A5CA3">
            <w:pPr>
              <w:ind w:right="-29"/>
              <w:jc w:val="center"/>
              <w:rPr>
                <w:noProof/>
                <w:sz w:val="18"/>
                <w:szCs w:val="18"/>
              </w:rPr>
            </w:pPr>
          </w:p>
        </w:tc>
        <w:tc>
          <w:tcPr>
            <w:tcW w:w="701" w:type="dxa"/>
          </w:tcPr>
          <w:p w:rsidR="006A5CA3" w:rsidRDefault="006A5CA3">
            <w:pPr>
              <w:ind w:right="-29"/>
              <w:jc w:val="center"/>
              <w:rPr>
                <w:noProof/>
                <w:sz w:val="18"/>
                <w:szCs w:val="18"/>
              </w:rPr>
            </w:pPr>
          </w:p>
        </w:tc>
        <w:tc>
          <w:tcPr>
            <w:tcW w:w="504" w:type="dxa"/>
            <w:tcBorders>
              <w:right w:val="dashSmallGap" w:sz="4" w:space="0" w:color="auto"/>
            </w:tcBorders>
          </w:tcPr>
          <w:p w:rsidR="006A5CA3" w:rsidRDefault="006A5CA3">
            <w:pPr>
              <w:ind w:right="-29"/>
              <w:jc w:val="center"/>
              <w:rPr>
                <w:noProof/>
                <w:sz w:val="18"/>
                <w:szCs w:val="18"/>
              </w:rPr>
            </w:pPr>
          </w:p>
        </w:tc>
        <w:tc>
          <w:tcPr>
            <w:tcW w:w="720" w:type="dxa"/>
            <w:tcBorders>
              <w:left w:val="dashSmallGap" w:sz="4" w:space="0" w:color="auto"/>
            </w:tcBorders>
          </w:tcPr>
          <w:p w:rsidR="006A5CA3" w:rsidRDefault="006A5CA3">
            <w:pPr>
              <w:ind w:right="-29"/>
              <w:jc w:val="center"/>
              <w:rPr>
                <w:noProof/>
                <w:sz w:val="18"/>
                <w:szCs w:val="18"/>
              </w:rPr>
            </w:pPr>
          </w:p>
        </w:tc>
        <w:tc>
          <w:tcPr>
            <w:tcW w:w="540" w:type="dxa"/>
            <w:tcBorders>
              <w:right w:val="dashSmallGap" w:sz="4" w:space="0" w:color="auto"/>
            </w:tcBorders>
          </w:tcPr>
          <w:p w:rsidR="006A5CA3" w:rsidRDefault="006A5CA3">
            <w:pPr>
              <w:ind w:right="-29"/>
              <w:jc w:val="center"/>
              <w:rPr>
                <w:noProof/>
                <w:sz w:val="18"/>
                <w:szCs w:val="18"/>
              </w:rPr>
            </w:pPr>
          </w:p>
        </w:tc>
        <w:tc>
          <w:tcPr>
            <w:tcW w:w="720" w:type="dxa"/>
            <w:tcBorders>
              <w:left w:val="dashSmallGap" w:sz="4" w:space="0" w:color="auto"/>
            </w:tcBorders>
          </w:tcPr>
          <w:p w:rsidR="006A5CA3" w:rsidRDefault="006A5CA3">
            <w:pPr>
              <w:ind w:right="-29"/>
              <w:jc w:val="center"/>
              <w:rPr>
                <w:noProof/>
                <w:sz w:val="18"/>
                <w:szCs w:val="18"/>
              </w:rPr>
            </w:pPr>
          </w:p>
        </w:tc>
        <w:tc>
          <w:tcPr>
            <w:tcW w:w="720" w:type="dxa"/>
            <w:tcBorders>
              <w:right w:val="dashSmallGap" w:sz="4" w:space="0" w:color="auto"/>
            </w:tcBorders>
          </w:tcPr>
          <w:p w:rsidR="006A5CA3" w:rsidRDefault="006A5CA3">
            <w:pPr>
              <w:ind w:right="-29"/>
              <w:jc w:val="center"/>
              <w:rPr>
                <w:noProof/>
                <w:sz w:val="18"/>
                <w:szCs w:val="18"/>
              </w:rPr>
            </w:pPr>
          </w:p>
        </w:tc>
        <w:tc>
          <w:tcPr>
            <w:tcW w:w="720" w:type="dxa"/>
            <w:tcBorders>
              <w:left w:val="dashSmallGap" w:sz="4" w:space="0" w:color="auto"/>
            </w:tcBorders>
          </w:tcPr>
          <w:p w:rsidR="006A5CA3" w:rsidRDefault="006A5CA3">
            <w:pPr>
              <w:ind w:right="-29"/>
              <w:jc w:val="center"/>
              <w:rPr>
                <w:noProof/>
                <w:sz w:val="18"/>
                <w:szCs w:val="18"/>
              </w:rPr>
            </w:pPr>
          </w:p>
        </w:tc>
        <w:tc>
          <w:tcPr>
            <w:tcW w:w="900" w:type="dxa"/>
            <w:tcBorders>
              <w:right w:val="dashSmallGap" w:sz="4" w:space="0" w:color="auto"/>
            </w:tcBorders>
          </w:tcPr>
          <w:p w:rsidR="006A5CA3" w:rsidRDefault="006A5CA3">
            <w:pPr>
              <w:ind w:right="-29"/>
              <w:jc w:val="center"/>
              <w:rPr>
                <w:noProof/>
                <w:sz w:val="18"/>
                <w:szCs w:val="18"/>
              </w:rPr>
            </w:pPr>
          </w:p>
        </w:tc>
        <w:tc>
          <w:tcPr>
            <w:tcW w:w="720" w:type="dxa"/>
            <w:gridSpan w:val="2"/>
            <w:tcBorders>
              <w:left w:val="dashSmallGap" w:sz="4" w:space="0" w:color="auto"/>
            </w:tcBorders>
          </w:tcPr>
          <w:p w:rsidR="006A5CA3" w:rsidRDefault="006A5CA3">
            <w:pPr>
              <w:ind w:right="-29"/>
              <w:jc w:val="center"/>
              <w:rPr>
                <w:noProof/>
                <w:sz w:val="18"/>
                <w:szCs w:val="18"/>
              </w:rPr>
            </w:pPr>
          </w:p>
        </w:tc>
        <w:tc>
          <w:tcPr>
            <w:tcW w:w="540" w:type="dxa"/>
            <w:tcBorders>
              <w:right w:val="dashSmallGap" w:sz="4" w:space="0" w:color="auto"/>
            </w:tcBorders>
          </w:tcPr>
          <w:p w:rsidR="006A5CA3" w:rsidRDefault="006A5CA3">
            <w:pPr>
              <w:ind w:right="-29"/>
              <w:jc w:val="center"/>
              <w:rPr>
                <w:noProof/>
                <w:sz w:val="18"/>
                <w:szCs w:val="18"/>
              </w:rPr>
            </w:pPr>
          </w:p>
        </w:tc>
        <w:tc>
          <w:tcPr>
            <w:tcW w:w="648" w:type="dxa"/>
            <w:tcBorders>
              <w:left w:val="dashSmallGap" w:sz="4" w:space="0" w:color="auto"/>
            </w:tcBorders>
          </w:tcPr>
          <w:p w:rsidR="006A5CA3" w:rsidRDefault="006A5CA3">
            <w:pPr>
              <w:ind w:right="-29"/>
              <w:jc w:val="center"/>
              <w:rPr>
                <w:noProof/>
                <w:sz w:val="18"/>
                <w:szCs w:val="18"/>
              </w:rPr>
            </w:pPr>
          </w:p>
        </w:tc>
        <w:tc>
          <w:tcPr>
            <w:tcW w:w="432" w:type="dxa"/>
            <w:tcBorders>
              <w:right w:val="dashSmallGap" w:sz="4" w:space="0" w:color="auto"/>
            </w:tcBorders>
          </w:tcPr>
          <w:p w:rsidR="006A5CA3" w:rsidRDefault="006A5CA3">
            <w:pPr>
              <w:ind w:right="-29"/>
              <w:jc w:val="center"/>
              <w:rPr>
                <w:noProof/>
                <w:sz w:val="18"/>
                <w:szCs w:val="18"/>
              </w:rPr>
            </w:pPr>
          </w:p>
        </w:tc>
        <w:tc>
          <w:tcPr>
            <w:tcW w:w="720" w:type="dxa"/>
            <w:tcBorders>
              <w:left w:val="dashSmallGap" w:sz="4" w:space="0" w:color="auto"/>
            </w:tcBorders>
          </w:tcPr>
          <w:p w:rsidR="006A5CA3" w:rsidRDefault="006A5CA3">
            <w:pPr>
              <w:ind w:right="-29"/>
              <w:jc w:val="center"/>
              <w:rPr>
                <w:noProof/>
                <w:sz w:val="18"/>
                <w:szCs w:val="18"/>
              </w:rPr>
            </w:pPr>
          </w:p>
        </w:tc>
        <w:tc>
          <w:tcPr>
            <w:tcW w:w="540" w:type="dxa"/>
            <w:tcBorders>
              <w:right w:val="dashSmallGap" w:sz="4" w:space="0" w:color="auto"/>
            </w:tcBorders>
          </w:tcPr>
          <w:p w:rsidR="006A5CA3" w:rsidRDefault="006A5CA3">
            <w:pPr>
              <w:ind w:right="-29"/>
              <w:jc w:val="center"/>
              <w:rPr>
                <w:noProof/>
                <w:sz w:val="18"/>
                <w:szCs w:val="18"/>
              </w:rPr>
            </w:pPr>
          </w:p>
        </w:tc>
        <w:tc>
          <w:tcPr>
            <w:tcW w:w="720" w:type="dxa"/>
            <w:tcBorders>
              <w:left w:val="dashSmallGap" w:sz="4" w:space="0" w:color="auto"/>
            </w:tcBorders>
          </w:tcPr>
          <w:p w:rsidR="006A5CA3" w:rsidRDefault="006A5CA3">
            <w:pPr>
              <w:ind w:right="-29"/>
              <w:jc w:val="center"/>
              <w:rPr>
                <w:noProof/>
                <w:sz w:val="18"/>
                <w:szCs w:val="18"/>
              </w:rPr>
            </w:pPr>
          </w:p>
        </w:tc>
        <w:tc>
          <w:tcPr>
            <w:tcW w:w="720" w:type="dxa"/>
          </w:tcPr>
          <w:p w:rsidR="006A5CA3" w:rsidRDefault="006A5CA3">
            <w:pPr>
              <w:ind w:right="-29"/>
              <w:jc w:val="center"/>
              <w:rPr>
                <w:noProof/>
                <w:sz w:val="18"/>
                <w:szCs w:val="18"/>
              </w:rPr>
            </w:pPr>
          </w:p>
        </w:tc>
        <w:tc>
          <w:tcPr>
            <w:tcW w:w="900" w:type="dxa"/>
          </w:tcPr>
          <w:p w:rsidR="006A5CA3" w:rsidRDefault="006A5CA3">
            <w:pPr>
              <w:ind w:right="-29"/>
              <w:jc w:val="center"/>
              <w:rPr>
                <w:noProof/>
                <w:sz w:val="18"/>
                <w:szCs w:val="18"/>
              </w:rPr>
            </w:pPr>
          </w:p>
        </w:tc>
      </w:tr>
      <w:tr w:rsidR="006A5CA3">
        <w:trPr>
          <w:trHeight w:hRule="exact" w:val="369"/>
          <w:jc w:val="center"/>
        </w:trPr>
        <w:tc>
          <w:tcPr>
            <w:tcW w:w="1423" w:type="dxa"/>
          </w:tcPr>
          <w:p w:rsidR="006A5CA3" w:rsidRDefault="0065415D">
            <w:pPr>
              <w:ind w:right="-29"/>
              <w:jc w:val="center"/>
              <w:rPr>
                <w:noProof/>
                <w:sz w:val="18"/>
                <w:szCs w:val="18"/>
              </w:rPr>
            </w:pPr>
            <w:r>
              <w:rPr>
                <w:noProof/>
                <w:sz w:val="18"/>
              </w:rPr>
              <w:t>- Резултат</w:t>
            </w:r>
          </w:p>
        </w:tc>
        <w:tc>
          <w:tcPr>
            <w:tcW w:w="720" w:type="dxa"/>
          </w:tcPr>
          <w:p w:rsidR="006A5CA3" w:rsidRDefault="006A5CA3">
            <w:pPr>
              <w:ind w:right="-29"/>
              <w:jc w:val="center"/>
              <w:rPr>
                <w:noProof/>
                <w:sz w:val="18"/>
                <w:szCs w:val="18"/>
              </w:rPr>
            </w:pPr>
          </w:p>
        </w:tc>
        <w:tc>
          <w:tcPr>
            <w:tcW w:w="701" w:type="dxa"/>
          </w:tcPr>
          <w:p w:rsidR="006A5CA3" w:rsidRDefault="006A5CA3">
            <w:pPr>
              <w:ind w:right="-29"/>
              <w:jc w:val="center"/>
              <w:rPr>
                <w:noProof/>
                <w:sz w:val="18"/>
                <w:szCs w:val="18"/>
              </w:rPr>
            </w:pPr>
          </w:p>
        </w:tc>
        <w:tc>
          <w:tcPr>
            <w:tcW w:w="504" w:type="dxa"/>
            <w:tcBorders>
              <w:right w:val="dashSmallGap" w:sz="4" w:space="0" w:color="auto"/>
            </w:tcBorders>
          </w:tcPr>
          <w:p w:rsidR="006A5CA3" w:rsidRDefault="006A5CA3">
            <w:pPr>
              <w:ind w:right="-29"/>
              <w:jc w:val="center"/>
              <w:rPr>
                <w:noProof/>
                <w:sz w:val="18"/>
                <w:szCs w:val="18"/>
              </w:rPr>
            </w:pPr>
          </w:p>
        </w:tc>
        <w:tc>
          <w:tcPr>
            <w:tcW w:w="720" w:type="dxa"/>
            <w:tcBorders>
              <w:left w:val="dashSmallGap" w:sz="4" w:space="0" w:color="auto"/>
            </w:tcBorders>
          </w:tcPr>
          <w:p w:rsidR="006A5CA3" w:rsidRDefault="006A5CA3">
            <w:pPr>
              <w:ind w:right="-29"/>
              <w:jc w:val="center"/>
              <w:rPr>
                <w:noProof/>
                <w:sz w:val="18"/>
                <w:szCs w:val="18"/>
              </w:rPr>
            </w:pPr>
          </w:p>
        </w:tc>
        <w:tc>
          <w:tcPr>
            <w:tcW w:w="540" w:type="dxa"/>
            <w:tcBorders>
              <w:right w:val="dashSmallGap" w:sz="4" w:space="0" w:color="auto"/>
            </w:tcBorders>
          </w:tcPr>
          <w:p w:rsidR="006A5CA3" w:rsidRDefault="006A5CA3">
            <w:pPr>
              <w:ind w:right="-29"/>
              <w:jc w:val="center"/>
              <w:rPr>
                <w:noProof/>
                <w:sz w:val="18"/>
                <w:szCs w:val="18"/>
              </w:rPr>
            </w:pPr>
          </w:p>
        </w:tc>
        <w:tc>
          <w:tcPr>
            <w:tcW w:w="720" w:type="dxa"/>
            <w:tcBorders>
              <w:left w:val="dashSmallGap" w:sz="4" w:space="0" w:color="auto"/>
            </w:tcBorders>
          </w:tcPr>
          <w:p w:rsidR="006A5CA3" w:rsidRDefault="006A5CA3">
            <w:pPr>
              <w:ind w:right="-29"/>
              <w:jc w:val="center"/>
              <w:rPr>
                <w:noProof/>
                <w:sz w:val="18"/>
                <w:szCs w:val="18"/>
              </w:rPr>
            </w:pPr>
          </w:p>
        </w:tc>
        <w:tc>
          <w:tcPr>
            <w:tcW w:w="720" w:type="dxa"/>
            <w:tcBorders>
              <w:right w:val="dashSmallGap" w:sz="4" w:space="0" w:color="auto"/>
            </w:tcBorders>
          </w:tcPr>
          <w:p w:rsidR="006A5CA3" w:rsidRDefault="006A5CA3">
            <w:pPr>
              <w:ind w:right="-29"/>
              <w:jc w:val="center"/>
              <w:rPr>
                <w:noProof/>
                <w:sz w:val="18"/>
                <w:szCs w:val="18"/>
              </w:rPr>
            </w:pPr>
          </w:p>
        </w:tc>
        <w:tc>
          <w:tcPr>
            <w:tcW w:w="720" w:type="dxa"/>
            <w:tcBorders>
              <w:left w:val="dashSmallGap" w:sz="4" w:space="0" w:color="auto"/>
            </w:tcBorders>
          </w:tcPr>
          <w:p w:rsidR="006A5CA3" w:rsidRDefault="006A5CA3">
            <w:pPr>
              <w:ind w:right="-29"/>
              <w:jc w:val="center"/>
              <w:rPr>
                <w:noProof/>
                <w:sz w:val="18"/>
                <w:szCs w:val="18"/>
              </w:rPr>
            </w:pPr>
          </w:p>
        </w:tc>
        <w:tc>
          <w:tcPr>
            <w:tcW w:w="900" w:type="dxa"/>
            <w:tcBorders>
              <w:right w:val="dashSmallGap" w:sz="4" w:space="0" w:color="auto"/>
            </w:tcBorders>
          </w:tcPr>
          <w:p w:rsidR="006A5CA3" w:rsidRDefault="006A5CA3">
            <w:pPr>
              <w:ind w:right="-29"/>
              <w:jc w:val="center"/>
              <w:rPr>
                <w:noProof/>
                <w:sz w:val="18"/>
                <w:szCs w:val="18"/>
              </w:rPr>
            </w:pPr>
          </w:p>
        </w:tc>
        <w:tc>
          <w:tcPr>
            <w:tcW w:w="720" w:type="dxa"/>
            <w:gridSpan w:val="2"/>
            <w:tcBorders>
              <w:left w:val="dashSmallGap" w:sz="4" w:space="0" w:color="auto"/>
            </w:tcBorders>
          </w:tcPr>
          <w:p w:rsidR="006A5CA3" w:rsidRDefault="006A5CA3">
            <w:pPr>
              <w:ind w:right="-29"/>
              <w:jc w:val="center"/>
              <w:rPr>
                <w:noProof/>
                <w:sz w:val="18"/>
                <w:szCs w:val="18"/>
              </w:rPr>
            </w:pPr>
          </w:p>
        </w:tc>
        <w:tc>
          <w:tcPr>
            <w:tcW w:w="540" w:type="dxa"/>
            <w:tcBorders>
              <w:right w:val="dashSmallGap" w:sz="4" w:space="0" w:color="auto"/>
            </w:tcBorders>
          </w:tcPr>
          <w:p w:rsidR="006A5CA3" w:rsidRDefault="006A5CA3">
            <w:pPr>
              <w:ind w:right="-29"/>
              <w:jc w:val="center"/>
              <w:rPr>
                <w:noProof/>
                <w:sz w:val="18"/>
                <w:szCs w:val="18"/>
              </w:rPr>
            </w:pPr>
          </w:p>
        </w:tc>
        <w:tc>
          <w:tcPr>
            <w:tcW w:w="648" w:type="dxa"/>
            <w:tcBorders>
              <w:left w:val="dashSmallGap" w:sz="4" w:space="0" w:color="auto"/>
            </w:tcBorders>
          </w:tcPr>
          <w:p w:rsidR="006A5CA3" w:rsidRDefault="006A5CA3">
            <w:pPr>
              <w:ind w:right="-29"/>
              <w:jc w:val="center"/>
              <w:rPr>
                <w:noProof/>
                <w:sz w:val="18"/>
                <w:szCs w:val="18"/>
              </w:rPr>
            </w:pPr>
          </w:p>
        </w:tc>
        <w:tc>
          <w:tcPr>
            <w:tcW w:w="432" w:type="dxa"/>
            <w:tcBorders>
              <w:right w:val="dashSmallGap" w:sz="4" w:space="0" w:color="auto"/>
            </w:tcBorders>
          </w:tcPr>
          <w:p w:rsidR="006A5CA3" w:rsidRDefault="006A5CA3">
            <w:pPr>
              <w:ind w:right="-29"/>
              <w:jc w:val="center"/>
              <w:rPr>
                <w:noProof/>
                <w:sz w:val="18"/>
                <w:szCs w:val="18"/>
              </w:rPr>
            </w:pPr>
          </w:p>
        </w:tc>
        <w:tc>
          <w:tcPr>
            <w:tcW w:w="720" w:type="dxa"/>
            <w:tcBorders>
              <w:left w:val="dashSmallGap" w:sz="4" w:space="0" w:color="auto"/>
            </w:tcBorders>
          </w:tcPr>
          <w:p w:rsidR="006A5CA3" w:rsidRDefault="006A5CA3">
            <w:pPr>
              <w:ind w:right="-29"/>
              <w:jc w:val="center"/>
              <w:rPr>
                <w:noProof/>
                <w:sz w:val="18"/>
                <w:szCs w:val="18"/>
              </w:rPr>
            </w:pPr>
          </w:p>
        </w:tc>
        <w:tc>
          <w:tcPr>
            <w:tcW w:w="540" w:type="dxa"/>
            <w:tcBorders>
              <w:right w:val="dashSmallGap" w:sz="4" w:space="0" w:color="auto"/>
            </w:tcBorders>
          </w:tcPr>
          <w:p w:rsidR="006A5CA3" w:rsidRDefault="006A5CA3">
            <w:pPr>
              <w:ind w:right="-29"/>
              <w:jc w:val="center"/>
              <w:rPr>
                <w:noProof/>
                <w:sz w:val="18"/>
                <w:szCs w:val="18"/>
              </w:rPr>
            </w:pPr>
          </w:p>
        </w:tc>
        <w:tc>
          <w:tcPr>
            <w:tcW w:w="720" w:type="dxa"/>
            <w:tcBorders>
              <w:left w:val="dashSmallGap" w:sz="4" w:space="0" w:color="auto"/>
            </w:tcBorders>
          </w:tcPr>
          <w:p w:rsidR="006A5CA3" w:rsidRDefault="006A5CA3">
            <w:pPr>
              <w:ind w:right="-29"/>
              <w:jc w:val="center"/>
              <w:rPr>
                <w:noProof/>
                <w:sz w:val="18"/>
                <w:szCs w:val="18"/>
              </w:rPr>
            </w:pPr>
          </w:p>
        </w:tc>
        <w:tc>
          <w:tcPr>
            <w:tcW w:w="720" w:type="dxa"/>
          </w:tcPr>
          <w:p w:rsidR="006A5CA3" w:rsidRDefault="006A5CA3">
            <w:pPr>
              <w:ind w:right="-29"/>
              <w:jc w:val="center"/>
              <w:rPr>
                <w:noProof/>
                <w:sz w:val="18"/>
                <w:szCs w:val="18"/>
              </w:rPr>
            </w:pPr>
          </w:p>
        </w:tc>
        <w:tc>
          <w:tcPr>
            <w:tcW w:w="900" w:type="dxa"/>
          </w:tcPr>
          <w:p w:rsidR="006A5CA3" w:rsidRDefault="006A5CA3">
            <w:pPr>
              <w:ind w:right="-29"/>
              <w:jc w:val="center"/>
              <w:rPr>
                <w:noProof/>
                <w:sz w:val="18"/>
                <w:szCs w:val="18"/>
              </w:rPr>
            </w:pPr>
          </w:p>
        </w:tc>
      </w:tr>
      <w:tr w:rsidR="006A5CA3">
        <w:trPr>
          <w:trHeight w:hRule="exact" w:val="369"/>
          <w:jc w:val="center"/>
        </w:trPr>
        <w:tc>
          <w:tcPr>
            <w:tcW w:w="1423" w:type="dxa"/>
          </w:tcPr>
          <w:p w:rsidR="006A5CA3" w:rsidRDefault="0065415D">
            <w:pPr>
              <w:ind w:right="-29"/>
              <w:jc w:val="center"/>
              <w:rPr>
                <w:noProof/>
                <w:sz w:val="18"/>
                <w:szCs w:val="18"/>
              </w:rPr>
            </w:pPr>
            <w:r>
              <w:rPr>
                <w:noProof/>
                <w:sz w:val="18"/>
              </w:rPr>
              <w:t>- Резултат</w:t>
            </w:r>
          </w:p>
        </w:tc>
        <w:tc>
          <w:tcPr>
            <w:tcW w:w="720" w:type="dxa"/>
          </w:tcPr>
          <w:p w:rsidR="006A5CA3" w:rsidRDefault="006A5CA3">
            <w:pPr>
              <w:ind w:right="-29"/>
              <w:jc w:val="center"/>
              <w:rPr>
                <w:noProof/>
                <w:sz w:val="18"/>
                <w:szCs w:val="18"/>
              </w:rPr>
            </w:pPr>
          </w:p>
        </w:tc>
        <w:tc>
          <w:tcPr>
            <w:tcW w:w="701" w:type="dxa"/>
          </w:tcPr>
          <w:p w:rsidR="006A5CA3" w:rsidRDefault="006A5CA3">
            <w:pPr>
              <w:ind w:right="-29"/>
              <w:jc w:val="center"/>
              <w:rPr>
                <w:noProof/>
                <w:sz w:val="18"/>
                <w:szCs w:val="18"/>
              </w:rPr>
            </w:pPr>
          </w:p>
        </w:tc>
        <w:tc>
          <w:tcPr>
            <w:tcW w:w="504" w:type="dxa"/>
          </w:tcPr>
          <w:p w:rsidR="006A5CA3" w:rsidRDefault="006A5CA3">
            <w:pPr>
              <w:ind w:right="-29"/>
              <w:jc w:val="center"/>
              <w:rPr>
                <w:noProof/>
                <w:sz w:val="18"/>
                <w:szCs w:val="18"/>
              </w:rPr>
            </w:pPr>
          </w:p>
        </w:tc>
        <w:tc>
          <w:tcPr>
            <w:tcW w:w="720" w:type="dxa"/>
          </w:tcPr>
          <w:p w:rsidR="006A5CA3" w:rsidRDefault="006A5CA3">
            <w:pPr>
              <w:ind w:right="-29"/>
              <w:jc w:val="center"/>
              <w:rPr>
                <w:noProof/>
                <w:sz w:val="18"/>
                <w:szCs w:val="18"/>
              </w:rPr>
            </w:pPr>
          </w:p>
        </w:tc>
        <w:tc>
          <w:tcPr>
            <w:tcW w:w="540" w:type="dxa"/>
          </w:tcPr>
          <w:p w:rsidR="006A5CA3" w:rsidRDefault="006A5CA3">
            <w:pPr>
              <w:ind w:right="-29"/>
              <w:jc w:val="center"/>
              <w:rPr>
                <w:noProof/>
                <w:sz w:val="18"/>
                <w:szCs w:val="18"/>
              </w:rPr>
            </w:pPr>
          </w:p>
        </w:tc>
        <w:tc>
          <w:tcPr>
            <w:tcW w:w="720" w:type="dxa"/>
          </w:tcPr>
          <w:p w:rsidR="006A5CA3" w:rsidRDefault="006A5CA3">
            <w:pPr>
              <w:ind w:right="-29"/>
              <w:jc w:val="center"/>
              <w:rPr>
                <w:noProof/>
                <w:sz w:val="18"/>
                <w:szCs w:val="18"/>
              </w:rPr>
            </w:pPr>
          </w:p>
        </w:tc>
        <w:tc>
          <w:tcPr>
            <w:tcW w:w="720" w:type="dxa"/>
          </w:tcPr>
          <w:p w:rsidR="006A5CA3" w:rsidRDefault="006A5CA3">
            <w:pPr>
              <w:ind w:right="-29"/>
              <w:jc w:val="center"/>
              <w:rPr>
                <w:noProof/>
                <w:sz w:val="18"/>
                <w:szCs w:val="18"/>
              </w:rPr>
            </w:pPr>
          </w:p>
        </w:tc>
        <w:tc>
          <w:tcPr>
            <w:tcW w:w="720" w:type="dxa"/>
          </w:tcPr>
          <w:p w:rsidR="006A5CA3" w:rsidRDefault="006A5CA3">
            <w:pPr>
              <w:ind w:right="-29"/>
              <w:jc w:val="center"/>
              <w:rPr>
                <w:noProof/>
                <w:sz w:val="18"/>
                <w:szCs w:val="18"/>
              </w:rPr>
            </w:pPr>
          </w:p>
        </w:tc>
        <w:tc>
          <w:tcPr>
            <w:tcW w:w="900" w:type="dxa"/>
          </w:tcPr>
          <w:p w:rsidR="006A5CA3" w:rsidRDefault="006A5CA3">
            <w:pPr>
              <w:ind w:right="-29"/>
              <w:jc w:val="center"/>
              <w:rPr>
                <w:noProof/>
                <w:sz w:val="18"/>
                <w:szCs w:val="18"/>
              </w:rPr>
            </w:pPr>
          </w:p>
        </w:tc>
        <w:tc>
          <w:tcPr>
            <w:tcW w:w="720" w:type="dxa"/>
            <w:gridSpan w:val="2"/>
          </w:tcPr>
          <w:p w:rsidR="006A5CA3" w:rsidRDefault="006A5CA3">
            <w:pPr>
              <w:ind w:right="-29"/>
              <w:jc w:val="center"/>
              <w:rPr>
                <w:noProof/>
                <w:sz w:val="18"/>
                <w:szCs w:val="18"/>
              </w:rPr>
            </w:pPr>
          </w:p>
        </w:tc>
        <w:tc>
          <w:tcPr>
            <w:tcW w:w="540" w:type="dxa"/>
          </w:tcPr>
          <w:p w:rsidR="006A5CA3" w:rsidRDefault="006A5CA3">
            <w:pPr>
              <w:ind w:right="-29"/>
              <w:jc w:val="center"/>
              <w:rPr>
                <w:noProof/>
                <w:sz w:val="18"/>
                <w:szCs w:val="18"/>
              </w:rPr>
            </w:pPr>
          </w:p>
        </w:tc>
        <w:tc>
          <w:tcPr>
            <w:tcW w:w="648" w:type="dxa"/>
          </w:tcPr>
          <w:p w:rsidR="006A5CA3" w:rsidRDefault="006A5CA3">
            <w:pPr>
              <w:ind w:right="-29"/>
              <w:jc w:val="center"/>
              <w:rPr>
                <w:noProof/>
                <w:sz w:val="18"/>
                <w:szCs w:val="18"/>
              </w:rPr>
            </w:pPr>
          </w:p>
        </w:tc>
        <w:tc>
          <w:tcPr>
            <w:tcW w:w="432" w:type="dxa"/>
          </w:tcPr>
          <w:p w:rsidR="006A5CA3" w:rsidRDefault="006A5CA3">
            <w:pPr>
              <w:ind w:right="-29"/>
              <w:jc w:val="center"/>
              <w:rPr>
                <w:noProof/>
                <w:sz w:val="18"/>
                <w:szCs w:val="18"/>
              </w:rPr>
            </w:pPr>
          </w:p>
        </w:tc>
        <w:tc>
          <w:tcPr>
            <w:tcW w:w="720" w:type="dxa"/>
          </w:tcPr>
          <w:p w:rsidR="006A5CA3" w:rsidRDefault="006A5CA3">
            <w:pPr>
              <w:ind w:right="-29"/>
              <w:jc w:val="center"/>
              <w:rPr>
                <w:noProof/>
                <w:sz w:val="18"/>
                <w:szCs w:val="18"/>
              </w:rPr>
            </w:pPr>
          </w:p>
        </w:tc>
        <w:tc>
          <w:tcPr>
            <w:tcW w:w="540" w:type="dxa"/>
          </w:tcPr>
          <w:p w:rsidR="006A5CA3" w:rsidRDefault="006A5CA3">
            <w:pPr>
              <w:ind w:right="-29"/>
              <w:jc w:val="center"/>
              <w:rPr>
                <w:noProof/>
                <w:sz w:val="18"/>
                <w:szCs w:val="18"/>
              </w:rPr>
            </w:pPr>
          </w:p>
        </w:tc>
        <w:tc>
          <w:tcPr>
            <w:tcW w:w="720" w:type="dxa"/>
          </w:tcPr>
          <w:p w:rsidR="006A5CA3" w:rsidRDefault="006A5CA3">
            <w:pPr>
              <w:ind w:right="-29"/>
              <w:jc w:val="center"/>
              <w:rPr>
                <w:noProof/>
                <w:sz w:val="18"/>
                <w:szCs w:val="18"/>
              </w:rPr>
            </w:pPr>
          </w:p>
        </w:tc>
        <w:tc>
          <w:tcPr>
            <w:tcW w:w="720" w:type="dxa"/>
          </w:tcPr>
          <w:p w:rsidR="006A5CA3" w:rsidRDefault="006A5CA3">
            <w:pPr>
              <w:ind w:right="-29"/>
              <w:jc w:val="center"/>
              <w:rPr>
                <w:noProof/>
                <w:sz w:val="18"/>
                <w:szCs w:val="18"/>
              </w:rPr>
            </w:pPr>
          </w:p>
        </w:tc>
        <w:tc>
          <w:tcPr>
            <w:tcW w:w="900" w:type="dxa"/>
          </w:tcPr>
          <w:p w:rsidR="006A5CA3" w:rsidRDefault="006A5CA3">
            <w:pPr>
              <w:ind w:right="-29"/>
              <w:jc w:val="center"/>
              <w:rPr>
                <w:noProof/>
                <w:sz w:val="18"/>
                <w:szCs w:val="18"/>
              </w:rPr>
            </w:pPr>
          </w:p>
        </w:tc>
      </w:tr>
      <w:tr w:rsidR="006A5CA3">
        <w:trPr>
          <w:trHeight w:val="77"/>
          <w:jc w:val="center"/>
        </w:trPr>
        <w:tc>
          <w:tcPr>
            <w:tcW w:w="2844" w:type="dxa"/>
            <w:gridSpan w:val="3"/>
            <w:tcBorders>
              <w:bottom w:val="single" w:sz="12" w:space="0" w:color="auto"/>
            </w:tcBorders>
            <w:vAlign w:val="center"/>
          </w:tcPr>
          <w:p w:rsidR="006A5CA3" w:rsidRDefault="0065415D">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rsidR="006A5CA3" w:rsidRDefault="006A5CA3">
            <w:pPr>
              <w:ind w:right="-29"/>
              <w:jc w:val="center"/>
              <w:rPr>
                <w:noProof/>
                <w:sz w:val="18"/>
                <w:szCs w:val="18"/>
              </w:rPr>
            </w:pPr>
          </w:p>
        </w:tc>
        <w:tc>
          <w:tcPr>
            <w:tcW w:w="720" w:type="dxa"/>
            <w:tcBorders>
              <w:bottom w:val="single" w:sz="12" w:space="0" w:color="auto"/>
            </w:tcBorders>
          </w:tcPr>
          <w:p w:rsidR="006A5CA3" w:rsidRDefault="006A5CA3">
            <w:pPr>
              <w:ind w:right="-29"/>
              <w:jc w:val="center"/>
              <w:rPr>
                <w:noProof/>
                <w:sz w:val="18"/>
                <w:szCs w:val="18"/>
              </w:rPr>
            </w:pPr>
          </w:p>
        </w:tc>
        <w:tc>
          <w:tcPr>
            <w:tcW w:w="540" w:type="dxa"/>
            <w:tcBorders>
              <w:bottom w:val="single" w:sz="12" w:space="0" w:color="auto"/>
            </w:tcBorders>
          </w:tcPr>
          <w:p w:rsidR="006A5CA3" w:rsidRDefault="006A5CA3">
            <w:pPr>
              <w:ind w:right="-29"/>
              <w:jc w:val="center"/>
              <w:rPr>
                <w:noProof/>
                <w:sz w:val="18"/>
                <w:szCs w:val="18"/>
              </w:rPr>
            </w:pPr>
          </w:p>
        </w:tc>
        <w:tc>
          <w:tcPr>
            <w:tcW w:w="720" w:type="dxa"/>
            <w:tcBorders>
              <w:bottom w:val="single" w:sz="12" w:space="0" w:color="auto"/>
            </w:tcBorders>
          </w:tcPr>
          <w:p w:rsidR="006A5CA3" w:rsidRDefault="006A5CA3">
            <w:pPr>
              <w:ind w:right="-29"/>
              <w:jc w:val="center"/>
              <w:rPr>
                <w:noProof/>
                <w:sz w:val="18"/>
                <w:szCs w:val="18"/>
              </w:rPr>
            </w:pPr>
          </w:p>
        </w:tc>
        <w:tc>
          <w:tcPr>
            <w:tcW w:w="720" w:type="dxa"/>
            <w:tcBorders>
              <w:bottom w:val="single" w:sz="12" w:space="0" w:color="auto"/>
            </w:tcBorders>
          </w:tcPr>
          <w:p w:rsidR="006A5CA3" w:rsidRDefault="006A5CA3">
            <w:pPr>
              <w:ind w:right="-29"/>
              <w:jc w:val="center"/>
              <w:rPr>
                <w:noProof/>
                <w:sz w:val="18"/>
                <w:szCs w:val="18"/>
              </w:rPr>
            </w:pPr>
          </w:p>
        </w:tc>
        <w:tc>
          <w:tcPr>
            <w:tcW w:w="720" w:type="dxa"/>
            <w:tcBorders>
              <w:bottom w:val="single" w:sz="12" w:space="0" w:color="auto"/>
            </w:tcBorders>
          </w:tcPr>
          <w:p w:rsidR="006A5CA3" w:rsidRDefault="006A5CA3">
            <w:pPr>
              <w:ind w:right="-29"/>
              <w:jc w:val="center"/>
              <w:rPr>
                <w:noProof/>
                <w:sz w:val="18"/>
                <w:szCs w:val="18"/>
              </w:rPr>
            </w:pPr>
          </w:p>
        </w:tc>
        <w:tc>
          <w:tcPr>
            <w:tcW w:w="900" w:type="dxa"/>
            <w:tcBorders>
              <w:bottom w:val="single" w:sz="12" w:space="0" w:color="auto"/>
            </w:tcBorders>
          </w:tcPr>
          <w:p w:rsidR="006A5CA3" w:rsidRDefault="006A5CA3">
            <w:pPr>
              <w:ind w:right="-29"/>
              <w:jc w:val="center"/>
              <w:rPr>
                <w:noProof/>
                <w:sz w:val="18"/>
                <w:szCs w:val="18"/>
              </w:rPr>
            </w:pPr>
          </w:p>
        </w:tc>
        <w:tc>
          <w:tcPr>
            <w:tcW w:w="720" w:type="dxa"/>
            <w:gridSpan w:val="2"/>
            <w:tcBorders>
              <w:bottom w:val="single" w:sz="12" w:space="0" w:color="auto"/>
            </w:tcBorders>
          </w:tcPr>
          <w:p w:rsidR="006A5CA3" w:rsidRDefault="006A5CA3">
            <w:pPr>
              <w:ind w:right="-29"/>
              <w:jc w:val="center"/>
              <w:rPr>
                <w:noProof/>
                <w:sz w:val="18"/>
                <w:szCs w:val="18"/>
              </w:rPr>
            </w:pPr>
          </w:p>
        </w:tc>
        <w:tc>
          <w:tcPr>
            <w:tcW w:w="540" w:type="dxa"/>
            <w:tcBorders>
              <w:bottom w:val="single" w:sz="12" w:space="0" w:color="auto"/>
            </w:tcBorders>
          </w:tcPr>
          <w:p w:rsidR="006A5CA3" w:rsidRDefault="006A5CA3">
            <w:pPr>
              <w:ind w:right="-29"/>
              <w:jc w:val="center"/>
              <w:rPr>
                <w:noProof/>
                <w:sz w:val="18"/>
                <w:szCs w:val="18"/>
              </w:rPr>
            </w:pPr>
          </w:p>
        </w:tc>
        <w:tc>
          <w:tcPr>
            <w:tcW w:w="648" w:type="dxa"/>
            <w:tcBorders>
              <w:bottom w:val="single" w:sz="12" w:space="0" w:color="auto"/>
            </w:tcBorders>
          </w:tcPr>
          <w:p w:rsidR="006A5CA3" w:rsidRDefault="006A5CA3">
            <w:pPr>
              <w:ind w:right="-29"/>
              <w:jc w:val="center"/>
              <w:rPr>
                <w:noProof/>
                <w:sz w:val="18"/>
                <w:szCs w:val="18"/>
              </w:rPr>
            </w:pPr>
          </w:p>
        </w:tc>
        <w:tc>
          <w:tcPr>
            <w:tcW w:w="432" w:type="dxa"/>
            <w:tcBorders>
              <w:bottom w:val="single" w:sz="12" w:space="0" w:color="auto"/>
            </w:tcBorders>
          </w:tcPr>
          <w:p w:rsidR="006A5CA3" w:rsidRDefault="006A5CA3">
            <w:pPr>
              <w:ind w:right="-29"/>
              <w:jc w:val="center"/>
              <w:rPr>
                <w:noProof/>
                <w:sz w:val="18"/>
                <w:szCs w:val="18"/>
              </w:rPr>
            </w:pPr>
          </w:p>
        </w:tc>
        <w:tc>
          <w:tcPr>
            <w:tcW w:w="720" w:type="dxa"/>
            <w:tcBorders>
              <w:bottom w:val="single" w:sz="12" w:space="0" w:color="auto"/>
            </w:tcBorders>
          </w:tcPr>
          <w:p w:rsidR="006A5CA3" w:rsidRDefault="006A5CA3">
            <w:pPr>
              <w:ind w:right="-29"/>
              <w:jc w:val="center"/>
              <w:rPr>
                <w:noProof/>
                <w:sz w:val="18"/>
                <w:szCs w:val="18"/>
              </w:rPr>
            </w:pPr>
          </w:p>
        </w:tc>
        <w:tc>
          <w:tcPr>
            <w:tcW w:w="540" w:type="dxa"/>
            <w:tcBorders>
              <w:bottom w:val="single" w:sz="12" w:space="0" w:color="auto"/>
            </w:tcBorders>
          </w:tcPr>
          <w:p w:rsidR="006A5CA3" w:rsidRDefault="006A5CA3">
            <w:pPr>
              <w:ind w:right="-29"/>
              <w:jc w:val="center"/>
              <w:rPr>
                <w:noProof/>
                <w:sz w:val="18"/>
                <w:szCs w:val="18"/>
              </w:rPr>
            </w:pPr>
          </w:p>
        </w:tc>
        <w:tc>
          <w:tcPr>
            <w:tcW w:w="720" w:type="dxa"/>
            <w:tcBorders>
              <w:bottom w:val="single" w:sz="12" w:space="0" w:color="auto"/>
            </w:tcBorders>
          </w:tcPr>
          <w:p w:rsidR="006A5CA3" w:rsidRDefault="006A5CA3">
            <w:pPr>
              <w:ind w:right="-29"/>
              <w:jc w:val="center"/>
              <w:rPr>
                <w:noProof/>
                <w:sz w:val="18"/>
                <w:szCs w:val="18"/>
              </w:rPr>
            </w:pPr>
          </w:p>
        </w:tc>
        <w:tc>
          <w:tcPr>
            <w:tcW w:w="720" w:type="dxa"/>
            <w:tcBorders>
              <w:bottom w:val="single" w:sz="12" w:space="0" w:color="auto"/>
            </w:tcBorders>
          </w:tcPr>
          <w:p w:rsidR="006A5CA3" w:rsidRDefault="006A5CA3">
            <w:pPr>
              <w:ind w:right="-29"/>
              <w:jc w:val="center"/>
              <w:rPr>
                <w:noProof/>
                <w:sz w:val="18"/>
                <w:szCs w:val="18"/>
              </w:rPr>
            </w:pPr>
          </w:p>
        </w:tc>
        <w:tc>
          <w:tcPr>
            <w:tcW w:w="900" w:type="dxa"/>
            <w:tcBorders>
              <w:bottom w:val="single" w:sz="12" w:space="0" w:color="auto"/>
            </w:tcBorders>
          </w:tcPr>
          <w:p w:rsidR="006A5CA3" w:rsidRDefault="006A5CA3">
            <w:pPr>
              <w:ind w:right="-29"/>
              <w:jc w:val="center"/>
              <w:rPr>
                <w:noProof/>
                <w:sz w:val="18"/>
                <w:szCs w:val="18"/>
              </w:rPr>
            </w:pPr>
          </w:p>
        </w:tc>
      </w:tr>
      <w:tr w:rsidR="006A5CA3">
        <w:trPr>
          <w:jc w:val="center"/>
        </w:trPr>
        <w:tc>
          <w:tcPr>
            <w:tcW w:w="2844" w:type="dxa"/>
            <w:gridSpan w:val="3"/>
            <w:vAlign w:val="center"/>
          </w:tcPr>
          <w:p w:rsidR="006A5CA3" w:rsidRDefault="0065415D">
            <w:pPr>
              <w:spacing w:before="60" w:after="60"/>
              <w:ind w:right="-29"/>
              <w:jc w:val="center"/>
              <w:rPr>
                <w:noProof/>
                <w:sz w:val="18"/>
                <w:szCs w:val="18"/>
              </w:rPr>
            </w:pPr>
            <w:r>
              <w:rPr>
                <w:noProof/>
                <w:sz w:val="18"/>
              </w:rPr>
              <w:t>КОНКРЕТНА ЦЕЛ № 2…</w:t>
            </w:r>
          </w:p>
        </w:tc>
        <w:tc>
          <w:tcPr>
            <w:tcW w:w="504" w:type="dxa"/>
            <w:tcBorders>
              <w:top w:val="nil"/>
              <w:left w:val="nil"/>
              <w:bottom w:val="nil"/>
              <w:right w:val="nil"/>
            </w:tcBorders>
          </w:tcPr>
          <w:p w:rsidR="006A5CA3" w:rsidRDefault="006A5CA3">
            <w:pPr>
              <w:spacing w:before="60" w:after="60"/>
              <w:ind w:right="-29"/>
              <w:jc w:val="center"/>
              <w:rPr>
                <w:noProof/>
                <w:sz w:val="18"/>
                <w:szCs w:val="18"/>
              </w:rPr>
            </w:pPr>
          </w:p>
        </w:tc>
        <w:tc>
          <w:tcPr>
            <w:tcW w:w="720" w:type="dxa"/>
            <w:tcBorders>
              <w:top w:val="nil"/>
              <w:left w:val="nil"/>
              <w:bottom w:val="nil"/>
              <w:right w:val="nil"/>
            </w:tcBorders>
          </w:tcPr>
          <w:p w:rsidR="006A5CA3" w:rsidRDefault="006A5CA3">
            <w:pPr>
              <w:spacing w:before="60" w:after="60"/>
              <w:ind w:right="-29"/>
              <w:jc w:val="center"/>
              <w:rPr>
                <w:noProof/>
                <w:sz w:val="18"/>
                <w:szCs w:val="18"/>
              </w:rPr>
            </w:pPr>
          </w:p>
        </w:tc>
        <w:tc>
          <w:tcPr>
            <w:tcW w:w="540" w:type="dxa"/>
            <w:tcBorders>
              <w:top w:val="nil"/>
              <w:left w:val="nil"/>
              <w:bottom w:val="nil"/>
              <w:right w:val="nil"/>
            </w:tcBorders>
          </w:tcPr>
          <w:p w:rsidR="006A5CA3" w:rsidRDefault="006A5CA3">
            <w:pPr>
              <w:spacing w:before="60" w:after="60"/>
              <w:ind w:right="-29"/>
              <w:jc w:val="center"/>
              <w:rPr>
                <w:noProof/>
                <w:sz w:val="18"/>
                <w:szCs w:val="18"/>
              </w:rPr>
            </w:pPr>
          </w:p>
        </w:tc>
        <w:tc>
          <w:tcPr>
            <w:tcW w:w="720" w:type="dxa"/>
            <w:tcBorders>
              <w:top w:val="nil"/>
              <w:left w:val="nil"/>
              <w:bottom w:val="nil"/>
              <w:right w:val="nil"/>
            </w:tcBorders>
          </w:tcPr>
          <w:p w:rsidR="006A5CA3" w:rsidRDefault="006A5CA3">
            <w:pPr>
              <w:spacing w:before="60" w:after="60"/>
              <w:ind w:right="-29"/>
              <w:jc w:val="center"/>
              <w:rPr>
                <w:noProof/>
                <w:sz w:val="18"/>
                <w:szCs w:val="18"/>
              </w:rPr>
            </w:pPr>
          </w:p>
        </w:tc>
        <w:tc>
          <w:tcPr>
            <w:tcW w:w="720" w:type="dxa"/>
            <w:tcBorders>
              <w:top w:val="nil"/>
              <w:left w:val="nil"/>
              <w:bottom w:val="nil"/>
              <w:right w:val="nil"/>
            </w:tcBorders>
          </w:tcPr>
          <w:p w:rsidR="006A5CA3" w:rsidRDefault="006A5CA3">
            <w:pPr>
              <w:spacing w:before="60" w:after="60"/>
              <w:ind w:right="-29"/>
              <w:jc w:val="center"/>
              <w:rPr>
                <w:noProof/>
                <w:sz w:val="18"/>
                <w:szCs w:val="18"/>
              </w:rPr>
            </w:pPr>
          </w:p>
        </w:tc>
        <w:tc>
          <w:tcPr>
            <w:tcW w:w="720" w:type="dxa"/>
            <w:tcBorders>
              <w:top w:val="nil"/>
              <w:left w:val="nil"/>
              <w:bottom w:val="nil"/>
              <w:right w:val="nil"/>
            </w:tcBorders>
          </w:tcPr>
          <w:p w:rsidR="006A5CA3" w:rsidRDefault="006A5CA3">
            <w:pPr>
              <w:spacing w:before="60" w:after="60"/>
              <w:ind w:right="-29"/>
              <w:jc w:val="center"/>
              <w:rPr>
                <w:noProof/>
                <w:sz w:val="18"/>
                <w:szCs w:val="18"/>
              </w:rPr>
            </w:pPr>
          </w:p>
        </w:tc>
        <w:tc>
          <w:tcPr>
            <w:tcW w:w="900" w:type="dxa"/>
            <w:tcBorders>
              <w:top w:val="nil"/>
              <w:left w:val="nil"/>
              <w:bottom w:val="nil"/>
              <w:right w:val="nil"/>
            </w:tcBorders>
          </w:tcPr>
          <w:p w:rsidR="006A5CA3" w:rsidRDefault="006A5CA3">
            <w:pPr>
              <w:spacing w:before="60" w:after="60"/>
              <w:ind w:right="-29"/>
              <w:jc w:val="center"/>
              <w:rPr>
                <w:noProof/>
                <w:sz w:val="18"/>
                <w:szCs w:val="18"/>
              </w:rPr>
            </w:pPr>
          </w:p>
        </w:tc>
        <w:tc>
          <w:tcPr>
            <w:tcW w:w="720" w:type="dxa"/>
            <w:gridSpan w:val="2"/>
            <w:tcBorders>
              <w:top w:val="nil"/>
              <w:left w:val="nil"/>
              <w:bottom w:val="nil"/>
              <w:right w:val="nil"/>
            </w:tcBorders>
          </w:tcPr>
          <w:p w:rsidR="006A5CA3" w:rsidRDefault="006A5CA3">
            <w:pPr>
              <w:spacing w:before="60" w:after="60"/>
              <w:ind w:right="-29"/>
              <w:jc w:val="center"/>
              <w:rPr>
                <w:noProof/>
                <w:sz w:val="18"/>
                <w:szCs w:val="18"/>
              </w:rPr>
            </w:pPr>
          </w:p>
        </w:tc>
        <w:tc>
          <w:tcPr>
            <w:tcW w:w="540" w:type="dxa"/>
            <w:tcBorders>
              <w:top w:val="nil"/>
              <w:left w:val="nil"/>
              <w:bottom w:val="nil"/>
              <w:right w:val="nil"/>
            </w:tcBorders>
          </w:tcPr>
          <w:p w:rsidR="006A5CA3" w:rsidRDefault="006A5CA3">
            <w:pPr>
              <w:spacing w:before="60" w:after="60"/>
              <w:ind w:right="-29"/>
              <w:jc w:val="center"/>
              <w:rPr>
                <w:noProof/>
                <w:sz w:val="18"/>
                <w:szCs w:val="18"/>
              </w:rPr>
            </w:pPr>
          </w:p>
        </w:tc>
        <w:tc>
          <w:tcPr>
            <w:tcW w:w="648" w:type="dxa"/>
            <w:tcBorders>
              <w:top w:val="nil"/>
              <w:left w:val="nil"/>
              <w:bottom w:val="nil"/>
              <w:right w:val="nil"/>
            </w:tcBorders>
          </w:tcPr>
          <w:p w:rsidR="006A5CA3" w:rsidRDefault="006A5CA3">
            <w:pPr>
              <w:spacing w:before="60" w:after="60"/>
              <w:ind w:right="-29"/>
              <w:jc w:val="center"/>
              <w:rPr>
                <w:noProof/>
                <w:sz w:val="18"/>
                <w:szCs w:val="18"/>
              </w:rPr>
            </w:pPr>
          </w:p>
        </w:tc>
        <w:tc>
          <w:tcPr>
            <w:tcW w:w="432" w:type="dxa"/>
            <w:tcBorders>
              <w:top w:val="nil"/>
              <w:left w:val="nil"/>
              <w:bottom w:val="nil"/>
              <w:right w:val="nil"/>
            </w:tcBorders>
          </w:tcPr>
          <w:p w:rsidR="006A5CA3" w:rsidRDefault="006A5CA3">
            <w:pPr>
              <w:spacing w:before="60" w:after="60"/>
              <w:ind w:right="-29"/>
              <w:jc w:val="center"/>
              <w:rPr>
                <w:noProof/>
                <w:sz w:val="18"/>
                <w:szCs w:val="18"/>
              </w:rPr>
            </w:pPr>
          </w:p>
        </w:tc>
        <w:tc>
          <w:tcPr>
            <w:tcW w:w="720" w:type="dxa"/>
            <w:tcBorders>
              <w:top w:val="nil"/>
              <w:left w:val="nil"/>
              <w:bottom w:val="nil"/>
              <w:right w:val="nil"/>
            </w:tcBorders>
          </w:tcPr>
          <w:p w:rsidR="006A5CA3" w:rsidRDefault="006A5CA3">
            <w:pPr>
              <w:spacing w:before="60" w:after="60"/>
              <w:ind w:right="-29"/>
              <w:jc w:val="center"/>
              <w:rPr>
                <w:noProof/>
                <w:sz w:val="18"/>
                <w:szCs w:val="18"/>
              </w:rPr>
            </w:pPr>
          </w:p>
        </w:tc>
        <w:tc>
          <w:tcPr>
            <w:tcW w:w="540" w:type="dxa"/>
            <w:tcBorders>
              <w:top w:val="nil"/>
              <w:left w:val="nil"/>
              <w:bottom w:val="nil"/>
              <w:right w:val="nil"/>
            </w:tcBorders>
          </w:tcPr>
          <w:p w:rsidR="006A5CA3" w:rsidRDefault="006A5CA3">
            <w:pPr>
              <w:spacing w:before="60" w:after="60"/>
              <w:ind w:right="-29"/>
              <w:jc w:val="center"/>
              <w:rPr>
                <w:noProof/>
                <w:sz w:val="18"/>
                <w:szCs w:val="18"/>
              </w:rPr>
            </w:pPr>
          </w:p>
        </w:tc>
        <w:tc>
          <w:tcPr>
            <w:tcW w:w="720" w:type="dxa"/>
            <w:tcBorders>
              <w:top w:val="nil"/>
              <w:left w:val="nil"/>
              <w:bottom w:val="nil"/>
              <w:right w:val="nil"/>
            </w:tcBorders>
          </w:tcPr>
          <w:p w:rsidR="006A5CA3" w:rsidRDefault="006A5CA3">
            <w:pPr>
              <w:spacing w:before="60" w:after="60"/>
              <w:ind w:right="-29"/>
              <w:jc w:val="center"/>
              <w:rPr>
                <w:noProof/>
                <w:sz w:val="18"/>
                <w:szCs w:val="18"/>
              </w:rPr>
            </w:pPr>
          </w:p>
        </w:tc>
        <w:tc>
          <w:tcPr>
            <w:tcW w:w="720" w:type="dxa"/>
            <w:tcBorders>
              <w:top w:val="nil"/>
              <w:left w:val="nil"/>
              <w:bottom w:val="nil"/>
              <w:right w:val="nil"/>
            </w:tcBorders>
          </w:tcPr>
          <w:p w:rsidR="006A5CA3" w:rsidRDefault="006A5CA3">
            <w:pPr>
              <w:spacing w:before="60" w:after="60"/>
              <w:ind w:right="-29"/>
              <w:jc w:val="center"/>
              <w:rPr>
                <w:noProof/>
                <w:sz w:val="18"/>
                <w:szCs w:val="18"/>
              </w:rPr>
            </w:pPr>
          </w:p>
        </w:tc>
        <w:tc>
          <w:tcPr>
            <w:tcW w:w="900" w:type="dxa"/>
            <w:tcBorders>
              <w:top w:val="nil"/>
              <w:left w:val="nil"/>
              <w:bottom w:val="nil"/>
              <w:right w:val="nil"/>
            </w:tcBorders>
          </w:tcPr>
          <w:p w:rsidR="006A5CA3" w:rsidRDefault="006A5CA3">
            <w:pPr>
              <w:spacing w:before="60" w:after="60"/>
              <w:ind w:right="-29"/>
              <w:jc w:val="center"/>
              <w:rPr>
                <w:noProof/>
                <w:sz w:val="18"/>
                <w:szCs w:val="18"/>
              </w:rPr>
            </w:pPr>
          </w:p>
        </w:tc>
      </w:tr>
      <w:tr w:rsidR="006A5CA3">
        <w:trPr>
          <w:trHeight w:hRule="exact" w:val="369"/>
          <w:jc w:val="center"/>
        </w:trPr>
        <w:tc>
          <w:tcPr>
            <w:tcW w:w="1423" w:type="dxa"/>
          </w:tcPr>
          <w:p w:rsidR="006A5CA3" w:rsidRDefault="0065415D">
            <w:pPr>
              <w:ind w:right="-29"/>
              <w:jc w:val="center"/>
              <w:rPr>
                <w:noProof/>
                <w:sz w:val="18"/>
                <w:szCs w:val="18"/>
              </w:rPr>
            </w:pPr>
            <w:r>
              <w:rPr>
                <w:noProof/>
                <w:sz w:val="18"/>
              </w:rPr>
              <w:t>- Резултат</w:t>
            </w:r>
          </w:p>
        </w:tc>
        <w:tc>
          <w:tcPr>
            <w:tcW w:w="720" w:type="dxa"/>
          </w:tcPr>
          <w:p w:rsidR="006A5CA3" w:rsidRDefault="006A5CA3">
            <w:pPr>
              <w:ind w:right="-29"/>
              <w:jc w:val="center"/>
              <w:rPr>
                <w:noProof/>
                <w:sz w:val="18"/>
                <w:szCs w:val="18"/>
              </w:rPr>
            </w:pPr>
          </w:p>
        </w:tc>
        <w:tc>
          <w:tcPr>
            <w:tcW w:w="701" w:type="dxa"/>
          </w:tcPr>
          <w:p w:rsidR="006A5CA3" w:rsidRDefault="006A5CA3">
            <w:pPr>
              <w:ind w:right="-29"/>
              <w:jc w:val="center"/>
              <w:rPr>
                <w:noProof/>
                <w:sz w:val="18"/>
                <w:szCs w:val="18"/>
              </w:rPr>
            </w:pPr>
          </w:p>
        </w:tc>
        <w:tc>
          <w:tcPr>
            <w:tcW w:w="504" w:type="dxa"/>
          </w:tcPr>
          <w:p w:rsidR="006A5CA3" w:rsidRDefault="006A5CA3">
            <w:pPr>
              <w:ind w:right="-29"/>
              <w:jc w:val="center"/>
              <w:rPr>
                <w:noProof/>
                <w:sz w:val="18"/>
                <w:szCs w:val="18"/>
              </w:rPr>
            </w:pPr>
          </w:p>
        </w:tc>
        <w:tc>
          <w:tcPr>
            <w:tcW w:w="720" w:type="dxa"/>
          </w:tcPr>
          <w:p w:rsidR="006A5CA3" w:rsidRDefault="006A5CA3">
            <w:pPr>
              <w:ind w:right="-29"/>
              <w:jc w:val="center"/>
              <w:rPr>
                <w:noProof/>
                <w:sz w:val="18"/>
                <w:szCs w:val="18"/>
              </w:rPr>
            </w:pPr>
          </w:p>
        </w:tc>
        <w:tc>
          <w:tcPr>
            <w:tcW w:w="540" w:type="dxa"/>
          </w:tcPr>
          <w:p w:rsidR="006A5CA3" w:rsidRDefault="006A5CA3">
            <w:pPr>
              <w:ind w:right="-29"/>
              <w:jc w:val="center"/>
              <w:rPr>
                <w:noProof/>
                <w:sz w:val="18"/>
                <w:szCs w:val="18"/>
              </w:rPr>
            </w:pPr>
          </w:p>
        </w:tc>
        <w:tc>
          <w:tcPr>
            <w:tcW w:w="720" w:type="dxa"/>
          </w:tcPr>
          <w:p w:rsidR="006A5CA3" w:rsidRDefault="006A5CA3">
            <w:pPr>
              <w:ind w:right="-29"/>
              <w:jc w:val="center"/>
              <w:rPr>
                <w:noProof/>
                <w:sz w:val="18"/>
                <w:szCs w:val="18"/>
              </w:rPr>
            </w:pPr>
          </w:p>
        </w:tc>
        <w:tc>
          <w:tcPr>
            <w:tcW w:w="720" w:type="dxa"/>
          </w:tcPr>
          <w:p w:rsidR="006A5CA3" w:rsidRDefault="006A5CA3">
            <w:pPr>
              <w:ind w:right="-29"/>
              <w:jc w:val="center"/>
              <w:rPr>
                <w:noProof/>
                <w:sz w:val="18"/>
                <w:szCs w:val="18"/>
              </w:rPr>
            </w:pPr>
          </w:p>
        </w:tc>
        <w:tc>
          <w:tcPr>
            <w:tcW w:w="720" w:type="dxa"/>
          </w:tcPr>
          <w:p w:rsidR="006A5CA3" w:rsidRDefault="006A5CA3">
            <w:pPr>
              <w:ind w:right="-29"/>
              <w:jc w:val="center"/>
              <w:rPr>
                <w:noProof/>
                <w:sz w:val="18"/>
                <w:szCs w:val="18"/>
              </w:rPr>
            </w:pPr>
          </w:p>
        </w:tc>
        <w:tc>
          <w:tcPr>
            <w:tcW w:w="900" w:type="dxa"/>
          </w:tcPr>
          <w:p w:rsidR="006A5CA3" w:rsidRDefault="006A5CA3">
            <w:pPr>
              <w:ind w:right="-29"/>
              <w:jc w:val="center"/>
              <w:rPr>
                <w:noProof/>
                <w:sz w:val="18"/>
                <w:szCs w:val="18"/>
              </w:rPr>
            </w:pPr>
          </w:p>
        </w:tc>
        <w:tc>
          <w:tcPr>
            <w:tcW w:w="720" w:type="dxa"/>
            <w:gridSpan w:val="2"/>
          </w:tcPr>
          <w:p w:rsidR="006A5CA3" w:rsidRDefault="006A5CA3">
            <w:pPr>
              <w:ind w:right="-29"/>
              <w:jc w:val="center"/>
              <w:rPr>
                <w:noProof/>
                <w:sz w:val="18"/>
                <w:szCs w:val="18"/>
              </w:rPr>
            </w:pPr>
          </w:p>
        </w:tc>
        <w:tc>
          <w:tcPr>
            <w:tcW w:w="540" w:type="dxa"/>
          </w:tcPr>
          <w:p w:rsidR="006A5CA3" w:rsidRDefault="006A5CA3">
            <w:pPr>
              <w:ind w:right="-29"/>
              <w:jc w:val="center"/>
              <w:rPr>
                <w:noProof/>
                <w:sz w:val="18"/>
                <w:szCs w:val="18"/>
              </w:rPr>
            </w:pPr>
          </w:p>
        </w:tc>
        <w:tc>
          <w:tcPr>
            <w:tcW w:w="648" w:type="dxa"/>
          </w:tcPr>
          <w:p w:rsidR="006A5CA3" w:rsidRDefault="006A5CA3">
            <w:pPr>
              <w:ind w:right="-29"/>
              <w:jc w:val="center"/>
              <w:rPr>
                <w:noProof/>
                <w:sz w:val="18"/>
                <w:szCs w:val="18"/>
              </w:rPr>
            </w:pPr>
          </w:p>
        </w:tc>
        <w:tc>
          <w:tcPr>
            <w:tcW w:w="432" w:type="dxa"/>
          </w:tcPr>
          <w:p w:rsidR="006A5CA3" w:rsidRDefault="006A5CA3">
            <w:pPr>
              <w:ind w:right="-29"/>
              <w:jc w:val="center"/>
              <w:rPr>
                <w:noProof/>
                <w:sz w:val="18"/>
                <w:szCs w:val="18"/>
              </w:rPr>
            </w:pPr>
          </w:p>
        </w:tc>
        <w:tc>
          <w:tcPr>
            <w:tcW w:w="720" w:type="dxa"/>
          </w:tcPr>
          <w:p w:rsidR="006A5CA3" w:rsidRDefault="006A5CA3">
            <w:pPr>
              <w:ind w:right="-29"/>
              <w:jc w:val="center"/>
              <w:rPr>
                <w:noProof/>
                <w:sz w:val="18"/>
                <w:szCs w:val="18"/>
              </w:rPr>
            </w:pPr>
          </w:p>
        </w:tc>
        <w:tc>
          <w:tcPr>
            <w:tcW w:w="540" w:type="dxa"/>
          </w:tcPr>
          <w:p w:rsidR="006A5CA3" w:rsidRDefault="006A5CA3">
            <w:pPr>
              <w:ind w:right="-29"/>
              <w:jc w:val="center"/>
              <w:rPr>
                <w:noProof/>
                <w:sz w:val="18"/>
                <w:szCs w:val="18"/>
              </w:rPr>
            </w:pPr>
          </w:p>
        </w:tc>
        <w:tc>
          <w:tcPr>
            <w:tcW w:w="720" w:type="dxa"/>
          </w:tcPr>
          <w:p w:rsidR="006A5CA3" w:rsidRDefault="006A5CA3">
            <w:pPr>
              <w:ind w:right="-29"/>
              <w:jc w:val="center"/>
              <w:rPr>
                <w:noProof/>
                <w:sz w:val="18"/>
                <w:szCs w:val="18"/>
              </w:rPr>
            </w:pPr>
          </w:p>
        </w:tc>
        <w:tc>
          <w:tcPr>
            <w:tcW w:w="720" w:type="dxa"/>
          </w:tcPr>
          <w:p w:rsidR="006A5CA3" w:rsidRDefault="006A5CA3">
            <w:pPr>
              <w:ind w:right="-29"/>
              <w:jc w:val="center"/>
              <w:rPr>
                <w:noProof/>
                <w:sz w:val="18"/>
                <w:szCs w:val="18"/>
              </w:rPr>
            </w:pPr>
          </w:p>
        </w:tc>
        <w:tc>
          <w:tcPr>
            <w:tcW w:w="900" w:type="dxa"/>
          </w:tcPr>
          <w:p w:rsidR="006A5CA3" w:rsidRDefault="006A5CA3">
            <w:pPr>
              <w:ind w:right="-29"/>
              <w:jc w:val="center"/>
              <w:rPr>
                <w:noProof/>
                <w:sz w:val="18"/>
                <w:szCs w:val="18"/>
              </w:rPr>
            </w:pPr>
          </w:p>
        </w:tc>
      </w:tr>
      <w:tr w:rsidR="006A5CA3">
        <w:trPr>
          <w:jc w:val="center"/>
        </w:trPr>
        <w:tc>
          <w:tcPr>
            <w:tcW w:w="2844" w:type="dxa"/>
            <w:gridSpan w:val="3"/>
            <w:tcBorders>
              <w:bottom w:val="single" w:sz="12" w:space="0" w:color="auto"/>
            </w:tcBorders>
            <w:vAlign w:val="center"/>
          </w:tcPr>
          <w:p w:rsidR="006A5CA3" w:rsidRDefault="0065415D">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rsidR="006A5CA3" w:rsidRDefault="006A5CA3">
            <w:pPr>
              <w:ind w:right="-29"/>
              <w:jc w:val="center"/>
              <w:rPr>
                <w:noProof/>
                <w:sz w:val="18"/>
                <w:szCs w:val="18"/>
              </w:rPr>
            </w:pPr>
          </w:p>
        </w:tc>
        <w:tc>
          <w:tcPr>
            <w:tcW w:w="720" w:type="dxa"/>
            <w:tcBorders>
              <w:bottom w:val="single" w:sz="12" w:space="0" w:color="auto"/>
            </w:tcBorders>
          </w:tcPr>
          <w:p w:rsidR="006A5CA3" w:rsidRDefault="006A5CA3">
            <w:pPr>
              <w:ind w:right="-29"/>
              <w:jc w:val="center"/>
              <w:rPr>
                <w:noProof/>
                <w:sz w:val="18"/>
                <w:szCs w:val="18"/>
              </w:rPr>
            </w:pPr>
          </w:p>
        </w:tc>
        <w:tc>
          <w:tcPr>
            <w:tcW w:w="540" w:type="dxa"/>
            <w:tcBorders>
              <w:bottom w:val="single" w:sz="12" w:space="0" w:color="auto"/>
            </w:tcBorders>
          </w:tcPr>
          <w:p w:rsidR="006A5CA3" w:rsidRDefault="006A5CA3">
            <w:pPr>
              <w:ind w:right="-29"/>
              <w:jc w:val="center"/>
              <w:rPr>
                <w:noProof/>
                <w:sz w:val="18"/>
                <w:szCs w:val="18"/>
              </w:rPr>
            </w:pPr>
          </w:p>
        </w:tc>
        <w:tc>
          <w:tcPr>
            <w:tcW w:w="720" w:type="dxa"/>
            <w:tcBorders>
              <w:bottom w:val="single" w:sz="12" w:space="0" w:color="auto"/>
            </w:tcBorders>
          </w:tcPr>
          <w:p w:rsidR="006A5CA3" w:rsidRDefault="006A5CA3">
            <w:pPr>
              <w:ind w:right="-29"/>
              <w:jc w:val="center"/>
              <w:rPr>
                <w:noProof/>
                <w:sz w:val="18"/>
                <w:szCs w:val="18"/>
              </w:rPr>
            </w:pPr>
          </w:p>
        </w:tc>
        <w:tc>
          <w:tcPr>
            <w:tcW w:w="720" w:type="dxa"/>
            <w:tcBorders>
              <w:bottom w:val="single" w:sz="12" w:space="0" w:color="auto"/>
            </w:tcBorders>
          </w:tcPr>
          <w:p w:rsidR="006A5CA3" w:rsidRDefault="006A5CA3">
            <w:pPr>
              <w:ind w:right="-29"/>
              <w:jc w:val="center"/>
              <w:rPr>
                <w:noProof/>
                <w:sz w:val="18"/>
                <w:szCs w:val="18"/>
              </w:rPr>
            </w:pPr>
          </w:p>
        </w:tc>
        <w:tc>
          <w:tcPr>
            <w:tcW w:w="720" w:type="dxa"/>
            <w:tcBorders>
              <w:bottom w:val="single" w:sz="12" w:space="0" w:color="auto"/>
            </w:tcBorders>
          </w:tcPr>
          <w:p w:rsidR="006A5CA3" w:rsidRDefault="006A5CA3">
            <w:pPr>
              <w:ind w:right="-29"/>
              <w:jc w:val="center"/>
              <w:rPr>
                <w:noProof/>
                <w:sz w:val="18"/>
                <w:szCs w:val="18"/>
              </w:rPr>
            </w:pPr>
          </w:p>
        </w:tc>
        <w:tc>
          <w:tcPr>
            <w:tcW w:w="951" w:type="dxa"/>
            <w:gridSpan w:val="2"/>
            <w:tcBorders>
              <w:bottom w:val="single" w:sz="12" w:space="0" w:color="auto"/>
            </w:tcBorders>
          </w:tcPr>
          <w:p w:rsidR="006A5CA3" w:rsidRDefault="006A5CA3">
            <w:pPr>
              <w:ind w:right="-29"/>
              <w:jc w:val="center"/>
              <w:rPr>
                <w:noProof/>
                <w:sz w:val="18"/>
                <w:szCs w:val="18"/>
              </w:rPr>
            </w:pPr>
          </w:p>
        </w:tc>
        <w:tc>
          <w:tcPr>
            <w:tcW w:w="669" w:type="dxa"/>
            <w:tcBorders>
              <w:bottom w:val="single" w:sz="12" w:space="0" w:color="auto"/>
            </w:tcBorders>
          </w:tcPr>
          <w:p w:rsidR="006A5CA3" w:rsidRDefault="006A5CA3">
            <w:pPr>
              <w:ind w:right="-29"/>
              <w:jc w:val="center"/>
              <w:rPr>
                <w:noProof/>
                <w:sz w:val="18"/>
                <w:szCs w:val="18"/>
              </w:rPr>
            </w:pPr>
          </w:p>
        </w:tc>
        <w:tc>
          <w:tcPr>
            <w:tcW w:w="540" w:type="dxa"/>
            <w:tcBorders>
              <w:bottom w:val="single" w:sz="12" w:space="0" w:color="auto"/>
            </w:tcBorders>
          </w:tcPr>
          <w:p w:rsidR="006A5CA3" w:rsidRDefault="006A5CA3">
            <w:pPr>
              <w:ind w:right="-29"/>
              <w:jc w:val="center"/>
              <w:rPr>
                <w:noProof/>
                <w:sz w:val="18"/>
                <w:szCs w:val="18"/>
              </w:rPr>
            </w:pPr>
          </w:p>
        </w:tc>
        <w:tc>
          <w:tcPr>
            <w:tcW w:w="648" w:type="dxa"/>
            <w:tcBorders>
              <w:bottom w:val="single" w:sz="12" w:space="0" w:color="auto"/>
            </w:tcBorders>
          </w:tcPr>
          <w:p w:rsidR="006A5CA3" w:rsidRDefault="006A5CA3">
            <w:pPr>
              <w:ind w:right="-29"/>
              <w:jc w:val="center"/>
              <w:rPr>
                <w:noProof/>
                <w:sz w:val="18"/>
                <w:szCs w:val="18"/>
              </w:rPr>
            </w:pPr>
          </w:p>
        </w:tc>
        <w:tc>
          <w:tcPr>
            <w:tcW w:w="432" w:type="dxa"/>
            <w:tcBorders>
              <w:bottom w:val="single" w:sz="12" w:space="0" w:color="auto"/>
            </w:tcBorders>
          </w:tcPr>
          <w:p w:rsidR="006A5CA3" w:rsidRDefault="006A5CA3">
            <w:pPr>
              <w:ind w:right="-29"/>
              <w:jc w:val="center"/>
              <w:rPr>
                <w:noProof/>
                <w:sz w:val="18"/>
                <w:szCs w:val="18"/>
              </w:rPr>
            </w:pPr>
          </w:p>
        </w:tc>
        <w:tc>
          <w:tcPr>
            <w:tcW w:w="720" w:type="dxa"/>
            <w:tcBorders>
              <w:bottom w:val="single" w:sz="12" w:space="0" w:color="auto"/>
            </w:tcBorders>
          </w:tcPr>
          <w:p w:rsidR="006A5CA3" w:rsidRDefault="006A5CA3">
            <w:pPr>
              <w:ind w:right="-29"/>
              <w:jc w:val="center"/>
              <w:rPr>
                <w:noProof/>
                <w:sz w:val="18"/>
                <w:szCs w:val="18"/>
              </w:rPr>
            </w:pPr>
          </w:p>
        </w:tc>
        <w:tc>
          <w:tcPr>
            <w:tcW w:w="540" w:type="dxa"/>
            <w:tcBorders>
              <w:bottom w:val="single" w:sz="12" w:space="0" w:color="auto"/>
            </w:tcBorders>
          </w:tcPr>
          <w:p w:rsidR="006A5CA3" w:rsidRDefault="006A5CA3">
            <w:pPr>
              <w:ind w:right="-29"/>
              <w:jc w:val="center"/>
              <w:rPr>
                <w:noProof/>
                <w:sz w:val="18"/>
                <w:szCs w:val="18"/>
              </w:rPr>
            </w:pPr>
          </w:p>
        </w:tc>
        <w:tc>
          <w:tcPr>
            <w:tcW w:w="720" w:type="dxa"/>
            <w:tcBorders>
              <w:bottom w:val="single" w:sz="12" w:space="0" w:color="auto"/>
            </w:tcBorders>
          </w:tcPr>
          <w:p w:rsidR="006A5CA3" w:rsidRDefault="006A5CA3">
            <w:pPr>
              <w:ind w:right="-29"/>
              <w:jc w:val="center"/>
              <w:rPr>
                <w:noProof/>
                <w:sz w:val="18"/>
                <w:szCs w:val="18"/>
              </w:rPr>
            </w:pPr>
          </w:p>
        </w:tc>
        <w:tc>
          <w:tcPr>
            <w:tcW w:w="720" w:type="dxa"/>
            <w:tcBorders>
              <w:bottom w:val="single" w:sz="12" w:space="0" w:color="auto"/>
            </w:tcBorders>
          </w:tcPr>
          <w:p w:rsidR="006A5CA3" w:rsidRDefault="006A5CA3">
            <w:pPr>
              <w:ind w:right="-29"/>
              <w:jc w:val="center"/>
              <w:rPr>
                <w:noProof/>
                <w:sz w:val="18"/>
                <w:szCs w:val="18"/>
              </w:rPr>
            </w:pPr>
          </w:p>
        </w:tc>
        <w:tc>
          <w:tcPr>
            <w:tcW w:w="900" w:type="dxa"/>
            <w:tcBorders>
              <w:bottom w:val="single" w:sz="12" w:space="0" w:color="auto"/>
            </w:tcBorders>
          </w:tcPr>
          <w:p w:rsidR="006A5CA3" w:rsidRDefault="006A5CA3">
            <w:pPr>
              <w:ind w:right="-29"/>
              <w:jc w:val="center"/>
              <w:rPr>
                <w:noProof/>
                <w:sz w:val="18"/>
                <w:szCs w:val="18"/>
              </w:rPr>
            </w:pPr>
          </w:p>
        </w:tc>
      </w:tr>
      <w:tr w:rsidR="006A5CA3">
        <w:trPr>
          <w:jc w:val="center"/>
        </w:trPr>
        <w:tc>
          <w:tcPr>
            <w:tcW w:w="2844" w:type="dxa"/>
            <w:gridSpan w:val="3"/>
            <w:tcBorders>
              <w:top w:val="single" w:sz="12" w:space="0" w:color="auto"/>
              <w:left w:val="single" w:sz="12" w:space="0" w:color="auto"/>
              <w:bottom w:val="single" w:sz="12" w:space="0" w:color="auto"/>
            </w:tcBorders>
            <w:vAlign w:val="center"/>
          </w:tcPr>
          <w:p w:rsidR="006A5CA3" w:rsidRDefault="0065415D">
            <w:pPr>
              <w:ind w:right="-29"/>
              <w:jc w:val="center"/>
              <w:rPr>
                <w:noProof/>
                <w:sz w:val="18"/>
                <w:szCs w:val="18"/>
              </w:rPr>
            </w:pPr>
            <w:r>
              <w:rPr>
                <w:b/>
                <w:noProof/>
                <w:sz w:val="18"/>
              </w:rPr>
              <w:t>ОБЩО</w:t>
            </w:r>
          </w:p>
        </w:tc>
        <w:tc>
          <w:tcPr>
            <w:tcW w:w="504" w:type="dxa"/>
            <w:tcBorders>
              <w:top w:val="single" w:sz="12" w:space="0" w:color="auto"/>
              <w:bottom w:val="single" w:sz="12" w:space="0" w:color="auto"/>
            </w:tcBorders>
          </w:tcPr>
          <w:p w:rsidR="006A5CA3" w:rsidRDefault="006A5CA3">
            <w:pPr>
              <w:spacing w:before="180" w:after="180"/>
              <w:ind w:right="-29"/>
              <w:jc w:val="center"/>
              <w:rPr>
                <w:noProof/>
                <w:sz w:val="18"/>
                <w:szCs w:val="18"/>
              </w:rPr>
            </w:pPr>
          </w:p>
        </w:tc>
        <w:tc>
          <w:tcPr>
            <w:tcW w:w="720" w:type="dxa"/>
            <w:tcBorders>
              <w:top w:val="single" w:sz="12" w:space="0" w:color="auto"/>
              <w:bottom w:val="single" w:sz="12" w:space="0" w:color="auto"/>
            </w:tcBorders>
          </w:tcPr>
          <w:p w:rsidR="006A5CA3" w:rsidRDefault="006A5CA3">
            <w:pPr>
              <w:spacing w:before="180" w:after="180"/>
              <w:ind w:right="-29"/>
              <w:jc w:val="center"/>
              <w:rPr>
                <w:noProof/>
                <w:sz w:val="18"/>
                <w:szCs w:val="18"/>
              </w:rPr>
            </w:pPr>
          </w:p>
        </w:tc>
        <w:tc>
          <w:tcPr>
            <w:tcW w:w="540" w:type="dxa"/>
            <w:tcBorders>
              <w:top w:val="single" w:sz="12" w:space="0" w:color="auto"/>
              <w:bottom w:val="single" w:sz="12" w:space="0" w:color="auto"/>
            </w:tcBorders>
          </w:tcPr>
          <w:p w:rsidR="006A5CA3" w:rsidRDefault="006A5CA3">
            <w:pPr>
              <w:spacing w:before="180" w:after="180"/>
              <w:ind w:right="-29"/>
              <w:jc w:val="center"/>
              <w:rPr>
                <w:noProof/>
                <w:sz w:val="18"/>
                <w:szCs w:val="18"/>
              </w:rPr>
            </w:pPr>
          </w:p>
        </w:tc>
        <w:tc>
          <w:tcPr>
            <w:tcW w:w="720" w:type="dxa"/>
            <w:tcBorders>
              <w:top w:val="single" w:sz="12" w:space="0" w:color="auto"/>
              <w:bottom w:val="single" w:sz="12" w:space="0" w:color="auto"/>
            </w:tcBorders>
          </w:tcPr>
          <w:p w:rsidR="006A5CA3" w:rsidRDefault="006A5CA3">
            <w:pPr>
              <w:spacing w:before="180" w:after="180"/>
              <w:ind w:right="-29"/>
              <w:jc w:val="center"/>
              <w:rPr>
                <w:noProof/>
                <w:sz w:val="18"/>
                <w:szCs w:val="18"/>
              </w:rPr>
            </w:pPr>
          </w:p>
        </w:tc>
        <w:tc>
          <w:tcPr>
            <w:tcW w:w="720" w:type="dxa"/>
            <w:tcBorders>
              <w:top w:val="single" w:sz="12" w:space="0" w:color="auto"/>
              <w:bottom w:val="single" w:sz="12" w:space="0" w:color="auto"/>
            </w:tcBorders>
          </w:tcPr>
          <w:p w:rsidR="006A5CA3" w:rsidRDefault="006A5CA3">
            <w:pPr>
              <w:spacing w:before="180" w:after="180"/>
              <w:ind w:right="-29"/>
              <w:jc w:val="center"/>
              <w:rPr>
                <w:noProof/>
                <w:sz w:val="18"/>
                <w:szCs w:val="18"/>
              </w:rPr>
            </w:pPr>
          </w:p>
        </w:tc>
        <w:tc>
          <w:tcPr>
            <w:tcW w:w="720" w:type="dxa"/>
            <w:tcBorders>
              <w:top w:val="single" w:sz="12" w:space="0" w:color="auto"/>
              <w:bottom w:val="single" w:sz="12" w:space="0" w:color="auto"/>
            </w:tcBorders>
          </w:tcPr>
          <w:p w:rsidR="006A5CA3" w:rsidRDefault="006A5CA3">
            <w:pPr>
              <w:spacing w:before="180" w:after="180"/>
              <w:ind w:right="-29"/>
              <w:jc w:val="center"/>
              <w:rPr>
                <w:noProof/>
                <w:sz w:val="18"/>
                <w:szCs w:val="18"/>
              </w:rPr>
            </w:pPr>
          </w:p>
        </w:tc>
        <w:tc>
          <w:tcPr>
            <w:tcW w:w="900" w:type="dxa"/>
            <w:tcBorders>
              <w:top w:val="single" w:sz="12" w:space="0" w:color="auto"/>
              <w:bottom w:val="single" w:sz="12" w:space="0" w:color="auto"/>
            </w:tcBorders>
          </w:tcPr>
          <w:p w:rsidR="006A5CA3" w:rsidRDefault="006A5CA3">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6A5CA3" w:rsidRDefault="006A5CA3">
            <w:pPr>
              <w:spacing w:before="180" w:after="180"/>
              <w:ind w:right="-29"/>
              <w:jc w:val="center"/>
              <w:rPr>
                <w:noProof/>
                <w:sz w:val="18"/>
                <w:szCs w:val="18"/>
              </w:rPr>
            </w:pPr>
          </w:p>
        </w:tc>
        <w:tc>
          <w:tcPr>
            <w:tcW w:w="540" w:type="dxa"/>
            <w:tcBorders>
              <w:top w:val="single" w:sz="12" w:space="0" w:color="auto"/>
              <w:bottom w:val="single" w:sz="12" w:space="0" w:color="auto"/>
            </w:tcBorders>
          </w:tcPr>
          <w:p w:rsidR="006A5CA3" w:rsidRDefault="006A5CA3">
            <w:pPr>
              <w:spacing w:before="180" w:after="180"/>
              <w:ind w:right="-29"/>
              <w:jc w:val="center"/>
              <w:rPr>
                <w:noProof/>
                <w:sz w:val="18"/>
                <w:szCs w:val="18"/>
              </w:rPr>
            </w:pPr>
          </w:p>
        </w:tc>
        <w:tc>
          <w:tcPr>
            <w:tcW w:w="648" w:type="dxa"/>
            <w:tcBorders>
              <w:top w:val="single" w:sz="12" w:space="0" w:color="auto"/>
              <w:bottom w:val="single" w:sz="12" w:space="0" w:color="auto"/>
            </w:tcBorders>
          </w:tcPr>
          <w:p w:rsidR="006A5CA3" w:rsidRDefault="006A5CA3">
            <w:pPr>
              <w:spacing w:before="180" w:after="180"/>
              <w:ind w:right="-29"/>
              <w:jc w:val="center"/>
              <w:rPr>
                <w:noProof/>
                <w:sz w:val="18"/>
                <w:szCs w:val="18"/>
              </w:rPr>
            </w:pPr>
          </w:p>
        </w:tc>
        <w:tc>
          <w:tcPr>
            <w:tcW w:w="432" w:type="dxa"/>
            <w:tcBorders>
              <w:top w:val="single" w:sz="12" w:space="0" w:color="auto"/>
              <w:bottom w:val="single" w:sz="12" w:space="0" w:color="auto"/>
            </w:tcBorders>
          </w:tcPr>
          <w:p w:rsidR="006A5CA3" w:rsidRDefault="006A5CA3">
            <w:pPr>
              <w:spacing w:before="180" w:after="180"/>
              <w:ind w:right="-29"/>
              <w:jc w:val="center"/>
              <w:rPr>
                <w:noProof/>
                <w:sz w:val="18"/>
                <w:szCs w:val="18"/>
              </w:rPr>
            </w:pPr>
          </w:p>
        </w:tc>
        <w:tc>
          <w:tcPr>
            <w:tcW w:w="720" w:type="dxa"/>
            <w:tcBorders>
              <w:top w:val="single" w:sz="12" w:space="0" w:color="auto"/>
              <w:bottom w:val="single" w:sz="12" w:space="0" w:color="auto"/>
            </w:tcBorders>
          </w:tcPr>
          <w:p w:rsidR="006A5CA3" w:rsidRDefault="006A5CA3">
            <w:pPr>
              <w:spacing w:before="180" w:after="180"/>
              <w:ind w:right="-29"/>
              <w:jc w:val="center"/>
              <w:rPr>
                <w:noProof/>
                <w:sz w:val="18"/>
                <w:szCs w:val="18"/>
              </w:rPr>
            </w:pPr>
          </w:p>
        </w:tc>
        <w:tc>
          <w:tcPr>
            <w:tcW w:w="540" w:type="dxa"/>
            <w:tcBorders>
              <w:top w:val="single" w:sz="12" w:space="0" w:color="auto"/>
              <w:bottom w:val="single" w:sz="12" w:space="0" w:color="auto"/>
            </w:tcBorders>
          </w:tcPr>
          <w:p w:rsidR="006A5CA3" w:rsidRDefault="006A5CA3">
            <w:pPr>
              <w:spacing w:before="180" w:after="180"/>
              <w:ind w:right="-29"/>
              <w:jc w:val="center"/>
              <w:rPr>
                <w:noProof/>
                <w:sz w:val="18"/>
                <w:szCs w:val="18"/>
              </w:rPr>
            </w:pPr>
          </w:p>
        </w:tc>
        <w:tc>
          <w:tcPr>
            <w:tcW w:w="720" w:type="dxa"/>
            <w:tcBorders>
              <w:top w:val="single" w:sz="12" w:space="0" w:color="auto"/>
              <w:bottom w:val="single" w:sz="12" w:space="0" w:color="auto"/>
            </w:tcBorders>
          </w:tcPr>
          <w:p w:rsidR="006A5CA3" w:rsidRDefault="006A5CA3">
            <w:pPr>
              <w:spacing w:before="180" w:after="180"/>
              <w:ind w:right="-29"/>
              <w:jc w:val="center"/>
              <w:rPr>
                <w:noProof/>
                <w:sz w:val="18"/>
                <w:szCs w:val="18"/>
              </w:rPr>
            </w:pPr>
          </w:p>
        </w:tc>
        <w:tc>
          <w:tcPr>
            <w:tcW w:w="720" w:type="dxa"/>
            <w:tcBorders>
              <w:top w:val="single" w:sz="12" w:space="0" w:color="auto"/>
              <w:bottom w:val="single" w:sz="12" w:space="0" w:color="auto"/>
            </w:tcBorders>
          </w:tcPr>
          <w:p w:rsidR="006A5CA3" w:rsidRDefault="006A5CA3">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6A5CA3" w:rsidRDefault="006A5CA3">
            <w:pPr>
              <w:spacing w:before="180" w:after="180"/>
              <w:ind w:right="-29"/>
              <w:jc w:val="center"/>
              <w:rPr>
                <w:noProof/>
                <w:sz w:val="18"/>
                <w:szCs w:val="18"/>
              </w:rPr>
            </w:pPr>
          </w:p>
        </w:tc>
      </w:tr>
    </w:tbl>
    <w:p w:rsidR="006A5CA3" w:rsidRDefault="006A5CA3">
      <w:pPr>
        <w:rPr>
          <w:noProof/>
        </w:rPr>
        <w:sectPr w:rsidR="006A5CA3">
          <w:headerReference w:type="default" r:id="rId18"/>
          <w:footerReference w:type="default" r:id="rId19"/>
          <w:headerReference w:type="first" r:id="rId20"/>
          <w:footerReference w:type="first" r:id="rId21"/>
          <w:pgSz w:w="16840" w:h="11907" w:orient="landscape" w:code="9"/>
          <w:pgMar w:top="1134" w:right="1418" w:bottom="567" w:left="1418" w:header="709" w:footer="709" w:gutter="0"/>
          <w:cols w:space="708"/>
          <w:docGrid w:linePitch="360"/>
        </w:sectPr>
      </w:pPr>
    </w:p>
    <w:p w:rsidR="006A5CA3" w:rsidRDefault="0065415D">
      <w:pPr>
        <w:pStyle w:val="ManualHeading3"/>
        <w:rPr>
          <w:bCs/>
          <w:noProof/>
          <w:szCs w:val="24"/>
        </w:rPr>
      </w:pPr>
      <w:bookmarkStart w:id="59" w:name="_Toc514938055"/>
      <w:bookmarkStart w:id="60" w:name="_Toc520485054"/>
      <w:r>
        <w:t>3.2.3.</w:t>
      </w:r>
      <w:r>
        <w:tab/>
      </w:r>
      <w:r>
        <w:rPr>
          <w:noProof/>
        </w:rPr>
        <w:t>Обобщение на очакваното отражение върху бюджетните кредити за административни разходи</w:t>
      </w:r>
      <w:bookmarkEnd w:id="59"/>
      <w:bookmarkEnd w:id="60"/>
      <w:r>
        <w:rPr>
          <w:noProof/>
        </w:rPr>
        <w:t xml:space="preserve"> </w:t>
      </w:r>
    </w:p>
    <w:p w:rsidR="006A5CA3" w:rsidRDefault="0065415D">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rsidR="006A5CA3" w:rsidRDefault="0065415D">
      <w:pPr>
        <w:pStyle w:val="ListDash1"/>
        <w:rPr>
          <w:noProof/>
        </w:rPr>
      </w:pPr>
      <w:r>
        <w:rPr>
          <w:noProof/>
        </w:rPr>
        <w:sym w:font="Wingdings" w:char="F0FE"/>
      </w:r>
      <w:r>
        <w:rPr>
          <w:noProof/>
        </w:rPr>
        <w:tab/>
        <w:t>Предложението/инициативата</w:t>
      </w:r>
      <w:r>
        <w:rPr>
          <w:noProof/>
        </w:rPr>
        <w:t xml:space="preserve"> налага използване на бюджетни кредити за административни разходи съгласно обяснението по-долу:</w:t>
      </w:r>
    </w:p>
    <w:p w:rsidR="006A5CA3" w:rsidRDefault="0065415D">
      <w:pPr>
        <w:jc w:val="right"/>
        <w:rPr>
          <w:noProof/>
          <w:sz w:val="20"/>
        </w:rPr>
      </w:pPr>
      <w:r>
        <w:rPr>
          <w:noProof/>
          <w:sz w:val="20"/>
        </w:rPr>
        <w:t>млн. евро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6A5CA3">
        <w:trPr>
          <w:trHeight w:val="585"/>
        </w:trPr>
        <w:tc>
          <w:tcPr>
            <w:tcW w:w="1980" w:type="dxa"/>
          </w:tcPr>
          <w:p w:rsidR="006A5CA3" w:rsidRDefault="006A5CA3">
            <w:pPr>
              <w:spacing w:before="60" w:after="60" w:line="200" w:lineRule="exact"/>
              <w:rPr>
                <w:noProof/>
                <w:sz w:val="16"/>
                <w:szCs w:val="16"/>
              </w:rPr>
            </w:pPr>
          </w:p>
        </w:tc>
        <w:tc>
          <w:tcPr>
            <w:tcW w:w="1080" w:type="dxa"/>
            <w:vAlign w:val="center"/>
          </w:tcPr>
          <w:p w:rsidR="006A5CA3" w:rsidRDefault="0065415D">
            <w:pPr>
              <w:spacing w:before="60" w:after="60" w:line="200" w:lineRule="exact"/>
              <w:jc w:val="center"/>
              <w:rPr>
                <w:noProof/>
                <w:sz w:val="16"/>
                <w:szCs w:val="16"/>
              </w:rPr>
            </w:pPr>
            <w:r>
              <w:rPr>
                <w:noProof/>
                <w:sz w:val="16"/>
              </w:rPr>
              <w:t>Година</w:t>
            </w:r>
            <w:r>
              <w:rPr>
                <w:noProof/>
                <w:sz w:val="22"/>
              </w:rPr>
              <w:br/>
            </w:r>
            <w:r>
              <w:rPr>
                <w:b/>
                <w:noProof/>
                <w:sz w:val="16"/>
              </w:rPr>
              <w:t>N</w:t>
            </w:r>
            <w:r>
              <w:rPr>
                <w:rStyle w:val="FootnoteReference"/>
                <w:b/>
                <w:noProof/>
                <w:sz w:val="16"/>
              </w:rPr>
              <w:footnoteReference w:id="16"/>
            </w:r>
          </w:p>
        </w:tc>
        <w:tc>
          <w:tcPr>
            <w:tcW w:w="1080" w:type="dxa"/>
            <w:vAlign w:val="center"/>
          </w:tcPr>
          <w:p w:rsidR="006A5CA3" w:rsidRDefault="0065415D">
            <w:pPr>
              <w:spacing w:before="60" w:after="60" w:line="200" w:lineRule="exact"/>
              <w:jc w:val="center"/>
              <w:rPr>
                <w:noProof/>
                <w:sz w:val="16"/>
                <w:szCs w:val="16"/>
              </w:rPr>
            </w:pPr>
            <w:r>
              <w:rPr>
                <w:noProof/>
                <w:sz w:val="16"/>
              </w:rPr>
              <w:t>Година</w:t>
            </w:r>
            <w:r>
              <w:rPr>
                <w:noProof/>
                <w:sz w:val="22"/>
              </w:rPr>
              <w:br/>
            </w:r>
            <w:r>
              <w:rPr>
                <w:b/>
                <w:noProof/>
                <w:sz w:val="16"/>
              </w:rPr>
              <w:t>N+1</w:t>
            </w:r>
          </w:p>
        </w:tc>
        <w:tc>
          <w:tcPr>
            <w:tcW w:w="1080" w:type="dxa"/>
            <w:vAlign w:val="center"/>
          </w:tcPr>
          <w:p w:rsidR="006A5CA3" w:rsidRDefault="0065415D">
            <w:pPr>
              <w:spacing w:before="60" w:after="60" w:line="200" w:lineRule="exact"/>
              <w:jc w:val="center"/>
              <w:rPr>
                <w:noProof/>
                <w:sz w:val="16"/>
                <w:szCs w:val="16"/>
              </w:rPr>
            </w:pPr>
            <w:r>
              <w:rPr>
                <w:noProof/>
                <w:sz w:val="16"/>
              </w:rPr>
              <w:t>Година</w:t>
            </w:r>
            <w:r>
              <w:rPr>
                <w:noProof/>
                <w:sz w:val="22"/>
              </w:rPr>
              <w:br/>
            </w:r>
            <w:r>
              <w:rPr>
                <w:b/>
                <w:noProof/>
                <w:sz w:val="16"/>
              </w:rPr>
              <w:t>N+2</w:t>
            </w:r>
          </w:p>
        </w:tc>
        <w:tc>
          <w:tcPr>
            <w:tcW w:w="1080" w:type="dxa"/>
            <w:vAlign w:val="center"/>
          </w:tcPr>
          <w:p w:rsidR="006A5CA3" w:rsidRDefault="0065415D">
            <w:pPr>
              <w:spacing w:before="60" w:after="60" w:line="200" w:lineRule="exact"/>
              <w:jc w:val="center"/>
              <w:rPr>
                <w:noProof/>
                <w:sz w:val="16"/>
                <w:szCs w:val="16"/>
              </w:rPr>
            </w:pPr>
            <w:r>
              <w:rPr>
                <w:noProof/>
                <w:sz w:val="16"/>
              </w:rPr>
              <w:t>Година</w:t>
            </w:r>
            <w:r>
              <w:rPr>
                <w:noProof/>
                <w:sz w:val="22"/>
              </w:rPr>
              <w:br/>
            </w:r>
            <w:r>
              <w:rPr>
                <w:b/>
                <w:noProof/>
                <w:sz w:val="16"/>
              </w:rPr>
              <w:t>N+3</w:t>
            </w:r>
          </w:p>
        </w:tc>
        <w:tc>
          <w:tcPr>
            <w:tcW w:w="3240" w:type="dxa"/>
            <w:vAlign w:val="center"/>
          </w:tcPr>
          <w:p w:rsidR="006A5CA3" w:rsidRDefault="0065415D">
            <w:pPr>
              <w:spacing w:line="200" w:lineRule="exact"/>
              <w:jc w:val="center"/>
              <w:rPr>
                <w:b/>
                <w:noProof/>
                <w:sz w:val="16"/>
                <w:szCs w:val="16"/>
              </w:rPr>
            </w:pPr>
            <w:r>
              <w:rPr>
                <w:noProof/>
                <w:sz w:val="16"/>
              </w:rPr>
              <w:t>Да се добавят толкова години, колкото е необходимо, за да се обх</w:t>
            </w:r>
            <w:r>
              <w:rPr>
                <w:noProof/>
                <w:sz w:val="16"/>
              </w:rPr>
              <w:t>ване продължителността на отражението (вж. точка 1.6)</w:t>
            </w:r>
          </w:p>
        </w:tc>
        <w:tc>
          <w:tcPr>
            <w:tcW w:w="1080" w:type="dxa"/>
            <w:vAlign w:val="center"/>
          </w:tcPr>
          <w:p w:rsidR="006A5CA3" w:rsidRDefault="0065415D">
            <w:pPr>
              <w:spacing w:before="60" w:after="60" w:line="200" w:lineRule="exact"/>
              <w:jc w:val="center"/>
              <w:rPr>
                <w:b/>
                <w:noProof/>
                <w:sz w:val="16"/>
                <w:szCs w:val="16"/>
              </w:rPr>
            </w:pPr>
            <w:r>
              <w:rPr>
                <w:b/>
                <w:noProof/>
                <w:sz w:val="16"/>
              </w:rPr>
              <w:t>ОБЩО</w:t>
            </w:r>
          </w:p>
        </w:tc>
      </w:tr>
    </w:tbl>
    <w:p w:rsidR="006A5CA3" w:rsidRDefault="006A5CA3">
      <w:pPr>
        <w:spacing w:before="0"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A5CA3">
        <w:trPr>
          <w:trHeight w:val="585"/>
        </w:trPr>
        <w:tc>
          <w:tcPr>
            <w:tcW w:w="1980" w:type="dxa"/>
            <w:shd w:val="clear" w:color="auto" w:fill="CCCCCC"/>
            <w:vAlign w:val="center"/>
          </w:tcPr>
          <w:p w:rsidR="006A5CA3" w:rsidRDefault="0065415D">
            <w:pPr>
              <w:spacing w:before="60" w:after="60" w:line="200" w:lineRule="exact"/>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b/>
                <w:noProof/>
                <w:sz w:val="16"/>
                <w:szCs w:val="16"/>
              </w:rPr>
            </w:pPr>
          </w:p>
        </w:tc>
        <w:tc>
          <w:tcPr>
            <w:tcW w:w="1080" w:type="dxa"/>
            <w:vAlign w:val="center"/>
          </w:tcPr>
          <w:p w:rsidR="006A5CA3" w:rsidRDefault="006A5CA3">
            <w:pPr>
              <w:spacing w:before="60" w:after="60" w:line="200" w:lineRule="exact"/>
              <w:jc w:val="right"/>
              <w:rPr>
                <w:b/>
                <w:noProof/>
                <w:sz w:val="16"/>
                <w:szCs w:val="16"/>
              </w:rPr>
            </w:pPr>
          </w:p>
        </w:tc>
      </w:tr>
      <w:tr w:rsidR="006A5CA3">
        <w:trPr>
          <w:trHeight w:val="585"/>
        </w:trPr>
        <w:tc>
          <w:tcPr>
            <w:tcW w:w="1980" w:type="dxa"/>
            <w:vAlign w:val="center"/>
          </w:tcPr>
          <w:p w:rsidR="006A5CA3" w:rsidRDefault="0065415D">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6A5CA3" w:rsidRDefault="0065415D">
            <w:pPr>
              <w:spacing w:before="60" w:after="60" w:line="200" w:lineRule="exact"/>
              <w:jc w:val="right"/>
              <w:rPr>
                <w:noProof/>
                <w:sz w:val="16"/>
                <w:szCs w:val="16"/>
              </w:rPr>
            </w:pPr>
            <w:r>
              <w:rPr>
                <w:noProof/>
                <w:sz w:val="18"/>
              </w:rPr>
              <w:t>286 000</w:t>
            </w:r>
          </w:p>
        </w:tc>
        <w:tc>
          <w:tcPr>
            <w:tcW w:w="1080" w:type="dxa"/>
            <w:vAlign w:val="center"/>
          </w:tcPr>
          <w:p w:rsidR="006A5CA3" w:rsidRDefault="0065415D">
            <w:pPr>
              <w:spacing w:before="60" w:after="60" w:line="200" w:lineRule="exact"/>
              <w:jc w:val="right"/>
              <w:rPr>
                <w:noProof/>
                <w:sz w:val="16"/>
                <w:szCs w:val="16"/>
              </w:rPr>
            </w:pPr>
            <w:r>
              <w:rPr>
                <w:noProof/>
                <w:sz w:val="18"/>
              </w:rPr>
              <w:t>286 000</w:t>
            </w:r>
          </w:p>
        </w:tc>
        <w:tc>
          <w:tcPr>
            <w:tcW w:w="1080" w:type="dxa"/>
            <w:vAlign w:val="center"/>
          </w:tcPr>
          <w:p w:rsidR="006A5CA3" w:rsidRDefault="0065415D">
            <w:pPr>
              <w:spacing w:before="60" w:after="60" w:line="200" w:lineRule="exact"/>
              <w:jc w:val="right"/>
              <w:rPr>
                <w:noProof/>
                <w:sz w:val="16"/>
                <w:szCs w:val="16"/>
              </w:rPr>
            </w:pPr>
            <w:r>
              <w:rPr>
                <w:noProof/>
                <w:sz w:val="18"/>
              </w:rPr>
              <w:t>286 000</w:t>
            </w:r>
          </w:p>
        </w:tc>
        <w:tc>
          <w:tcPr>
            <w:tcW w:w="1080" w:type="dxa"/>
            <w:vAlign w:val="center"/>
          </w:tcPr>
          <w:p w:rsidR="006A5CA3" w:rsidRDefault="0065415D">
            <w:pPr>
              <w:spacing w:before="60" w:after="60" w:line="200" w:lineRule="exact"/>
              <w:jc w:val="right"/>
              <w:rPr>
                <w:noProof/>
                <w:sz w:val="16"/>
                <w:szCs w:val="16"/>
              </w:rPr>
            </w:pPr>
            <w:r>
              <w:rPr>
                <w:noProof/>
                <w:sz w:val="18"/>
              </w:rPr>
              <w:t>286 000</w:t>
            </w: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b/>
                <w:noProof/>
                <w:sz w:val="16"/>
                <w:szCs w:val="16"/>
              </w:rPr>
            </w:pPr>
          </w:p>
        </w:tc>
        <w:tc>
          <w:tcPr>
            <w:tcW w:w="1080" w:type="dxa"/>
            <w:vAlign w:val="center"/>
          </w:tcPr>
          <w:p w:rsidR="006A5CA3" w:rsidRDefault="006A5CA3">
            <w:pPr>
              <w:spacing w:before="60" w:after="60" w:line="200" w:lineRule="exact"/>
              <w:jc w:val="right"/>
              <w:rPr>
                <w:b/>
                <w:noProof/>
                <w:sz w:val="16"/>
                <w:szCs w:val="16"/>
              </w:rPr>
            </w:pPr>
          </w:p>
        </w:tc>
      </w:tr>
      <w:tr w:rsidR="006A5CA3">
        <w:trPr>
          <w:trHeight w:val="585"/>
        </w:trPr>
        <w:tc>
          <w:tcPr>
            <w:tcW w:w="1980" w:type="dxa"/>
            <w:vAlign w:val="center"/>
          </w:tcPr>
          <w:p w:rsidR="006A5CA3" w:rsidRDefault="0065415D">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rsidR="006A5CA3" w:rsidRDefault="0065415D">
            <w:pPr>
              <w:spacing w:before="60" w:after="60" w:line="200" w:lineRule="exact"/>
              <w:jc w:val="right"/>
              <w:rPr>
                <w:noProof/>
                <w:sz w:val="16"/>
                <w:szCs w:val="16"/>
              </w:rPr>
            </w:pPr>
            <w:r>
              <w:rPr>
                <w:noProof/>
                <w:sz w:val="18"/>
              </w:rPr>
              <w:t>2 000</w:t>
            </w:r>
          </w:p>
        </w:tc>
        <w:tc>
          <w:tcPr>
            <w:tcW w:w="1080" w:type="dxa"/>
            <w:vAlign w:val="center"/>
          </w:tcPr>
          <w:p w:rsidR="006A5CA3" w:rsidRDefault="0065415D">
            <w:pPr>
              <w:spacing w:before="60" w:after="60" w:line="200" w:lineRule="exact"/>
              <w:jc w:val="right"/>
              <w:rPr>
                <w:noProof/>
                <w:sz w:val="16"/>
                <w:szCs w:val="16"/>
              </w:rPr>
            </w:pPr>
            <w:r>
              <w:rPr>
                <w:noProof/>
                <w:sz w:val="18"/>
              </w:rPr>
              <w:t>2 000</w:t>
            </w:r>
          </w:p>
        </w:tc>
        <w:tc>
          <w:tcPr>
            <w:tcW w:w="1080" w:type="dxa"/>
            <w:vAlign w:val="center"/>
          </w:tcPr>
          <w:p w:rsidR="006A5CA3" w:rsidRDefault="0065415D">
            <w:pPr>
              <w:spacing w:before="60" w:after="60" w:line="200" w:lineRule="exact"/>
              <w:jc w:val="right"/>
              <w:rPr>
                <w:noProof/>
                <w:sz w:val="16"/>
                <w:szCs w:val="16"/>
              </w:rPr>
            </w:pPr>
            <w:r>
              <w:rPr>
                <w:noProof/>
                <w:sz w:val="18"/>
              </w:rPr>
              <w:t>2 000</w:t>
            </w:r>
          </w:p>
        </w:tc>
        <w:tc>
          <w:tcPr>
            <w:tcW w:w="1080" w:type="dxa"/>
            <w:vAlign w:val="center"/>
          </w:tcPr>
          <w:p w:rsidR="006A5CA3" w:rsidRDefault="0065415D">
            <w:pPr>
              <w:spacing w:before="60" w:after="60" w:line="200" w:lineRule="exact"/>
              <w:jc w:val="right"/>
              <w:rPr>
                <w:noProof/>
                <w:sz w:val="16"/>
                <w:szCs w:val="16"/>
              </w:rPr>
            </w:pPr>
            <w:r>
              <w:rPr>
                <w:noProof/>
                <w:sz w:val="18"/>
              </w:rPr>
              <w:t>2 000</w:t>
            </w: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b/>
                <w:noProof/>
                <w:sz w:val="16"/>
                <w:szCs w:val="16"/>
              </w:rPr>
            </w:pPr>
          </w:p>
        </w:tc>
        <w:tc>
          <w:tcPr>
            <w:tcW w:w="1080" w:type="dxa"/>
            <w:vAlign w:val="center"/>
          </w:tcPr>
          <w:p w:rsidR="006A5CA3" w:rsidRDefault="006A5CA3">
            <w:pPr>
              <w:spacing w:before="60" w:after="60" w:line="200" w:lineRule="exact"/>
              <w:jc w:val="right"/>
              <w:rPr>
                <w:b/>
                <w:noProof/>
                <w:sz w:val="16"/>
                <w:szCs w:val="16"/>
              </w:rPr>
            </w:pPr>
          </w:p>
        </w:tc>
      </w:tr>
      <w:tr w:rsidR="006A5CA3">
        <w:trPr>
          <w:trHeight w:val="585"/>
        </w:trPr>
        <w:tc>
          <w:tcPr>
            <w:tcW w:w="1980" w:type="dxa"/>
            <w:shd w:val="clear" w:color="auto" w:fill="CCCCCC"/>
            <w:vAlign w:val="center"/>
          </w:tcPr>
          <w:p w:rsidR="006A5CA3" w:rsidRDefault="0065415D">
            <w:pPr>
              <w:spacing w:before="60" w:after="60" w:line="200" w:lineRule="exact"/>
              <w:jc w:val="center"/>
              <w:rPr>
                <w:b/>
                <w:noProof/>
                <w:sz w:val="16"/>
                <w:szCs w:val="16"/>
              </w:rPr>
            </w:pPr>
            <w:r>
              <w:rPr>
                <w:b/>
                <w:noProof/>
                <w:sz w:val="16"/>
              </w:rPr>
              <w:t>Междинен сбор за ФУНКЦИЯ 5</w:t>
            </w:r>
            <w:r>
              <w:rPr>
                <w:noProof/>
                <w:sz w:val="22"/>
              </w:rPr>
              <w:br/>
            </w:r>
            <w:r>
              <w:rPr>
                <w:b/>
                <w:noProof/>
                <w:sz w:val="16"/>
              </w:rPr>
              <w:t xml:space="preserve">от многогодишната финансова рамка </w:t>
            </w:r>
          </w:p>
        </w:tc>
        <w:tc>
          <w:tcPr>
            <w:tcW w:w="1080" w:type="dxa"/>
            <w:vAlign w:val="center"/>
          </w:tcPr>
          <w:p w:rsidR="006A5CA3" w:rsidRDefault="0065415D">
            <w:pPr>
              <w:spacing w:before="60" w:after="60" w:line="200" w:lineRule="exact"/>
              <w:jc w:val="right"/>
              <w:rPr>
                <w:noProof/>
                <w:sz w:val="16"/>
                <w:szCs w:val="16"/>
              </w:rPr>
            </w:pPr>
            <w:r>
              <w:rPr>
                <w:noProof/>
                <w:sz w:val="18"/>
              </w:rPr>
              <w:t>288 000</w:t>
            </w:r>
          </w:p>
        </w:tc>
        <w:tc>
          <w:tcPr>
            <w:tcW w:w="1080" w:type="dxa"/>
            <w:vAlign w:val="center"/>
          </w:tcPr>
          <w:p w:rsidR="006A5CA3" w:rsidRDefault="0065415D">
            <w:pPr>
              <w:spacing w:before="60" w:after="60" w:line="200" w:lineRule="exact"/>
              <w:jc w:val="right"/>
              <w:rPr>
                <w:noProof/>
                <w:sz w:val="16"/>
                <w:szCs w:val="16"/>
              </w:rPr>
            </w:pPr>
            <w:r>
              <w:rPr>
                <w:noProof/>
                <w:sz w:val="18"/>
              </w:rPr>
              <w:t>288 000</w:t>
            </w:r>
          </w:p>
        </w:tc>
        <w:tc>
          <w:tcPr>
            <w:tcW w:w="1080" w:type="dxa"/>
            <w:vAlign w:val="center"/>
          </w:tcPr>
          <w:p w:rsidR="006A5CA3" w:rsidRDefault="0065415D">
            <w:pPr>
              <w:spacing w:before="60" w:after="60" w:line="200" w:lineRule="exact"/>
              <w:jc w:val="right"/>
              <w:rPr>
                <w:noProof/>
                <w:sz w:val="16"/>
                <w:szCs w:val="16"/>
              </w:rPr>
            </w:pPr>
            <w:r>
              <w:rPr>
                <w:noProof/>
                <w:sz w:val="18"/>
              </w:rPr>
              <w:t>288 000</w:t>
            </w:r>
          </w:p>
        </w:tc>
        <w:tc>
          <w:tcPr>
            <w:tcW w:w="1080" w:type="dxa"/>
            <w:vAlign w:val="center"/>
          </w:tcPr>
          <w:p w:rsidR="006A5CA3" w:rsidRDefault="0065415D">
            <w:pPr>
              <w:spacing w:before="60" w:after="60" w:line="200" w:lineRule="exact"/>
              <w:jc w:val="right"/>
              <w:rPr>
                <w:noProof/>
                <w:sz w:val="16"/>
                <w:szCs w:val="16"/>
              </w:rPr>
            </w:pPr>
            <w:r>
              <w:rPr>
                <w:noProof/>
                <w:sz w:val="18"/>
              </w:rPr>
              <w:t>288 000</w:t>
            </w: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b/>
                <w:noProof/>
                <w:sz w:val="16"/>
                <w:szCs w:val="16"/>
              </w:rPr>
            </w:pPr>
          </w:p>
        </w:tc>
        <w:tc>
          <w:tcPr>
            <w:tcW w:w="1080" w:type="dxa"/>
            <w:vAlign w:val="center"/>
          </w:tcPr>
          <w:p w:rsidR="006A5CA3" w:rsidRDefault="006A5CA3">
            <w:pPr>
              <w:spacing w:before="60" w:after="60" w:line="200" w:lineRule="exact"/>
              <w:jc w:val="right"/>
              <w:rPr>
                <w:b/>
                <w:noProof/>
                <w:sz w:val="16"/>
                <w:szCs w:val="16"/>
              </w:rPr>
            </w:pPr>
          </w:p>
        </w:tc>
      </w:tr>
    </w:tbl>
    <w:p w:rsidR="006A5CA3" w:rsidRDefault="006A5CA3">
      <w:pPr>
        <w:spacing w:before="0"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A5CA3">
        <w:trPr>
          <w:trHeight w:val="585"/>
        </w:trPr>
        <w:tc>
          <w:tcPr>
            <w:tcW w:w="1980" w:type="dxa"/>
            <w:shd w:val="clear" w:color="auto" w:fill="CCCCCC"/>
            <w:vAlign w:val="center"/>
          </w:tcPr>
          <w:p w:rsidR="006A5CA3" w:rsidRDefault="0065415D">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17"/>
            </w:r>
            <w:r>
              <w:rPr>
                <w:noProof/>
                <w:sz w:val="22"/>
              </w:rPr>
              <w:br/>
            </w:r>
            <w:r>
              <w:rPr>
                <w:b/>
                <w:noProof/>
                <w:sz w:val="16"/>
              </w:rPr>
              <w:t xml:space="preserve">от многогодишната финансова рамка </w:t>
            </w:r>
          </w:p>
          <w:p w:rsidR="006A5CA3" w:rsidRDefault="006A5CA3">
            <w:pPr>
              <w:spacing w:before="0" w:after="0" w:line="200" w:lineRule="exact"/>
              <w:jc w:val="center"/>
              <w:rPr>
                <w:b/>
                <w:noProof/>
                <w:sz w:val="16"/>
                <w:szCs w:val="16"/>
              </w:rPr>
            </w:pP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b/>
                <w:noProof/>
                <w:sz w:val="16"/>
                <w:szCs w:val="16"/>
              </w:rPr>
            </w:pPr>
          </w:p>
        </w:tc>
        <w:tc>
          <w:tcPr>
            <w:tcW w:w="1080" w:type="dxa"/>
            <w:vAlign w:val="center"/>
          </w:tcPr>
          <w:p w:rsidR="006A5CA3" w:rsidRDefault="006A5CA3">
            <w:pPr>
              <w:spacing w:before="60" w:after="60" w:line="200" w:lineRule="exact"/>
              <w:jc w:val="right"/>
              <w:rPr>
                <w:b/>
                <w:noProof/>
                <w:sz w:val="16"/>
                <w:szCs w:val="16"/>
              </w:rPr>
            </w:pPr>
          </w:p>
        </w:tc>
      </w:tr>
      <w:tr w:rsidR="006A5CA3">
        <w:trPr>
          <w:trHeight w:val="585"/>
        </w:trPr>
        <w:tc>
          <w:tcPr>
            <w:tcW w:w="1980" w:type="dxa"/>
            <w:vAlign w:val="center"/>
          </w:tcPr>
          <w:p w:rsidR="006A5CA3" w:rsidRDefault="0065415D">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b/>
                <w:noProof/>
                <w:sz w:val="16"/>
                <w:szCs w:val="16"/>
              </w:rPr>
            </w:pPr>
          </w:p>
        </w:tc>
        <w:tc>
          <w:tcPr>
            <w:tcW w:w="1080" w:type="dxa"/>
            <w:vAlign w:val="center"/>
          </w:tcPr>
          <w:p w:rsidR="006A5CA3" w:rsidRDefault="006A5CA3">
            <w:pPr>
              <w:spacing w:before="60" w:after="60" w:line="200" w:lineRule="exact"/>
              <w:jc w:val="right"/>
              <w:rPr>
                <w:b/>
                <w:noProof/>
                <w:sz w:val="16"/>
                <w:szCs w:val="16"/>
              </w:rPr>
            </w:pPr>
          </w:p>
        </w:tc>
      </w:tr>
      <w:tr w:rsidR="006A5CA3">
        <w:trPr>
          <w:trHeight w:val="585"/>
        </w:trPr>
        <w:tc>
          <w:tcPr>
            <w:tcW w:w="1980" w:type="dxa"/>
            <w:vAlign w:val="center"/>
          </w:tcPr>
          <w:p w:rsidR="006A5CA3" w:rsidRDefault="0065415D">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b/>
                <w:noProof/>
                <w:sz w:val="16"/>
                <w:szCs w:val="16"/>
              </w:rPr>
            </w:pPr>
          </w:p>
        </w:tc>
        <w:tc>
          <w:tcPr>
            <w:tcW w:w="1080" w:type="dxa"/>
            <w:vAlign w:val="center"/>
          </w:tcPr>
          <w:p w:rsidR="006A5CA3" w:rsidRDefault="006A5CA3">
            <w:pPr>
              <w:spacing w:before="60" w:after="60" w:line="200" w:lineRule="exact"/>
              <w:jc w:val="right"/>
              <w:rPr>
                <w:b/>
                <w:noProof/>
                <w:sz w:val="16"/>
                <w:szCs w:val="16"/>
              </w:rPr>
            </w:pPr>
          </w:p>
        </w:tc>
      </w:tr>
      <w:tr w:rsidR="006A5CA3">
        <w:trPr>
          <w:trHeight w:val="585"/>
        </w:trPr>
        <w:tc>
          <w:tcPr>
            <w:tcW w:w="1980" w:type="dxa"/>
            <w:shd w:val="clear" w:color="auto" w:fill="CCCCCC"/>
            <w:vAlign w:val="center"/>
          </w:tcPr>
          <w:p w:rsidR="006A5CA3" w:rsidRDefault="0065415D">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5</w:t>
            </w:r>
            <w:r>
              <w:rPr>
                <w:noProof/>
                <w:sz w:val="22"/>
              </w:rPr>
              <w:br/>
            </w:r>
            <w:r>
              <w:rPr>
                <w:b/>
                <w:noProof/>
                <w:sz w:val="16"/>
              </w:rPr>
              <w:t xml:space="preserve">от многогодишната финансова рамка </w:t>
            </w: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noProof/>
                <w:sz w:val="16"/>
                <w:szCs w:val="16"/>
              </w:rPr>
            </w:pPr>
          </w:p>
        </w:tc>
        <w:tc>
          <w:tcPr>
            <w:tcW w:w="1080" w:type="dxa"/>
            <w:vAlign w:val="center"/>
          </w:tcPr>
          <w:p w:rsidR="006A5CA3" w:rsidRDefault="006A5CA3">
            <w:pPr>
              <w:spacing w:before="60" w:after="60" w:line="200" w:lineRule="exact"/>
              <w:jc w:val="right"/>
              <w:rPr>
                <w:b/>
                <w:noProof/>
                <w:sz w:val="16"/>
                <w:szCs w:val="16"/>
              </w:rPr>
            </w:pPr>
          </w:p>
        </w:tc>
        <w:tc>
          <w:tcPr>
            <w:tcW w:w="1080" w:type="dxa"/>
            <w:vAlign w:val="center"/>
          </w:tcPr>
          <w:p w:rsidR="006A5CA3" w:rsidRDefault="006A5CA3">
            <w:pPr>
              <w:spacing w:before="60" w:after="60" w:line="200" w:lineRule="exact"/>
              <w:jc w:val="right"/>
              <w:rPr>
                <w:b/>
                <w:noProof/>
                <w:sz w:val="16"/>
                <w:szCs w:val="16"/>
              </w:rPr>
            </w:pPr>
          </w:p>
        </w:tc>
      </w:tr>
    </w:tbl>
    <w:p w:rsidR="006A5CA3" w:rsidRDefault="006A5CA3">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A5CA3">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6A5CA3" w:rsidRDefault="0065415D">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rsidR="006A5CA3" w:rsidRDefault="0065415D">
            <w:pPr>
              <w:spacing w:before="60" w:after="60" w:line="200" w:lineRule="exact"/>
              <w:jc w:val="right"/>
              <w:rPr>
                <w:b/>
                <w:noProof/>
                <w:sz w:val="16"/>
                <w:szCs w:val="16"/>
              </w:rPr>
            </w:pPr>
            <w:r>
              <w:rPr>
                <w:noProof/>
                <w:sz w:val="18"/>
              </w:rPr>
              <w:t>288 000</w:t>
            </w:r>
          </w:p>
        </w:tc>
        <w:tc>
          <w:tcPr>
            <w:tcW w:w="1080" w:type="dxa"/>
            <w:tcBorders>
              <w:top w:val="single" w:sz="12" w:space="0" w:color="auto"/>
              <w:left w:val="single" w:sz="2" w:space="0" w:color="auto"/>
              <w:bottom w:val="single" w:sz="12" w:space="0" w:color="auto"/>
              <w:right w:val="single" w:sz="2" w:space="0" w:color="auto"/>
            </w:tcBorders>
            <w:vAlign w:val="center"/>
          </w:tcPr>
          <w:p w:rsidR="006A5CA3" w:rsidRDefault="0065415D">
            <w:pPr>
              <w:spacing w:before="60" w:after="60" w:line="200" w:lineRule="exact"/>
              <w:jc w:val="right"/>
              <w:rPr>
                <w:b/>
                <w:noProof/>
                <w:sz w:val="16"/>
                <w:szCs w:val="16"/>
              </w:rPr>
            </w:pPr>
            <w:r>
              <w:rPr>
                <w:noProof/>
                <w:sz w:val="18"/>
              </w:rPr>
              <w:t>288 000</w:t>
            </w:r>
          </w:p>
        </w:tc>
        <w:tc>
          <w:tcPr>
            <w:tcW w:w="1080" w:type="dxa"/>
            <w:tcBorders>
              <w:top w:val="single" w:sz="12" w:space="0" w:color="auto"/>
              <w:left w:val="single" w:sz="2" w:space="0" w:color="auto"/>
              <w:bottom w:val="single" w:sz="12" w:space="0" w:color="auto"/>
              <w:right w:val="single" w:sz="2" w:space="0" w:color="auto"/>
            </w:tcBorders>
            <w:vAlign w:val="center"/>
          </w:tcPr>
          <w:p w:rsidR="006A5CA3" w:rsidRDefault="0065415D">
            <w:pPr>
              <w:spacing w:before="60" w:after="60" w:line="200" w:lineRule="exact"/>
              <w:jc w:val="right"/>
              <w:rPr>
                <w:b/>
                <w:noProof/>
                <w:sz w:val="16"/>
                <w:szCs w:val="16"/>
              </w:rPr>
            </w:pPr>
            <w:r>
              <w:rPr>
                <w:noProof/>
                <w:sz w:val="18"/>
              </w:rPr>
              <w:t>288 000</w:t>
            </w:r>
          </w:p>
        </w:tc>
        <w:tc>
          <w:tcPr>
            <w:tcW w:w="1080" w:type="dxa"/>
            <w:tcBorders>
              <w:top w:val="single" w:sz="12" w:space="0" w:color="auto"/>
              <w:left w:val="single" w:sz="2" w:space="0" w:color="auto"/>
              <w:bottom w:val="single" w:sz="12" w:space="0" w:color="auto"/>
              <w:right w:val="single" w:sz="2" w:space="0" w:color="auto"/>
            </w:tcBorders>
            <w:vAlign w:val="center"/>
          </w:tcPr>
          <w:p w:rsidR="006A5CA3" w:rsidRDefault="0065415D">
            <w:pPr>
              <w:spacing w:before="60" w:after="60" w:line="200" w:lineRule="exact"/>
              <w:jc w:val="right"/>
              <w:rPr>
                <w:b/>
                <w:noProof/>
                <w:sz w:val="16"/>
                <w:szCs w:val="16"/>
              </w:rPr>
            </w:pPr>
            <w:r>
              <w:rPr>
                <w:noProof/>
                <w:sz w:val="18"/>
              </w:rPr>
              <w:t>288 000</w:t>
            </w:r>
          </w:p>
        </w:tc>
        <w:tc>
          <w:tcPr>
            <w:tcW w:w="1080" w:type="dxa"/>
            <w:tcBorders>
              <w:top w:val="single" w:sz="12" w:space="0" w:color="auto"/>
              <w:left w:val="single" w:sz="2" w:space="0" w:color="auto"/>
              <w:bottom w:val="single" w:sz="12" w:space="0" w:color="auto"/>
              <w:right w:val="single" w:sz="2" w:space="0" w:color="auto"/>
            </w:tcBorders>
            <w:vAlign w:val="center"/>
          </w:tcPr>
          <w:p w:rsidR="006A5CA3" w:rsidRDefault="006A5CA3">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A5CA3" w:rsidRDefault="006A5CA3">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A5CA3" w:rsidRDefault="006A5CA3">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6A5CA3" w:rsidRDefault="006A5CA3">
            <w:pPr>
              <w:spacing w:before="60" w:after="60" w:line="200" w:lineRule="exact"/>
              <w:jc w:val="right"/>
              <w:rPr>
                <w:b/>
                <w:noProof/>
                <w:sz w:val="16"/>
                <w:szCs w:val="16"/>
              </w:rPr>
            </w:pPr>
          </w:p>
        </w:tc>
      </w:tr>
    </w:tbl>
    <w:p w:rsidR="006A5CA3" w:rsidRDefault="0065415D">
      <w:pPr>
        <w:rPr>
          <w:noProof/>
          <w:sz w:val="18"/>
        </w:rPr>
      </w:pPr>
      <w:r>
        <w:rPr>
          <w:noProof/>
          <w:sz w:val="18"/>
        </w:rPr>
        <w:t xml:space="preserve">Бюджетните кредити, необходими за човешки ресурси и други разходи с административен характер, ще бъдат покрити от бюджетните кредити на ГД, които вече са определени за </w:t>
      </w:r>
      <w:r>
        <w:rPr>
          <w:noProof/>
          <w:sz w:val="18"/>
        </w:rPr>
        <w:t>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w:t>
      </w:r>
      <w:r>
        <w:rPr>
          <w:noProof/>
          <w:sz w:val="18"/>
        </w:rPr>
        <w:t>мат предвид бюджетните ограничения.</w:t>
      </w:r>
    </w:p>
    <w:p w:rsidR="006A5CA3" w:rsidRDefault="006A5CA3">
      <w:pPr>
        <w:rPr>
          <w:noProof/>
          <w:sz w:val="18"/>
        </w:rPr>
        <w:sectPr w:rsidR="006A5CA3">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p>
    <w:p w:rsidR="006A5CA3" w:rsidRDefault="0065415D">
      <w:pPr>
        <w:pStyle w:val="ManualHeading4"/>
        <w:rPr>
          <w:bCs/>
          <w:noProof/>
          <w:szCs w:val="24"/>
        </w:rPr>
      </w:pPr>
      <w:r>
        <w:t>3.2.3.1.</w:t>
      </w:r>
      <w:r>
        <w:tab/>
      </w:r>
      <w:r>
        <w:rPr>
          <w:noProof/>
        </w:rPr>
        <w:t xml:space="preserve">Очаквани нужди от човешки ресурси </w:t>
      </w:r>
    </w:p>
    <w:p w:rsidR="006A5CA3" w:rsidRDefault="0065415D">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rsidR="006A5CA3" w:rsidRDefault="0065415D">
      <w:pPr>
        <w:pStyle w:val="ListDash1"/>
        <w:rPr>
          <w:noProof/>
        </w:rPr>
      </w:pPr>
      <w:r>
        <w:rPr>
          <w:noProof/>
        </w:rPr>
        <w:sym w:font="Wingdings" w:char="F0A8"/>
      </w:r>
      <w:r>
        <w:rPr>
          <w:noProof/>
        </w:rPr>
        <w:tab/>
        <w:t>Предложението/инициативата налага използван</w:t>
      </w:r>
      <w:r>
        <w:rPr>
          <w:noProof/>
        </w:rPr>
        <w:t>е на човешки ресурси съгласно обяснението по-долу:</w:t>
      </w:r>
    </w:p>
    <w:p w:rsidR="006A5CA3" w:rsidRDefault="0065415D">
      <w:pPr>
        <w:spacing w:after="60"/>
        <w:jc w:val="right"/>
        <w:rPr>
          <w:i/>
          <w:noProof/>
          <w:sz w:val="20"/>
        </w:rPr>
      </w:pPr>
      <w:r>
        <w:rPr>
          <w:i/>
          <w:noProof/>
          <w:sz w:val="20"/>
        </w:rPr>
        <w:t>Оценката се посочва в еквиваленти на пълно работно време</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6A5CA3">
        <w:trPr>
          <w:gridBefore w:val="1"/>
          <w:wBefore w:w="13" w:type="dxa"/>
          <w:trHeight w:val="289"/>
          <w:jc w:val="center"/>
        </w:trPr>
        <w:tc>
          <w:tcPr>
            <w:tcW w:w="3906" w:type="dxa"/>
            <w:gridSpan w:val="2"/>
            <w:shd w:val="clear" w:color="auto" w:fill="auto"/>
          </w:tcPr>
          <w:p w:rsidR="006A5CA3" w:rsidRDefault="006A5CA3">
            <w:pPr>
              <w:pStyle w:val="Text1"/>
              <w:spacing w:before="40" w:after="40"/>
              <w:ind w:left="0"/>
              <w:jc w:val="center"/>
              <w:rPr>
                <w:i/>
                <w:noProof/>
                <w:sz w:val="16"/>
                <w:szCs w:val="16"/>
              </w:rPr>
            </w:pPr>
          </w:p>
        </w:tc>
        <w:tc>
          <w:tcPr>
            <w:tcW w:w="600" w:type="dxa"/>
            <w:shd w:val="clear" w:color="auto" w:fill="auto"/>
            <w:vAlign w:val="center"/>
          </w:tcPr>
          <w:p w:rsidR="006A5CA3" w:rsidRDefault="0065415D">
            <w:pPr>
              <w:spacing w:before="20" w:after="20"/>
              <w:jc w:val="center"/>
              <w:rPr>
                <w:noProof/>
                <w:sz w:val="16"/>
                <w:szCs w:val="16"/>
              </w:rPr>
            </w:pPr>
            <w:r>
              <w:rPr>
                <w:noProof/>
                <w:sz w:val="16"/>
              </w:rPr>
              <w:t>Година</w:t>
            </w:r>
            <w:r>
              <w:rPr>
                <w:noProof/>
                <w:sz w:val="22"/>
              </w:rPr>
              <w:br/>
            </w:r>
            <w:r>
              <w:rPr>
                <w:b/>
                <w:noProof/>
                <w:sz w:val="16"/>
              </w:rPr>
              <w:t>N</w:t>
            </w:r>
          </w:p>
        </w:tc>
        <w:tc>
          <w:tcPr>
            <w:tcW w:w="600" w:type="dxa"/>
            <w:shd w:val="clear" w:color="auto" w:fill="auto"/>
            <w:vAlign w:val="center"/>
          </w:tcPr>
          <w:p w:rsidR="006A5CA3" w:rsidRDefault="0065415D">
            <w:pPr>
              <w:spacing w:before="20" w:after="20"/>
              <w:jc w:val="center"/>
              <w:rPr>
                <w:noProof/>
                <w:sz w:val="16"/>
                <w:szCs w:val="16"/>
              </w:rPr>
            </w:pPr>
            <w:r>
              <w:rPr>
                <w:noProof/>
                <w:sz w:val="16"/>
              </w:rPr>
              <w:t>Година</w:t>
            </w:r>
            <w:r>
              <w:rPr>
                <w:noProof/>
                <w:sz w:val="22"/>
              </w:rPr>
              <w:br/>
            </w:r>
            <w:r>
              <w:rPr>
                <w:b/>
                <w:noProof/>
                <w:sz w:val="16"/>
              </w:rPr>
              <w:t>N+1</w:t>
            </w:r>
          </w:p>
        </w:tc>
        <w:tc>
          <w:tcPr>
            <w:tcW w:w="600" w:type="dxa"/>
            <w:shd w:val="clear" w:color="auto" w:fill="auto"/>
            <w:vAlign w:val="center"/>
          </w:tcPr>
          <w:p w:rsidR="006A5CA3" w:rsidRDefault="0065415D">
            <w:pPr>
              <w:spacing w:before="20" w:after="20"/>
              <w:jc w:val="center"/>
              <w:rPr>
                <w:noProof/>
                <w:sz w:val="16"/>
                <w:szCs w:val="16"/>
              </w:rPr>
            </w:pPr>
            <w:r>
              <w:rPr>
                <w:noProof/>
                <w:sz w:val="16"/>
              </w:rPr>
              <w:t xml:space="preserve">Година </w:t>
            </w:r>
            <w:r>
              <w:rPr>
                <w:b/>
                <w:noProof/>
                <w:sz w:val="16"/>
              </w:rPr>
              <w:t>N+2</w:t>
            </w:r>
          </w:p>
        </w:tc>
        <w:tc>
          <w:tcPr>
            <w:tcW w:w="600" w:type="dxa"/>
            <w:shd w:val="clear" w:color="auto" w:fill="auto"/>
            <w:vAlign w:val="center"/>
          </w:tcPr>
          <w:p w:rsidR="006A5CA3" w:rsidRDefault="0065415D">
            <w:pPr>
              <w:spacing w:before="20" w:after="20"/>
              <w:jc w:val="center"/>
              <w:rPr>
                <w:noProof/>
                <w:sz w:val="16"/>
                <w:szCs w:val="16"/>
              </w:rPr>
            </w:pPr>
            <w:r>
              <w:rPr>
                <w:noProof/>
                <w:sz w:val="16"/>
              </w:rPr>
              <w:t xml:space="preserve">Година </w:t>
            </w:r>
            <w:r>
              <w:rPr>
                <w:b/>
                <w:noProof/>
                <w:sz w:val="16"/>
              </w:rPr>
              <w:t>N+3</w:t>
            </w:r>
          </w:p>
        </w:tc>
        <w:tc>
          <w:tcPr>
            <w:tcW w:w="600" w:type="dxa"/>
            <w:gridSpan w:val="3"/>
            <w:shd w:val="clear" w:color="auto" w:fill="auto"/>
            <w:vAlign w:val="center"/>
          </w:tcPr>
          <w:p w:rsidR="006A5CA3" w:rsidRDefault="0065415D">
            <w:pPr>
              <w:jc w:val="center"/>
              <w:rPr>
                <w:b/>
                <w:noProof/>
                <w:sz w:val="16"/>
                <w:szCs w:val="16"/>
              </w:rPr>
            </w:pPr>
            <w:r>
              <w:rPr>
                <w:noProof/>
                <w:sz w:val="16"/>
              </w:rPr>
              <w:t xml:space="preserve">Да се добавят толкова години, колкото е необходимо, за да се обхване продължителността на отражението </w:t>
            </w:r>
            <w:r>
              <w:rPr>
                <w:noProof/>
                <w:sz w:val="16"/>
              </w:rPr>
              <w:t>(вж. точка 1.6)</w:t>
            </w:r>
          </w:p>
        </w:tc>
      </w:tr>
      <w:tr w:rsidR="006A5CA3">
        <w:trPr>
          <w:gridBefore w:val="1"/>
          <w:wBefore w:w="13" w:type="dxa"/>
          <w:trHeight w:val="289"/>
          <w:jc w:val="center"/>
        </w:trPr>
        <w:tc>
          <w:tcPr>
            <w:tcW w:w="600" w:type="dxa"/>
            <w:gridSpan w:val="9"/>
            <w:shd w:val="clear" w:color="auto" w:fill="auto"/>
          </w:tcPr>
          <w:p w:rsidR="006A5CA3" w:rsidRDefault="0065415D">
            <w:pPr>
              <w:jc w:val="left"/>
              <w:rPr>
                <w:noProof/>
                <w:sz w:val="16"/>
                <w:szCs w:val="16"/>
              </w:rPr>
            </w:pPr>
            <w:r>
              <w:rPr>
                <w:b/>
                <w:noProof/>
                <w:sz w:val="16"/>
              </w:rPr>
              <w:sym w:font="Wingdings" w:char="F09F"/>
            </w:r>
            <w:r>
              <w:rPr>
                <w:b/>
                <w:noProof/>
                <w:sz w:val="16"/>
              </w:rPr>
              <w:t>Длъжности в щатното разписание (длъжностни лица и срочно наети служители)</w:t>
            </w:r>
          </w:p>
        </w:tc>
      </w:tr>
      <w:tr w:rsidR="006A5CA3">
        <w:trPr>
          <w:gridBefore w:val="1"/>
          <w:wBefore w:w="13" w:type="dxa"/>
          <w:trHeight w:val="289"/>
          <w:jc w:val="center"/>
        </w:trPr>
        <w:tc>
          <w:tcPr>
            <w:tcW w:w="3906" w:type="dxa"/>
            <w:gridSpan w:val="2"/>
            <w:shd w:val="clear" w:color="auto" w:fill="auto"/>
            <w:vAlign w:val="center"/>
          </w:tcPr>
          <w:p w:rsidR="006A5CA3" w:rsidRDefault="0065415D">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600" w:type="dxa"/>
            <w:shd w:val="clear" w:color="auto" w:fill="auto"/>
            <w:vAlign w:val="center"/>
          </w:tcPr>
          <w:p w:rsidR="006A5CA3" w:rsidRDefault="0065415D">
            <w:pPr>
              <w:spacing w:beforeLines="20" w:before="48" w:afterLines="20" w:after="48"/>
              <w:jc w:val="center"/>
              <w:rPr>
                <w:noProof/>
                <w:sz w:val="16"/>
                <w:szCs w:val="16"/>
              </w:rPr>
            </w:pPr>
            <w:r>
              <w:rPr>
                <w:noProof/>
                <w:sz w:val="16"/>
              </w:rPr>
              <w:t>2</w:t>
            </w:r>
          </w:p>
        </w:tc>
        <w:tc>
          <w:tcPr>
            <w:tcW w:w="600" w:type="dxa"/>
            <w:shd w:val="clear" w:color="auto" w:fill="auto"/>
            <w:vAlign w:val="center"/>
          </w:tcPr>
          <w:p w:rsidR="006A5CA3" w:rsidRDefault="0065415D">
            <w:pPr>
              <w:spacing w:beforeLines="20" w:before="48" w:afterLines="20" w:after="48"/>
              <w:jc w:val="center"/>
              <w:rPr>
                <w:noProof/>
                <w:sz w:val="16"/>
                <w:szCs w:val="16"/>
              </w:rPr>
            </w:pPr>
            <w:r>
              <w:rPr>
                <w:noProof/>
                <w:sz w:val="16"/>
              </w:rPr>
              <w:t>2</w:t>
            </w:r>
          </w:p>
        </w:tc>
        <w:tc>
          <w:tcPr>
            <w:tcW w:w="600" w:type="dxa"/>
            <w:shd w:val="clear" w:color="auto" w:fill="auto"/>
            <w:vAlign w:val="center"/>
          </w:tcPr>
          <w:p w:rsidR="006A5CA3" w:rsidRDefault="0065415D">
            <w:pPr>
              <w:spacing w:beforeLines="20" w:before="48" w:afterLines="20" w:after="48"/>
              <w:jc w:val="center"/>
              <w:rPr>
                <w:noProof/>
                <w:sz w:val="16"/>
                <w:szCs w:val="16"/>
              </w:rPr>
            </w:pPr>
            <w:r>
              <w:rPr>
                <w:noProof/>
                <w:sz w:val="16"/>
              </w:rPr>
              <w:t>2</w:t>
            </w:r>
          </w:p>
        </w:tc>
        <w:tc>
          <w:tcPr>
            <w:tcW w:w="600" w:type="dxa"/>
            <w:shd w:val="clear" w:color="auto" w:fill="auto"/>
            <w:vAlign w:val="center"/>
          </w:tcPr>
          <w:p w:rsidR="006A5CA3" w:rsidRDefault="0065415D">
            <w:pPr>
              <w:spacing w:beforeLines="20" w:before="48" w:afterLines="20" w:after="48"/>
              <w:jc w:val="center"/>
              <w:rPr>
                <w:noProof/>
                <w:sz w:val="16"/>
                <w:szCs w:val="16"/>
              </w:rPr>
            </w:pPr>
            <w:r>
              <w:rPr>
                <w:noProof/>
                <w:sz w:val="16"/>
              </w:rPr>
              <w:t>2</w:t>
            </w: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r>
      <w:tr w:rsidR="006A5CA3">
        <w:trPr>
          <w:gridBefore w:val="1"/>
          <w:wBefore w:w="13" w:type="dxa"/>
          <w:trHeight w:val="289"/>
          <w:jc w:val="center"/>
        </w:trPr>
        <w:tc>
          <w:tcPr>
            <w:tcW w:w="3906" w:type="dxa"/>
            <w:gridSpan w:val="2"/>
            <w:shd w:val="clear" w:color="auto" w:fill="auto"/>
            <w:vAlign w:val="center"/>
          </w:tcPr>
          <w:p w:rsidR="006A5CA3" w:rsidRDefault="0065415D">
            <w:pPr>
              <w:pStyle w:val="Text1"/>
              <w:spacing w:beforeLines="20" w:before="48" w:afterLines="20" w:after="48"/>
              <w:ind w:left="134"/>
              <w:jc w:val="left"/>
              <w:rPr>
                <w:noProof/>
                <w:sz w:val="16"/>
                <w:szCs w:val="16"/>
              </w:rPr>
            </w:pPr>
            <w:r>
              <w:rPr>
                <w:noProof/>
                <w:sz w:val="16"/>
              </w:rPr>
              <w:t>XX 01 01 02 (Делегации)</w:t>
            </w: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r>
      <w:tr w:rsidR="006A5CA3">
        <w:trPr>
          <w:gridBefore w:val="1"/>
          <w:wBefore w:w="13" w:type="dxa"/>
          <w:trHeight w:val="289"/>
          <w:jc w:val="center"/>
        </w:trPr>
        <w:tc>
          <w:tcPr>
            <w:tcW w:w="3906" w:type="dxa"/>
            <w:gridSpan w:val="2"/>
            <w:shd w:val="clear" w:color="auto" w:fill="auto"/>
            <w:vAlign w:val="center"/>
          </w:tcPr>
          <w:p w:rsidR="006A5CA3" w:rsidRDefault="0065415D">
            <w:pPr>
              <w:pStyle w:val="Text1"/>
              <w:spacing w:beforeLines="20" w:before="48" w:afterLines="20" w:after="48"/>
              <w:ind w:left="134"/>
              <w:jc w:val="left"/>
              <w:rPr>
                <w:noProof/>
                <w:sz w:val="16"/>
                <w:szCs w:val="16"/>
              </w:rPr>
            </w:pPr>
            <w:r>
              <w:rPr>
                <w:noProof/>
                <w:sz w:val="16"/>
              </w:rPr>
              <w:t>XX 01 05 01/11/21 (Непреки научни изследвания)</w:t>
            </w: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r>
      <w:tr w:rsidR="006A5CA3">
        <w:trPr>
          <w:gridBefore w:val="1"/>
          <w:wBefore w:w="13" w:type="dxa"/>
          <w:trHeight w:val="289"/>
          <w:jc w:val="center"/>
        </w:trPr>
        <w:tc>
          <w:tcPr>
            <w:tcW w:w="3906" w:type="dxa"/>
            <w:gridSpan w:val="2"/>
            <w:shd w:val="clear" w:color="auto" w:fill="auto"/>
            <w:vAlign w:val="center"/>
          </w:tcPr>
          <w:p w:rsidR="006A5CA3" w:rsidRDefault="0065415D">
            <w:pPr>
              <w:pStyle w:val="Text1"/>
              <w:spacing w:beforeLines="20" w:before="48" w:afterLines="20" w:after="48"/>
              <w:ind w:left="134"/>
              <w:jc w:val="left"/>
              <w:rPr>
                <w:noProof/>
                <w:sz w:val="16"/>
                <w:szCs w:val="16"/>
              </w:rPr>
            </w:pPr>
            <w:r>
              <w:rPr>
                <w:noProof/>
                <w:sz w:val="16"/>
              </w:rPr>
              <w:t xml:space="preserve">10 01 05 </w:t>
            </w:r>
            <w:r>
              <w:rPr>
                <w:noProof/>
                <w:sz w:val="16"/>
              </w:rPr>
              <w:t>01/11 (Преки научни изследвания)</w:t>
            </w: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r>
      <w:tr w:rsidR="006A5CA3">
        <w:trPr>
          <w:trHeight w:val="248"/>
          <w:jc w:val="center"/>
        </w:trPr>
        <w:tc>
          <w:tcPr>
            <w:tcW w:w="600" w:type="dxa"/>
            <w:gridSpan w:val="10"/>
            <w:shd w:val="clear" w:color="auto" w:fill="auto"/>
            <w:vAlign w:val="center"/>
          </w:tcPr>
          <w:p w:rsidR="006A5CA3" w:rsidRDefault="0065415D">
            <w:pPr>
              <w:pStyle w:val="Text1"/>
              <w:spacing w:before="60" w:after="60"/>
              <w:ind w:left="0"/>
              <w:jc w:val="left"/>
              <w:rPr>
                <w:b/>
                <w:noProof/>
                <w:sz w:val="16"/>
                <w:szCs w:val="16"/>
              </w:rPr>
            </w:pPr>
            <w:r>
              <w:rPr>
                <w:b/>
                <w:noProof/>
                <w:sz w:val="16"/>
              </w:rPr>
              <w:sym w:font="Wingdings" w:char="F09F"/>
            </w:r>
            <w:r>
              <w:rPr>
                <w:b/>
                <w:noProof/>
                <w:sz w:val="16"/>
              </w:rPr>
              <w:t>Външен персонал (в еквивалент на пълно работно време — ЕПРВ)</w:t>
            </w:r>
            <w:r>
              <w:rPr>
                <w:rStyle w:val="FootnoteReference"/>
                <w:b/>
                <w:noProof/>
                <w:sz w:val="16"/>
              </w:rPr>
              <w:footnoteReference w:id="18"/>
            </w:r>
          </w:p>
          <w:p w:rsidR="006A5CA3" w:rsidRDefault="006A5CA3">
            <w:pPr>
              <w:pStyle w:val="Text1"/>
              <w:spacing w:before="0" w:after="0"/>
              <w:ind w:left="0"/>
              <w:jc w:val="left"/>
              <w:rPr>
                <w:noProof/>
                <w:sz w:val="16"/>
                <w:szCs w:val="16"/>
              </w:rPr>
            </w:pPr>
          </w:p>
        </w:tc>
      </w:tr>
      <w:tr w:rsidR="006A5CA3">
        <w:trPr>
          <w:gridBefore w:val="1"/>
          <w:wBefore w:w="13" w:type="dxa"/>
          <w:trHeight w:val="289"/>
          <w:jc w:val="center"/>
        </w:trPr>
        <w:tc>
          <w:tcPr>
            <w:tcW w:w="3906" w:type="dxa"/>
            <w:gridSpan w:val="2"/>
            <w:shd w:val="clear" w:color="auto" w:fill="auto"/>
            <w:vAlign w:val="center"/>
          </w:tcPr>
          <w:p w:rsidR="006A5CA3" w:rsidRDefault="0065415D">
            <w:pPr>
              <w:pStyle w:val="Text1"/>
              <w:spacing w:beforeLines="20" w:before="48" w:afterLines="20" w:after="48"/>
              <w:ind w:left="136"/>
              <w:jc w:val="left"/>
              <w:rPr>
                <w:b/>
                <w:noProof/>
                <w:sz w:val="16"/>
                <w:szCs w:val="16"/>
              </w:rPr>
            </w:pPr>
            <w:r>
              <w:rPr>
                <w:noProof/>
                <w:sz w:val="16"/>
              </w:rPr>
              <w:t>XX 01 02 01 (ДНП, КНЕ и ПНА от общия финансов пакет)</w:t>
            </w: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r>
      <w:tr w:rsidR="006A5CA3">
        <w:trPr>
          <w:gridBefore w:val="1"/>
          <w:wBefore w:w="13" w:type="dxa"/>
          <w:trHeight w:val="289"/>
          <w:jc w:val="center"/>
        </w:trPr>
        <w:tc>
          <w:tcPr>
            <w:tcW w:w="3906" w:type="dxa"/>
            <w:gridSpan w:val="2"/>
            <w:shd w:val="clear" w:color="auto" w:fill="auto"/>
            <w:vAlign w:val="center"/>
          </w:tcPr>
          <w:p w:rsidR="006A5CA3" w:rsidRDefault="0065415D">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r>
      <w:tr w:rsidR="006A5CA3">
        <w:trPr>
          <w:gridBefore w:val="1"/>
          <w:wBefore w:w="13" w:type="dxa"/>
          <w:trHeight w:val="289"/>
          <w:jc w:val="center"/>
        </w:trPr>
        <w:tc>
          <w:tcPr>
            <w:tcW w:w="1952" w:type="dxa"/>
            <w:vMerge w:val="restart"/>
            <w:shd w:val="clear" w:color="auto" w:fill="auto"/>
            <w:vAlign w:val="center"/>
          </w:tcPr>
          <w:p w:rsidR="006A5CA3" w:rsidRDefault="0065415D">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19"/>
            </w:r>
          </w:p>
          <w:p w:rsidR="006A5CA3" w:rsidRDefault="006A5CA3">
            <w:pPr>
              <w:pStyle w:val="Text1"/>
              <w:spacing w:beforeLines="20" w:before="48" w:afterLines="20" w:after="48"/>
              <w:ind w:left="136"/>
              <w:jc w:val="left"/>
              <w:rPr>
                <w:b/>
                <w:noProof/>
                <w:sz w:val="16"/>
                <w:szCs w:val="16"/>
              </w:rPr>
            </w:pPr>
          </w:p>
        </w:tc>
        <w:tc>
          <w:tcPr>
            <w:tcW w:w="1954" w:type="dxa"/>
            <w:shd w:val="clear" w:color="auto" w:fill="auto"/>
            <w:vAlign w:val="center"/>
          </w:tcPr>
          <w:p w:rsidR="006A5CA3" w:rsidRDefault="0065415D">
            <w:pPr>
              <w:pStyle w:val="Text1"/>
              <w:spacing w:beforeLines="20" w:before="48" w:afterLines="20" w:after="48"/>
              <w:ind w:left="136"/>
              <w:jc w:val="left"/>
              <w:rPr>
                <w:b/>
                <w:noProof/>
                <w:sz w:val="16"/>
                <w:szCs w:val="16"/>
              </w:rPr>
            </w:pPr>
            <w:r>
              <w:rPr>
                <w:noProof/>
                <w:sz w:val="16"/>
              </w:rPr>
              <w:t>- в централата</w:t>
            </w:r>
          </w:p>
          <w:p w:rsidR="006A5CA3" w:rsidRDefault="006A5CA3">
            <w:pPr>
              <w:pStyle w:val="Text1"/>
              <w:spacing w:beforeLines="20" w:before="48" w:afterLines="20" w:after="48"/>
              <w:ind w:left="136"/>
              <w:jc w:val="left"/>
              <w:rPr>
                <w:b/>
                <w:noProof/>
                <w:sz w:val="16"/>
                <w:szCs w:val="16"/>
              </w:rPr>
            </w:pPr>
          </w:p>
        </w:tc>
        <w:tc>
          <w:tcPr>
            <w:tcW w:w="600" w:type="dxa"/>
            <w:shd w:val="clear" w:color="auto" w:fill="auto"/>
            <w:vAlign w:val="center"/>
          </w:tcPr>
          <w:p w:rsidR="006A5CA3" w:rsidRDefault="006A5CA3">
            <w:pPr>
              <w:pStyle w:val="Text1"/>
              <w:spacing w:beforeLines="20" w:before="48" w:afterLines="20" w:after="48"/>
              <w:ind w:left="0"/>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r>
      <w:tr w:rsidR="006A5CA3">
        <w:trPr>
          <w:gridBefore w:val="1"/>
          <w:wBefore w:w="13" w:type="dxa"/>
          <w:trHeight w:val="289"/>
          <w:jc w:val="center"/>
        </w:trPr>
        <w:tc>
          <w:tcPr>
            <w:tcW w:w="1952" w:type="dxa"/>
            <w:vMerge/>
            <w:shd w:val="clear" w:color="auto" w:fill="auto"/>
            <w:vAlign w:val="center"/>
          </w:tcPr>
          <w:p w:rsidR="006A5CA3" w:rsidRDefault="006A5CA3">
            <w:pPr>
              <w:pStyle w:val="Text1"/>
              <w:spacing w:beforeLines="20" w:before="48" w:afterLines="20" w:after="48"/>
              <w:ind w:left="136"/>
              <w:jc w:val="left"/>
              <w:rPr>
                <w:b/>
                <w:noProof/>
                <w:sz w:val="16"/>
                <w:szCs w:val="16"/>
              </w:rPr>
            </w:pPr>
          </w:p>
        </w:tc>
        <w:tc>
          <w:tcPr>
            <w:tcW w:w="1954" w:type="dxa"/>
            <w:shd w:val="clear" w:color="auto" w:fill="auto"/>
            <w:vAlign w:val="center"/>
          </w:tcPr>
          <w:p w:rsidR="006A5CA3" w:rsidRDefault="0065415D">
            <w:pPr>
              <w:pStyle w:val="Text1"/>
              <w:spacing w:beforeLines="20" w:before="48" w:afterLines="20" w:after="48"/>
              <w:ind w:left="136"/>
              <w:jc w:val="left"/>
              <w:rPr>
                <w:b/>
                <w:noProof/>
                <w:sz w:val="16"/>
                <w:szCs w:val="16"/>
              </w:rPr>
            </w:pPr>
            <w:r>
              <w:rPr>
                <w:noProof/>
                <w:sz w:val="16"/>
              </w:rPr>
              <w:t xml:space="preserve">- в делегациите </w:t>
            </w:r>
          </w:p>
        </w:tc>
        <w:tc>
          <w:tcPr>
            <w:tcW w:w="600" w:type="dxa"/>
            <w:shd w:val="clear" w:color="auto" w:fill="auto"/>
            <w:vAlign w:val="center"/>
          </w:tcPr>
          <w:p w:rsidR="006A5CA3" w:rsidRDefault="006A5CA3">
            <w:pPr>
              <w:pStyle w:val="Text1"/>
              <w:spacing w:beforeLines="20" w:before="48" w:afterLines="20" w:after="48"/>
              <w:ind w:left="0"/>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r>
      <w:tr w:rsidR="006A5CA3">
        <w:trPr>
          <w:gridBefore w:val="1"/>
          <w:wBefore w:w="13" w:type="dxa"/>
          <w:trHeight w:val="289"/>
          <w:jc w:val="center"/>
        </w:trPr>
        <w:tc>
          <w:tcPr>
            <w:tcW w:w="3906" w:type="dxa"/>
            <w:gridSpan w:val="2"/>
            <w:shd w:val="clear" w:color="auto" w:fill="auto"/>
            <w:vAlign w:val="center"/>
          </w:tcPr>
          <w:p w:rsidR="006A5CA3" w:rsidRDefault="0065415D">
            <w:pPr>
              <w:pStyle w:val="Text1"/>
              <w:spacing w:beforeLines="20" w:before="48" w:afterLines="20" w:after="48"/>
              <w:ind w:left="136"/>
              <w:jc w:val="left"/>
              <w:rPr>
                <w:noProof/>
                <w:sz w:val="16"/>
                <w:szCs w:val="16"/>
              </w:rPr>
            </w:pPr>
            <w:r>
              <w:rPr>
                <w:b/>
                <w:noProof/>
                <w:sz w:val="16"/>
              </w:rPr>
              <w:t>XX</w:t>
            </w:r>
            <w:r>
              <w:rPr>
                <w:noProof/>
              </w:rPr>
              <w:t xml:space="preserve"> </w:t>
            </w:r>
            <w:r>
              <w:rPr>
                <w:noProof/>
                <w:sz w:val="16"/>
              </w:rPr>
              <w:t>01 05 02/12/22 (ДНП, КНЕ, ПНА — Непреки научни изследвания)</w:t>
            </w: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r>
      <w:tr w:rsidR="006A5CA3">
        <w:trPr>
          <w:gridBefore w:val="1"/>
          <w:wBefore w:w="13" w:type="dxa"/>
          <w:trHeight w:val="289"/>
          <w:jc w:val="center"/>
        </w:trPr>
        <w:tc>
          <w:tcPr>
            <w:tcW w:w="3906" w:type="dxa"/>
            <w:gridSpan w:val="2"/>
            <w:shd w:val="clear" w:color="auto" w:fill="auto"/>
            <w:vAlign w:val="center"/>
          </w:tcPr>
          <w:p w:rsidR="006A5CA3" w:rsidRDefault="0065415D">
            <w:pPr>
              <w:pStyle w:val="Text1"/>
              <w:spacing w:beforeLines="20" w:before="48" w:afterLines="20" w:after="48"/>
              <w:ind w:left="136"/>
              <w:jc w:val="left"/>
              <w:rPr>
                <w:noProof/>
                <w:sz w:val="16"/>
                <w:szCs w:val="16"/>
              </w:rPr>
            </w:pPr>
            <w:r>
              <w:rPr>
                <w:noProof/>
                <w:sz w:val="16"/>
              </w:rPr>
              <w:t>10 01 05 02/12 (ДНП, КНЕ, ПНА — Преки научни изследвания)</w:t>
            </w: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c>
          <w:tcPr>
            <w:tcW w:w="600" w:type="dxa"/>
            <w:shd w:val="clear" w:color="auto" w:fill="auto"/>
            <w:vAlign w:val="center"/>
          </w:tcPr>
          <w:p w:rsidR="006A5CA3" w:rsidRDefault="006A5CA3">
            <w:pPr>
              <w:spacing w:beforeLines="20" w:before="48" w:afterLines="20" w:after="48"/>
              <w:jc w:val="center"/>
              <w:rPr>
                <w:noProof/>
                <w:sz w:val="16"/>
                <w:szCs w:val="16"/>
              </w:rPr>
            </w:pPr>
          </w:p>
        </w:tc>
      </w:tr>
      <w:tr w:rsidR="006A5CA3">
        <w:trPr>
          <w:gridBefore w:val="1"/>
          <w:wBefore w:w="13" w:type="dxa"/>
          <w:trHeight w:val="289"/>
          <w:jc w:val="center"/>
        </w:trPr>
        <w:tc>
          <w:tcPr>
            <w:tcW w:w="3906" w:type="dxa"/>
            <w:gridSpan w:val="2"/>
            <w:tcBorders>
              <w:bottom w:val="double" w:sz="4" w:space="0" w:color="auto"/>
            </w:tcBorders>
            <w:shd w:val="clear" w:color="auto" w:fill="auto"/>
            <w:vAlign w:val="center"/>
          </w:tcPr>
          <w:p w:rsidR="006A5CA3" w:rsidRDefault="0065415D">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600" w:type="dxa"/>
            <w:tcBorders>
              <w:bottom w:val="double" w:sz="4" w:space="0" w:color="auto"/>
            </w:tcBorders>
            <w:shd w:val="clear" w:color="auto" w:fill="auto"/>
            <w:vAlign w:val="center"/>
          </w:tcPr>
          <w:p w:rsidR="006A5CA3" w:rsidRDefault="006A5CA3">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6A5CA3" w:rsidRDefault="006A5CA3">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6A5CA3" w:rsidRDefault="006A5CA3">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6A5CA3" w:rsidRDefault="006A5CA3">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6A5CA3" w:rsidRDefault="006A5CA3">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6A5CA3" w:rsidRDefault="006A5CA3">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6A5CA3" w:rsidRDefault="006A5CA3">
            <w:pPr>
              <w:spacing w:beforeLines="20" w:before="48" w:afterLines="20" w:after="48"/>
              <w:jc w:val="center"/>
              <w:rPr>
                <w:noProof/>
                <w:sz w:val="16"/>
                <w:szCs w:val="16"/>
              </w:rPr>
            </w:pPr>
          </w:p>
        </w:tc>
      </w:tr>
      <w:tr w:rsidR="006A5CA3">
        <w:trPr>
          <w:gridBefore w:val="1"/>
          <w:wBefore w:w="13" w:type="dxa"/>
          <w:trHeight w:val="289"/>
          <w:jc w:val="center"/>
        </w:trPr>
        <w:tc>
          <w:tcPr>
            <w:tcW w:w="3906" w:type="dxa"/>
            <w:gridSpan w:val="2"/>
            <w:tcBorders>
              <w:top w:val="double" w:sz="4" w:space="0" w:color="auto"/>
            </w:tcBorders>
            <w:shd w:val="clear" w:color="auto" w:fill="auto"/>
            <w:vAlign w:val="center"/>
          </w:tcPr>
          <w:p w:rsidR="006A5CA3" w:rsidRDefault="0065415D">
            <w:pPr>
              <w:pStyle w:val="Text1"/>
              <w:spacing w:beforeLines="20" w:before="48" w:afterLines="20" w:after="48"/>
              <w:ind w:left="136"/>
              <w:jc w:val="left"/>
              <w:rPr>
                <w:noProof/>
                <w:sz w:val="16"/>
                <w:szCs w:val="16"/>
              </w:rPr>
            </w:pPr>
            <w:r>
              <w:rPr>
                <w:b/>
                <w:noProof/>
                <w:sz w:val="16"/>
              </w:rPr>
              <w:t>ОБЩО</w:t>
            </w:r>
          </w:p>
        </w:tc>
        <w:tc>
          <w:tcPr>
            <w:tcW w:w="600" w:type="dxa"/>
            <w:tcBorders>
              <w:top w:val="double" w:sz="4" w:space="0" w:color="auto"/>
            </w:tcBorders>
            <w:shd w:val="clear" w:color="auto" w:fill="auto"/>
            <w:vAlign w:val="center"/>
          </w:tcPr>
          <w:p w:rsidR="006A5CA3" w:rsidRDefault="0065415D">
            <w:pPr>
              <w:spacing w:beforeLines="20" w:before="48" w:afterLines="20" w:after="48"/>
              <w:jc w:val="center"/>
              <w:rPr>
                <w:b/>
                <w:noProof/>
                <w:sz w:val="16"/>
                <w:szCs w:val="16"/>
              </w:rPr>
            </w:pPr>
            <w:r>
              <w:rPr>
                <w:b/>
                <w:noProof/>
                <w:sz w:val="16"/>
              </w:rPr>
              <w:t>2</w:t>
            </w:r>
          </w:p>
        </w:tc>
        <w:tc>
          <w:tcPr>
            <w:tcW w:w="600" w:type="dxa"/>
            <w:tcBorders>
              <w:top w:val="double" w:sz="4" w:space="0" w:color="auto"/>
            </w:tcBorders>
            <w:shd w:val="clear" w:color="auto" w:fill="auto"/>
            <w:vAlign w:val="center"/>
          </w:tcPr>
          <w:p w:rsidR="006A5CA3" w:rsidRDefault="0065415D">
            <w:pPr>
              <w:spacing w:beforeLines="20" w:before="48" w:afterLines="20" w:after="48"/>
              <w:jc w:val="center"/>
              <w:rPr>
                <w:b/>
                <w:noProof/>
                <w:sz w:val="16"/>
                <w:szCs w:val="16"/>
              </w:rPr>
            </w:pPr>
            <w:r>
              <w:rPr>
                <w:b/>
                <w:noProof/>
                <w:sz w:val="16"/>
              </w:rPr>
              <w:t>2</w:t>
            </w:r>
          </w:p>
        </w:tc>
        <w:tc>
          <w:tcPr>
            <w:tcW w:w="600" w:type="dxa"/>
            <w:tcBorders>
              <w:top w:val="double" w:sz="4" w:space="0" w:color="auto"/>
            </w:tcBorders>
            <w:shd w:val="clear" w:color="auto" w:fill="auto"/>
            <w:vAlign w:val="center"/>
          </w:tcPr>
          <w:p w:rsidR="006A5CA3" w:rsidRDefault="0065415D">
            <w:pPr>
              <w:spacing w:beforeLines="20" w:before="48" w:afterLines="20" w:after="48"/>
              <w:jc w:val="center"/>
              <w:rPr>
                <w:b/>
                <w:noProof/>
                <w:sz w:val="16"/>
                <w:szCs w:val="16"/>
              </w:rPr>
            </w:pPr>
            <w:r>
              <w:rPr>
                <w:b/>
                <w:noProof/>
                <w:sz w:val="16"/>
              </w:rPr>
              <w:t>2</w:t>
            </w:r>
          </w:p>
        </w:tc>
        <w:tc>
          <w:tcPr>
            <w:tcW w:w="600" w:type="dxa"/>
            <w:tcBorders>
              <w:top w:val="double" w:sz="4" w:space="0" w:color="auto"/>
            </w:tcBorders>
            <w:shd w:val="clear" w:color="auto" w:fill="auto"/>
            <w:vAlign w:val="center"/>
          </w:tcPr>
          <w:p w:rsidR="006A5CA3" w:rsidRDefault="0065415D">
            <w:pPr>
              <w:spacing w:beforeLines="20" w:before="48" w:afterLines="20" w:after="48"/>
              <w:jc w:val="center"/>
              <w:rPr>
                <w:b/>
                <w:noProof/>
                <w:sz w:val="16"/>
                <w:szCs w:val="16"/>
              </w:rPr>
            </w:pPr>
            <w:r>
              <w:rPr>
                <w:b/>
                <w:noProof/>
                <w:sz w:val="16"/>
              </w:rPr>
              <w:t>2</w:t>
            </w:r>
          </w:p>
        </w:tc>
        <w:tc>
          <w:tcPr>
            <w:tcW w:w="600" w:type="dxa"/>
            <w:tcBorders>
              <w:top w:val="double" w:sz="4" w:space="0" w:color="auto"/>
            </w:tcBorders>
            <w:shd w:val="clear" w:color="auto" w:fill="auto"/>
            <w:vAlign w:val="center"/>
          </w:tcPr>
          <w:p w:rsidR="006A5CA3" w:rsidRDefault="006A5CA3">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rsidR="006A5CA3" w:rsidRDefault="006A5CA3">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rsidR="006A5CA3" w:rsidRDefault="006A5CA3">
            <w:pPr>
              <w:spacing w:beforeLines="20" w:before="48" w:afterLines="20" w:after="48"/>
              <w:jc w:val="center"/>
              <w:rPr>
                <w:b/>
                <w:noProof/>
                <w:sz w:val="16"/>
                <w:szCs w:val="16"/>
              </w:rPr>
            </w:pPr>
          </w:p>
        </w:tc>
      </w:tr>
    </w:tbl>
    <w:p w:rsidR="006A5CA3" w:rsidRDefault="0065415D">
      <w:pPr>
        <w:pStyle w:val="Text1"/>
        <w:spacing w:before="60" w:after="60"/>
        <w:ind w:left="851"/>
        <w:rPr>
          <w:noProof/>
          <w:sz w:val="18"/>
          <w:szCs w:val="18"/>
        </w:rPr>
      </w:pPr>
      <w:r>
        <w:rPr>
          <w:b/>
          <w:noProof/>
          <w:sz w:val="18"/>
        </w:rPr>
        <w:t>XX</w:t>
      </w:r>
      <w:r>
        <w:rPr>
          <w:noProof/>
        </w:rPr>
        <w:t xml:space="preserve"> е съответната област на политика или бюджетен дял.</w:t>
      </w:r>
    </w:p>
    <w:p w:rsidR="006A5CA3" w:rsidRDefault="0065415D">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w:t>
      </w:r>
      <w:r>
        <w:rPr>
          <w:noProof/>
          <w:sz w:val="18"/>
        </w:rPr>
        <w:t>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6A5CA3" w:rsidRDefault="0065415D">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6A5CA3">
        <w:tc>
          <w:tcPr>
            <w:tcW w:w="3240" w:type="dxa"/>
          </w:tcPr>
          <w:p w:rsidR="006A5CA3" w:rsidRDefault="0065415D">
            <w:pPr>
              <w:rPr>
                <w:noProof/>
                <w:sz w:val="20"/>
              </w:rPr>
            </w:pPr>
            <w:r>
              <w:rPr>
                <w:noProof/>
                <w:sz w:val="20"/>
              </w:rPr>
              <w:t>Длъжностни лица и срочн</w:t>
            </w:r>
            <w:r>
              <w:rPr>
                <w:noProof/>
                <w:sz w:val="20"/>
              </w:rPr>
              <w:t>о наети служители</w:t>
            </w:r>
          </w:p>
        </w:tc>
        <w:tc>
          <w:tcPr>
            <w:tcW w:w="7200" w:type="dxa"/>
          </w:tcPr>
          <w:p w:rsidR="006A5CA3" w:rsidRDefault="0065415D">
            <w:pPr>
              <w:rPr>
                <w:noProof/>
                <w:sz w:val="20"/>
              </w:rPr>
            </w:pPr>
            <w:r>
              <w:rPr>
                <w:noProof/>
                <w:sz w:val="20"/>
              </w:rPr>
              <w:t>Подготовка и участие в заседанията на Съвместния комитет и предприемане на последващи действия във връзка с тях. Изготвяне и приемане на годишен доклад за функционирането на Споразумението.</w:t>
            </w:r>
          </w:p>
        </w:tc>
      </w:tr>
      <w:tr w:rsidR="006A5CA3">
        <w:tc>
          <w:tcPr>
            <w:tcW w:w="3240" w:type="dxa"/>
          </w:tcPr>
          <w:p w:rsidR="006A5CA3" w:rsidRDefault="0065415D">
            <w:pPr>
              <w:spacing w:before="60" w:after="60"/>
              <w:rPr>
                <w:noProof/>
                <w:sz w:val="20"/>
              </w:rPr>
            </w:pPr>
            <w:r>
              <w:rPr>
                <w:noProof/>
                <w:sz w:val="20"/>
              </w:rPr>
              <w:t>Външен персонал</w:t>
            </w:r>
          </w:p>
        </w:tc>
        <w:tc>
          <w:tcPr>
            <w:tcW w:w="7200" w:type="dxa"/>
          </w:tcPr>
          <w:p w:rsidR="006A5CA3" w:rsidRDefault="006A5CA3">
            <w:pPr>
              <w:rPr>
                <w:noProof/>
                <w:sz w:val="20"/>
              </w:rPr>
            </w:pPr>
          </w:p>
        </w:tc>
      </w:tr>
    </w:tbl>
    <w:p w:rsidR="006A5CA3" w:rsidRDefault="006A5CA3">
      <w:pPr>
        <w:rPr>
          <w:noProof/>
        </w:rPr>
        <w:sectPr w:rsidR="006A5CA3">
          <w:pgSz w:w="11907" w:h="16840"/>
          <w:pgMar w:top="1134" w:right="1418" w:bottom="1134" w:left="1418" w:header="709" w:footer="709" w:gutter="0"/>
          <w:cols w:space="708"/>
          <w:docGrid w:linePitch="360"/>
        </w:sectPr>
      </w:pPr>
    </w:p>
    <w:p w:rsidR="006A5CA3" w:rsidRDefault="0065415D">
      <w:pPr>
        <w:pStyle w:val="ManualHeading3"/>
        <w:rPr>
          <w:noProof/>
        </w:rPr>
      </w:pPr>
      <w:bookmarkStart w:id="61" w:name="_Toc514938056"/>
      <w:bookmarkStart w:id="62" w:name="_Toc520485055"/>
      <w:r>
        <w:t>3.2.4.</w:t>
      </w:r>
      <w:r>
        <w:tab/>
      </w:r>
      <w:r>
        <w:rPr>
          <w:noProof/>
        </w:rPr>
        <w:t>Съвместимост с настоящата многогодишна финансова рамка</w:t>
      </w:r>
      <w:bookmarkEnd w:id="61"/>
      <w:bookmarkEnd w:id="62"/>
      <w:r>
        <w:rPr>
          <w:noProof/>
        </w:rPr>
        <w:t xml:space="preserve"> </w:t>
      </w:r>
    </w:p>
    <w:p w:rsidR="006A5CA3" w:rsidRDefault="0065415D">
      <w:pPr>
        <w:pStyle w:val="Text1"/>
        <w:rPr>
          <w:noProof/>
        </w:rPr>
      </w:pPr>
      <w:r>
        <w:rPr>
          <w:noProof/>
        </w:rPr>
        <w:t>Предложението/инициативата:</w:t>
      </w:r>
    </w:p>
    <w:p w:rsidR="006A5CA3" w:rsidRDefault="0065415D">
      <w:pPr>
        <w:pStyle w:val="ListDash1"/>
        <w:rPr>
          <w:noProof/>
        </w:rPr>
      </w:pPr>
      <w:r>
        <w:rPr>
          <w:noProof/>
        </w:rPr>
        <w:sym w:font="Wingdings" w:char="F0FE"/>
      </w:r>
      <w:r>
        <w:rPr>
          <w:noProof/>
        </w:rPr>
        <w:tab/>
        <w:t>може да се финансира изцяло чрез преразпределяне на средства в рамките на съответната функция от многогодишната финансова рамка (МФР).</w:t>
      </w:r>
    </w:p>
    <w:p w:rsidR="006A5CA3" w:rsidRDefault="0065415D">
      <w:pPr>
        <w:pStyle w:val="Text1"/>
        <w:pBdr>
          <w:top w:val="single" w:sz="4" w:space="1" w:color="auto"/>
          <w:left w:val="single" w:sz="4" w:space="4" w:color="auto"/>
          <w:bottom w:val="single" w:sz="4" w:space="1" w:color="auto"/>
          <w:right w:val="single" w:sz="4" w:space="4" w:color="auto"/>
        </w:pBdr>
        <w:rPr>
          <w:noProof/>
          <w:sz w:val="20"/>
        </w:rPr>
      </w:pPr>
      <w:r>
        <w:rPr>
          <w:noProof/>
          <w:sz w:val="20"/>
        </w:rPr>
        <w:t>Предложението предполага само админ</w:t>
      </w:r>
      <w:r>
        <w:rPr>
          <w:noProof/>
          <w:sz w:val="20"/>
        </w:rPr>
        <w:t>истративни разходи, които ще бъдат набелязани чрез преразпределяне по време на разпределянето на ресурсите.</w:t>
      </w:r>
    </w:p>
    <w:p w:rsidR="006A5CA3" w:rsidRDefault="0065415D">
      <w:pPr>
        <w:pStyle w:val="ListDash1"/>
        <w:rPr>
          <w:noProof/>
        </w:rPr>
      </w:pPr>
      <w:r>
        <w:rPr>
          <w:noProof/>
        </w:rPr>
        <w:sym w:font="Wingdings" w:char="F0A8"/>
      </w:r>
      <w:r>
        <w:rPr>
          <w:noProof/>
        </w:rPr>
        <w:tab/>
        <w:t>налага да се използват неразпределеният марж под съответната функция от МФР и/или специалните инструменти, предвидени в Регламента за МФР.</w:t>
      </w:r>
    </w:p>
    <w:p w:rsidR="006A5CA3" w:rsidRDefault="0065415D">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w:t>
      </w:r>
      <w:r>
        <w:rPr>
          <w:noProof/>
          <w:sz w:val="20"/>
        </w:rPr>
        <w:t>е какво е необходимо, като посочите съответните функции, бюджетни редове и суми и инструментите, които се предлага да бъдат използвани.</w:t>
      </w:r>
    </w:p>
    <w:p w:rsidR="006A5CA3" w:rsidRDefault="0065415D">
      <w:pPr>
        <w:pStyle w:val="ListDash1"/>
        <w:rPr>
          <w:noProof/>
        </w:rPr>
      </w:pPr>
      <w:r>
        <w:rPr>
          <w:noProof/>
        </w:rPr>
        <w:sym w:font="Wingdings" w:char="F0A8"/>
      </w:r>
      <w:r>
        <w:rPr>
          <w:noProof/>
        </w:rPr>
        <w:tab/>
        <w:t>налага преразглеждане на МФР.</w:t>
      </w:r>
    </w:p>
    <w:p w:rsidR="006A5CA3" w:rsidRDefault="0065415D">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rsidR="006A5CA3" w:rsidRDefault="0065415D">
      <w:pPr>
        <w:pStyle w:val="ManualHeading3"/>
        <w:rPr>
          <w:bCs/>
          <w:noProof/>
          <w:szCs w:val="24"/>
        </w:rPr>
      </w:pPr>
      <w:bookmarkStart w:id="63" w:name="_Toc514938058"/>
      <w:bookmarkStart w:id="64" w:name="_Toc520485056"/>
      <w:r>
        <w:t>3.2.5.</w:t>
      </w:r>
      <w:r>
        <w:tab/>
      </w:r>
      <w:r>
        <w:rPr>
          <w:noProof/>
        </w:rPr>
        <w:t>Участие на трети страни във финансирането</w:t>
      </w:r>
      <w:bookmarkEnd w:id="63"/>
      <w:bookmarkEnd w:id="64"/>
      <w:r>
        <w:rPr>
          <w:noProof/>
        </w:rPr>
        <w:t xml:space="preserve"> </w:t>
      </w:r>
    </w:p>
    <w:p w:rsidR="006A5CA3" w:rsidRDefault="0065415D">
      <w:pPr>
        <w:pStyle w:val="Text1"/>
        <w:rPr>
          <w:noProof/>
        </w:rPr>
      </w:pPr>
      <w:r>
        <w:rPr>
          <w:noProof/>
        </w:rPr>
        <w:t>Предложението/инициативата:</w:t>
      </w:r>
    </w:p>
    <w:p w:rsidR="006A5CA3" w:rsidRDefault="0065415D">
      <w:pPr>
        <w:pStyle w:val="ListDash1"/>
        <w:rPr>
          <w:noProof/>
        </w:rPr>
      </w:pPr>
      <w:r>
        <w:rPr>
          <w:noProof/>
        </w:rPr>
        <w:sym w:font="Wingdings" w:char="F0FE"/>
      </w:r>
      <w:r>
        <w:rPr>
          <w:noProof/>
        </w:rPr>
        <w:tab/>
        <w:t>не предвижда съфинансиране от трети страни</w:t>
      </w:r>
    </w:p>
    <w:p w:rsidR="006A5CA3" w:rsidRDefault="0065415D">
      <w:pPr>
        <w:pStyle w:val="ListDash1"/>
        <w:rPr>
          <w:noProof/>
        </w:rPr>
      </w:pPr>
      <w:r>
        <w:rPr>
          <w:noProof/>
        </w:rPr>
        <w:sym w:font="Wingdings" w:char="F0A8"/>
      </w:r>
      <w:r>
        <w:rPr>
          <w:noProof/>
        </w:rPr>
        <w:tab/>
        <w:t>предвижда следното съфинансиране от трети страни, като оценките са дадени по-долу:</w:t>
      </w:r>
    </w:p>
    <w:p w:rsidR="006A5CA3" w:rsidRDefault="0065415D">
      <w:pPr>
        <w:jc w:val="right"/>
        <w:rPr>
          <w:noProof/>
          <w:sz w:val="20"/>
        </w:rPr>
      </w:pPr>
      <w:r>
        <w:rPr>
          <w:noProof/>
          <w:sz w:val="20"/>
        </w:rPr>
        <w:t xml:space="preserve">Бюджетни кредити в млн. евро (до третия знак </w:t>
      </w:r>
      <w:r>
        <w:rPr>
          <w:noProof/>
          <w:sz w:val="20"/>
        </w:rPr>
        <w:t>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6A5CA3">
        <w:trPr>
          <w:cantSplit/>
        </w:trPr>
        <w:tc>
          <w:tcPr>
            <w:tcW w:w="2340" w:type="dxa"/>
          </w:tcPr>
          <w:p w:rsidR="006A5CA3" w:rsidRDefault="006A5CA3">
            <w:pPr>
              <w:spacing w:before="60" w:after="60"/>
              <w:rPr>
                <w:noProof/>
                <w:sz w:val="20"/>
              </w:rPr>
            </w:pPr>
          </w:p>
        </w:tc>
        <w:tc>
          <w:tcPr>
            <w:tcW w:w="964" w:type="dxa"/>
            <w:vAlign w:val="center"/>
          </w:tcPr>
          <w:p w:rsidR="006A5CA3" w:rsidRDefault="0065415D">
            <w:pPr>
              <w:jc w:val="center"/>
              <w:rPr>
                <w:noProof/>
                <w:sz w:val="20"/>
              </w:rPr>
            </w:pPr>
            <w:r>
              <w:rPr>
                <w:noProof/>
                <w:sz w:val="20"/>
              </w:rPr>
              <w:t>Година</w:t>
            </w:r>
            <w:r>
              <w:rPr>
                <w:noProof/>
                <w:sz w:val="22"/>
              </w:rPr>
              <w:br/>
            </w:r>
            <w:r>
              <w:rPr>
                <w:b/>
                <w:noProof/>
                <w:sz w:val="20"/>
              </w:rPr>
              <w:t>N</w:t>
            </w:r>
            <w:r>
              <w:rPr>
                <w:rStyle w:val="FootnoteReference"/>
                <w:b/>
                <w:noProof/>
                <w:sz w:val="20"/>
              </w:rPr>
              <w:footnoteReference w:id="20"/>
            </w:r>
          </w:p>
        </w:tc>
        <w:tc>
          <w:tcPr>
            <w:tcW w:w="964" w:type="dxa"/>
            <w:vAlign w:val="center"/>
          </w:tcPr>
          <w:p w:rsidR="006A5CA3" w:rsidRDefault="0065415D">
            <w:pPr>
              <w:jc w:val="center"/>
              <w:rPr>
                <w:noProof/>
                <w:sz w:val="20"/>
              </w:rPr>
            </w:pPr>
            <w:r>
              <w:rPr>
                <w:noProof/>
                <w:sz w:val="20"/>
              </w:rPr>
              <w:t>Година</w:t>
            </w:r>
            <w:r>
              <w:rPr>
                <w:noProof/>
                <w:sz w:val="22"/>
              </w:rPr>
              <w:br/>
            </w:r>
            <w:r>
              <w:rPr>
                <w:b/>
                <w:noProof/>
                <w:sz w:val="20"/>
              </w:rPr>
              <w:t>N+1</w:t>
            </w:r>
          </w:p>
        </w:tc>
        <w:tc>
          <w:tcPr>
            <w:tcW w:w="964" w:type="dxa"/>
            <w:vAlign w:val="center"/>
          </w:tcPr>
          <w:p w:rsidR="006A5CA3" w:rsidRDefault="0065415D">
            <w:pPr>
              <w:jc w:val="center"/>
              <w:rPr>
                <w:noProof/>
                <w:sz w:val="20"/>
              </w:rPr>
            </w:pPr>
            <w:r>
              <w:rPr>
                <w:noProof/>
                <w:sz w:val="20"/>
              </w:rPr>
              <w:t>Година</w:t>
            </w:r>
            <w:r>
              <w:rPr>
                <w:noProof/>
                <w:sz w:val="22"/>
              </w:rPr>
              <w:br/>
            </w:r>
            <w:r>
              <w:rPr>
                <w:b/>
                <w:noProof/>
                <w:sz w:val="20"/>
              </w:rPr>
              <w:t>N+2</w:t>
            </w:r>
          </w:p>
        </w:tc>
        <w:tc>
          <w:tcPr>
            <w:tcW w:w="964" w:type="dxa"/>
            <w:vAlign w:val="center"/>
          </w:tcPr>
          <w:p w:rsidR="006A5CA3" w:rsidRDefault="0065415D">
            <w:pPr>
              <w:jc w:val="center"/>
              <w:rPr>
                <w:noProof/>
                <w:sz w:val="20"/>
              </w:rPr>
            </w:pPr>
            <w:r>
              <w:rPr>
                <w:noProof/>
                <w:sz w:val="20"/>
              </w:rPr>
              <w:t>Година</w:t>
            </w:r>
            <w:r>
              <w:rPr>
                <w:noProof/>
                <w:sz w:val="22"/>
              </w:rPr>
              <w:br/>
            </w:r>
            <w:r>
              <w:rPr>
                <w:b/>
                <w:noProof/>
                <w:sz w:val="20"/>
              </w:rPr>
              <w:t>N+3</w:t>
            </w:r>
          </w:p>
        </w:tc>
        <w:tc>
          <w:tcPr>
            <w:tcW w:w="2892" w:type="dxa"/>
            <w:gridSpan w:val="3"/>
            <w:vAlign w:val="center"/>
          </w:tcPr>
          <w:p w:rsidR="006A5CA3" w:rsidRDefault="0065415D">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rsidR="006A5CA3" w:rsidRDefault="0065415D">
            <w:pPr>
              <w:spacing w:before="60" w:after="60"/>
              <w:jc w:val="center"/>
              <w:rPr>
                <w:noProof/>
                <w:sz w:val="20"/>
              </w:rPr>
            </w:pPr>
            <w:r>
              <w:rPr>
                <w:noProof/>
                <w:sz w:val="20"/>
              </w:rPr>
              <w:t>Общо</w:t>
            </w:r>
          </w:p>
        </w:tc>
      </w:tr>
      <w:tr w:rsidR="006A5CA3">
        <w:trPr>
          <w:cantSplit/>
        </w:trPr>
        <w:tc>
          <w:tcPr>
            <w:tcW w:w="2340" w:type="dxa"/>
          </w:tcPr>
          <w:p w:rsidR="006A5CA3" w:rsidRDefault="0065415D">
            <w:pPr>
              <w:rPr>
                <w:noProof/>
              </w:rPr>
            </w:pPr>
            <w:r>
              <w:rPr>
                <w:noProof/>
                <w:sz w:val="20"/>
              </w:rPr>
              <w:t>Да се посочи съфинансиращият орган</w:t>
            </w:r>
            <w:r>
              <w:rPr>
                <w:i/>
                <w:noProof/>
                <w:sz w:val="20"/>
              </w:rPr>
              <w:t xml:space="preserve"> </w:t>
            </w:r>
          </w:p>
        </w:tc>
        <w:tc>
          <w:tcPr>
            <w:tcW w:w="964" w:type="dxa"/>
            <w:vAlign w:val="center"/>
          </w:tcPr>
          <w:p w:rsidR="006A5CA3" w:rsidRDefault="006A5CA3">
            <w:pPr>
              <w:spacing w:before="60" w:after="60"/>
              <w:jc w:val="center"/>
              <w:rPr>
                <w:noProof/>
                <w:sz w:val="20"/>
              </w:rPr>
            </w:pPr>
          </w:p>
        </w:tc>
        <w:tc>
          <w:tcPr>
            <w:tcW w:w="964" w:type="dxa"/>
            <w:vAlign w:val="center"/>
          </w:tcPr>
          <w:p w:rsidR="006A5CA3" w:rsidRDefault="006A5CA3">
            <w:pPr>
              <w:spacing w:before="60" w:after="60"/>
              <w:jc w:val="center"/>
              <w:rPr>
                <w:noProof/>
                <w:sz w:val="20"/>
              </w:rPr>
            </w:pPr>
          </w:p>
        </w:tc>
        <w:tc>
          <w:tcPr>
            <w:tcW w:w="964" w:type="dxa"/>
            <w:vAlign w:val="center"/>
          </w:tcPr>
          <w:p w:rsidR="006A5CA3" w:rsidRDefault="006A5CA3">
            <w:pPr>
              <w:spacing w:before="60" w:after="60"/>
              <w:jc w:val="center"/>
              <w:rPr>
                <w:noProof/>
                <w:sz w:val="20"/>
              </w:rPr>
            </w:pPr>
          </w:p>
        </w:tc>
        <w:tc>
          <w:tcPr>
            <w:tcW w:w="964" w:type="dxa"/>
            <w:vAlign w:val="center"/>
          </w:tcPr>
          <w:p w:rsidR="006A5CA3" w:rsidRDefault="006A5CA3">
            <w:pPr>
              <w:spacing w:before="60" w:after="60"/>
              <w:jc w:val="center"/>
              <w:rPr>
                <w:noProof/>
                <w:sz w:val="20"/>
              </w:rPr>
            </w:pPr>
          </w:p>
        </w:tc>
        <w:tc>
          <w:tcPr>
            <w:tcW w:w="964" w:type="dxa"/>
            <w:vAlign w:val="center"/>
          </w:tcPr>
          <w:p w:rsidR="006A5CA3" w:rsidRDefault="006A5CA3">
            <w:pPr>
              <w:spacing w:before="60" w:after="60"/>
              <w:jc w:val="center"/>
              <w:rPr>
                <w:noProof/>
                <w:sz w:val="20"/>
              </w:rPr>
            </w:pPr>
          </w:p>
        </w:tc>
        <w:tc>
          <w:tcPr>
            <w:tcW w:w="964" w:type="dxa"/>
            <w:vAlign w:val="center"/>
          </w:tcPr>
          <w:p w:rsidR="006A5CA3" w:rsidRDefault="006A5CA3">
            <w:pPr>
              <w:spacing w:before="60" w:after="60"/>
              <w:jc w:val="center"/>
              <w:rPr>
                <w:noProof/>
                <w:sz w:val="20"/>
              </w:rPr>
            </w:pPr>
          </w:p>
        </w:tc>
        <w:tc>
          <w:tcPr>
            <w:tcW w:w="964" w:type="dxa"/>
            <w:vAlign w:val="center"/>
          </w:tcPr>
          <w:p w:rsidR="006A5CA3" w:rsidRDefault="006A5CA3">
            <w:pPr>
              <w:spacing w:before="60" w:after="60"/>
              <w:jc w:val="center"/>
              <w:rPr>
                <w:noProof/>
                <w:sz w:val="20"/>
              </w:rPr>
            </w:pPr>
          </w:p>
        </w:tc>
        <w:tc>
          <w:tcPr>
            <w:tcW w:w="1158" w:type="dxa"/>
            <w:vAlign w:val="center"/>
          </w:tcPr>
          <w:p w:rsidR="006A5CA3" w:rsidRDefault="006A5CA3">
            <w:pPr>
              <w:spacing w:before="60" w:after="60"/>
              <w:jc w:val="center"/>
              <w:rPr>
                <w:noProof/>
                <w:sz w:val="20"/>
              </w:rPr>
            </w:pPr>
          </w:p>
        </w:tc>
      </w:tr>
      <w:tr w:rsidR="006A5CA3">
        <w:trPr>
          <w:cantSplit/>
        </w:trPr>
        <w:tc>
          <w:tcPr>
            <w:tcW w:w="2340" w:type="dxa"/>
          </w:tcPr>
          <w:p w:rsidR="006A5CA3" w:rsidRDefault="0065415D">
            <w:pPr>
              <w:spacing w:before="60" w:after="60"/>
              <w:jc w:val="left"/>
              <w:rPr>
                <w:noProof/>
                <w:sz w:val="20"/>
              </w:rPr>
            </w:pPr>
            <w:r>
              <w:rPr>
                <w:noProof/>
                <w:sz w:val="20"/>
              </w:rPr>
              <w:t xml:space="preserve">ОБЩО съфинансирани бюджетни кредити </w:t>
            </w:r>
          </w:p>
        </w:tc>
        <w:tc>
          <w:tcPr>
            <w:tcW w:w="964" w:type="dxa"/>
            <w:vAlign w:val="center"/>
          </w:tcPr>
          <w:p w:rsidR="006A5CA3" w:rsidRDefault="006A5CA3">
            <w:pPr>
              <w:spacing w:before="60" w:after="60"/>
              <w:jc w:val="center"/>
              <w:rPr>
                <w:noProof/>
                <w:sz w:val="20"/>
              </w:rPr>
            </w:pPr>
          </w:p>
        </w:tc>
        <w:tc>
          <w:tcPr>
            <w:tcW w:w="964" w:type="dxa"/>
            <w:vAlign w:val="center"/>
          </w:tcPr>
          <w:p w:rsidR="006A5CA3" w:rsidRDefault="006A5CA3">
            <w:pPr>
              <w:spacing w:before="60" w:after="60"/>
              <w:jc w:val="center"/>
              <w:rPr>
                <w:noProof/>
                <w:sz w:val="20"/>
              </w:rPr>
            </w:pPr>
          </w:p>
        </w:tc>
        <w:tc>
          <w:tcPr>
            <w:tcW w:w="964" w:type="dxa"/>
            <w:vAlign w:val="center"/>
          </w:tcPr>
          <w:p w:rsidR="006A5CA3" w:rsidRDefault="006A5CA3">
            <w:pPr>
              <w:spacing w:before="60" w:after="60"/>
              <w:jc w:val="center"/>
              <w:rPr>
                <w:noProof/>
                <w:sz w:val="20"/>
              </w:rPr>
            </w:pPr>
          </w:p>
        </w:tc>
        <w:tc>
          <w:tcPr>
            <w:tcW w:w="964" w:type="dxa"/>
            <w:vAlign w:val="center"/>
          </w:tcPr>
          <w:p w:rsidR="006A5CA3" w:rsidRDefault="006A5CA3">
            <w:pPr>
              <w:spacing w:before="60" w:after="60"/>
              <w:jc w:val="center"/>
              <w:rPr>
                <w:noProof/>
                <w:sz w:val="20"/>
              </w:rPr>
            </w:pPr>
          </w:p>
        </w:tc>
        <w:tc>
          <w:tcPr>
            <w:tcW w:w="964" w:type="dxa"/>
            <w:vAlign w:val="center"/>
          </w:tcPr>
          <w:p w:rsidR="006A5CA3" w:rsidRDefault="006A5CA3">
            <w:pPr>
              <w:spacing w:before="60" w:after="60"/>
              <w:jc w:val="center"/>
              <w:rPr>
                <w:noProof/>
                <w:sz w:val="20"/>
              </w:rPr>
            </w:pPr>
          </w:p>
        </w:tc>
        <w:tc>
          <w:tcPr>
            <w:tcW w:w="964" w:type="dxa"/>
            <w:vAlign w:val="center"/>
          </w:tcPr>
          <w:p w:rsidR="006A5CA3" w:rsidRDefault="006A5CA3">
            <w:pPr>
              <w:spacing w:before="60" w:after="60"/>
              <w:jc w:val="center"/>
              <w:rPr>
                <w:noProof/>
                <w:sz w:val="20"/>
              </w:rPr>
            </w:pPr>
          </w:p>
        </w:tc>
        <w:tc>
          <w:tcPr>
            <w:tcW w:w="964" w:type="dxa"/>
            <w:vAlign w:val="center"/>
          </w:tcPr>
          <w:p w:rsidR="006A5CA3" w:rsidRDefault="006A5CA3">
            <w:pPr>
              <w:spacing w:before="60" w:after="60"/>
              <w:jc w:val="center"/>
              <w:rPr>
                <w:noProof/>
                <w:sz w:val="20"/>
              </w:rPr>
            </w:pPr>
          </w:p>
        </w:tc>
        <w:tc>
          <w:tcPr>
            <w:tcW w:w="1158" w:type="dxa"/>
            <w:vAlign w:val="center"/>
          </w:tcPr>
          <w:p w:rsidR="006A5CA3" w:rsidRDefault="006A5CA3">
            <w:pPr>
              <w:spacing w:before="60" w:after="60"/>
              <w:jc w:val="center"/>
              <w:rPr>
                <w:noProof/>
                <w:sz w:val="20"/>
              </w:rPr>
            </w:pPr>
          </w:p>
        </w:tc>
      </w:tr>
    </w:tbl>
    <w:p w:rsidR="006A5CA3" w:rsidRDefault="0065415D">
      <w:pPr>
        <w:rPr>
          <w:noProof/>
        </w:rPr>
      </w:pPr>
      <w:r>
        <w:rPr>
          <w:noProof/>
        </w:rPr>
        <w:br/>
      </w:r>
    </w:p>
    <w:p w:rsidR="006A5CA3" w:rsidRDefault="0065415D">
      <w:pPr>
        <w:pStyle w:val="ManualHeading2"/>
        <w:rPr>
          <w:bCs/>
          <w:noProof/>
          <w:szCs w:val="24"/>
        </w:rPr>
      </w:pPr>
      <w:r>
        <w:rPr>
          <w:noProof/>
        </w:rPr>
        <w:br w:type="page"/>
      </w:r>
      <w:bookmarkStart w:id="65" w:name="_Toc514938059"/>
      <w:bookmarkStart w:id="66" w:name="_Toc520485057"/>
      <w:r>
        <w:t>3.3.</w:t>
      </w:r>
      <w:r>
        <w:tab/>
      </w:r>
      <w:r>
        <w:rPr>
          <w:noProof/>
        </w:rPr>
        <w:t>Очаквано отражение върху приходите</w:t>
      </w:r>
      <w:bookmarkEnd w:id="65"/>
      <w:bookmarkEnd w:id="66"/>
      <w:r>
        <w:rPr>
          <w:noProof/>
        </w:rPr>
        <w:t xml:space="preserve"> </w:t>
      </w:r>
    </w:p>
    <w:p w:rsidR="006A5CA3" w:rsidRDefault="0065415D">
      <w:pPr>
        <w:pStyle w:val="ListDash1"/>
        <w:rPr>
          <w:noProof/>
        </w:rPr>
      </w:pPr>
      <w:r>
        <w:rPr>
          <w:noProof/>
        </w:rPr>
        <w:sym w:font="Wingdings" w:char="F0FE"/>
      </w:r>
      <w:r>
        <w:rPr>
          <w:noProof/>
        </w:rPr>
        <w:tab/>
        <w:t>Предложението/инициативата няма финансово отражение върху приходите.</w:t>
      </w:r>
    </w:p>
    <w:p w:rsidR="006A5CA3" w:rsidRDefault="0065415D">
      <w:pPr>
        <w:pStyle w:val="ListDash1"/>
        <w:rPr>
          <w:noProof/>
        </w:rPr>
      </w:pPr>
      <w:r>
        <w:rPr>
          <w:noProof/>
        </w:rPr>
        <w:sym w:font="Wingdings" w:char="F0A8"/>
      </w:r>
      <w:r>
        <w:rPr>
          <w:noProof/>
        </w:rPr>
        <w:tab/>
        <w:t>Предложението/инициативата има следното финансово отражение:</w:t>
      </w:r>
    </w:p>
    <w:p w:rsidR="006A5CA3" w:rsidRDefault="0065415D">
      <w:pPr>
        <w:pStyle w:val="ListNumberLevel3"/>
        <w:tabs>
          <w:tab w:val="clear" w:pos="2126"/>
        </w:tabs>
        <w:rPr>
          <w:noProof/>
        </w:rPr>
      </w:pPr>
      <w:r>
        <w:rPr>
          <w:noProof/>
        </w:rPr>
        <w:sym w:font="Wingdings" w:char="F0A8"/>
      </w:r>
      <w:r>
        <w:rPr>
          <w:noProof/>
        </w:rPr>
        <w:tab/>
        <w:t xml:space="preserve">върху собствените ресурси </w:t>
      </w:r>
    </w:p>
    <w:p w:rsidR="006A5CA3" w:rsidRDefault="0065415D">
      <w:pPr>
        <w:pStyle w:val="ListNumberLevel3"/>
        <w:tabs>
          <w:tab w:val="clear" w:pos="2126"/>
        </w:tabs>
        <w:rPr>
          <w:noProof/>
        </w:rPr>
      </w:pPr>
      <w:r>
        <w:rPr>
          <w:noProof/>
        </w:rPr>
        <w:sym w:font="Wingdings" w:char="F0A8"/>
      </w:r>
      <w:r>
        <w:rPr>
          <w:noProof/>
        </w:rPr>
        <w:tab/>
      </w:r>
      <w:r>
        <w:rPr>
          <w:noProof/>
        </w:rPr>
        <w:t>върху разните приходи</w:t>
      </w:r>
    </w:p>
    <w:p w:rsidR="006A5CA3" w:rsidRDefault="0065415D">
      <w:pPr>
        <w:pStyle w:val="ListNumberLevel3"/>
        <w:tabs>
          <w:tab w:val="clear" w:pos="2126"/>
        </w:tabs>
        <w:rPr>
          <w:noProof/>
        </w:rPr>
      </w:pPr>
      <w:r>
        <w:rPr>
          <w:noProof/>
        </w:rPr>
        <w:sym w:font="Wingdings" w:char="F0A8"/>
      </w:r>
      <w:r>
        <w:rPr>
          <w:noProof/>
        </w:rPr>
        <w:tab/>
        <w:t xml:space="preserve">моля, посочете дали приходите са записани по разходни бюджетни редове </w:t>
      </w:r>
    </w:p>
    <w:p w:rsidR="006A5CA3" w:rsidRDefault="0065415D">
      <w:pPr>
        <w:ind w:left="4320"/>
        <w:rPr>
          <w:i/>
          <w:noProof/>
          <w:sz w:val="20"/>
        </w:rPr>
      </w:pPr>
      <w:r>
        <w:rPr>
          <w:noProof/>
        </w:rPr>
        <w:t xml:space="preserve">     млн. евро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6A5CA3">
        <w:trPr>
          <w:trHeight w:val="388"/>
        </w:trPr>
        <w:tc>
          <w:tcPr>
            <w:tcW w:w="2144" w:type="dxa"/>
            <w:vMerge w:val="restart"/>
            <w:vAlign w:val="center"/>
          </w:tcPr>
          <w:p w:rsidR="006A5CA3" w:rsidRDefault="0065415D">
            <w:pPr>
              <w:spacing w:before="40" w:after="40"/>
              <w:rPr>
                <w:noProof/>
                <w:sz w:val="18"/>
              </w:rPr>
            </w:pPr>
            <w:r>
              <w:rPr>
                <w:noProof/>
                <w:sz w:val="18"/>
              </w:rPr>
              <w:t>Приходен бюджетен ред:</w:t>
            </w:r>
          </w:p>
        </w:tc>
        <w:tc>
          <w:tcPr>
            <w:tcW w:w="1325" w:type="dxa"/>
            <w:vMerge w:val="restart"/>
            <w:vAlign w:val="center"/>
          </w:tcPr>
          <w:p w:rsidR="006A5CA3" w:rsidRDefault="0065415D">
            <w:pPr>
              <w:jc w:val="center"/>
              <w:rPr>
                <w:noProof/>
                <w:sz w:val="18"/>
              </w:rPr>
            </w:pPr>
            <w:r>
              <w:rPr>
                <w:noProof/>
                <w:sz w:val="18"/>
              </w:rPr>
              <w:t>Налични бюджетни кредити за текущата финансова година</w:t>
            </w:r>
          </w:p>
        </w:tc>
        <w:tc>
          <w:tcPr>
            <w:tcW w:w="7151" w:type="dxa"/>
            <w:gridSpan w:val="7"/>
            <w:vAlign w:val="center"/>
          </w:tcPr>
          <w:p w:rsidR="006A5CA3" w:rsidRDefault="0065415D">
            <w:pPr>
              <w:jc w:val="center"/>
              <w:rPr>
                <w:noProof/>
                <w:sz w:val="18"/>
              </w:rPr>
            </w:pPr>
            <w:r>
              <w:rPr>
                <w:noProof/>
                <w:sz w:val="18"/>
              </w:rPr>
              <w:t xml:space="preserve">Отражение на </w:t>
            </w:r>
            <w:r>
              <w:rPr>
                <w:noProof/>
                <w:sz w:val="18"/>
              </w:rPr>
              <w:t>предложението/инициативата</w:t>
            </w:r>
            <w:r>
              <w:rPr>
                <w:rStyle w:val="FootnoteReference"/>
                <w:noProof/>
                <w:sz w:val="18"/>
              </w:rPr>
              <w:footnoteReference w:id="21"/>
            </w:r>
          </w:p>
        </w:tc>
      </w:tr>
      <w:tr w:rsidR="006A5CA3">
        <w:trPr>
          <w:trHeight w:val="388"/>
        </w:trPr>
        <w:tc>
          <w:tcPr>
            <w:tcW w:w="2144" w:type="dxa"/>
            <w:vMerge/>
          </w:tcPr>
          <w:p w:rsidR="006A5CA3" w:rsidRDefault="006A5CA3">
            <w:pPr>
              <w:spacing w:before="40" w:after="40"/>
              <w:rPr>
                <w:noProof/>
                <w:sz w:val="18"/>
              </w:rPr>
            </w:pPr>
          </w:p>
        </w:tc>
        <w:tc>
          <w:tcPr>
            <w:tcW w:w="1325" w:type="dxa"/>
            <w:vMerge/>
          </w:tcPr>
          <w:p w:rsidR="006A5CA3" w:rsidRDefault="006A5CA3">
            <w:pPr>
              <w:spacing w:beforeLines="40" w:before="96" w:afterLines="40" w:after="96"/>
              <w:rPr>
                <w:i/>
                <w:noProof/>
                <w:sz w:val="18"/>
              </w:rPr>
            </w:pPr>
          </w:p>
        </w:tc>
        <w:tc>
          <w:tcPr>
            <w:tcW w:w="1031" w:type="dxa"/>
            <w:vAlign w:val="center"/>
          </w:tcPr>
          <w:p w:rsidR="006A5CA3" w:rsidRDefault="0065415D">
            <w:pPr>
              <w:jc w:val="center"/>
              <w:rPr>
                <w:noProof/>
                <w:sz w:val="18"/>
              </w:rPr>
            </w:pPr>
            <w:r>
              <w:rPr>
                <w:noProof/>
                <w:sz w:val="18"/>
              </w:rPr>
              <w:t>Година</w:t>
            </w:r>
            <w:r>
              <w:rPr>
                <w:noProof/>
                <w:sz w:val="22"/>
              </w:rPr>
              <w:br/>
            </w:r>
            <w:r>
              <w:rPr>
                <w:b/>
                <w:noProof/>
                <w:sz w:val="18"/>
              </w:rPr>
              <w:t>N</w:t>
            </w:r>
          </w:p>
        </w:tc>
        <w:tc>
          <w:tcPr>
            <w:tcW w:w="900" w:type="dxa"/>
            <w:vAlign w:val="center"/>
          </w:tcPr>
          <w:p w:rsidR="006A5CA3" w:rsidRDefault="0065415D">
            <w:pPr>
              <w:jc w:val="center"/>
              <w:rPr>
                <w:noProof/>
                <w:sz w:val="18"/>
              </w:rPr>
            </w:pPr>
            <w:r>
              <w:rPr>
                <w:noProof/>
                <w:sz w:val="18"/>
              </w:rPr>
              <w:t>Година</w:t>
            </w:r>
            <w:r>
              <w:rPr>
                <w:noProof/>
                <w:sz w:val="22"/>
              </w:rPr>
              <w:br/>
            </w:r>
            <w:r>
              <w:rPr>
                <w:b/>
                <w:noProof/>
                <w:sz w:val="18"/>
              </w:rPr>
              <w:t>N+1</w:t>
            </w:r>
          </w:p>
        </w:tc>
        <w:tc>
          <w:tcPr>
            <w:tcW w:w="900" w:type="dxa"/>
            <w:vAlign w:val="center"/>
          </w:tcPr>
          <w:p w:rsidR="006A5CA3" w:rsidRDefault="0065415D">
            <w:pPr>
              <w:jc w:val="center"/>
              <w:rPr>
                <w:noProof/>
                <w:sz w:val="18"/>
              </w:rPr>
            </w:pPr>
            <w:r>
              <w:rPr>
                <w:noProof/>
                <w:sz w:val="18"/>
              </w:rPr>
              <w:t>Година</w:t>
            </w:r>
            <w:r>
              <w:rPr>
                <w:noProof/>
                <w:sz w:val="22"/>
              </w:rPr>
              <w:br/>
            </w:r>
            <w:r>
              <w:rPr>
                <w:b/>
                <w:noProof/>
                <w:sz w:val="18"/>
              </w:rPr>
              <w:t>N+2</w:t>
            </w:r>
          </w:p>
        </w:tc>
        <w:tc>
          <w:tcPr>
            <w:tcW w:w="1080" w:type="dxa"/>
            <w:vAlign w:val="center"/>
          </w:tcPr>
          <w:p w:rsidR="006A5CA3" w:rsidRDefault="0065415D">
            <w:pPr>
              <w:jc w:val="center"/>
              <w:rPr>
                <w:noProof/>
                <w:sz w:val="18"/>
              </w:rPr>
            </w:pPr>
            <w:r>
              <w:rPr>
                <w:noProof/>
                <w:sz w:val="18"/>
              </w:rPr>
              <w:t>Година</w:t>
            </w:r>
            <w:r>
              <w:rPr>
                <w:noProof/>
                <w:sz w:val="22"/>
              </w:rPr>
              <w:br/>
            </w:r>
            <w:r>
              <w:rPr>
                <w:b/>
                <w:noProof/>
                <w:sz w:val="18"/>
              </w:rPr>
              <w:t>N+3</w:t>
            </w:r>
          </w:p>
        </w:tc>
        <w:tc>
          <w:tcPr>
            <w:tcW w:w="3240" w:type="dxa"/>
            <w:gridSpan w:val="3"/>
            <w:vAlign w:val="center"/>
          </w:tcPr>
          <w:p w:rsidR="006A5CA3" w:rsidRDefault="0065415D">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rsidR="006A5CA3">
        <w:trPr>
          <w:trHeight w:val="388"/>
        </w:trPr>
        <w:tc>
          <w:tcPr>
            <w:tcW w:w="2144" w:type="dxa"/>
            <w:vAlign w:val="center"/>
          </w:tcPr>
          <w:p w:rsidR="006A5CA3" w:rsidRDefault="0065415D">
            <w:pPr>
              <w:spacing w:before="40" w:after="40"/>
              <w:rPr>
                <w:noProof/>
                <w:sz w:val="18"/>
              </w:rPr>
            </w:pPr>
            <w:r>
              <w:rPr>
                <w:noProof/>
                <w:sz w:val="18"/>
              </w:rPr>
              <w:t>Статия ………….</w:t>
            </w:r>
          </w:p>
        </w:tc>
        <w:tc>
          <w:tcPr>
            <w:tcW w:w="1325" w:type="dxa"/>
          </w:tcPr>
          <w:p w:rsidR="006A5CA3" w:rsidRDefault="006A5CA3">
            <w:pPr>
              <w:spacing w:beforeLines="40" w:before="96" w:afterLines="40" w:after="96"/>
              <w:jc w:val="center"/>
              <w:rPr>
                <w:i/>
                <w:noProof/>
                <w:sz w:val="18"/>
              </w:rPr>
            </w:pPr>
          </w:p>
        </w:tc>
        <w:tc>
          <w:tcPr>
            <w:tcW w:w="1031" w:type="dxa"/>
          </w:tcPr>
          <w:p w:rsidR="006A5CA3" w:rsidRDefault="006A5CA3">
            <w:pPr>
              <w:spacing w:beforeLines="40" w:before="96" w:afterLines="40" w:after="96"/>
              <w:jc w:val="center"/>
              <w:rPr>
                <w:noProof/>
                <w:sz w:val="18"/>
              </w:rPr>
            </w:pPr>
          </w:p>
        </w:tc>
        <w:tc>
          <w:tcPr>
            <w:tcW w:w="900" w:type="dxa"/>
          </w:tcPr>
          <w:p w:rsidR="006A5CA3" w:rsidRDefault="006A5CA3">
            <w:pPr>
              <w:spacing w:beforeLines="40" w:before="96" w:afterLines="40" w:after="96"/>
              <w:jc w:val="center"/>
              <w:rPr>
                <w:noProof/>
                <w:sz w:val="18"/>
              </w:rPr>
            </w:pPr>
          </w:p>
        </w:tc>
        <w:tc>
          <w:tcPr>
            <w:tcW w:w="900" w:type="dxa"/>
          </w:tcPr>
          <w:p w:rsidR="006A5CA3" w:rsidRDefault="006A5CA3">
            <w:pPr>
              <w:spacing w:beforeLines="40" w:before="96" w:afterLines="40" w:after="96"/>
              <w:jc w:val="center"/>
              <w:rPr>
                <w:noProof/>
                <w:sz w:val="18"/>
              </w:rPr>
            </w:pPr>
          </w:p>
        </w:tc>
        <w:tc>
          <w:tcPr>
            <w:tcW w:w="1080" w:type="dxa"/>
          </w:tcPr>
          <w:p w:rsidR="006A5CA3" w:rsidRDefault="006A5CA3">
            <w:pPr>
              <w:spacing w:beforeLines="40" w:before="96" w:afterLines="40" w:after="96"/>
              <w:jc w:val="center"/>
              <w:rPr>
                <w:noProof/>
                <w:sz w:val="18"/>
              </w:rPr>
            </w:pPr>
          </w:p>
        </w:tc>
        <w:tc>
          <w:tcPr>
            <w:tcW w:w="1080" w:type="dxa"/>
          </w:tcPr>
          <w:p w:rsidR="006A5CA3" w:rsidRDefault="006A5CA3">
            <w:pPr>
              <w:spacing w:beforeLines="40" w:before="96" w:afterLines="40" w:after="96"/>
              <w:jc w:val="center"/>
              <w:rPr>
                <w:noProof/>
                <w:sz w:val="18"/>
              </w:rPr>
            </w:pPr>
          </w:p>
        </w:tc>
        <w:tc>
          <w:tcPr>
            <w:tcW w:w="1080" w:type="dxa"/>
          </w:tcPr>
          <w:p w:rsidR="006A5CA3" w:rsidRDefault="006A5CA3">
            <w:pPr>
              <w:spacing w:beforeLines="40" w:before="96" w:afterLines="40" w:after="96"/>
              <w:jc w:val="center"/>
              <w:rPr>
                <w:noProof/>
                <w:sz w:val="18"/>
              </w:rPr>
            </w:pPr>
          </w:p>
        </w:tc>
        <w:tc>
          <w:tcPr>
            <w:tcW w:w="1080" w:type="dxa"/>
          </w:tcPr>
          <w:p w:rsidR="006A5CA3" w:rsidRDefault="006A5CA3">
            <w:pPr>
              <w:spacing w:beforeLines="40" w:before="96" w:afterLines="40" w:after="96"/>
              <w:jc w:val="center"/>
              <w:rPr>
                <w:noProof/>
                <w:sz w:val="18"/>
              </w:rPr>
            </w:pPr>
          </w:p>
        </w:tc>
      </w:tr>
    </w:tbl>
    <w:p w:rsidR="006A5CA3" w:rsidRDefault="0065415D">
      <w:pPr>
        <w:pStyle w:val="Text1"/>
        <w:rPr>
          <w:noProof/>
          <w:sz w:val="20"/>
        </w:rPr>
      </w:pPr>
      <w:r>
        <w:rPr>
          <w:noProof/>
          <w:sz w:val="20"/>
        </w:rPr>
        <w:t xml:space="preserve">За целевите приходи да се посочат </w:t>
      </w:r>
      <w:r>
        <w:rPr>
          <w:noProof/>
          <w:sz w:val="20"/>
        </w:rPr>
        <w:t>съответните разходни бюджетни редове.</w:t>
      </w:r>
    </w:p>
    <w:p w:rsidR="006A5CA3" w:rsidRDefault="0065415D">
      <w:pPr>
        <w:pStyle w:val="Text1"/>
        <w:pBdr>
          <w:top w:val="single" w:sz="4" w:space="1" w:color="auto"/>
          <w:left w:val="single" w:sz="4" w:space="4" w:color="auto"/>
          <w:bottom w:val="single" w:sz="4" w:space="1" w:color="auto"/>
          <w:right w:val="single" w:sz="4" w:space="4" w:color="auto"/>
        </w:pBdr>
        <w:rPr>
          <w:noProof/>
        </w:rPr>
      </w:pPr>
      <w:r>
        <w:t>[...]</w:t>
      </w:r>
    </w:p>
    <w:p w:rsidR="006A5CA3" w:rsidRDefault="0065415D">
      <w:pPr>
        <w:pStyle w:val="Text1"/>
        <w:rPr>
          <w:noProof/>
          <w:sz w:val="20"/>
        </w:rPr>
      </w:pPr>
      <w:r>
        <w:rPr>
          <w:noProof/>
          <w:sz w:val="20"/>
        </w:rPr>
        <w:t>Други забележки (например метод/формула за изчисляване на отражението върху приходите или друга информация).</w:t>
      </w:r>
    </w:p>
    <w:p w:rsidR="006A5CA3" w:rsidRDefault="0065415D">
      <w:pPr>
        <w:pStyle w:val="Text1"/>
        <w:pBdr>
          <w:top w:val="single" w:sz="4" w:space="1" w:color="auto"/>
          <w:left w:val="single" w:sz="4" w:space="4" w:color="auto"/>
          <w:bottom w:val="single" w:sz="4" w:space="1" w:color="auto"/>
          <w:right w:val="single" w:sz="4" w:space="4" w:color="auto"/>
        </w:pBdr>
        <w:rPr>
          <w:noProof/>
        </w:rPr>
      </w:pPr>
      <w:r>
        <w:t>[...]</w:t>
      </w:r>
    </w:p>
    <w:sectPr w:rsidR="006A5CA3">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CA3" w:rsidRDefault="0065415D">
      <w:pPr>
        <w:spacing w:before="0" w:after="0"/>
      </w:pPr>
      <w:r>
        <w:separator/>
      </w:r>
    </w:p>
    <w:p w:rsidR="006A5CA3" w:rsidRDefault="006A5CA3"/>
  </w:endnote>
  <w:endnote w:type="continuationSeparator" w:id="0">
    <w:p w:rsidR="006A5CA3" w:rsidRDefault="0065415D">
      <w:pPr>
        <w:spacing w:before="0" w:after="0"/>
      </w:pPr>
      <w:r>
        <w:continuationSeparator/>
      </w:r>
    </w:p>
    <w:p w:rsidR="006A5CA3" w:rsidRDefault="006A5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A3" w:rsidRDefault="006A5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A3" w:rsidRDefault="0065415D">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A3" w:rsidRDefault="006A5C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A3" w:rsidRDefault="0065415D">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w:instrText>
    </w:r>
    <w:r>
      <w:instrText xml:space="preserve">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A3" w:rsidRDefault="006A5CA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A3" w:rsidRDefault="0065415D">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tab/>
    </w:r>
    <w:r>
      <w:rPr>
        <w:rFonts w:ascii="Arial" w:hAnsi="Arial" w:cs="Arial"/>
        <w:b/>
        <w:sz w:val="48"/>
      </w:rPr>
      <w:t>BG</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A3" w:rsidRDefault="006A5CA3">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A3" w:rsidRDefault="0065415D">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r>
      <w:tab/>
    </w:r>
    <w:r>
      <w:rPr>
        <w:rFonts w:ascii="Arial" w:hAnsi="Arial" w:cs="Arial"/>
        <w:b/>
        <w:sz w:val="48"/>
      </w:rPr>
      <w:t>BG</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A3" w:rsidRDefault="006A5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CA3" w:rsidRDefault="0065415D">
      <w:pPr>
        <w:spacing w:before="0" w:after="0"/>
      </w:pPr>
      <w:r>
        <w:separator/>
      </w:r>
    </w:p>
    <w:p w:rsidR="006A5CA3" w:rsidRDefault="006A5CA3"/>
  </w:footnote>
  <w:footnote w:type="continuationSeparator" w:id="0">
    <w:p w:rsidR="006A5CA3" w:rsidRDefault="0065415D">
      <w:pPr>
        <w:spacing w:before="0" w:after="0"/>
      </w:pPr>
      <w:r>
        <w:continuationSeparator/>
      </w:r>
    </w:p>
    <w:p w:rsidR="006A5CA3" w:rsidRDefault="006A5CA3"/>
  </w:footnote>
  <w:footnote w:id="1">
    <w:p w:rsidR="006A5CA3" w:rsidRDefault="0065415D">
      <w:pPr>
        <w:pStyle w:val="FootnoteText"/>
        <w:rPr>
          <w:lang w:val="fr-BE"/>
        </w:rPr>
      </w:pPr>
      <w:r>
        <w:rPr>
          <w:rStyle w:val="FootnoteReference"/>
        </w:rPr>
        <w:footnoteRef/>
      </w:r>
      <w:r>
        <w:tab/>
      </w:r>
      <w:hyperlink r:id="rId1">
        <w:r>
          <w:rPr>
            <w:rStyle w:val="Hyperlink"/>
          </w:rPr>
          <w:t>https://www.consilium.europa.eu/media/37100/20181121-cover-political-declaration.pdf</w:t>
        </w:r>
      </w:hyperlink>
    </w:p>
  </w:footnote>
  <w:footnote w:id="2">
    <w:p w:rsidR="006A5CA3" w:rsidRDefault="0065415D">
      <w:pPr>
        <w:pStyle w:val="FootnoteText"/>
      </w:pPr>
      <w:r>
        <w:rPr>
          <w:rStyle w:val="FootnoteReference"/>
        </w:rPr>
        <w:footnoteRef/>
      </w:r>
      <w:r>
        <w:tab/>
        <w:t xml:space="preserve">Регламент (ЕС) № 182/2011 на Европейския парламент и на Съвета от 16 февруари 2011 г. за установяване на общите правила и принципи относно реда и </w:t>
      </w:r>
      <w:r>
        <w:t>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3">
    <w:p w:rsidR="006A5CA3" w:rsidRDefault="0065415D">
      <w:pPr>
        <w:pStyle w:val="FootnoteText"/>
      </w:pPr>
      <w:r>
        <w:rPr>
          <w:rStyle w:val="FootnoteReference"/>
        </w:rPr>
        <w:footnoteRef/>
      </w:r>
      <w:r>
        <w:tab/>
        <w:t>Регламент (ЕО) № 1683/95 на Съвета от 29 май 1995 г. за определяне на единен формат за визи (ОВ L</w:t>
      </w:r>
      <w:r>
        <w:t> 164, 14.7.1995 г., стр. 1).</w:t>
      </w:r>
    </w:p>
  </w:footnote>
  <w:footnote w:id="4">
    <w:p w:rsidR="006A5CA3" w:rsidRDefault="0065415D">
      <w:pPr>
        <w:pStyle w:val="FootnoteText"/>
      </w:pPr>
      <w:r>
        <w:rPr>
          <w:rStyle w:val="FootnoteReference"/>
        </w:rPr>
        <w:footnoteRef/>
      </w:r>
      <w:r>
        <w:tab/>
        <w:t>Регламент (ЕС) № 952/2013 на Европейския парламент и на Съвета от 9 октомври 2013 г. за създаване на Митнически кодекс на Съюза (OB L 269, 10.10.2013 г., стр. 1).</w:t>
      </w:r>
    </w:p>
  </w:footnote>
  <w:footnote w:id="5">
    <w:p w:rsidR="006A5CA3" w:rsidRDefault="0065415D">
      <w:pPr>
        <w:pStyle w:val="FootnoteText"/>
        <w:rPr>
          <w:szCs w:val="24"/>
        </w:rPr>
      </w:pPr>
      <w:r>
        <w:rPr>
          <w:rStyle w:val="FootnoteReference"/>
        </w:rPr>
        <w:footnoteRef/>
      </w:r>
      <w:r>
        <w:tab/>
        <w:t xml:space="preserve">Съгласно член 58, параграф 2, буква а) или б) от Финансовия </w:t>
      </w:r>
      <w:r>
        <w:t>регламент.</w:t>
      </w:r>
    </w:p>
  </w:footnote>
  <w:footnote w:id="6">
    <w:p w:rsidR="006A5CA3" w:rsidRDefault="0065415D">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2">
        <w:r>
          <w:rPr>
            <w:rStyle w:val="Hyperlink"/>
          </w:rPr>
          <w:t>https://myin</w:t>
        </w:r>
        <w:r>
          <w:rPr>
            <w:rStyle w:val="Hyperlink"/>
          </w:rPr>
          <w:t>tracomm.ec.europa.eu/budgweb/EN/man/budgmanag/Pages/budgmanag.aspx</w:t>
        </w:r>
      </w:hyperlink>
      <w:r>
        <w:t xml:space="preserve"> </w:t>
      </w:r>
    </w:p>
  </w:footnote>
  <w:footnote w:id="7">
    <w:p w:rsidR="006A5CA3" w:rsidRDefault="0065415D">
      <w:pPr>
        <w:pStyle w:val="FootnoteText"/>
        <w:rPr>
          <w:szCs w:val="24"/>
        </w:rPr>
      </w:pPr>
      <w:r>
        <w:rPr>
          <w:rStyle w:val="FootnoteReference"/>
        </w:rPr>
        <w:footnoteRef/>
      </w:r>
      <w:r>
        <w:tab/>
        <w:t>Многогод.= многогодишни бюджетни кредити/едногод. = едногодишни бюджетни кредити.</w:t>
      </w:r>
    </w:p>
  </w:footnote>
  <w:footnote w:id="8">
    <w:p w:rsidR="006A5CA3" w:rsidRDefault="0065415D">
      <w:pPr>
        <w:pStyle w:val="FootnoteText"/>
        <w:rPr>
          <w:szCs w:val="24"/>
        </w:rPr>
      </w:pPr>
      <w:r>
        <w:rPr>
          <w:rStyle w:val="FootnoteReference"/>
        </w:rPr>
        <w:footnoteRef/>
      </w:r>
      <w:r>
        <w:tab/>
        <w:t xml:space="preserve">ЕАСТ: Европейска асоциация за свободна търговия. </w:t>
      </w:r>
    </w:p>
  </w:footnote>
  <w:footnote w:id="9">
    <w:p w:rsidR="006A5CA3" w:rsidRDefault="0065415D">
      <w:pPr>
        <w:pStyle w:val="FootnoteText"/>
        <w:rPr>
          <w:szCs w:val="24"/>
        </w:rPr>
      </w:pPr>
      <w:r>
        <w:rPr>
          <w:rStyle w:val="FootnoteReference"/>
        </w:rPr>
        <w:footnoteRef/>
      </w:r>
      <w:r>
        <w:tab/>
        <w:t>Държави кандидатки и, ако е приложимо, потенциални</w:t>
      </w:r>
      <w:r>
        <w:t xml:space="preserve"> кандидатки от Западните Балкани.</w:t>
      </w:r>
    </w:p>
  </w:footnote>
  <w:footnote w:id="10">
    <w:p w:rsidR="006A5CA3" w:rsidRDefault="0065415D">
      <w:pPr>
        <w:pStyle w:val="FootnoteText"/>
        <w:rPr>
          <w:sz w:val="18"/>
          <w:szCs w:val="18"/>
        </w:rPr>
      </w:pPr>
      <w:r>
        <w:rPr>
          <w:rStyle w:val="FootnoteReference"/>
        </w:rPr>
        <w:footnoteRef/>
      </w:r>
      <w:r>
        <w:tab/>
      </w:r>
      <w:r>
        <w:rPr>
          <w:sz w:val="18"/>
        </w:rPr>
        <w:t>Година N е годината, през която започва да се осъществява предложението/инициативата. Моля, заменете буквата N с очакваната първа година от изпълнението (например: 2021). Същото за следващите години.</w:t>
      </w:r>
    </w:p>
  </w:footnote>
  <w:footnote w:id="11">
    <w:p w:rsidR="006A5CA3" w:rsidRDefault="0065415D">
      <w:pPr>
        <w:pStyle w:val="FootnoteText"/>
        <w:rPr>
          <w:sz w:val="18"/>
          <w:szCs w:val="18"/>
        </w:rPr>
      </w:pPr>
      <w:r>
        <w:rPr>
          <w:rStyle w:val="FootnoteReference"/>
        </w:rPr>
        <w:footnoteRef/>
      </w:r>
      <w:r>
        <w:tab/>
      </w:r>
      <w:r>
        <w:rPr>
          <w:sz w:val="18"/>
        </w:rPr>
        <w:t>Съгласно официална</w:t>
      </w:r>
      <w:r>
        <w:rPr>
          <w:sz w:val="18"/>
        </w:rPr>
        <w:t>та бюджетна номенклатура.</w:t>
      </w:r>
    </w:p>
  </w:footnote>
  <w:footnote w:id="12">
    <w:p w:rsidR="006A5CA3" w:rsidRDefault="0065415D">
      <w:pPr>
        <w:pStyle w:val="FootnoteText"/>
        <w:rPr>
          <w:szCs w:val="24"/>
        </w:rPr>
      </w:pPr>
      <w:r>
        <w:rPr>
          <w:rStyle w:val="FootnoteReference"/>
        </w:rPr>
        <w:footnoteRef/>
      </w:r>
      <w:r>
        <w:tab/>
      </w:r>
      <w:r>
        <w:rPr>
          <w:sz w:val="18"/>
        </w:rP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3">
    <w:p w:rsidR="006A5CA3" w:rsidRDefault="0065415D">
      <w:pPr>
        <w:pStyle w:val="FootnoteText"/>
        <w:rPr>
          <w:szCs w:val="24"/>
        </w:rPr>
      </w:pPr>
      <w:r>
        <w:rPr>
          <w:rStyle w:val="FootnoteReference"/>
        </w:rPr>
        <w:footnoteRef/>
      </w:r>
      <w:r>
        <w:tab/>
      </w:r>
      <w:r>
        <w:rPr>
          <w:sz w:val="18"/>
        </w:rPr>
        <w:t>Година N е годината, през която започва д</w:t>
      </w:r>
      <w:r>
        <w:rPr>
          <w:sz w:val="18"/>
        </w:rPr>
        <w:t>а се осъществява предложението/инициативата. Моля, заменете буквата N с очакваната първа година от изпълнението (например: 2021). Същото за следващите години.</w:t>
      </w:r>
    </w:p>
  </w:footnote>
  <w:footnote w:id="14">
    <w:p w:rsidR="006A5CA3" w:rsidRDefault="0065415D">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w:t>
      </w:r>
      <w:r>
        <w:t>а учащи се, дължина на построените пътища в километри и т.н.).</w:t>
      </w:r>
    </w:p>
  </w:footnote>
  <w:footnote w:id="15">
    <w:p w:rsidR="006A5CA3" w:rsidRDefault="0065415D">
      <w:pPr>
        <w:pStyle w:val="FootnoteText"/>
        <w:rPr>
          <w:szCs w:val="24"/>
        </w:rPr>
      </w:pPr>
      <w:r>
        <w:rPr>
          <w:rStyle w:val="FootnoteReference"/>
        </w:rPr>
        <w:footnoteRef/>
      </w:r>
      <w:r>
        <w:tab/>
        <w:t xml:space="preserve">Съгласно описанието в точка 1.4.2. „Конкретни цели…“ </w:t>
      </w:r>
    </w:p>
  </w:footnote>
  <w:footnote w:id="16">
    <w:p w:rsidR="006A5CA3" w:rsidRDefault="0065415D">
      <w:pPr>
        <w:pStyle w:val="FootnoteText"/>
        <w:rPr>
          <w:sz w:val="18"/>
          <w:szCs w:val="18"/>
        </w:rPr>
      </w:pPr>
      <w:r>
        <w:rPr>
          <w:rStyle w:val="FootnoteReference"/>
        </w:rPr>
        <w:footnoteRef/>
      </w:r>
      <w:r>
        <w:tab/>
      </w:r>
      <w:r>
        <w:rPr>
          <w:sz w:val="18"/>
        </w:rPr>
        <w:t>Година N е годината, през която започва да се осъществява предложението/инициативата. Моля, заменете буквата N с очакваната първа годин</w:t>
      </w:r>
      <w:r>
        <w:rPr>
          <w:sz w:val="18"/>
        </w:rPr>
        <w:t>а от изпълнението (например: 2021). Същото за следващите години.</w:t>
      </w:r>
    </w:p>
  </w:footnote>
  <w:footnote w:id="17">
    <w:p w:rsidR="006A5CA3" w:rsidRDefault="0065415D">
      <w:pPr>
        <w:pStyle w:val="FootnoteText"/>
        <w:rPr>
          <w:szCs w:val="24"/>
        </w:rPr>
      </w:pPr>
      <w:r>
        <w:rPr>
          <w:rStyle w:val="FootnoteReference"/>
        </w:rPr>
        <w:footnoteRef/>
      </w:r>
      <w:r>
        <w:tab/>
      </w:r>
      <w:r>
        <w:rPr>
          <w:sz w:val="18"/>
        </w:rP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8">
    <w:p w:rsidR="006A5CA3" w:rsidRDefault="0065415D">
      <w:pPr>
        <w:pStyle w:val="FootnoteText"/>
        <w:rPr>
          <w:szCs w:val="24"/>
        </w:rPr>
      </w:pPr>
      <w:r>
        <w:rPr>
          <w:rStyle w:val="FootnoteReference"/>
        </w:rPr>
        <w:footnoteRef/>
      </w:r>
      <w:r>
        <w:tab/>
        <w:t>ДН</w:t>
      </w:r>
      <w:r>
        <w:t xml:space="preserve">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19">
    <w:p w:rsidR="006A5CA3" w:rsidRDefault="0065415D">
      <w:pPr>
        <w:pStyle w:val="FootnoteText"/>
        <w:rPr>
          <w:szCs w:val="24"/>
        </w:rPr>
      </w:pPr>
      <w:r>
        <w:rPr>
          <w:rStyle w:val="FootnoteReference"/>
        </w:rPr>
        <w:footnoteRef/>
      </w:r>
      <w:r>
        <w:tab/>
        <w:t>Подтаван за външния персонал, покрит с бюджетните кредити за оперативни ра</w:t>
      </w:r>
      <w:r>
        <w:t>зходи (предишни редове BA).</w:t>
      </w:r>
    </w:p>
  </w:footnote>
  <w:footnote w:id="20">
    <w:p w:rsidR="006A5CA3" w:rsidRDefault="0065415D">
      <w:pPr>
        <w:pStyle w:val="FootnoteText"/>
      </w:pPr>
      <w:r>
        <w:rPr>
          <w:rStyle w:val="FootnoteReference"/>
        </w:rPr>
        <w:footnoteRef/>
      </w:r>
      <w:r>
        <w:tab/>
        <w:t>Година N е годината, през която започва да се осъществява предложението/инициативата. Моля, заменете буквата N с очакваната първа година от изпълнението (например: 2021). Същото за следващите години.</w:t>
      </w:r>
    </w:p>
  </w:footnote>
  <w:footnote w:id="21">
    <w:p w:rsidR="006A5CA3" w:rsidRDefault="0065415D">
      <w:pPr>
        <w:pStyle w:val="FootnoteText"/>
        <w:rPr>
          <w:szCs w:val="24"/>
        </w:rPr>
      </w:pPr>
      <w:r>
        <w:rPr>
          <w:rStyle w:val="FootnoteReference"/>
        </w:rPr>
        <w:footnoteRef/>
      </w:r>
      <w:r>
        <w:tab/>
        <w:t>Що се отнася до традицио</w:t>
      </w:r>
      <w:r>
        <w:t>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A3" w:rsidRDefault="006A5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A3" w:rsidRDefault="006A5C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A3" w:rsidRDefault="006A5C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A3" w:rsidRDefault="006A5CA3">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A3" w:rsidRDefault="006A5CA3">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A3" w:rsidRDefault="006A5CA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A3" w:rsidRDefault="006A5C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662F44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5927C6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9BA307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3684D96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F825CB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FEAFA2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DD8CD1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F80AFE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15:restartNumberingAfterBreak="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21" w15:restartNumberingAfterBreak="0">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num>
  <w:num w:numId="12">
    <w:abstractNumId w:val="28"/>
    <w:lvlOverride w:ilvl="0">
      <w:startOverride w:val="1"/>
    </w:lvlOverride>
  </w:num>
  <w:num w:numId="13">
    <w:abstractNumId w:val="8"/>
  </w:num>
  <w:num w:numId="14">
    <w:abstractNumId w:val="15"/>
  </w:num>
  <w:num w:numId="15">
    <w:abstractNumId w:val="21"/>
  </w:num>
  <w:num w:numId="16">
    <w:abstractNumId w:val="20"/>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6"/>
  </w:num>
  <w:num w:numId="23">
    <w:abstractNumId w:val="10"/>
  </w:num>
  <w:num w:numId="24">
    <w:abstractNumId w:val="25"/>
  </w:num>
  <w:num w:numId="25">
    <w:abstractNumId w:val="17"/>
  </w:num>
  <w:num w:numId="26">
    <w:abstractNumId w:val="27"/>
  </w:num>
  <w:num w:numId="27">
    <w:abstractNumId w:val="14"/>
  </w:num>
  <w:num w:numId="28">
    <w:abstractNumId w:val="18"/>
  </w:num>
  <w:num w:numId="29">
    <w:abstractNumId w:val="12"/>
  </w:num>
  <w:num w:numId="30">
    <w:abstractNumId w:val="26"/>
  </w:num>
  <w:num w:numId="31">
    <w:abstractNumId w:val="11"/>
  </w:num>
  <w:num w:numId="32">
    <w:abstractNumId w:val="19"/>
  </w:num>
  <w:num w:numId="33">
    <w:abstractNumId w:val="23"/>
  </w:num>
  <w:num w:numId="34">
    <w:abstractNumId w:val="24"/>
  </w:num>
  <w:num w:numId="35">
    <w:abstractNumId w:val="13"/>
  </w:num>
  <w:num w:numId="36">
    <w:abstractNumId w:val="22"/>
  </w:num>
  <w:num w:numId="37">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hideSpellingErrors/>
  <w:hideGrammaticalErrors/>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1 15:19:0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F9859F42-CCF1-4E29-B30B-ECFCA7A66C0B"/>
    <w:docVar w:name="LW_COVERPAGE_TYPE" w:val="1"/>
    <w:docVar w:name="LW_CROSSREFERENCE" w:val="&lt;UNUSED&gt;"/>
    <w:docVar w:name="LW_DocType" w:val="COM"/>
    <w:docVar w:name="LW_EMISSION" w:val="5.12.2018"/>
    <w:docVar w:name="LW_EMISSION_ISODATE" w:val="2018-12-05"/>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427"/>
    <w:docVar w:name="LW_REF.II.NEW.CP_YEAR" w:val="2018"/>
    <w:docVar w:name="LW_REF.INST.NEW" w:val="COM"/>
    <w:docVar w:name="LW_REF.INST.NEW_ADOPTED" w:val="final"/>
    <w:docVar w:name="LW_REF.INST.NEW_TEXT" w:val="(2018) 8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9?\u1082?\u1083?\u1102?\u1095?\u1074?\u1072?\u1085?\u1077?\u1090?\u1086? \u1085?\u1072? \u1057?\u1087?\u1086?\u1088?\u1072?\u1079?\u1091?\u1084?\u1077?\u1085?\u1080?\u1077?\u1090?\u1086? \u1079?\u1072? \u1086?\u1090?\u1090?\u1077?\u1075?\u1083?\u1103?\u1085?\u1077? \u1085?\u1072? \u1054?\u1073?\u1077?\u1076?\u1080?\u1085?\u1077?\u1085?\u1086?\u1090?\u1086? \u1082?\u1088?\u1072?\u1083?\u1089?\u1090?\u1074?\u1086? \u1042?\u1077?\u1083?\u1080?\u1082?\u1086?\u1073?\u1088?\u1080?\u1090?\u1072?\u1085?\u1080?\u1103? \u1080? \u1057?\u1077?\u1074?\u1077?\u1088?\u1085?\u1072? \u1048?\u1088?\u1083?\u1072?\u1085?\u1076?\u1080?\u1103? \u1086?\u1090? \u1045?\u1074?\u1088?\u1086?\u1087?\u1077?\u1081?\u1089?\u1082?\u1080?\u1103? \u1089?\u1098?\u1102?\u1079? \u1080? \u1045?\u1074?\u1088?\u1086?\u1087?\u1077?\u1081?\u1089?\u1082?\u1072?\u1090?\u1072? \u1086?\u1073?\u1097?\u1085?\u1086?\u1089?\u1090? \u1079?\u1072? \u1072?\u1090?\u1086?\u1084?\u1085?\u1072? \u1077?\u1085?\u1077?\u1088?\u1075?\u1080?\u1103?_x000b_"/>
    <w:docVar w:name="LW_TYPE.DOC.CP" w:val="\u1056?\u1045?\u1064?\u1045?\u1053?\u1048?\u1045? \u1053?\u1040? \u1057?\u1066?\u1042?\u1045?\u1058?\u1040?"/>
  </w:docVars>
  <w:rsids>
    <w:rsidRoot w:val="006A5CA3"/>
    <w:rsid w:val="0065415D"/>
    <w:rsid w:val="006A5C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8D21A5D-03FB-4883-B9F4-4ED521CE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
    <w:basedOn w:val="Normal"/>
    <w:link w:val="ListParagraphChar"/>
    <w:uiPriority w:val="34"/>
    <w:qFormat/>
    <w:pPr>
      <w:ind w:left="720"/>
      <w:contextualSpacing/>
    </w:p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ListBullet1">
    <w:name w:val="List Bullet 1"/>
    <w:basedOn w:val="Normal"/>
    <w:pPr>
      <w:numPr>
        <w:numId w:val="13"/>
      </w:numPr>
    </w:pPr>
    <w:rPr>
      <w:rFonts w:eastAsia="Times New Roman"/>
    </w:rPr>
  </w:style>
  <w:style w:type="paragraph" w:customStyle="1" w:styleId="ListDash">
    <w:name w:val="List Dash"/>
    <w:basedOn w:val="Normal"/>
    <w:pPr>
      <w:numPr>
        <w:numId w:val="14"/>
      </w:numPr>
    </w:pPr>
    <w:rPr>
      <w:rFonts w:eastAsia="Times New Roman"/>
    </w:rPr>
  </w:style>
  <w:style w:type="paragraph" w:customStyle="1" w:styleId="ListDash1">
    <w:name w:val="List Dash 1"/>
    <w:basedOn w:val="Normal"/>
    <w:pPr>
      <w:numPr>
        <w:numId w:val="15"/>
      </w:numPr>
    </w:pPr>
    <w:rPr>
      <w:rFonts w:eastAsia="Times New Roman"/>
    </w:rPr>
  </w:style>
  <w:style w:type="paragraph" w:customStyle="1" w:styleId="ListDash2">
    <w:name w:val="List Dash 2"/>
    <w:basedOn w:val="Normal"/>
    <w:pPr>
      <w:numPr>
        <w:numId w:val="16"/>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34"/>
    <w:locked/>
    <w:rPr>
      <w:rFonts w:ascii="Times New Roman" w:hAnsi="Times New Roman" w:cs="Times New Roman"/>
      <w:sz w:val="24"/>
      <w:lang w:val="bg-BG"/>
    </w:rPr>
  </w:style>
  <w:style w:type="paragraph" w:customStyle="1" w:styleId="Paragraphe">
    <w:name w:val="Paragraphe"/>
    <w:basedOn w:val="Titrearticle"/>
  </w:style>
  <w:style w:type="character" w:styleId="Emphasis">
    <w:name w:val="Emphasis"/>
    <w:basedOn w:val="DefaultParagraphFont"/>
    <w:uiPriority w:val="20"/>
    <w:qFormat/>
    <w:rPr>
      <w:i/>
      <w:iC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bg-BG"/>
    </w:rPr>
  </w:style>
  <w:style w:type="character" w:customStyle="1" w:styleId="FooterSensitivityChar">
    <w:name w:val="Footer Sensitivity Char"/>
    <w:basedOn w:val="DefaultParagraphFont"/>
    <w:rPr>
      <w:rFonts w:ascii="Times New Roman" w:hAnsi="Times New Roman" w:cs="Times New Roman"/>
      <w:b/>
      <w:sz w:val="32"/>
      <w:lang w:val="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bg-BG"/>
    </w:rPr>
  </w:style>
  <w:style w:type="character" w:customStyle="1" w:styleId="HeaderSensitivityChar">
    <w:name w:val="Header Sensitivity Char"/>
    <w:basedOn w:val="DefaultParagraphFont"/>
    <w:rPr>
      <w:rFonts w:ascii="Times New Roman" w:hAnsi="Times New Roman" w:cs="Times New Roman"/>
      <w:b/>
      <w:sz w:val="32"/>
      <w:lang w:val="bg-BG"/>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customStyle="1" w:styleId="ListDash3">
    <w:name w:val="List Dash 3"/>
    <w:basedOn w:val="Normal"/>
    <w:pPr>
      <w:numPr>
        <w:numId w:val="21"/>
      </w:numPr>
    </w:pPr>
    <w:rPr>
      <w:rFonts w:eastAsia="Times New Roman"/>
    </w:rPr>
  </w:style>
  <w:style w:type="paragraph" w:customStyle="1" w:styleId="ListDash4">
    <w:name w:val="List Dash 4"/>
    <w:basedOn w:val="Normal"/>
    <w:pPr>
      <w:numPr>
        <w:numId w:val="22"/>
      </w:numPr>
    </w:pPr>
    <w:rPr>
      <w:rFonts w:eastAsia="Times New Roman"/>
    </w:rPr>
  </w:style>
  <w:style w:type="paragraph" w:customStyle="1" w:styleId="ListNumber1">
    <w:name w:val="List Number 1"/>
    <w:basedOn w:val="Text1"/>
    <w:pPr>
      <w:numPr>
        <w:numId w:val="23"/>
      </w:numPr>
    </w:pPr>
    <w:rPr>
      <w:rFonts w:eastAsia="Times New Roman"/>
    </w:rPr>
  </w:style>
  <w:style w:type="paragraph" w:customStyle="1" w:styleId="ListNumber1Level2">
    <w:name w:val="List Number 1 (Level 2)"/>
    <w:basedOn w:val="Text1"/>
    <w:pPr>
      <w:numPr>
        <w:ilvl w:val="1"/>
        <w:numId w:val="23"/>
      </w:numPr>
    </w:pPr>
    <w:rPr>
      <w:rFonts w:eastAsia="Times New Roman"/>
    </w:rPr>
  </w:style>
  <w:style w:type="paragraph" w:customStyle="1" w:styleId="ListNumber2Level2">
    <w:name w:val="List Number 2 (Level 2)"/>
    <w:basedOn w:val="Text2"/>
    <w:pPr>
      <w:tabs>
        <w:tab w:val="num" w:pos="2268"/>
      </w:tabs>
      <w:ind w:left="2268" w:hanging="708"/>
    </w:pPr>
    <w:rPr>
      <w:rFonts w:eastAsia="Times New Roman"/>
    </w:rPr>
  </w:style>
  <w:style w:type="paragraph" w:customStyle="1" w:styleId="ListNumber3Level2">
    <w:name w:val="List Number 3 (Level 2)"/>
    <w:basedOn w:val="Text3"/>
    <w:pPr>
      <w:tabs>
        <w:tab w:val="num" w:pos="2268"/>
      </w:tabs>
      <w:ind w:left="2268" w:hanging="708"/>
    </w:pPr>
    <w:rPr>
      <w:rFonts w:eastAsia="Times New Roman"/>
    </w:rPr>
  </w:style>
  <w:style w:type="paragraph" w:customStyle="1" w:styleId="ListNumber4Level2">
    <w:name w:val="List Number 4 (Level 2)"/>
    <w:basedOn w:val="Text4"/>
    <w:pPr>
      <w:tabs>
        <w:tab w:val="num" w:pos="2268"/>
      </w:tabs>
      <w:ind w:left="2268" w:hanging="708"/>
    </w:pPr>
    <w:rPr>
      <w:rFonts w:eastAsia="Times New Roman"/>
    </w:rPr>
  </w:style>
  <w:style w:type="paragraph" w:customStyle="1" w:styleId="ListNumber1Level3">
    <w:name w:val="List Number 1 (Level 3)"/>
    <w:basedOn w:val="Text1"/>
    <w:pPr>
      <w:numPr>
        <w:ilvl w:val="2"/>
        <w:numId w:val="23"/>
      </w:numPr>
    </w:pPr>
    <w:rPr>
      <w:rFonts w:eastAsia="Times New Roman"/>
    </w:rPr>
  </w:style>
  <w:style w:type="paragraph" w:customStyle="1" w:styleId="ListNumber2Level3">
    <w:name w:val="List Number 2 (Level 3)"/>
    <w:basedOn w:val="Text2"/>
    <w:pPr>
      <w:tabs>
        <w:tab w:val="num" w:pos="2977"/>
      </w:tabs>
      <w:ind w:left="2977" w:hanging="709"/>
    </w:pPr>
    <w:rPr>
      <w:rFonts w:eastAsia="Times New Roman"/>
    </w:rPr>
  </w:style>
  <w:style w:type="paragraph" w:customStyle="1" w:styleId="ListNumber3Level3">
    <w:name w:val="List Number 3 (Level 3)"/>
    <w:basedOn w:val="Text3"/>
    <w:pPr>
      <w:tabs>
        <w:tab w:val="num" w:pos="2977"/>
      </w:tabs>
      <w:ind w:left="2977" w:hanging="709"/>
    </w:pPr>
    <w:rPr>
      <w:rFonts w:eastAsia="Times New Roman"/>
    </w:rPr>
  </w:style>
  <w:style w:type="paragraph" w:customStyle="1" w:styleId="ListNumber4Level3">
    <w:name w:val="List Number 4 (Level 3)"/>
    <w:basedOn w:val="Text4"/>
    <w:pPr>
      <w:tabs>
        <w:tab w:val="num" w:pos="2977"/>
      </w:tabs>
      <w:ind w:left="2977" w:hanging="709"/>
    </w:pPr>
    <w:rPr>
      <w:rFonts w:eastAsia="Times New Roman"/>
    </w:rPr>
  </w:style>
  <w:style w:type="paragraph" w:customStyle="1" w:styleId="ListNumber1Level4">
    <w:name w:val="List Number 1 (Level 4)"/>
    <w:basedOn w:val="Text1"/>
    <w:pPr>
      <w:numPr>
        <w:ilvl w:val="3"/>
        <w:numId w:val="23"/>
      </w:numPr>
    </w:pPr>
    <w:rPr>
      <w:rFonts w:eastAsia="Times New Roman"/>
    </w:rPr>
  </w:style>
  <w:style w:type="paragraph" w:customStyle="1" w:styleId="ListNumber2Level4">
    <w:name w:val="List Number 2 (Level 4)"/>
    <w:basedOn w:val="Text2"/>
    <w:pPr>
      <w:tabs>
        <w:tab w:val="num" w:pos="3686"/>
      </w:tabs>
      <w:ind w:left="3686" w:hanging="709"/>
    </w:pPr>
    <w:rPr>
      <w:rFonts w:eastAsia="Times New Roman"/>
    </w:rPr>
  </w:style>
  <w:style w:type="paragraph" w:customStyle="1" w:styleId="ListNumber3Level4">
    <w:name w:val="List Number 3 (Level 4)"/>
    <w:basedOn w:val="Text3"/>
    <w:pPr>
      <w:tabs>
        <w:tab w:val="num" w:pos="3686"/>
      </w:tabs>
      <w:ind w:left="3686" w:hanging="709"/>
    </w:pPr>
    <w:rPr>
      <w:rFonts w:eastAsia="Times New Roman"/>
    </w:rPr>
  </w:style>
  <w:style w:type="paragraph" w:customStyle="1" w:styleId="ListNumber4Level4">
    <w:name w:val="List Number 4 (Level 4)"/>
    <w:basedOn w:val="Text4"/>
    <w:pPr>
      <w:tabs>
        <w:tab w:val="num" w:pos="3686"/>
      </w:tabs>
      <w:ind w:left="3686" w:hanging="709"/>
    </w:pPr>
    <w:rPr>
      <w:rFonts w:eastAsia="Times New Roman"/>
    </w:rPr>
  </w:style>
  <w:style w:type="paragraph" w:customStyle="1" w:styleId="Annexetitreacte">
    <w:name w:val="Annexe titre (acte)"/>
    <w:basedOn w:val="Normal"/>
    <w:next w:val="Normal"/>
    <w:pPr>
      <w:jc w:val="center"/>
    </w:pPr>
    <w:rPr>
      <w:rFonts w:eastAsia="Times New Roman"/>
      <w:b/>
      <w:u w:val="single"/>
    </w:rPr>
  </w:style>
  <w:style w:type="paragraph" w:customStyle="1" w:styleId="Annexetitreexposglobal">
    <w:name w:val="Annexe titre (exposé global)"/>
    <w:basedOn w:val="Normal"/>
    <w:next w:val="Normal"/>
    <w:pPr>
      <w:jc w:val="center"/>
    </w:pPr>
    <w:rPr>
      <w:rFonts w:eastAsia="Times New Roman"/>
      <w:b/>
      <w:u w:val="single"/>
    </w:rPr>
  </w:style>
  <w:style w:type="paragraph" w:customStyle="1" w:styleId="Annexetitrefichefinacte">
    <w:name w:val="Annexe titre (fiche fin. acte)"/>
    <w:basedOn w:val="Normal"/>
    <w:next w:val="Normal"/>
    <w:pPr>
      <w:jc w:val="center"/>
    </w:pPr>
    <w:rPr>
      <w:rFonts w:eastAsia="Times New Roman"/>
      <w:b/>
      <w:u w:val="single"/>
    </w:rPr>
  </w:style>
  <w:style w:type="paragraph" w:customStyle="1" w:styleId="Annexetitrefichefinglobale">
    <w:name w:val="Annexe titre (fiche fin. globale)"/>
    <w:basedOn w:val="Normal"/>
    <w:next w:val="Normal"/>
    <w:pPr>
      <w:jc w:val="center"/>
    </w:pPr>
    <w:rPr>
      <w:rFonts w:eastAsia="Times New Roman"/>
      <w:b/>
      <w:u w:val="single"/>
    </w:rPr>
  </w:style>
  <w:style w:type="paragraph" w:customStyle="1" w:styleId="Annexetitreglobale">
    <w:name w:val="Annexe titre (globale)"/>
    <w:basedOn w:val="Normal"/>
    <w:next w:val="Normal"/>
    <w:pPr>
      <w:jc w:val="center"/>
    </w:pPr>
    <w:rPr>
      <w:rFonts w:eastAsia="Times New Roman"/>
      <w:b/>
      <w:u w:val="single"/>
    </w:rPr>
  </w:style>
  <w:style w:type="paragraph" w:customStyle="1" w:styleId="Exposdesmotifstitreglobal">
    <w:name w:val="Exposé des motifs titre (global)"/>
    <w:basedOn w:val="Normal"/>
    <w:next w:val="Normal"/>
    <w:pPr>
      <w:jc w:val="center"/>
    </w:pPr>
    <w:rPr>
      <w:rFonts w:eastAsia="Times New Roman"/>
      <w:b/>
      <w:u w:val="single"/>
    </w:rPr>
  </w:style>
  <w:style w:type="paragraph" w:customStyle="1" w:styleId="Langueoriginale">
    <w:name w:val="Langue originale"/>
    <w:basedOn w:val="Normal"/>
    <w:pPr>
      <w:spacing w:before="360"/>
      <w:jc w:val="center"/>
    </w:pPr>
    <w:rPr>
      <w:rFonts w:eastAsia="Times New Roman"/>
      <w:caps/>
    </w:rPr>
  </w:style>
  <w:style w:type="paragraph" w:customStyle="1" w:styleId="Phrasefinale">
    <w:name w:val="Phrase finale"/>
    <w:basedOn w:val="Normal"/>
    <w:next w:val="Normal"/>
    <w:pPr>
      <w:spacing w:before="360" w:after="0"/>
      <w:jc w:val="center"/>
    </w:pPr>
    <w:rPr>
      <w:rFonts w:eastAsia="Times New Roman"/>
    </w:rPr>
  </w:style>
  <w:style w:type="paragraph" w:customStyle="1" w:styleId="Prliminairetitre">
    <w:name w:val="Préliminaire titre"/>
    <w:basedOn w:val="Normal"/>
    <w:next w:val="Normal"/>
    <w:pPr>
      <w:spacing w:before="360" w:after="360"/>
      <w:jc w:val="center"/>
    </w:pPr>
    <w:rPr>
      <w:rFonts w:eastAsia="Times New Roman"/>
      <w:b/>
    </w:rPr>
  </w:style>
  <w:style w:type="paragraph" w:customStyle="1" w:styleId="Prliminairetype">
    <w:name w:val="Préliminaire type"/>
    <w:basedOn w:val="Normal"/>
    <w:next w:val="Normal"/>
    <w:pPr>
      <w:spacing w:before="360" w:after="0"/>
      <w:jc w:val="center"/>
    </w:pPr>
    <w:rPr>
      <w:rFonts w:eastAsia="Times New Roman"/>
      <w:b/>
    </w:rPr>
  </w:style>
  <w:style w:type="paragraph" w:customStyle="1" w:styleId="Rfrenceinstitutionelle">
    <w:name w:val="Référence institutionelle"/>
    <w:basedOn w:val="Normal"/>
    <w:next w:val="Statut"/>
    <w:pPr>
      <w:spacing w:before="0" w:after="240"/>
      <w:ind w:left="5103"/>
      <w:jc w:val="left"/>
    </w:pPr>
    <w:rPr>
      <w:rFonts w:eastAsia="Times New Roman"/>
    </w:rPr>
  </w:style>
  <w:style w:type="paragraph" w:customStyle="1" w:styleId="Rfrenceinterinstitutionelle">
    <w:name w:val="Référence interinstitutionelle"/>
    <w:basedOn w:val="Normal"/>
    <w:next w:val="Statut"/>
    <w:pPr>
      <w:spacing w:before="0" w:after="0"/>
      <w:ind w:left="5103"/>
      <w:jc w:val="left"/>
    </w:pPr>
    <w:rPr>
      <w:rFonts w:eastAsia="Times New Roman"/>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rPr>
  </w:style>
  <w:style w:type="paragraph" w:customStyle="1" w:styleId="Sous-titreobjetprliminaire">
    <w:name w:val="Sous-titre objet (préliminaire)"/>
    <w:basedOn w:val="Normal"/>
    <w:pPr>
      <w:spacing w:before="0" w:after="0"/>
      <w:jc w:val="center"/>
    </w:pPr>
    <w:rPr>
      <w:rFonts w:eastAsia="Times New Roman"/>
      <w:b/>
    </w:rPr>
  </w:style>
  <w:style w:type="paragraph" w:customStyle="1" w:styleId="Statutprliminaire">
    <w:name w:val="Statut (préliminaire)"/>
    <w:basedOn w:val="Normal"/>
    <w:next w:val="Normal"/>
    <w:pPr>
      <w:spacing w:before="360" w:after="0"/>
      <w:jc w:val="center"/>
    </w:pPr>
    <w:rPr>
      <w:rFonts w:eastAsia="Times New Roman"/>
    </w:rPr>
  </w:style>
  <w:style w:type="paragraph" w:customStyle="1" w:styleId="Titreobjetprliminaire">
    <w:name w:val="Titre objet (préliminaire)"/>
    <w:basedOn w:val="Normal"/>
    <w:next w:val="Normal"/>
    <w:pPr>
      <w:spacing w:before="360" w:after="360"/>
      <w:jc w:val="center"/>
    </w:pPr>
    <w:rPr>
      <w:rFonts w:eastAsia="Times New Roman"/>
      <w:b/>
    </w:rPr>
  </w:style>
  <w:style w:type="paragraph" w:customStyle="1" w:styleId="Typedudocumentprliminaire">
    <w:name w:val="Type du document (préliminaire)"/>
    <w:basedOn w:val="Normal"/>
    <w:next w:val="Normal"/>
    <w:pPr>
      <w:spacing w:before="360" w:after="0"/>
      <w:jc w:val="center"/>
    </w:pPr>
    <w:rPr>
      <w:rFonts w:eastAsia="Times New Roman"/>
      <w:b/>
    </w:rPr>
  </w:style>
  <w:style w:type="paragraph" w:customStyle="1" w:styleId="Fichefinancirestandardtitre">
    <w:name w:val="Fiche financière (standard) titre"/>
    <w:basedOn w:val="Normal"/>
    <w:next w:val="Normal"/>
    <w:pPr>
      <w:jc w:val="center"/>
    </w:pPr>
    <w:rPr>
      <w:rFonts w:eastAsia="Times New Roman"/>
      <w:b/>
      <w:u w:val="single"/>
    </w:rPr>
  </w:style>
  <w:style w:type="paragraph" w:customStyle="1" w:styleId="Fichefinancirestandardtitreacte">
    <w:name w:val="Fiche financière (standard) titre (acte)"/>
    <w:basedOn w:val="Normal"/>
    <w:next w:val="Normal"/>
    <w:pPr>
      <w:jc w:val="center"/>
    </w:pPr>
    <w:rPr>
      <w:rFonts w:eastAsia="Times New Roman"/>
      <w:b/>
      <w:u w:val="single"/>
    </w:rPr>
  </w:style>
  <w:style w:type="paragraph" w:customStyle="1" w:styleId="Fichefinanciretravailtitre">
    <w:name w:val="Fiche financière (travail) titre"/>
    <w:basedOn w:val="Normal"/>
    <w:next w:val="Normal"/>
    <w:pPr>
      <w:jc w:val="center"/>
    </w:pPr>
    <w:rPr>
      <w:rFonts w:eastAsia="Times New Roman"/>
      <w:b/>
      <w:u w:val="single"/>
    </w:rPr>
  </w:style>
  <w:style w:type="paragraph" w:customStyle="1" w:styleId="Fichefinanciretravailtitreacte">
    <w:name w:val="Fiche financière (travail) titre (acte)"/>
    <w:basedOn w:val="Normal"/>
    <w:next w:val="Normal"/>
    <w:pPr>
      <w:jc w:val="center"/>
    </w:pPr>
    <w:rPr>
      <w:rFonts w:eastAsia="Times New Roman"/>
      <w:b/>
      <w:u w:val="single"/>
    </w:rPr>
  </w:style>
  <w:style w:type="paragraph" w:customStyle="1" w:styleId="Fichefinancireattributiontitre">
    <w:name w:val="Fiche financière (attribution) titre"/>
    <w:basedOn w:val="Normal"/>
    <w:next w:val="Normal"/>
    <w:pPr>
      <w:jc w:val="center"/>
    </w:pPr>
    <w:rPr>
      <w:rFonts w:eastAsia="Times New Roman"/>
      <w:b/>
      <w:u w:val="single"/>
    </w:rPr>
  </w:style>
  <w:style w:type="paragraph" w:customStyle="1" w:styleId="Fichefinancireattributiontitreacte">
    <w:name w:val="Fiche financière (attribution) titre (acte)"/>
    <w:basedOn w:val="Normal"/>
    <w:next w:val="Normal"/>
    <w:pPr>
      <w:jc w:val="center"/>
    </w:pPr>
    <w:rPr>
      <w:rFonts w:eastAsia="Times New Roman"/>
      <w:b/>
      <w:u w:val="single"/>
    </w:rPr>
  </w:style>
  <w:style w:type="character" w:styleId="PageNumber">
    <w:name w:val="page number"/>
  </w:style>
  <w:style w:type="character" w:customStyle="1" w:styleId="tw4winMark">
    <w:name w:val="tw4winMark"/>
    <w:rPr>
      <w:vanish/>
      <w:color w:val="800080"/>
      <w:vertAlign w:val="subscript"/>
    </w:rPr>
  </w:style>
  <w:style w:type="character" w:customStyle="1" w:styleId="TOCHeadingChar">
    <w:name w:val="TOC Heading Char"/>
    <w:uiPriority w:val="39"/>
    <w:rPr>
      <w:rFonts w:ascii="Times New Roman" w:hAnsi="Times New Roman" w:cs="Times New Roman"/>
      <w:b/>
      <w:sz w:val="2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88174">
      <w:bodyDiv w:val="1"/>
      <w:marLeft w:val="0"/>
      <w:marRight w:val="0"/>
      <w:marTop w:val="0"/>
      <w:marBottom w:val="0"/>
      <w:divBdr>
        <w:top w:val="none" w:sz="0" w:space="0" w:color="auto"/>
        <w:left w:val="none" w:sz="0" w:space="0" w:color="auto"/>
        <w:bottom w:val="none" w:sz="0" w:space="0" w:color="auto"/>
        <w:right w:val="none" w:sz="0" w:space="0" w:color="auto"/>
      </w:divBdr>
    </w:div>
    <w:div w:id="177739579">
      <w:bodyDiv w:val="1"/>
      <w:marLeft w:val="0"/>
      <w:marRight w:val="0"/>
      <w:marTop w:val="0"/>
      <w:marBottom w:val="0"/>
      <w:divBdr>
        <w:top w:val="none" w:sz="0" w:space="0" w:color="auto"/>
        <w:left w:val="none" w:sz="0" w:space="0" w:color="auto"/>
        <w:bottom w:val="none" w:sz="0" w:space="0" w:color="auto"/>
        <w:right w:val="none" w:sz="0" w:space="0" w:color="auto"/>
      </w:divBdr>
    </w:div>
    <w:div w:id="253634391">
      <w:bodyDiv w:val="1"/>
      <w:marLeft w:val="0"/>
      <w:marRight w:val="0"/>
      <w:marTop w:val="0"/>
      <w:marBottom w:val="0"/>
      <w:divBdr>
        <w:top w:val="none" w:sz="0" w:space="0" w:color="auto"/>
        <w:left w:val="none" w:sz="0" w:space="0" w:color="auto"/>
        <w:bottom w:val="none" w:sz="0" w:space="0" w:color="auto"/>
        <w:right w:val="none" w:sz="0" w:space="0" w:color="auto"/>
      </w:divBdr>
    </w:div>
    <w:div w:id="600722067">
      <w:bodyDiv w:val="1"/>
      <w:marLeft w:val="0"/>
      <w:marRight w:val="0"/>
      <w:marTop w:val="0"/>
      <w:marBottom w:val="0"/>
      <w:divBdr>
        <w:top w:val="none" w:sz="0" w:space="0" w:color="auto"/>
        <w:left w:val="none" w:sz="0" w:space="0" w:color="auto"/>
        <w:bottom w:val="none" w:sz="0" w:space="0" w:color="auto"/>
        <w:right w:val="none" w:sz="0" w:space="0" w:color="auto"/>
      </w:divBdr>
    </w:div>
    <w:div w:id="602736188">
      <w:bodyDiv w:val="1"/>
      <w:marLeft w:val="0"/>
      <w:marRight w:val="0"/>
      <w:marTop w:val="0"/>
      <w:marBottom w:val="0"/>
      <w:divBdr>
        <w:top w:val="none" w:sz="0" w:space="0" w:color="auto"/>
        <w:left w:val="none" w:sz="0" w:space="0" w:color="auto"/>
        <w:bottom w:val="none" w:sz="0" w:space="0" w:color="auto"/>
        <w:right w:val="none" w:sz="0" w:space="0" w:color="auto"/>
      </w:divBdr>
    </w:div>
    <w:div w:id="609316712">
      <w:bodyDiv w:val="1"/>
      <w:marLeft w:val="0"/>
      <w:marRight w:val="0"/>
      <w:marTop w:val="0"/>
      <w:marBottom w:val="0"/>
      <w:divBdr>
        <w:top w:val="none" w:sz="0" w:space="0" w:color="auto"/>
        <w:left w:val="none" w:sz="0" w:space="0" w:color="auto"/>
        <w:bottom w:val="none" w:sz="0" w:space="0" w:color="auto"/>
        <w:right w:val="none" w:sz="0" w:space="0" w:color="auto"/>
      </w:divBdr>
    </w:div>
    <w:div w:id="705328353">
      <w:bodyDiv w:val="1"/>
      <w:marLeft w:val="0"/>
      <w:marRight w:val="0"/>
      <w:marTop w:val="0"/>
      <w:marBottom w:val="0"/>
      <w:divBdr>
        <w:top w:val="none" w:sz="0" w:space="0" w:color="auto"/>
        <w:left w:val="none" w:sz="0" w:space="0" w:color="auto"/>
        <w:bottom w:val="none" w:sz="0" w:space="0" w:color="auto"/>
        <w:right w:val="none" w:sz="0" w:space="0" w:color="auto"/>
      </w:divBdr>
    </w:div>
    <w:div w:id="752625040">
      <w:bodyDiv w:val="1"/>
      <w:marLeft w:val="0"/>
      <w:marRight w:val="0"/>
      <w:marTop w:val="0"/>
      <w:marBottom w:val="0"/>
      <w:divBdr>
        <w:top w:val="none" w:sz="0" w:space="0" w:color="auto"/>
        <w:left w:val="none" w:sz="0" w:space="0" w:color="auto"/>
        <w:bottom w:val="none" w:sz="0" w:space="0" w:color="auto"/>
        <w:right w:val="none" w:sz="0" w:space="0" w:color="auto"/>
      </w:divBdr>
    </w:div>
    <w:div w:id="905338585">
      <w:bodyDiv w:val="1"/>
      <w:marLeft w:val="0"/>
      <w:marRight w:val="0"/>
      <w:marTop w:val="0"/>
      <w:marBottom w:val="0"/>
      <w:divBdr>
        <w:top w:val="none" w:sz="0" w:space="0" w:color="auto"/>
        <w:left w:val="none" w:sz="0" w:space="0" w:color="auto"/>
        <w:bottom w:val="none" w:sz="0" w:space="0" w:color="auto"/>
        <w:right w:val="none" w:sz="0" w:space="0" w:color="auto"/>
      </w:divBdr>
    </w:div>
    <w:div w:id="916935487">
      <w:bodyDiv w:val="1"/>
      <w:marLeft w:val="0"/>
      <w:marRight w:val="0"/>
      <w:marTop w:val="0"/>
      <w:marBottom w:val="0"/>
      <w:divBdr>
        <w:top w:val="none" w:sz="0" w:space="0" w:color="auto"/>
        <w:left w:val="none" w:sz="0" w:space="0" w:color="auto"/>
        <w:bottom w:val="none" w:sz="0" w:space="0" w:color="auto"/>
        <w:right w:val="none" w:sz="0" w:space="0" w:color="auto"/>
      </w:divBdr>
    </w:div>
    <w:div w:id="1178927289">
      <w:bodyDiv w:val="1"/>
      <w:marLeft w:val="0"/>
      <w:marRight w:val="0"/>
      <w:marTop w:val="0"/>
      <w:marBottom w:val="0"/>
      <w:divBdr>
        <w:top w:val="none" w:sz="0" w:space="0" w:color="auto"/>
        <w:left w:val="none" w:sz="0" w:space="0" w:color="auto"/>
        <w:bottom w:val="none" w:sz="0" w:space="0" w:color="auto"/>
        <w:right w:val="none" w:sz="0" w:space="0" w:color="auto"/>
      </w:divBdr>
    </w:div>
    <w:div w:id="1199127557">
      <w:bodyDiv w:val="1"/>
      <w:marLeft w:val="0"/>
      <w:marRight w:val="0"/>
      <w:marTop w:val="0"/>
      <w:marBottom w:val="0"/>
      <w:divBdr>
        <w:top w:val="none" w:sz="0" w:space="0" w:color="auto"/>
        <w:left w:val="none" w:sz="0" w:space="0" w:color="auto"/>
        <w:bottom w:val="none" w:sz="0" w:space="0" w:color="auto"/>
        <w:right w:val="none" w:sz="0" w:space="0" w:color="auto"/>
      </w:divBdr>
    </w:div>
    <w:div w:id="1732272584">
      <w:bodyDiv w:val="1"/>
      <w:marLeft w:val="0"/>
      <w:marRight w:val="0"/>
      <w:marTop w:val="0"/>
      <w:marBottom w:val="0"/>
      <w:divBdr>
        <w:top w:val="none" w:sz="0" w:space="0" w:color="auto"/>
        <w:left w:val="none" w:sz="0" w:space="0" w:color="auto"/>
        <w:bottom w:val="none" w:sz="0" w:space="0" w:color="auto"/>
        <w:right w:val="none" w:sz="0" w:space="0" w:color="auto"/>
      </w:divBdr>
    </w:div>
    <w:div w:id="1750693958">
      <w:bodyDiv w:val="1"/>
      <w:marLeft w:val="0"/>
      <w:marRight w:val="0"/>
      <w:marTop w:val="0"/>
      <w:marBottom w:val="0"/>
      <w:divBdr>
        <w:top w:val="none" w:sz="0" w:space="0" w:color="auto"/>
        <w:left w:val="none" w:sz="0" w:space="0" w:color="auto"/>
        <w:bottom w:val="none" w:sz="0" w:space="0" w:color="auto"/>
        <w:right w:val="none" w:sz="0" w:space="0" w:color="auto"/>
      </w:divBdr>
    </w:div>
    <w:div w:id="1856070023">
      <w:bodyDiv w:val="1"/>
      <w:marLeft w:val="0"/>
      <w:marRight w:val="0"/>
      <w:marTop w:val="0"/>
      <w:marBottom w:val="0"/>
      <w:divBdr>
        <w:top w:val="none" w:sz="0" w:space="0" w:color="auto"/>
        <w:left w:val="none" w:sz="0" w:space="0" w:color="auto"/>
        <w:bottom w:val="none" w:sz="0" w:space="0" w:color="auto"/>
        <w:right w:val="none" w:sz="0" w:space="0" w:color="auto"/>
      </w:divBdr>
    </w:div>
    <w:div w:id="2003242594">
      <w:bodyDiv w:val="1"/>
      <w:marLeft w:val="0"/>
      <w:marRight w:val="0"/>
      <w:marTop w:val="0"/>
      <w:marBottom w:val="0"/>
      <w:divBdr>
        <w:top w:val="none" w:sz="0" w:space="0" w:color="auto"/>
        <w:left w:val="none" w:sz="0" w:space="0" w:color="auto"/>
        <w:bottom w:val="none" w:sz="0" w:space="0" w:color="auto"/>
        <w:right w:val="none" w:sz="0" w:space="0" w:color="auto"/>
      </w:divBdr>
    </w:div>
    <w:div w:id="203472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yintracomm.ec.europa.eu/budgweb/EN/leg/internal/Documents/2016-5-legislative-financial-statement-ann-en.docx" TargetMode="Externa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s://www.consilium.europa.eu/media/37100/20181121-cover-political-declarat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F6553F3-75BC-4E63-914F-3A83CA1A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13</TotalTime>
  <Pages>35</Pages>
  <Words>10132</Words>
  <Characters>58867</Characters>
  <Application>Microsoft Office Word</Application>
  <DocSecurity>0</DocSecurity>
  <Lines>2102</Lines>
  <Paragraphs>831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HEILEMANN Stefanie (SG)</cp:lastModifiedBy>
  <cp:revision>21</cp:revision>
  <cp:lastPrinted>2018-12-03T11:03:00Z</cp:lastPrinted>
  <dcterms:created xsi:type="dcterms:W3CDTF">2018-12-11T10:26:00Z</dcterms:created>
  <dcterms:modified xsi:type="dcterms:W3CDTF">2018-12-11T14:36:00Z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