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32" w:rsidRDefault="00E06C1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BA244AB-0DE6-48CD-A0CA-D43254A955EB" style="width:451.75pt;height:422.7pt">
            <v:imagedata r:id="rId8" o:title=""/>
          </v:shape>
        </w:pict>
      </w:r>
    </w:p>
    <w:p w:rsidR="00684532" w:rsidRDefault="00684532">
      <w:pPr>
        <w:rPr>
          <w:noProof/>
          <w:szCs w:val="24"/>
        </w:rPr>
        <w:sectPr w:rsidR="00684532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84532" w:rsidRDefault="00E06C11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684532" w:rsidRDefault="00E06C11">
      <w:pPr>
        <w:pStyle w:val="ManualHeading1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684532" w:rsidRDefault="00E06C11">
      <w:pPr>
        <w:pStyle w:val="ManualHeading2"/>
        <w:rPr>
          <w:noProof/>
          <w:szCs w:val="24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Основания и цели на предложението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На 29 март 2017 г. година Обединеното кралство нотифицира </w:t>
      </w:r>
      <w:r>
        <w:rPr>
          <w:noProof/>
        </w:rPr>
        <w:t>Европейския съвет съгласно член 50 от Договора за Европейския съюз за намерението си да се оттегли от Европейския съюз и от Европейската общност за атомна енергия. В съответствие с член 50 от Договора за Европейския съюз Съюзът договаря с оттеглящата се дъ</w:t>
      </w:r>
      <w:r>
        <w:rPr>
          <w:noProof/>
        </w:rPr>
        <w:t>ржава споразумение, с което се определят редът и условията за нейното оттегляне („Споразумение за оттегляне“), като се вземат предвид рамките на бъдещите ѝ отношения със Съюза. От името на Съюза Споразумението за оттегляне следва да бъде сключено от Съвета</w:t>
      </w:r>
      <w:r>
        <w:rPr>
          <w:noProof/>
        </w:rPr>
        <w:t>, след като получи одобрението на Европейския парламент.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След нотификацията Европейският съвет (член 50) прие насоки за водене на преговори на 29 април 2017 г. В контекста на тези насоки на 22 май 2017 г. Съветът упълномощи Комисията да започне преговори </w:t>
      </w:r>
      <w:r>
        <w:rPr>
          <w:noProof/>
        </w:rPr>
        <w:t>за споразумение с Обединеното кралство, с което да се определят редът и условията за оттеглянето му от Европейския съюз и от Европейската общност за атомна енергия, и прие указания за водене на тези преговори. На 15 декември 2017 г. Европейският съвет прие</w:t>
      </w:r>
      <w:r>
        <w:rPr>
          <w:noProof/>
        </w:rPr>
        <w:t xml:space="preserve"> насоки, допълващи тези от 29 април 2017 г. и определящи принципите и условията за всякакви преходни разпоредби, след което на 29 януари 2018 г. Съветът прие допълнителни указания за водене на преговорите.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Преговорите бяха проведени в съответствие с горепо</w:t>
      </w:r>
      <w:r>
        <w:rPr>
          <w:noProof/>
        </w:rPr>
        <w:t>сочените насоки от Европейския съвет и в съответствие с указанията за водене на преговори на Съвета, както и при надлежно зачитане на резолюциите на Европейския парламент от 5 април 2017 г., 3 октомври 2017 г., 13 декември 2017 г. и 14 март 2018 г.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Прегово</w:t>
      </w:r>
      <w:r>
        <w:rPr>
          <w:noProof/>
        </w:rPr>
        <w:t>рите на ниво главни преговарящи приключиха и бяха парафирани на 14 ноември 2018 г. Беше осъществен правен преглед на този текст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за подпис се предлага тази версия.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Споразумение относно бъдещите отношения между Съюза и Обединеното кралство може да бъде ск</w:t>
      </w:r>
      <w:r>
        <w:rPr>
          <w:noProof/>
        </w:rPr>
        <w:t>лючено едва след като Обединеното кралство стане трета държава. Въпреки това в член 50 от Договора за Европейския съюз се изисква рамките за бъдещите отношения със Съюза да бъдат взети предвид в споразумението, с което се определят редът и условията за отт</w:t>
      </w:r>
      <w:r>
        <w:rPr>
          <w:noProof/>
        </w:rPr>
        <w:t>еглянето. Цялостно разбиране с Обединеното кралство за рамките за бъдещите отношения беше установено по време на преговорите по член 50 в политическата декларация, очертаваща рамките на бъдещите отношения между Европейския съюз и Обединеното кралство, одоб</w:t>
      </w:r>
      <w:r>
        <w:rPr>
          <w:noProof/>
        </w:rPr>
        <w:t>рена от Европейския съвет на 25 ноември 2018 г.</w:t>
      </w:r>
      <w:r>
        <w:rPr>
          <w:rStyle w:val="FootnoteReference"/>
          <w:noProof/>
        </w:rPr>
        <w:footnoteReference w:id="2"/>
      </w:r>
    </w:p>
    <w:p w:rsidR="00684532" w:rsidRDefault="00E06C11"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Споразумението за оттегляне е в пълно съответствие с Договорите и защитава целостта и автономността на правния ред на Съюза, както и целостта на единния пазар и на </w:t>
      </w:r>
      <w:r>
        <w:rPr>
          <w:noProof/>
        </w:rPr>
        <w:lastRenderedPageBreak/>
        <w:t>м</w:t>
      </w:r>
      <w:r>
        <w:rPr>
          <w:noProof/>
        </w:rPr>
        <w:t>итническия съюз. В него се насърчават ценностите, целите и интересите на Съюза и се осигуряват съгласуваност, ефективност и последователност на неговите политики и дейности. По-специално в член 4 от Споразумението за оттегляне се определят методите и принц</w:t>
      </w:r>
      <w:r>
        <w:rPr>
          <w:noProof/>
        </w:rPr>
        <w:t>ипите, свързани с неговото действие, изпълнение и прилагане, които имат същите правни последици като разпоредбите в правото на Съюза, приложими по силата на Споразумението за оттегляне в Обединеното кралство както в рамките на Съюза и неговите държави член</w:t>
      </w:r>
      <w:r>
        <w:rPr>
          <w:noProof/>
        </w:rPr>
        <w:t>ки.</w:t>
      </w:r>
    </w:p>
    <w:p w:rsidR="00684532" w:rsidRDefault="00E06C11">
      <w:pPr>
        <w:pStyle w:val="ManualHeading2"/>
        <w:rPr>
          <w:noProof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Основни права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Съгласно член 6 от Договора за Европейския съюз Съюзът зачита правата, свободите и принципите, определени в Хартата на основните права на Европейския съюз, която има същата юридическа сила като Договорите. Освен това основните права, га</w:t>
      </w:r>
      <w:r>
        <w:rPr>
          <w:noProof/>
        </w:rPr>
        <w:t>рантирани от Европейската конвенция за защита на правата на човека и основните свободи и произтичащи от общите конституционни традиции на държавите членки, са част от правото на Съюза в качеството им на общи принципи.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szCs w:val="24"/>
        </w:rPr>
      </w:pPr>
      <w:r>
        <w:rPr>
          <w:noProof/>
        </w:rPr>
        <w:t>Тези права, свободи и принципи се запа</w:t>
      </w:r>
      <w:r>
        <w:rPr>
          <w:noProof/>
        </w:rPr>
        <w:t>зват и защитават изцяло в Съюза след оттеглянето на Обединеното кралство от него. Освен това в Споразумението за оттегляне се гарантира, че когато се прави позоваване на разпоредби или понятия от правото на Съюза, те се тълкуват и прилагат, като се използв</w:t>
      </w:r>
      <w:r>
        <w:rPr>
          <w:noProof/>
        </w:rPr>
        <w:t>ат методите и общите принципи на тълкуване, приложими в рамките на Съюза, включително последователно тълкуване с Хартата на основните права. Това е особено важно за частта от Споразумението относно правата на гражданите, която се позовава в голяма степен н</w:t>
      </w:r>
      <w:r>
        <w:rPr>
          <w:noProof/>
        </w:rPr>
        <w:t>а правото на Съюза.</w:t>
      </w:r>
    </w:p>
    <w:p w:rsidR="00684532" w:rsidRDefault="00E06C11">
      <w:pPr>
        <w:pStyle w:val="ManualHeading1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 w:rsidR="00684532" w:rsidRDefault="00E06C11">
      <w:pPr>
        <w:pStyle w:val="ManualHeading2"/>
        <w:rPr>
          <w:noProof/>
          <w:szCs w:val="24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Обединеното кралство нотифицира за своето намерение да се оттегли от Европейския съюз. Следователно член 50 от Договора за Европейския съюз представлява правното </w:t>
      </w:r>
      <w:r>
        <w:rPr>
          <w:noProof/>
        </w:rPr>
        <w:t>основание за подписването и сключването на споразумение за оттегляне. Припомня се, че в съответствие с член 106а от Договора за създаване на Европейската общност за атомна енергия член 50 от Договора за Европейския съюз се прилага също така по отношение на</w:t>
      </w:r>
      <w:r>
        <w:rPr>
          <w:noProof/>
        </w:rPr>
        <w:t xml:space="preserve"> Европейската общност за атомна енергия.</w:t>
      </w:r>
    </w:p>
    <w:p w:rsidR="00684532" w:rsidRDefault="00E06C11">
      <w:pPr>
        <w:pStyle w:val="ManualHeading2"/>
        <w:rPr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Споразумението за оттегляне урежда всички въпроси, свързани с отделянето, и в него се посочват ясно редът и условията на прехода и неговата продължителност. По този начин Споразумението за оттегля</w:t>
      </w:r>
      <w:r>
        <w:rPr>
          <w:noProof/>
        </w:rPr>
        <w:t>не е подходящо и пропорционална на целта да се осигури организирано оттегляне на Обединеното кралство от Съюза.</w:t>
      </w:r>
    </w:p>
    <w:p w:rsidR="00684532" w:rsidRDefault="00E06C11">
      <w:pPr>
        <w:pStyle w:val="ManualHeading2"/>
        <w:rPr>
          <w:noProof/>
          <w:szCs w:val="24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В съответствие с член 50, параграф 2 от Договора за Европейския съюз редът и условията за оттеглянето трябва да бъдат опре</w:t>
      </w:r>
      <w:r>
        <w:rPr>
          <w:noProof/>
        </w:rPr>
        <w:t>делени в споразумение между оттеглящата се държава и Съюза; подписването на такова споразумение се определя с решение на Съвета.</w:t>
      </w:r>
    </w:p>
    <w:p w:rsidR="00684532" w:rsidRDefault="00E06C11">
      <w:pPr>
        <w:pStyle w:val="ManualHeading1"/>
        <w:rPr>
          <w:noProof/>
          <w:szCs w:val="24"/>
        </w:rPr>
      </w:pPr>
      <w:r>
        <w:rPr>
          <w:noProof/>
        </w:rPr>
        <w:lastRenderedPageBreak/>
        <w:t>3.</w:t>
      </w:r>
      <w:r>
        <w:rPr>
          <w:noProof/>
        </w:rPr>
        <w:tab/>
        <w:t>ОТРАЖЕНИЕ ВЪРХУ БЮДЖЕТА</w:t>
      </w:r>
    </w:p>
    <w:p w:rsidR="00684532" w:rsidRDefault="00E06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szCs w:val="24"/>
        </w:rPr>
      </w:pPr>
      <w:r>
        <w:rPr>
          <w:noProof/>
        </w:rPr>
        <w:t xml:space="preserve">Тъй като със Споразумението за оттегляне се гарантира, че както Съюзът, така и Обединеното кралство </w:t>
      </w:r>
      <w:r>
        <w:rPr>
          <w:noProof/>
        </w:rPr>
        <w:t>спазват финансовите задължения, произтичащи от целия период на членство на Обединеното кралство в Съюза, единственото отражение върху бюджета от Споразумението за оттегляне по отношение на Съюза се дължи основно на създаването на Съвместния комитет, състав</w:t>
      </w:r>
      <w:r>
        <w:rPr>
          <w:noProof/>
        </w:rPr>
        <w:t>ен от представители на Съюза и на Обединеното кралство. Наред с другото, Съвместният комитет осъществява надзор и улеснява изпълнението и прилагането на Споразумението за оттегляне. Съвместният комитет заседава поне веднъж годишно по искане на всяка от стр</w:t>
      </w:r>
      <w:r>
        <w:rPr>
          <w:noProof/>
        </w:rPr>
        <w:t>аните. Освен това може да има и разходи, свързани с евентуалното започване на арбитражна процедура в рамките на процедурата за уреждане на спорове, предвидена в Споразумението. Ако се налага преходният период да бъде удължен, Обединеното кралство ще даде с</w:t>
      </w:r>
      <w:r>
        <w:rPr>
          <w:noProof/>
        </w:rPr>
        <w:t>воя принос за този нов период в бюджета на Съюза, който ще бъде третиран като общи приходи. В законодателната финансова обосновка, приложена към настоящото предложение, са представени допълнителни подробности за очакваните финансови последици за бюджета на</w:t>
      </w:r>
      <w:r>
        <w:rPr>
          <w:noProof/>
        </w:rPr>
        <w:t xml:space="preserve"> Съюза.</w:t>
      </w:r>
    </w:p>
    <w:p w:rsidR="00684532" w:rsidRDefault="00E06C11">
      <w:pPr>
        <w:pStyle w:val="ManualHeading1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>ДРУГИ ЕЛЕМЕНТИ</w:t>
      </w:r>
    </w:p>
    <w:p w:rsidR="00684532" w:rsidRDefault="00E06C11">
      <w:pPr>
        <w:pStyle w:val="ManualHeading2"/>
        <w:rPr>
          <w:noProof/>
          <w:szCs w:val="24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 w:rsidR="00684532" w:rsidRDefault="00E06C11">
      <w:pPr>
        <w:keepNext/>
        <w:outlineLvl w:val="1"/>
        <w:rPr>
          <w:rFonts w:eastAsia="Arial Unicode MS"/>
          <w:noProof/>
          <w:szCs w:val="24"/>
          <w:u w:color="000000"/>
          <w:bdr w:val="nil"/>
        </w:rPr>
      </w:pPr>
      <w:r>
        <w:rPr>
          <w:noProof/>
        </w:rPr>
        <w:t>В дял 2 от шеста част на Споразумението за оттегляне се създава Съвместен комитет, който ще упражнява постоянен надзор на изпълнението, функционирането и възде</w:t>
      </w:r>
      <w:r>
        <w:rPr>
          <w:noProof/>
        </w:rPr>
        <w:t>йствието от това споразумение. Съвместният комитет се състои от представители на Европейския съюз и представители на Обединеното кралство, които ще заседават поне веднъж годишно, ще упражняват надзор и ще улесняват изпълнението и прилагането на Споразумени</w:t>
      </w:r>
      <w:r>
        <w:rPr>
          <w:noProof/>
        </w:rPr>
        <w:t xml:space="preserve">ето, ще вземат решения относно задачите на специализираните комитети и ще упражняват надзор върху тяхната работа и също така ще внасят изменения в Споразумението, когато това е изрично предвидено в самото Споразумение. Съвместният комитет може да определя </w:t>
      </w:r>
      <w:r>
        <w:rPr>
          <w:noProof/>
        </w:rPr>
        <w:t>своите решения и препоръки единствено посредством споразумение между Съюза и Обединеното кралство. Той не може по никакъв начин да ограничава вземането на решения на равнището на Съюза. Чрез Съвместния комитет Съюзът и Обединеното кралство могат да решат д</w:t>
      </w:r>
      <w:r>
        <w:rPr>
          <w:noProof/>
        </w:rPr>
        <w:t>а изменят някои аспекти на Споразумението само в случаите, които са изрично предвидени в него. Когато страните одобрят такова решение, спрямо него трябва да се приложат съответните им приложими вътрешни изисквания и процедури.</w:t>
      </w:r>
    </w:p>
    <w:p w:rsidR="00684532" w:rsidRDefault="00E06C11">
      <w:pPr>
        <w:keepNext/>
        <w:outlineLvl w:val="1"/>
        <w:rPr>
          <w:rFonts w:eastAsia="Arial Unicode MS"/>
          <w:noProof/>
          <w:szCs w:val="24"/>
          <w:u w:color="000000"/>
          <w:bdr w:val="nil"/>
        </w:rPr>
      </w:pPr>
      <w:r>
        <w:rPr>
          <w:noProof/>
        </w:rPr>
        <w:t>Под надзора на Съвместния ком</w:t>
      </w:r>
      <w:r>
        <w:rPr>
          <w:noProof/>
        </w:rPr>
        <w:t xml:space="preserve">итет ще функционират следните специализирани комитети, т.е. един подкомитет за всяка основна част от Споразумението за оттегляне: 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Комитет по правата на гражданите;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Комитет по другите разпоредби за разделяне;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Комитет по въпроси, свързани с </w:t>
      </w:r>
      <w:r>
        <w:rPr>
          <w:noProof/>
        </w:rPr>
        <w:t>прилагането на Протокола за Ирландия/Северна Ирландия;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Комитет по въпроси, свързани с прилагането на Протокола за зоните на суверенните бази в Кипър; 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Комитет по въпроси, свързани с прилагането на Протокола за Гибралтар; и</w:t>
      </w:r>
    </w:p>
    <w:p w:rsidR="00684532" w:rsidRDefault="00E06C11"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Комитет по финансовите р</w:t>
      </w:r>
      <w:r>
        <w:rPr>
          <w:noProof/>
        </w:rPr>
        <w:t>азпоредби.</w:t>
      </w:r>
    </w:p>
    <w:p w:rsidR="00684532" w:rsidRDefault="00E06C11">
      <w:pPr>
        <w:outlineLvl w:val="1"/>
        <w:rPr>
          <w:rFonts w:eastAsia="Arial Unicode MS"/>
          <w:noProof/>
          <w:szCs w:val="24"/>
          <w:u w:color="000000"/>
          <w:bdr w:val="nil"/>
        </w:rPr>
      </w:pPr>
      <w:r>
        <w:rPr>
          <w:noProof/>
        </w:rPr>
        <w:lastRenderedPageBreak/>
        <w:t>В предложението се предвижда също така роля на Съвместния комитет за уреждането на спорове, разгледано в дял 3 от шеста част на Споразумението за оттегляне.</w:t>
      </w:r>
    </w:p>
    <w:p w:rsidR="00684532" w:rsidRDefault="00E06C11">
      <w:pPr>
        <w:pStyle w:val="ManualHeading2"/>
        <w:rPr>
          <w:noProof/>
          <w:szCs w:val="24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Подробни разяснения на отделните разпоредби на предложението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Предложението на Комисият</w:t>
      </w:r>
      <w:r>
        <w:rPr>
          <w:noProof/>
        </w:rPr>
        <w:t>а за проект на текст за Споразумението за оттегляне се състои от 185 члена, структурирани в шест части (които са разделени допълнително на дялове и глави), три протокола и девет приложения, както следва:</w:t>
      </w:r>
    </w:p>
    <w:p w:rsidR="00684532" w:rsidRDefault="00E06C11">
      <w:pPr>
        <w:rPr>
          <w:noProof/>
          <w:szCs w:val="24"/>
        </w:rPr>
      </w:pPr>
      <w:r>
        <w:rPr>
          <w:b/>
          <w:noProof/>
        </w:rPr>
        <w:t>Първата част</w:t>
      </w:r>
      <w:r>
        <w:rPr>
          <w:noProof/>
        </w:rPr>
        <w:t xml:space="preserve"> („Общи разпоредби“) съдържа общите разп</w:t>
      </w:r>
      <w:r>
        <w:rPr>
          <w:noProof/>
        </w:rPr>
        <w:t>оредби на Споразумението за оттегляне („Споразумението“), включително определенията, териториалния обхват на Споразумението за оттегляне, методите и принципите, свързани с действието, изпълнението и прилагането на Споразумението.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Във </w:t>
      </w:r>
      <w:r>
        <w:rPr>
          <w:b/>
          <w:noProof/>
        </w:rPr>
        <w:t>втората част</w:t>
      </w:r>
      <w:r>
        <w:rPr>
          <w:noProof/>
        </w:rPr>
        <w:t xml:space="preserve"> („Права н</w:t>
      </w:r>
      <w:r>
        <w:rPr>
          <w:noProof/>
        </w:rPr>
        <w:t>а гражданите“) са установени разпоредбите, насочени към запазване на засегнати от оттеглянето на Обединеното кралство статут и права, произтичащи от правото на ЕС, на гражданите на ЕС и на Обединеното кралство и на техните семейства. Втората част включва 4</w:t>
      </w:r>
      <w:r>
        <w:rPr>
          <w:noProof/>
        </w:rPr>
        <w:t xml:space="preserve"> дяла: Дял I („Общи разпоредби“), дял II („Права и задължения“), дял III („Координация на системите за социална сигурност“) и дял IV („Други разпоредби“).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В </w:t>
      </w:r>
      <w:r>
        <w:rPr>
          <w:b/>
          <w:noProof/>
        </w:rPr>
        <w:t>третата част</w:t>
      </w:r>
      <w:r>
        <w:rPr>
          <w:noProof/>
        </w:rPr>
        <w:t xml:space="preserve"> („Разпоредби за разделяне“) са установени разпоредбите за други въпроси, свързани с от</w:t>
      </w:r>
      <w:r>
        <w:rPr>
          <w:noProof/>
        </w:rPr>
        <w:t>делянето на Обединеното кралство от Съюза. Третата част включва 13 дяла: Дял I („Стоки, пуснати на пазара“), дял II („Текущи митнически процедури“), дял III („Текущи въпроси във връзка с данъка върху добавената стойност и акцизите“), дял IV („Интелектуална</w:t>
      </w:r>
      <w:r>
        <w:rPr>
          <w:noProof/>
        </w:rPr>
        <w:t xml:space="preserve"> собственост“), дял V („Текущо полицейско и съдебно сътрудничество по наказателноправни въпроси“), дял VI („Текущо съдебно сътрудничество по гражданскоправни и търговскоправни въпроси“), дял VII (Данни и информация, обработени или получени преди датата на </w:t>
      </w:r>
      <w:r>
        <w:rPr>
          <w:noProof/>
        </w:rPr>
        <w:t>влизане в сила или въз основа на това споразумение), дял VIII („Текущи процедури за възлагане на обществени поръчки и подобни процедури“), дял IX („Въпроси, свързани с Евратом“), дял X („Съдебни и административни производства на Съюза“), дял XI („Процедури</w:t>
      </w:r>
      <w:r>
        <w:rPr>
          <w:noProof/>
        </w:rPr>
        <w:t xml:space="preserve"> за административно сътрудничество между държавите членки и Обединеното кралство“), дял XII („Привилегии и имунитети“) и дял XIII („Други въпроси, свързани с функционирането на институциите, органите, службите и агенциите на Съюза“). 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В</w:t>
      </w:r>
      <w:r>
        <w:rPr>
          <w:b/>
          <w:noProof/>
        </w:rPr>
        <w:t xml:space="preserve"> четвъртата част</w:t>
      </w:r>
      <w:r>
        <w:rPr>
          <w:noProof/>
        </w:rPr>
        <w:t xml:space="preserve"> („Преход“) се установява преходният период, по време на който всички достижения на правото на ЕС ще се прилагат по отношение на Обединеното кралство с някои изключения. По време на преходния период Обединеното кралство вече няма да бъде представено в инст</w:t>
      </w:r>
      <w:r>
        <w:rPr>
          <w:noProof/>
        </w:rPr>
        <w:t>итуциите на Съюза, нито да участва в процеса на Съюза за подготовка и вземане на решения. Освен това в четвъртата част се установяват преходните разпоредби, приложими за Обединеното кралство по отношение на международните споразумения, сключени от Съюза ил</w:t>
      </w:r>
      <w:r>
        <w:rPr>
          <w:noProof/>
        </w:rPr>
        <w:t xml:space="preserve">и от държавите членки, действащи от негово име, или от Съюза и неговите държави членки, действащи съвместно. В съответствие с разпоредбите на член 129 Обединеното кралство ще бъде обвързано със задълженията, произтичащи от тези споразумения. В член 130 се </w:t>
      </w:r>
      <w:r>
        <w:rPr>
          <w:noProof/>
        </w:rPr>
        <w:t xml:space="preserve">предвижда механизъм за консултиране с цел определяне на възможностите за риболов на Обединеното кралство за преходния период. С член 131 ще се гарантира, че всички институции на Съюза ще запазят изцяло правомощията си по отношение на Обединеното кралство, </w:t>
      </w:r>
      <w:r>
        <w:rPr>
          <w:noProof/>
        </w:rPr>
        <w:t>включително компетентността на Съда на Европейския съюз. В член 132 се предвижда възможност за приемане на решение за удължаване на преходния период до 1 или 2 години.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lastRenderedPageBreak/>
        <w:t xml:space="preserve">В </w:t>
      </w:r>
      <w:r>
        <w:rPr>
          <w:b/>
          <w:noProof/>
        </w:rPr>
        <w:t>петата част</w:t>
      </w:r>
      <w:r>
        <w:rPr>
          <w:noProof/>
        </w:rPr>
        <w:t xml:space="preserve"> („Финансови разпоредби“) се определят подробни правила относно финансовото</w:t>
      </w:r>
      <w:r>
        <w:rPr>
          <w:noProof/>
        </w:rPr>
        <w:t xml:space="preserve"> споразумение, включително подробни правила относно компонентите на финансовото споразумение, както и правила за изчисляване на стойността на финансовото споразумение и условията за плащане. Определят се също така правила за реда и условията за продължаван</w:t>
      </w:r>
      <w:r>
        <w:rPr>
          <w:noProof/>
        </w:rPr>
        <w:t>е на участието на Обединеното кралство в програмите на настоящата многогодишна финансова рамка (МФР) до тяхното приключване.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В </w:t>
      </w:r>
      <w:r>
        <w:rPr>
          <w:b/>
          <w:noProof/>
        </w:rPr>
        <w:t>шестата част</w:t>
      </w:r>
      <w:r>
        <w:rPr>
          <w:noProof/>
        </w:rPr>
        <w:t xml:space="preserve"> („Институционални и заключителни разпоредби“) се определят правила за последователното тълкуване и прилагане на Спор</w:t>
      </w:r>
      <w:r>
        <w:rPr>
          <w:noProof/>
        </w:rPr>
        <w:t xml:space="preserve">азумението и се създава Съвместен комитет, както и механизъм за уреждане на спорове. Тази част съдържа и задължение страните да положат всички усилия, за да постигнат споразумение за бъдещите си отношения преди края на преходния период, както и разпоредби </w:t>
      </w:r>
      <w:r>
        <w:rPr>
          <w:noProof/>
        </w:rPr>
        <w:t>относно влизането в сила на Споразумението.</w:t>
      </w:r>
    </w:p>
    <w:p w:rsidR="00684532" w:rsidRDefault="00E06C11">
      <w:pPr>
        <w:rPr>
          <w:noProof/>
          <w:szCs w:val="24"/>
        </w:rPr>
      </w:pPr>
      <w:r>
        <w:rPr>
          <w:b/>
          <w:noProof/>
        </w:rPr>
        <w:t>Протоколът за Ирландия/Северна Ирландия</w:t>
      </w:r>
      <w:r>
        <w:rPr>
          <w:noProof/>
        </w:rPr>
        <w:t xml:space="preserve"> и неговите 10 приложения включват необходимите разпоредби за т.нар. предпазен механизъм за избягване на „твърда“ граница между Ирландия и Северна Ирландия. Това ще се прила</w:t>
      </w:r>
      <w:r>
        <w:rPr>
          <w:noProof/>
        </w:rPr>
        <w:t>га, освен ако и докато не бъде заменено напълно или частично от последващо споразумение. С протокола се създава единна митническа територия между ЕС и Обединеното кралство. По този начин ще се избегне необходимостта от тарифи, квоти или проверки на правила</w:t>
      </w:r>
      <w:r>
        <w:rPr>
          <w:noProof/>
        </w:rPr>
        <w:t>та за произход между Съюза и Обединеното кралство. В него се предвижда също така набор от мерки, за да се гарантира, че са налице еднакви условия на конкуренция между Съюза и Обединеното кралство. Освен това с протокола се гарантира, че Митническият кодекс</w:t>
      </w:r>
      <w:r>
        <w:rPr>
          <w:noProof/>
        </w:rPr>
        <w:t xml:space="preserve"> на Съюза (МКС), в който, наред с другото, се определят разпоредбите за допускане на продукти за свободно обращение в рамките на ЕС, ще продължи да се прилага за Северна Ирландия. Това ще гарантира, че предприятията от Северна Ирландия няма да са изправени</w:t>
      </w:r>
      <w:r>
        <w:rPr>
          <w:noProof/>
        </w:rPr>
        <w:t xml:space="preserve"> пред ограничения при пускането на продукти на единния пазар на ЕС. В протокола се предвижда също, че по отношение на Северна Ирландия Обединеното кралство ще продължи да спазва ограничен набор от правила, които са свързани с единния пазар на ЕС и са задъл</w:t>
      </w:r>
      <w:r>
        <w:rPr>
          <w:noProof/>
        </w:rPr>
        <w:t xml:space="preserve">жителни, за да се избегне „твърда“ граница: законодателството относно стоките, санитарните и фитосанитарните правила, правилата за селскостопанското производство, ДДС и акцизите, както и правилата за държавната помощ. Има също така разпоредби за запазване </w:t>
      </w:r>
      <w:r>
        <w:rPr>
          <w:noProof/>
        </w:rPr>
        <w:t>на единния пазар на електроенергия на остров Ирландия. Съгласно протокола общата зона за пътуване между Ирландия и Обединеното кралство и произтичащите от нея права и привилегии ще продължат да се прилагат в съответствие с правото на Съюза, по-специално от</w:t>
      </w:r>
      <w:r>
        <w:rPr>
          <w:noProof/>
        </w:rPr>
        <w:t xml:space="preserve">носно свободното движение на гражданите на ЕС. Ще продължи и сътрудничеството между Севера и Юга, както е определено в протокола, включително в областта на околната среда, здравеопазването, селското стопанство, транспорта, образованието и туризма, както и </w:t>
      </w:r>
      <w:r>
        <w:rPr>
          <w:noProof/>
        </w:rPr>
        <w:t>в областта на енергетиката, телекомуникациите, радио- и телевизионното разпръскване, сладководния риболов, правосъдието и сигурността, висшето образование и спорта.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Споразумението за оттегляне включва и </w:t>
      </w:r>
      <w:r>
        <w:rPr>
          <w:b/>
          <w:noProof/>
        </w:rPr>
        <w:t xml:space="preserve">Протокол за суверенните бази на Обединеното кралство </w:t>
      </w:r>
      <w:r>
        <w:rPr>
          <w:b/>
          <w:noProof/>
        </w:rPr>
        <w:t>в Кипър</w:t>
      </w:r>
      <w:r>
        <w:rPr>
          <w:noProof/>
        </w:rPr>
        <w:t xml:space="preserve"> („Протокол за СБ“). Предвид че отношенията между Съюза и зоните на суверенните бази в Кипър следва да се определят в контекста на членството на Кипър в Съюза, в Протокола за СБ се установяват подходящи механизми, позволяващи след оттеглянето на Обе</w:t>
      </w:r>
      <w:r>
        <w:rPr>
          <w:noProof/>
        </w:rPr>
        <w:t>диненото кралство от Съюза да се постигнат целите на договореностите, определени в Протокол 3 от Акта за присъединяване на Република Кипър към Съюза. Както се подчертава в съвместното изявление от 19 юни 2018 г., и Съюзът, и Обединеното кралство са поели а</w:t>
      </w:r>
      <w:r>
        <w:rPr>
          <w:noProof/>
        </w:rPr>
        <w:t>нгажимент за установяване на подходящи договорености за зоните на суверенните бази, „по-</w:t>
      </w:r>
      <w:r>
        <w:rPr>
          <w:noProof/>
        </w:rPr>
        <w:lastRenderedPageBreak/>
        <w:t>специално с цел да се защитят интересите на кипърските граждани, които живеят и работят в зоните на суверенните бази, след оттеглянето на Обединеното кралство от Съюза,</w:t>
      </w:r>
      <w:r>
        <w:rPr>
          <w:noProof/>
        </w:rPr>
        <w:t xml:space="preserve"> при пълно зачитане на правата и задълженията по Договора за създаването“. Съюзът и Обединеното кралство са договорили условията за протокол, приложен към Споразумението за оттегляне, по силата на който това ще се осъществи. Целта на протокола е да гаранти</w:t>
      </w:r>
      <w:r>
        <w:rPr>
          <w:noProof/>
        </w:rPr>
        <w:t>ра, че правото на Съюза, в зоните, посочени в Протокол 3 към Акта за присъединяване на Кипър, ще продължи да се прилага в зоните на суверенните бази без прекъсване или загуба на права по-специално за близо 11 000 кипърски граждани, които живеят и работят в</w:t>
      </w:r>
      <w:r>
        <w:rPr>
          <w:noProof/>
        </w:rPr>
        <w:t xml:space="preserve"> района на зоните на суверенните бази. Това се отнася до редица области на политика, като данъчното облагане, стоките, селското стопанство, рибарството и ветеринарните и фитосанитарните правила. С протокола на Република Кипър се поверява отговорността за п</w:t>
      </w:r>
      <w:r>
        <w:rPr>
          <w:noProof/>
        </w:rPr>
        <w:t xml:space="preserve">рилагането и изпълнението на правото на Съюза по отношение на повечето от обхванатите области, с изключение на сигурността и военните дела. </w:t>
      </w:r>
    </w:p>
    <w:p w:rsidR="00684532" w:rsidRDefault="00E06C11">
      <w:pPr>
        <w:rPr>
          <w:rStyle w:val="Emphasis"/>
          <w:i w:val="0"/>
          <w:noProof/>
        </w:rPr>
      </w:pPr>
      <w:r>
        <w:rPr>
          <w:noProof/>
        </w:rPr>
        <w:t xml:space="preserve">Накрая, Споразумението за оттегляне включва </w:t>
      </w:r>
      <w:r>
        <w:rPr>
          <w:b/>
          <w:noProof/>
          <w:u w:color="000000"/>
          <w:bdr w:val="nil"/>
        </w:rPr>
        <w:t>Протокол за Гибралтар</w:t>
      </w:r>
      <w:r>
        <w:rPr>
          <w:noProof/>
        </w:rPr>
        <w:t>, насочен към конкретни въпроси във връзка с Гибра</w:t>
      </w:r>
      <w:r>
        <w:rPr>
          <w:noProof/>
        </w:rPr>
        <w:t xml:space="preserve">лтар, произтичащи от оттеглянето на Обединеното кралство от Съюза. В насоките на Европейския съвет от 29 април 2017 г. се посочва, че </w:t>
      </w:r>
      <w:r>
        <w:rPr>
          <w:rStyle w:val="Emphasis"/>
          <w:i w:val="0"/>
          <w:noProof/>
        </w:rPr>
        <w:t>„спрямо територията на Гибралтар няма да е възможно да се прилага никакво споразумение между ЕС и Обединеното кралство без</w:t>
      </w:r>
      <w:r>
        <w:rPr>
          <w:rStyle w:val="Emphasis"/>
          <w:i w:val="0"/>
          <w:noProof/>
        </w:rPr>
        <w:t xml:space="preserve"> споразумение между Кралство Испания и Обединеното кралство“. Това беше припомнено в допълнителните указания на Съвета за водене на преговори от 29 януари 2018 г. и в насоките на Европейския съвет от 14 март 2018 г. В изявленията към протокола от заседание</w:t>
      </w:r>
      <w:r>
        <w:rPr>
          <w:rStyle w:val="Emphasis"/>
          <w:i w:val="0"/>
          <w:noProof/>
        </w:rPr>
        <w:t>то на Европейския съвет на 25 ноември 2018 г. беше включена следната декларация на Европейския съвет и на Комисията: „След като Обединеното кралство напусне Съюза, Гибралтар няма да бъде включен в териториалния обхват на споразуменията, които ще бъдат склю</w:t>
      </w:r>
      <w:r>
        <w:rPr>
          <w:rStyle w:val="Emphasis"/>
          <w:i w:val="0"/>
          <w:noProof/>
        </w:rPr>
        <w:t>чени между Съюза и Обединеното кралство. Това обаче не изключва възможността за отделни споразумения между Съюза и Обединеното кралство по отношение на Гибралтар. Без да се засяга компетентността на Съюза и при пълно зачитане на териториалната цялост на не</w:t>
      </w:r>
      <w:r>
        <w:rPr>
          <w:rStyle w:val="Emphasis"/>
          <w:i w:val="0"/>
          <w:noProof/>
        </w:rPr>
        <w:t>говите държави членки, гарантирана от член 4, параграф 2 от Договора за Европейския съюз, за тези отделни споразумения ще е необходимо предварителното съгласие на Кралство Испания“. Освен това по този повод Европейският съвет и Комисията са издали тълкуват</w:t>
      </w:r>
      <w:r>
        <w:rPr>
          <w:rStyle w:val="Emphasis"/>
          <w:i w:val="0"/>
          <w:noProof/>
        </w:rPr>
        <w:t>елна декларация относно член 184 от Споразумението за оттегляне и териториалния обхват на бъдещите споразумения.</w:t>
      </w:r>
    </w:p>
    <w:p w:rsidR="00684532" w:rsidRDefault="00E06C11">
      <w:pPr>
        <w:rPr>
          <w:noProof/>
        </w:rPr>
      </w:pPr>
      <w:r>
        <w:rPr>
          <w:noProof/>
        </w:rPr>
        <w:t>Двустранните преговори между Испания и Обединеното кралство вече са приключени. Към Споразумението за оттегляне е приложен протокол относно тез</w:t>
      </w:r>
      <w:r>
        <w:rPr>
          <w:noProof/>
        </w:rPr>
        <w:t>и двустранни договорености. Протоколът е част от пакет от двустранни меморандуми за разбирателство между Испания и Обединеното кралство във връзка с Гибралтар. Това се отнася до двустранното сътрудничество във връзка с правата на гражданите, тютюневите изд</w:t>
      </w:r>
      <w:r>
        <w:rPr>
          <w:noProof/>
        </w:rPr>
        <w:t>елия и други продукти, околната среда, полицейските и митническите въпроси, както и двустранното съгласие относно данъчното облагане и защитата на финансовите интереси. По отношение на правата на гражданите с протокола се създава основата за административн</w:t>
      </w:r>
      <w:r>
        <w:rPr>
          <w:noProof/>
        </w:rPr>
        <w:t>о сътрудничество между компетентните органи за прилагане на оттеглянето по отношение на хората, които живеят в района на Гибралтар, и по-специално пограничните работници. По отношение на законодателството в областта на въздушния транспорт в него се предвиж</w:t>
      </w:r>
      <w:r>
        <w:rPr>
          <w:noProof/>
        </w:rPr>
        <w:t>да възможност, в случай че Испания и Обединеното кралство постигнат споразумение относно използването на летището в Гибралтар, законодателството на Съюза, което преди това не е било приложимо за Гибралтар, да се прилага по време на прехода. По отношение на</w:t>
      </w:r>
      <w:r>
        <w:rPr>
          <w:noProof/>
        </w:rPr>
        <w:t xml:space="preserve"> фискалните въпроси и защитата на финансовите интереси с протокола се </w:t>
      </w:r>
      <w:r>
        <w:rPr>
          <w:noProof/>
        </w:rPr>
        <w:lastRenderedPageBreak/>
        <w:t>създава основата за административно сътрудничество между компетентните органи за постигане на пълна прозрачност в областта на данъчното облагане, борбата с измамите, контрабандата и изпи</w:t>
      </w:r>
      <w:r>
        <w:rPr>
          <w:noProof/>
        </w:rPr>
        <w:t>рането на пари. Обединеното кралство се ангажира също така в Гибралтар да се прилагат международните стандарти в тази област. Във връзка с тютюневите изделия Обединеното кралство се ангажира да ратифицира някои конвенции по отношение на Гибралтар и да въве</w:t>
      </w:r>
      <w:r>
        <w:rPr>
          <w:noProof/>
        </w:rPr>
        <w:t>де преди 30 юни 2020 г. система за проследимост и защитни мерки по отношение на цигарите. Във връзка с алкохола и бензина Обединеното кралство се ангажира да гарантира, че в Гибралтар е в сила данъчна система, която цели да предотврати измамите. По отношен</w:t>
      </w:r>
      <w:r>
        <w:rPr>
          <w:noProof/>
        </w:rPr>
        <w:t>ие на опазването на околната среда и риболова и сътрудничеството по полицейските и митническите въпроси с протокола се създава основата за административно сътрудничество между компетентните органи. Създава се също специализиран комитет, който да следи за п</w:t>
      </w:r>
      <w:r>
        <w:rPr>
          <w:noProof/>
        </w:rPr>
        <w:t>рилагането на този протокол.</w:t>
      </w:r>
    </w:p>
    <w:p w:rsidR="00684532" w:rsidRDefault="00684532">
      <w:pPr>
        <w:rPr>
          <w:noProof/>
          <w:szCs w:val="24"/>
        </w:rPr>
      </w:pPr>
    </w:p>
    <w:p w:rsidR="00684532" w:rsidRDefault="00E06C11">
      <w:pPr>
        <w:rPr>
          <w:noProof/>
          <w:szCs w:val="24"/>
        </w:rPr>
      </w:pPr>
      <w:r>
        <w:rPr>
          <w:noProof/>
        </w:rPr>
        <w:t>В Споразумението са включени също следните приложения:</w:t>
      </w:r>
    </w:p>
    <w:p w:rsidR="00684532" w:rsidRDefault="00E06C11"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Приложение I относно координацията по въпросите на социалната сигурност;</w:t>
      </w:r>
    </w:p>
    <w:p w:rsidR="00684532" w:rsidRDefault="00E06C11"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Приложение II относно разпоредбите на правото на Съюза, посочени в член 41, параграф 4;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</w:t>
      </w:r>
      <w:r>
        <w:rPr>
          <w:noProof/>
        </w:rPr>
        <w:t> III относно сроковете за ситуациите или митническите режими, посочени в член 49, параграф 1;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 IV относно списъка на мрежите, информационните системи и базите данни, посочени в членове 50, 53, 99 и 100;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 V относно Евратом;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 VI</w:t>
      </w:r>
      <w:r>
        <w:rPr>
          <w:noProof/>
        </w:rPr>
        <w:t xml:space="preserve"> относно списъка на процедурите за административно сътрудничество, посочени в член 98;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 VII относно списъка на актовете/разпоредбите, посочени в член 128, параграф 6;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 xml:space="preserve">Приложение VIII относно процедурния правилник на Съвместния комитет и </w:t>
      </w:r>
      <w:r>
        <w:rPr>
          <w:noProof/>
        </w:rPr>
        <w:t>специализираните комитети;</w:t>
      </w:r>
    </w:p>
    <w:p w:rsidR="00684532" w:rsidRDefault="00E06C11">
      <w:pPr>
        <w:pStyle w:val="Bullet0"/>
        <w:rPr>
          <w:noProof/>
          <w:szCs w:val="24"/>
        </w:rPr>
      </w:pPr>
      <w:r>
        <w:rPr>
          <w:noProof/>
        </w:rPr>
        <w:t>Приложение IX относно процедурния правилник за уреждането на спорове.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Споразумението влиза в сила на 30 март 2019 година.</w:t>
      </w:r>
    </w:p>
    <w:p w:rsidR="00684532" w:rsidRDefault="00684532">
      <w:pPr>
        <w:rPr>
          <w:noProof/>
          <w:szCs w:val="24"/>
        </w:rPr>
        <w:sectPr w:rsidR="00684532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684532" w:rsidRDefault="00E06C11">
      <w:pPr>
        <w:pStyle w:val="Rfrenceinterinstitutionnelle"/>
        <w:rPr>
          <w:noProof/>
        </w:rPr>
      </w:pPr>
      <w:r>
        <w:rPr>
          <w:noProof/>
        </w:rPr>
        <w:t>2018/0426 (NLE)</w:t>
      </w:r>
    </w:p>
    <w:p w:rsidR="00684532" w:rsidRDefault="00E06C11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684532" w:rsidRDefault="00E06C11"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 w:rsidR="00684532" w:rsidRDefault="00E06C11"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 и на Европейската общност за атомна енергия,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</w:t>
      </w:r>
    </w:p>
    <w:p w:rsidR="00684532" w:rsidRDefault="00E06C11">
      <w:pPr>
        <w:pStyle w:val="IntrtEEE"/>
        <w:rPr>
          <w:noProof/>
        </w:rPr>
      </w:pPr>
      <w:r>
        <w:rPr>
          <w:noProof/>
        </w:rPr>
        <w:t xml:space="preserve">(текст от </w:t>
      </w:r>
      <w:r>
        <w:rPr>
          <w:noProof/>
        </w:rPr>
        <w:t>значение за ЕИП)</w:t>
      </w:r>
    </w:p>
    <w:p w:rsidR="00684532" w:rsidRDefault="00E06C11">
      <w:pPr>
        <w:pStyle w:val="Institutionquiagit"/>
        <w:rPr>
          <w:noProof/>
          <w:szCs w:val="24"/>
        </w:rPr>
      </w:pPr>
      <w:r>
        <w:rPr>
          <w:noProof/>
        </w:rPr>
        <w:t>СЪВЕТЪТ НА ЕВРОПЕЙСКИЯ СЪЮЗ,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като взе предвид Договора за Европейския съюз, и по-специално член 50 от него, 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като взе предвид Договора за създаване на Европейската общност за атомна енергия, и по-специално член 106а от него, 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 xml:space="preserve">като взе </w:t>
      </w:r>
      <w:r>
        <w:rPr>
          <w:noProof/>
        </w:rPr>
        <w:t>предвид предложението на Европейската комисия,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като има предвид, че: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На 29 март 2017 г. Обединеното кралство нотифицира Европейския съвет за намерението си да се оттегли от Европейския съюз и Европейската общност за атомна енергия (Евратом) в съответст</w:t>
      </w:r>
      <w:r>
        <w:rPr>
          <w:noProof/>
        </w:rPr>
        <w:t xml:space="preserve">вие с член 50 от Договора за Европейския съюз, който се прилага по отношение на Евратом по силата на член 106а от Договора за създаване на Европейската общност за атомна енергия. 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На 22 май 2017 г. Съветът упълномощи Комисията да започне преговори с Об</w:t>
      </w:r>
      <w:r>
        <w:rPr>
          <w:noProof/>
        </w:rPr>
        <w:t xml:space="preserve">единеното кралство за споразумение, с което да се определят редът и условията за неговото оттегляне, като се вземат предвид рамките на бъдещите му отношения със Съюза. 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Преговорите бяха проведени в съответствие с насоките от 29 април и 15 декември 2017</w:t>
      </w:r>
      <w:r>
        <w:rPr>
          <w:noProof/>
        </w:rPr>
        <w:t> г. и от 23 март 2018 г., предоставени от Европейския съвет с общата цел да се осигури организирано оттегляне на Обединеното кралство от Съюза и Евратом.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На 25 ноември 2018 г. Европейският съвет одобри Споразумението за оттегляне на Обединеното кралств</w:t>
      </w:r>
      <w:r>
        <w:rPr>
          <w:noProof/>
        </w:rPr>
        <w:t>о Великобритания и Северна Ирландия от Европейския съюз и Европейската общност за атомна енергия („Споразумението“).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Предвид че преговорите приключиха, Споразумението следва да бъде подписано от името на Съюза, при условие че се изпълнят процедурите, к</w:t>
      </w:r>
      <w:r>
        <w:rPr>
          <w:noProof/>
        </w:rPr>
        <w:t>оито са необходими за сключването му на по-късна дата.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В съответствие с член 106а от Договора за създаване на Европейската общност за атомна енергия член 50 от ДЕС се прилага за Европейската общност за атомна енергия.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 xml:space="preserve">В Споразумението се предвижда </w:t>
      </w:r>
      <w:r>
        <w:rPr>
          <w:noProof/>
        </w:rPr>
        <w:t>преходен период, по време на който — независимо от всички последици от оттеглянето на Обединеното кралство от Съюза по отношение на участието на Обединеното кралство в институциите, органите, службите и агенциите на Съюза — правото на Съюза, включително ме</w:t>
      </w:r>
      <w:r>
        <w:rPr>
          <w:noProof/>
        </w:rPr>
        <w:t>ждународните споразумения, ще се прилага по отношение на Обединеното кралство и в него. Поради това Комисията следва да уведоми, от името на Съюза и на Евратом, другите страни по тези споразумения, че по време на преходния период Обединеното кралство се тр</w:t>
      </w:r>
      <w:r>
        <w:rPr>
          <w:noProof/>
        </w:rPr>
        <w:t>етира като държава членка за целите на тези споразумения.</w:t>
      </w:r>
    </w:p>
    <w:p w:rsidR="00684532" w:rsidRDefault="00E06C11">
      <w:pPr>
        <w:pStyle w:val="ManualConsidrant"/>
        <w:rPr>
          <w:noProof/>
          <w:szCs w:val="24"/>
        </w:rPr>
      </w:pPr>
      <w:r>
        <w:rPr>
          <w:noProof/>
        </w:rPr>
        <w:t>(8)</w:t>
      </w:r>
      <w:r>
        <w:rPr>
          <w:noProof/>
        </w:rPr>
        <w:tab/>
        <w:t>В член 185, параграф 2 от Споразумението се предвижда, че при извършването на писменото уведомление за приключването на необходимите вътрешни процедури Съюзът може, по отношение на всяка държава</w:t>
      </w:r>
      <w:r>
        <w:rPr>
          <w:noProof/>
        </w:rPr>
        <w:t xml:space="preserve"> членка, която е изложила основания, свързани с основните принципи на своето национално право, да направи декларация, че през преходния период, в допълнение към основанията за неизпълнение на европейска заповед за арест, посочени в Рамково решение 2002/584</w:t>
      </w:r>
      <w:r>
        <w:rPr>
          <w:noProof/>
        </w:rPr>
        <w:t>/ПВР, изпълняващите съдебни органи на тази държава членка могат да отказват да предават граждани на тази държава членка на Обединеното кралство съгласно европейска заповед за арест. Поради това е целесъобразно да се определи краен срок, в който държавите ч</w:t>
      </w:r>
      <w:r>
        <w:rPr>
          <w:noProof/>
        </w:rPr>
        <w:t>ленки, които желаят да се възползват от тази възможност, могат да уведомят Комисията и Генералния секретариат на Съвета за това.</w:t>
      </w:r>
    </w:p>
    <w:p w:rsidR="00684532" w:rsidRDefault="00E06C11"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>Както е предвидено в член 50, параграф 4 от Договора за Европейския съюз, Обединеното кралство не участва нито в обсъждания</w:t>
      </w:r>
      <w:r>
        <w:rPr>
          <w:noProof/>
        </w:rPr>
        <w:t>та на Съвета относно настоящото решение, нито в приемането му,</w:t>
      </w:r>
    </w:p>
    <w:p w:rsidR="00684532" w:rsidRDefault="00E06C11">
      <w:pPr>
        <w:pStyle w:val="Formuledadoption"/>
        <w:rPr>
          <w:noProof/>
          <w:szCs w:val="24"/>
        </w:rPr>
      </w:pPr>
      <w:r>
        <w:rPr>
          <w:noProof/>
        </w:rPr>
        <w:t xml:space="preserve">ПРИЕ НАСТОЯЩОТО РЕШЕНИЕ: </w:t>
      </w:r>
    </w:p>
    <w:p w:rsidR="00684532" w:rsidRDefault="00E06C11">
      <w:pPr>
        <w:pStyle w:val="Titrearticle"/>
        <w:rPr>
          <w:noProof/>
          <w:szCs w:val="24"/>
        </w:rPr>
      </w:pPr>
      <w:r>
        <w:rPr>
          <w:noProof/>
        </w:rPr>
        <w:t>Член 1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Разрешава се подписването, от името на Европейския съюз и на Европейската общност за атомна енергия,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(„Спо</w:t>
      </w:r>
      <w:r>
        <w:rPr>
          <w:noProof/>
        </w:rPr>
        <w:t xml:space="preserve">разумението“), при условие че посоченото споразумение бъде сключено. 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Текстът на Споразумението е приложен към настоящото решение.</w:t>
      </w:r>
    </w:p>
    <w:p w:rsidR="00684532" w:rsidRDefault="00E06C11">
      <w:pPr>
        <w:pStyle w:val="Titrearticle"/>
        <w:rPr>
          <w:noProof/>
          <w:szCs w:val="24"/>
        </w:rPr>
      </w:pPr>
      <w:r>
        <w:rPr>
          <w:noProof/>
        </w:rPr>
        <w:t>Член 2</w:t>
      </w:r>
    </w:p>
    <w:p w:rsidR="00684532" w:rsidRDefault="00E06C11">
      <w:pPr>
        <w:keepLines/>
        <w:rPr>
          <w:noProof/>
          <w:szCs w:val="24"/>
        </w:rPr>
      </w:pPr>
      <w:r>
        <w:rPr>
          <w:noProof/>
          <w:color w:val="444444"/>
        </w:rPr>
        <w:t>Председателят на Европейския съвет и председателят на Комисията се упълномощават да подпишат Споразумението от името н</w:t>
      </w:r>
      <w:r>
        <w:rPr>
          <w:noProof/>
          <w:color w:val="444444"/>
        </w:rPr>
        <w:t>а Съюза и на</w:t>
      </w:r>
      <w:r>
        <w:rPr>
          <w:noProof/>
        </w:rPr>
        <w:t xml:space="preserve"> Европейската общност за атомна енергия. </w:t>
      </w:r>
    </w:p>
    <w:p w:rsidR="00684532" w:rsidRDefault="00E06C11">
      <w:pPr>
        <w:pStyle w:val="Titrearticle"/>
        <w:rPr>
          <w:noProof/>
          <w:szCs w:val="24"/>
        </w:rPr>
      </w:pPr>
      <w:r>
        <w:rPr>
          <w:noProof/>
        </w:rPr>
        <w:t>Член 3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Веднага след подписването на Споразумението Комисията уведомява другите страни по международни споразумения, както е посочено в член 2, буква а), точка iv) от Споразумението, че при условие че Сп</w:t>
      </w:r>
      <w:r>
        <w:rPr>
          <w:noProof/>
        </w:rPr>
        <w:t xml:space="preserve">оразумението влезе в сила, по време на преходния период Обединеното кралство се третира като държава членка за целите на тези международни споразумения. </w:t>
      </w:r>
    </w:p>
    <w:p w:rsidR="00684532" w:rsidRDefault="00E06C11">
      <w:pPr>
        <w:pStyle w:val="Titrearticle"/>
        <w:rPr>
          <w:noProof/>
          <w:szCs w:val="24"/>
        </w:rPr>
      </w:pPr>
      <w:r>
        <w:rPr>
          <w:noProof/>
        </w:rPr>
        <w:t>Член 4</w:t>
      </w:r>
    </w:p>
    <w:p w:rsidR="00684532" w:rsidRDefault="00E06C11">
      <w:pPr>
        <w:rPr>
          <w:noProof/>
          <w:szCs w:val="24"/>
        </w:rPr>
      </w:pPr>
      <w:r>
        <w:rPr>
          <w:noProof/>
        </w:rPr>
        <w:t>Държавите членки, които желаят да се възползват от възможността, предвидена в член 185, парагра</w:t>
      </w:r>
      <w:r>
        <w:rPr>
          <w:noProof/>
        </w:rPr>
        <w:t>ф 2 от Споразумението, уведомяват Комисията и Генералния секретариат на Съвета за това преди 15 февруари 2019 г.</w:t>
      </w:r>
    </w:p>
    <w:p w:rsidR="00684532" w:rsidRDefault="00E06C11">
      <w:pPr>
        <w:pStyle w:val="Titrearticle"/>
        <w:rPr>
          <w:noProof/>
          <w:szCs w:val="24"/>
        </w:rPr>
      </w:pPr>
      <w:r>
        <w:rPr>
          <w:noProof/>
        </w:rPr>
        <w:t>Член 5</w:t>
      </w:r>
    </w:p>
    <w:p w:rsidR="00684532" w:rsidRDefault="00E06C11">
      <w:pPr>
        <w:keepNext/>
        <w:keepLines/>
        <w:rPr>
          <w:noProof/>
          <w:szCs w:val="24"/>
        </w:rPr>
      </w:pPr>
      <w:r>
        <w:rPr>
          <w:noProof/>
        </w:rPr>
        <w:t xml:space="preserve">Настоящото решение влиза в сила в деня на приемането му. </w:t>
      </w:r>
    </w:p>
    <w:p w:rsidR="00684532" w:rsidRDefault="00E06C11"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684532" w:rsidRDefault="00E06C11">
      <w:pPr>
        <w:pStyle w:val="Institutionquisigne"/>
        <w:rPr>
          <w:noProof/>
          <w:szCs w:val="24"/>
        </w:rPr>
      </w:pPr>
      <w:r>
        <w:rPr>
          <w:noProof/>
        </w:rPr>
        <w:tab/>
        <w:t>За Съвета</w:t>
      </w:r>
    </w:p>
    <w:p w:rsidR="00684532" w:rsidRDefault="00E06C11">
      <w:pPr>
        <w:pStyle w:val="Personnequisigne"/>
        <w:rPr>
          <w:noProof/>
          <w:szCs w:val="24"/>
        </w:rPr>
      </w:pPr>
      <w:r>
        <w:rPr>
          <w:noProof/>
        </w:rPr>
        <w:tab/>
        <w:t>Председател</w:t>
      </w:r>
    </w:p>
    <w:p w:rsidR="00684532" w:rsidRDefault="00E06C11">
      <w:pPr>
        <w:pStyle w:val="Fichefinanciretitre"/>
        <w:rPr>
          <w:noProof/>
        </w:rPr>
      </w:pPr>
      <w:r>
        <w:rPr>
          <w:noProof/>
        </w:rPr>
        <w:br w:type="page"/>
        <w:t>ЗАКОНОДАТЕЛНА ФИНА</w:t>
      </w:r>
      <w:r>
        <w:rPr>
          <w:noProof/>
        </w:rPr>
        <w:t>НСОВА ОБОСНОВКА</w:t>
      </w:r>
    </w:p>
    <w:p w:rsidR="00684532" w:rsidRDefault="00E06C11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РАМКА НА ПРЕДЛОЖЕНИЕТО/ИНИЦИАТИВАТА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Наименование на предложението/инициативата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Съответни области на политиката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Предложението/инициативата е във връзка с: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Цели 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1.4.1.</w:t>
      </w:r>
      <w:r>
        <w:rPr>
          <w:noProof/>
        </w:rPr>
        <w:tab/>
        <w:t>Общи цели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1.4.2.</w:t>
      </w:r>
      <w:r>
        <w:rPr>
          <w:noProof/>
        </w:rPr>
        <w:tab/>
        <w:t>Конкретни цели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1.4.3.</w:t>
      </w:r>
      <w:r>
        <w:rPr>
          <w:noProof/>
        </w:rPr>
        <w:tab/>
      </w:r>
      <w:r>
        <w:rPr>
          <w:noProof/>
        </w:rPr>
        <w:t>Очаквани резултати и отражение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1.4.4.</w:t>
      </w:r>
      <w:r>
        <w:rPr>
          <w:noProof/>
        </w:rPr>
        <w:tab/>
        <w:t>Показатели за изпълнението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Мотиви за предложението/инициативата 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1.5.1.</w:t>
      </w:r>
      <w:r>
        <w:rPr>
          <w:noProof/>
        </w:rPr>
        <w:tab/>
        <w:t>Изисквания, които трябва да бъдат изпълнени в краткосрочна или дългосрочна перспектива, включително подробен график за изпълнението на ини</w:t>
      </w:r>
      <w:r>
        <w:rPr>
          <w:noProof/>
        </w:rPr>
        <w:t>циативата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1.5.2.</w:t>
      </w:r>
      <w:r>
        <w:rPr>
          <w:noProof/>
        </w:rPr>
        <w:tab/>
        <w:t xml:space="preserve">Добавена стойност от участието на Съюза (може да е в резултат от различни фактори, например ползи по отношение на координацията, правна сигурност, по-добра ефективност или взаимно допълване). За целите на тази точка „добавена стойност от </w:t>
      </w:r>
      <w:r>
        <w:rPr>
          <w:noProof/>
        </w:rPr>
        <w:t>участието на Съюза“ е стойността, която е резултат от намесата на ЕС и е допълнителна спрямо стойността, която би била създадена само от отделните държави членки.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1.5.3.</w:t>
      </w:r>
      <w:r>
        <w:rPr>
          <w:noProof/>
        </w:rPr>
        <w:tab/>
        <w:t>Изводи от подобен опит в миналото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1.5.4.</w:t>
      </w:r>
      <w:r>
        <w:rPr>
          <w:noProof/>
        </w:rPr>
        <w:tab/>
        <w:t>Съвместимост с многогодишната финансова рам</w:t>
      </w:r>
      <w:r>
        <w:rPr>
          <w:noProof/>
        </w:rPr>
        <w:t>ка и евентуални синергии с други подходящи инструменти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1.5.5.</w:t>
      </w:r>
      <w:r>
        <w:rPr>
          <w:noProof/>
        </w:rPr>
        <w:tab/>
        <w:t>Оценка на различните налични варианти за финансиране, включително възможностите за преразпределяне на средства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>Продължителност и финансово отражение на предложението/инициативата</w:t>
      </w:r>
    </w:p>
    <w:p w:rsidR="00684532" w:rsidRDefault="00E06C11">
      <w:pPr>
        <w:pStyle w:val="ManualHeading2"/>
        <w:rPr>
          <w:b w:val="0"/>
          <w:noProof/>
        </w:rPr>
        <w:sectPr w:rsidR="00684532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>Планирани методи на управление</w:t>
      </w:r>
      <w:r>
        <w:rPr>
          <w:noProof/>
        </w:rPr>
        <w:tab/>
      </w:r>
    </w:p>
    <w:p w:rsidR="00684532" w:rsidRDefault="00E06C11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Правила за мониторинг и докладване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>Системи за управление и контрол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2.2.1.</w:t>
      </w:r>
      <w:r>
        <w:rPr>
          <w:noProof/>
        </w:rPr>
        <w:tab/>
        <w:t>Обосновка на предложените начини за управление, механизми за финансиране на изпълн</w:t>
      </w:r>
      <w:r>
        <w:rPr>
          <w:noProof/>
        </w:rPr>
        <w:t>ението, начини за плащане и стратегия за контрол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2.2.2.</w:t>
      </w:r>
      <w:r>
        <w:rPr>
          <w:noProof/>
        </w:rPr>
        <w:tab/>
        <w:t>Информация относно установените рискове и системите за вътрешен контрол, създадени с цел намаляването им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2.2.3.</w:t>
      </w:r>
      <w:r>
        <w:rPr>
          <w:noProof/>
        </w:rPr>
        <w:tab/>
        <w:t>Оценка и обосновка на разходната ефективност на проверките (съотношение „разходи за ко</w:t>
      </w:r>
      <w:r>
        <w:rPr>
          <w:noProof/>
        </w:rPr>
        <w:t>нтрол ÷ стойност на съответните управлявани фондове“) и оценка на очакваната степен на риска от грешки (при плащане и при приключване)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Мерки за предотвратяване на измами и нередности </w:t>
      </w:r>
    </w:p>
    <w:p w:rsidR="00684532" w:rsidRDefault="00E06C11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ОЧАКВАНО ФИНАНСОВО ОТРАЖЕНИЕ НА ПРЕДЛОЖЕНИЕТО/ИНИЦИАТИВАТА </w:t>
      </w:r>
    </w:p>
    <w:p w:rsidR="00684532" w:rsidRDefault="00E06C11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</w:t>
      </w:r>
      <w:r>
        <w:rPr>
          <w:b w:val="0"/>
          <w:noProof/>
        </w:rPr>
        <w:t>1.</w:t>
      </w:r>
      <w:r>
        <w:rPr>
          <w:noProof/>
        </w:rPr>
        <w:tab/>
      </w:r>
      <w:r>
        <w:rPr>
          <w:b w:val="0"/>
          <w:noProof/>
        </w:rPr>
        <w:t xml:space="preserve">Съответни функции от многогодишната финансова рамка и разходни бюджетни редове </w:t>
      </w:r>
    </w:p>
    <w:p w:rsidR="00684532" w:rsidRDefault="00E06C11"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финансово отражение на предложението върху бюджетните кредити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бюджетните кредити за оперативни разходи 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3.2.2</w:t>
      </w:r>
      <w:r>
        <w:rPr>
          <w:noProof/>
        </w:rPr>
        <w:t>.</w:t>
      </w:r>
      <w:r>
        <w:rPr>
          <w:noProof/>
        </w:rPr>
        <w:tab/>
        <w:t xml:space="preserve">Очакван резултат, финансиран с бюджетни кредити за оперативни разходи 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Обобщение на очакваното отражение върху бюджетните кредити за административни разходи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>Участие на трети с</w:t>
      </w:r>
      <w:r>
        <w:rPr>
          <w:noProof/>
        </w:rPr>
        <w:t xml:space="preserve">трани във финансирането </w:t>
      </w:r>
    </w:p>
    <w:p w:rsidR="00684532" w:rsidRDefault="00E06C11">
      <w:pPr>
        <w:pStyle w:val="ManualHeading2"/>
        <w:jc w:val="left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 w:rsidR="00684532" w:rsidRDefault="00684532">
      <w:pPr>
        <w:jc w:val="center"/>
        <w:rPr>
          <w:b/>
          <w:noProof/>
          <w:u w:val="single"/>
        </w:rPr>
        <w:sectPr w:rsidR="00684532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ЗАКОНОДАТЕЛНА ФИНАНСОВА ОБОСНОВКА</w:t>
      </w:r>
    </w:p>
    <w:p w:rsidR="00684532" w:rsidRDefault="00E06C11">
      <w:pPr>
        <w:pStyle w:val="ManualHeading1"/>
        <w:rPr>
          <w:noProof/>
        </w:rPr>
      </w:pPr>
      <w:bookmarkStart w:id="0" w:name="_Toc514938007"/>
      <w:bookmarkStart w:id="1" w:name="_Toc520485025"/>
      <w:r>
        <w:rPr>
          <w:noProof/>
        </w:rPr>
        <w:t>1.</w:t>
      </w:r>
      <w:r>
        <w:rPr>
          <w:noProof/>
        </w:rPr>
        <w:tab/>
        <w:t>РАМКА НА ПРЕДЛОЖЕНИЕТО/ИНИЦИАТИВАТА</w:t>
      </w:r>
      <w:bookmarkEnd w:id="0"/>
      <w:bookmarkEnd w:id="1"/>
      <w:r>
        <w:rPr>
          <w:noProof/>
        </w:rPr>
        <w:t xml:space="preserve"> </w:t>
      </w:r>
    </w:p>
    <w:p w:rsidR="00684532" w:rsidRDefault="00E06C11">
      <w:pPr>
        <w:pStyle w:val="ManualHeading2"/>
        <w:rPr>
          <w:noProof/>
        </w:rPr>
      </w:pPr>
      <w:bookmarkStart w:id="2" w:name="_Toc514938008"/>
      <w:bookmarkStart w:id="3" w:name="_Toc520485026"/>
      <w:r>
        <w:rPr>
          <w:noProof/>
        </w:rPr>
        <w:t>1.1.</w:t>
      </w:r>
      <w:r>
        <w:rPr>
          <w:noProof/>
        </w:rPr>
        <w:tab/>
        <w:t>Наименование на предложението/инициативата</w:t>
      </w:r>
      <w:bookmarkEnd w:id="2"/>
      <w:bookmarkEnd w:id="3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4" w:name="_Toc514938011"/>
      <w:bookmarkStart w:id="5" w:name="_Toc520485027"/>
      <w:r>
        <w:rPr>
          <w:noProof/>
        </w:rPr>
        <w:t xml:space="preserve">Споразумение за оттегляне на Обединено </w:t>
      </w:r>
      <w:r>
        <w:rPr>
          <w:noProof/>
        </w:rPr>
        <w:t>кралство Великобритания и Северна Ирландия от Европейския съюз и Европейската общност за атомна енергия</w:t>
      </w:r>
    </w:p>
    <w:p w:rsidR="00684532" w:rsidRDefault="00E06C11">
      <w:pPr>
        <w:pStyle w:val="ManualHeading2"/>
        <w:rPr>
          <w:noProof/>
        </w:rPr>
      </w:pPr>
      <w:r>
        <w:rPr>
          <w:noProof/>
        </w:rPr>
        <w:t>1.2.</w:t>
      </w:r>
      <w:r>
        <w:rPr>
          <w:noProof/>
        </w:rPr>
        <w:tab/>
        <w:t>Съответни области на политиката</w:t>
      </w:r>
      <w:bookmarkEnd w:id="4"/>
      <w:bookmarkEnd w:id="5"/>
      <w:r>
        <w:rPr>
          <w:i/>
          <w:noProof/>
        </w:rPr>
        <w:t xml:space="preserve">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6" w:name="_Toc514938014"/>
      <w:bookmarkStart w:id="7" w:name="_Toc520485028"/>
      <w:r>
        <w:rPr>
          <w:noProof/>
        </w:rPr>
        <w:t>25 — Координиране на политиките на Комисията и правни съвети</w:t>
      </w:r>
    </w:p>
    <w:p w:rsidR="00684532" w:rsidRDefault="00E06C11">
      <w:pPr>
        <w:pStyle w:val="ManualHeading2"/>
        <w:rPr>
          <w:bCs/>
          <w:noProof/>
          <w:szCs w:val="24"/>
        </w:rPr>
      </w:pPr>
      <w:r>
        <w:rPr>
          <w:noProof/>
        </w:rPr>
        <w:t>1.3.</w:t>
      </w:r>
      <w:r>
        <w:rPr>
          <w:noProof/>
        </w:rPr>
        <w:tab/>
        <w:t>Предложението/инициативата е във връзка с:</w:t>
      </w:r>
      <w:bookmarkEnd w:id="6"/>
      <w:bookmarkEnd w:id="7"/>
      <w:r>
        <w:rPr>
          <w:noProof/>
        </w:rPr>
        <w:t xml:space="preserve"> </w:t>
      </w:r>
    </w:p>
    <w:p w:rsidR="00684532" w:rsidRDefault="00E06C11">
      <w:pPr>
        <w:pStyle w:val="Text1"/>
        <w:rPr>
          <w:b/>
          <w:noProof/>
          <w:sz w:val="22"/>
        </w:rPr>
      </w:pPr>
      <w:r>
        <w:rPr>
          <w:noProof/>
          <w:sz w:val="22"/>
        </w:rPr>
        <w:sym w:font="Wingdings" w:char="F0FE"/>
      </w:r>
      <w:r>
        <w:rPr>
          <w:b/>
          <w:i/>
          <w:noProof/>
          <w:sz w:val="22"/>
        </w:rPr>
        <w:t xml:space="preserve"> </w:t>
      </w:r>
      <w:r>
        <w:rPr>
          <w:b/>
          <w:noProof/>
        </w:rPr>
        <w:t>но</w:t>
      </w:r>
      <w:r>
        <w:rPr>
          <w:b/>
          <w:noProof/>
        </w:rPr>
        <w:t>во действие</w:t>
      </w:r>
      <w:r>
        <w:rPr>
          <w:b/>
          <w:noProof/>
          <w:sz w:val="22"/>
        </w:rPr>
        <w:t xml:space="preserve"> </w:t>
      </w:r>
    </w:p>
    <w:p w:rsidR="00684532" w:rsidRDefault="00E06C11"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ново действие след пилотен проект/подготвително действие</w:t>
      </w:r>
      <w:r>
        <w:rPr>
          <w:rStyle w:val="FootnoteReference"/>
          <w:b/>
          <w:noProof/>
        </w:rPr>
        <w:footnoteReference w:id="3"/>
      </w:r>
      <w:r>
        <w:rPr>
          <w:noProof/>
          <w:sz w:val="22"/>
        </w:rPr>
        <w:t xml:space="preserve"> </w:t>
      </w:r>
    </w:p>
    <w:p w:rsidR="00684532" w:rsidRDefault="00E06C11"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продължаване на съществуващо действие</w:t>
      </w:r>
      <w:r>
        <w:rPr>
          <w:noProof/>
          <w:sz w:val="22"/>
        </w:rPr>
        <w:t xml:space="preserve"> </w:t>
      </w:r>
    </w:p>
    <w:p w:rsidR="00684532" w:rsidRDefault="00E06C11"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сливане или пренасочване на едно или няколко действия към друго/ново действие</w:t>
      </w:r>
      <w:r>
        <w:rPr>
          <w:noProof/>
        </w:rPr>
        <w:t xml:space="preserve"> </w:t>
      </w:r>
    </w:p>
    <w:p w:rsidR="00684532" w:rsidRDefault="00E06C11">
      <w:pPr>
        <w:pStyle w:val="ManualHeading2"/>
        <w:rPr>
          <w:bCs/>
          <w:noProof/>
          <w:szCs w:val="24"/>
        </w:rPr>
      </w:pPr>
      <w:bookmarkStart w:id="8" w:name="_Toc514938015"/>
      <w:bookmarkStart w:id="9" w:name="_Toc520485029"/>
      <w:r>
        <w:rPr>
          <w:noProof/>
        </w:rPr>
        <w:t>1.4.</w:t>
      </w:r>
      <w:r>
        <w:rPr>
          <w:noProof/>
        </w:rPr>
        <w:tab/>
        <w:t>Цели</w:t>
      </w:r>
      <w:bookmarkEnd w:id="8"/>
      <w:bookmarkEnd w:id="9"/>
    </w:p>
    <w:p w:rsidR="00684532" w:rsidRDefault="00E06C11">
      <w:pPr>
        <w:pStyle w:val="ManualHeading3"/>
        <w:rPr>
          <w:noProof/>
        </w:rPr>
      </w:pPr>
      <w:bookmarkStart w:id="10" w:name="_Toc514938016"/>
      <w:bookmarkStart w:id="11" w:name="_Toc520485030"/>
      <w:r>
        <w:rPr>
          <w:noProof/>
        </w:rPr>
        <w:t>1.4.1.</w:t>
      </w:r>
      <w:r>
        <w:rPr>
          <w:noProof/>
        </w:rPr>
        <w:tab/>
        <w:t>Общи цели</w:t>
      </w:r>
      <w:bookmarkEnd w:id="10"/>
      <w:bookmarkEnd w:id="11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12" w:name="_Toc514938018"/>
      <w:bookmarkStart w:id="13" w:name="_Toc520485031"/>
      <w:r>
        <w:rPr>
          <w:noProof/>
        </w:rPr>
        <w:t>Споразумението се основава на чле</w:t>
      </w:r>
      <w:r>
        <w:rPr>
          <w:noProof/>
        </w:rPr>
        <w:t>н 50, параграф 2 от ДЕС. В съответствие с насоките на Европейския съвет (член 50) от 29 април 2017 г. Споразумението за оттегляне има за цел: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осигуряване на яснота и правна сигурност по отношение на ситуации, произтичащи от оттеглянето на Обединеното кра</w:t>
      </w:r>
      <w:r>
        <w:rPr>
          <w:noProof/>
        </w:rPr>
        <w:t xml:space="preserve">лство от Съюза, както за гражданите, така и за предприятията, заинтересованите страни и международните партньори,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защита на гражданите, които са устроили живота си въз основа на права, произтичащи от членството на Обединеното кралство в Съюза,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уреждан</w:t>
      </w:r>
      <w:r>
        <w:rPr>
          <w:noProof/>
        </w:rPr>
        <w:t>е на отделянето на Обединеното кралство от Съюза и освобождаването му от всички права и задължения, произтичащи от ангажиментите, поети като държава членка,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определяне на ограничени във времето преходни разпоредби, които са в интерес на Съюза,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гарантир</w:t>
      </w:r>
      <w:r>
        <w:rPr>
          <w:noProof/>
        </w:rPr>
        <w:t>ане на спазването на финансовите задължения, произтичащи от целия период на членство на Обединеното кралство в Съюза, както от Съюза, така и от Обединеното кралство,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осигуряване на ефективно управление, изпълнение и прилагане на споразумението, включител</w:t>
      </w:r>
      <w:r>
        <w:rPr>
          <w:noProof/>
        </w:rPr>
        <w:t xml:space="preserve">но чрез институционални структури и ефективен механизъм за уреждане на спорове, при който се запазва ролята на Съда на Европейския съюз като краен арбитър по въпроси на правото на Съюза,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продължаване на подкрепата за целта за мир и помирение, залегнала </w:t>
      </w:r>
      <w:r>
        <w:rPr>
          <w:noProof/>
        </w:rPr>
        <w:t>в Споразумението от Разпети петък във всичките му части, както и на подкрепата и защитата на постиженията, ползите и ангажиментите на мирния процес на остров Ирландия,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защитаване на интересите на кипърските граждани, които живеят и работят в зоните на су</w:t>
      </w:r>
      <w:r>
        <w:rPr>
          <w:noProof/>
        </w:rPr>
        <w:t>веренните бази, и гарантиране, че след оттеглянето на Обединеното кралство няма да има прекъсване и загуба на права,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568"/>
        <w:rPr>
          <w:noProof/>
        </w:rPr>
      </w:pPr>
      <w:r>
        <w:rPr>
          <w:noProof/>
        </w:rPr>
        <w:t>•</w:t>
      </w:r>
      <w:r>
        <w:rPr>
          <w:noProof/>
        </w:rPr>
        <w:tab/>
        <w:t>предвиждане на тясно сътрудничество между Испания и Обединеното кралство във връзка с Гибралтар относно изпълнението на Споразумението за</w:t>
      </w:r>
      <w:r>
        <w:rPr>
          <w:noProof/>
        </w:rPr>
        <w:t xml:space="preserve"> оттегляне, и по-специално неговата част за правата на гражданите, и в редица други области на политика.</w:t>
      </w:r>
    </w:p>
    <w:p w:rsidR="00684532" w:rsidRDefault="00E06C11">
      <w:pPr>
        <w:pStyle w:val="ManualHeading3"/>
        <w:rPr>
          <w:bCs/>
          <w:noProof/>
          <w:szCs w:val="24"/>
        </w:rPr>
      </w:pPr>
      <w:r>
        <w:rPr>
          <w:noProof/>
        </w:rPr>
        <w:t>1.4.2.</w:t>
      </w:r>
      <w:r>
        <w:rPr>
          <w:noProof/>
        </w:rPr>
        <w:tab/>
        <w:t>Конкретни цели</w:t>
      </w:r>
      <w:bookmarkEnd w:id="12"/>
      <w:bookmarkEnd w:id="13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Конкретни цели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3"/>
        <w:rPr>
          <w:noProof/>
        </w:rPr>
      </w:pPr>
      <w:bookmarkStart w:id="14" w:name="_Toc514938019"/>
      <w:bookmarkStart w:id="15" w:name="_Toc520485032"/>
      <w:r>
        <w:rPr>
          <w:noProof/>
        </w:rPr>
        <w:t>1.4.3.</w:t>
      </w:r>
      <w:r>
        <w:rPr>
          <w:noProof/>
        </w:rPr>
        <w:tab/>
        <w:t>Очаквани резултати и отражение</w:t>
      </w:r>
      <w:bookmarkEnd w:id="14"/>
      <w:bookmarkEnd w:id="15"/>
    </w:p>
    <w:p w:rsidR="00684532" w:rsidRDefault="00E06C11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</w:t>
      </w:r>
      <w:r>
        <w:rPr>
          <w:i/>
          <w:noProof/>
          <w:sz w:val="20"/>
        </w:rPr>
        <w:t>ледва да окаже по отношение на бенефициерите/целевите групи.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16" w:name="_Toc514938023"/>
      <w:bookmarkStart w:id="17" w:name="_Toc520485033"/>
      <w:r>
        <w:rPr>
          <w:noProof/>
        </w:rPr>
        <w:t xml:space="preserve">Споразумението за оттегляне между ЕС и Обединеното кралство ще вдъхне увереност на гражданите, предприятията и международните партньори на Европа, че оттеглянето на Обединеното кралство от Съюза </w:t>
      </w:r>
      <w:r>
        <w:rPr>
          <w:noProof/>
        </w:rPr>
        <w:t>няма да бъде хаотично и неконтролирано.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Единственото отражение върху бюджета на Споразумението за оттегляне произтича от създаването на Съвместен комитет, който се състои от представители на Съюза и на Обединеното кралство. Съвместният комитет ще упражнява</w:t>
      </w:r>
      <w:r>
        <w:rPr>
          <w:noProof/>
        </w:rPr>
        <w:t xml:space="preserve"> надзор и ще улеснява изпълнението и прилагането на Споразумението за оттегляне, ще взема решения относно задачите на специализираните комитети и ще упражнява надзор върху тяхната работа и също така ще внася изменения в Споразумението, когато това е изричн</w:t>
      </w:r>
      <w:r>
        <w:rPr>
          <w:noProof/>
        </w:rPr>
        <w:t xml:space="preserve">о предвидено в самото Споразумение. В Споразумението се предвижда също така роля на Съвместния комитет за уреждането на спорове, разгледано в дял 3 от шеста част на Споразумението за оттегляне.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Съвместният комитет заседава поне веднъж годишно по искане на</w:t>
      </w:r>
      <w:r>
        <w:rPr>
          <w:noProof/>
        </w:rPr>
        <w:t xml:space="preserve"> всяка от страните. Под надзора на Съвместния комитет ще функционират следните специализирани комитети, т.е. един подкомитет за всяка основна част от Споразумението за оттегляне: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a)</w:t>
      </w:r>
      <w:r>
        <w:rPr>
          <w:noProof/>
        </w:rPr>
        <w:tab/>
        <w:t>Комитет по правата на гражданите;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б)</w:t>
      </w:r>
      <w:r>
        <w:rPr>
          <w:noProof/>
        </w:rPr>
        <w:tab/>
        <w:t>Комитет по другите разпоредби за раз</w:t>
      </w:r>
      <w:r>
        <w:rPr>
          <w:noProof/>
        </w:rPr>
        <w:t>деляне;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в)</w:t>
      </w:r>
      <w:r>
        <w:rPr>
          <w:noProof/>
        </w:rPr>
        <w:tab/>
        <w:t>Комитет по въпроси, свързани с прилагането на Протокола за Ирландия/Северна Ирландия;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Комитет по въпроси, свързани с прилагането на Протокола за зоните на суверенните бази в Кипър;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д)</w:t>
      </w:r>
      <w:r>
        <w:rPr>
          <w:noProof/>
        </w:rPr>
        <w:tab/>
        <w:t>Комитет по въпроси, свързани с прилагането на Протокола з</w:t>
      </w:r>
      <w:r>
        <w:rPr>
          <w:noProof/>
        </w:rPr>
        <w:t>а Гибралтар; и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е)</w:t>
      </w:r>
      <w:r>
        <w:rPr>
          <w:noProof/>
        </w:rPr>
        <w:tab/>
        <w:t>Комитет по финансовите разпоредби.</w:t>
      </w:r>
    </w:p>
    <w:p w:rsidR="00684532" w:rsidRDefault="00E06C11">
      <w:pPr>
        <w:pStyle w:val="ManualHeading3"/>
        <w:rPr>
          <w:noProof/>
          <w:szCs w:val="24"/>
        </w:rPr>
      </w:pPr>
      <w:r>
        <w:rPr>
          <w:noProof/>
        </w:rPr>
        <w:t>1.4.4.</w:t>
      </w:r>
      <w:r>
        <w:rPr>
          <w:noProof/>
        </w:rPr>
        <w:tab/>
        <w:t>Показатели за изпълнението</w:t>
      </w:r>
      <w:bookmarkEnd w:id="16"/>
      <w:bookmarkEnd w:id="17"/>
    </w:p>
    <w:p w:rsidR="00684532" w:rsidRDefault="00E06C11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 за проследяване на напредъка и на постиженията.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18" w:name="_Toc514938025"/>
      <w:bookmarkStart w:id="19" w:name="_Toc520485034"/>
      <w:r>
        <w:rPr>
          <w:noProof/>
        </w:rPr>
        <w:t>Не се прилага</w:t>
      </w:r>
    </w:p>
    <w:p w:rsidR="00684532" w:rsidRDefault="00E06C11">
      <w:pPr>
        <w:pStyle w:val="ManualHeading2"/>
        <w:rPr>
          <w:bCs/>
          <w:noProof/>
          <w:szCs w:val="24"/>
        </w:rPr>
      </w:pPr>
      <w:r>
        <w:rPr>
          <w:noProof/>
        </w:rPr>
        <w:t>1.5.</w:t>
      </w:r>
      <w:r>
        <w:rPr>
          <w:noProof/>
        </w:rPr>
        <w:tab/>
        <w:t>Мотиви за предложението/инициативата</w:t>
      </w:r>
      <w:bookmarkEnd w:id="18"/>
      <w:bookmarkEnd w:id="19"/>
      <w:r>
        <w:rPr>
          <w:noProof/>
        </w:rPr>
        <w:t xml:space="preserve"> </w:t>
      </w:r>
    </w:p>
    <w:p w:rsidR="00684532" w:rsidRDefault="00E06C11">
      <w:pPr>
        <w:pStyle w:val="ManualHeading3"/>
        <w:rPr>
          <w:noProof/>
        </w:rPr>
      </w:pPr>
      <w:bookmarkStart w:id="20" w:name="_Toc514938026"/>
      <w:bookmarkStart w:id="21" w:name="_Toc520485035"/>
      <w:r>
        <w:rPr>
          <w:noProof/>
        </w:rPr>
        <w:t>1.5.1.</w:t>
      </w:r>
      <w:r>
        <w:rPr>
          <w:noProof/>
        </w:rPr>
        <w:tab/>
        <w:t xml:space="preserve">Изисквания, които трябва да </w:t>
      </w:r>
      <w:r>
        <w:rPr>
          <w:noProof/>
        </w:rPr>
        <w:t>бъдат изпълнени в краткосрочна или дългосрочна перспектива, включително подробен график за изпълнението на инициативата</w:t>
      </w:r>
      <w:bookmarkEnd w:id="20"/>
      <w:bookmarkEnd w:id="21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22" w:name="_Toc514938029"/>
      <w:bookmarkStart w:id="23" w:name="_Toc520485036"/>
      <w:r>
        <w:rPr>
          <w:noProof/>
        </w:rPr>
        <w:t>Осигуряване на организирано оттегляне на Обединеното кралство от Съюза.</w:t>
      </w:r>
    </w:p>
    <w:p w:rsidR="00684532" w:rsidRDefault="00E06C11">
      <w:pPr>
        <w:pStyle w:val="ManualHeading3"/>
        <w:rPr>
          <w:bCs/>
          <w:noProof/>
          <w:szCs w:val="24"/>
        </w:rPr>
      </w:pPr>
      <w:r>
        <w:rPr>
          <w:noProof/>
        </w:rPr>
        <w:t>1.5.2.</w:t>
      </w:r>
      <w:r>
        <w:rPr>
          <w:noProof/>
        </w:rPr>
        <w:tab/>
        <w:t>Добавена стойност от участието на Съюза (може да е в резу</w:t>
      </w:r>
      <w:r>
        <w:rPr>
          <w:noProof/>
        </w:rPr>
        <w:t>лтат от различни фактори, например ползи по отношение на координацията, правна сигурност, по-добра ефективност или взаимно допълване). За целите на тази точка „добавена стойност от участието на Съюза“ е стойността, която е резултат от намесата на ЕС и е до</w:t>
      </w:r>
      <w:r>
        <w:rPr>
          <w:noProof/>
        </w:rPr>
        <w:t>пълнителна спрямо стойността, която би била създадена само от отделните държави членки.</w:t>
      </w:r>
      <w:bookmarkEnd w:id="22"/>
      <w:bookmarkEnd w:id="23"/>
    </w:p>
    <w:p w:rsidR="00684532" w:rsidRDefault="00E06C11">
      <w:pPr>
        <w:pStyle w:val="Tex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24" w:name="_Toc514938030"/>
      <w:bookmarkStart w:id="25" w:name="_Toc520485037"/>
      <w:r>
        <w:rPr>
          <w:noProof/>
        </w:rPr>
        <w:t xml:space="preserve">Организираното оттегляне на Обединеното кралство от Съюза е в интерес както на Съюза, така и на Обединеното кралство, по-специално чрез осигуряване на правна сигурност </w:t>
      </w:r>
      <w:r>
        <w:rPr>
          <w:noProof/>
        </w:rPr>
        <w:t xml:space="preserve">за гражданите и предприятията от двете страни на Ламанша. Споразумението за оттегляне е необходимо, за да се ограничи евентуалният отрицателен ефект върху европейската икономика и бюджета на Съюза, да се защитят правата на европейските граждани, живеещи и </w:t>
      </w:r>
      <w:r>
        <w:rPr>
          <w:noProof/>
        </w:rPr>
        <w:t>работещи в Обединеното кралство, както и да се запазят мирът и помирението на остров Ирландия, както е заложено в Споразумението от Разпети петък.</w:t>
      </w:r>
    </w:p>
    <w:p w:rsidR="00684532" w:rsidRDefault="00E06C11">
      <w:pPr>
        <w:pStyle w:val="ManualHeading3"/>
        <w:rPr>
          <w:noProof/>
        </w:rPr>
      </w:pPr>
      <w:bookmarkStart w:id="26" w:name="_GoBack"/>
      <w:bookmarkEnd w:id="26"/>
      <w:r>
        <w:rPr>
          <w:noProof/>
        </w:rPr>
        <w:t>1.5.3.</w:t>
      </w:r>
      <w:r>
        <w:rPr>
          <w:noProof/>
        </w:rPr>
        <w:tab/>
        <w:t>Изводи от подобен опит в миналото</w:t>
      </w:r>
      <w:bookmarkEnd w:id="24"/>
      <w:bookmarkEnd w:id="25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3"/>
        <w:rPr>
          <w:noProof/>
        </w:rPr>
      </w:pPr>
      <w:bookmarkStart w:id="27" w:name="_Toc514938033"/>
      <w:bookmarkStart w:id="28" w:name="_Toc520485038"/>
      <w:r>
        <w:rPr>
          <w:noProof/>
        </w:rPr>
        <w:t>1.5.4.</w:t>
      </w:r>
      <w:r>
        <w:rPr>
          <w:noProof/>
        </w:rPr>
        <w:tab/>
        <w:t xml:space="preserve">Съвместимост с многогодишната финансова рамка </w:t>
      </w:r>
      <w:r>
        <w:rPr>
          <w:noProof/>
        </w:rPr>
        <w:t>и евентуални синергии с други подходящи инструменти</w:t>
      </w:r>
      <w:bookmarkEnd w:id="27"/>
      <w:bookmarkEnd w:id="28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29" w:name="_Toc514938036"/>
      <w:bookmarkStart w:id="30" w:name="_Toc520485039"/>
      <w:r>
        <w:rPr>
          <w:noProof/>
        </w:rPr>
        <w:t>Не се прилага</w:t>
      </w:r>
    </w:p>
    <w:p w:rsidR="00684532" w:rsidRDefault="00E06C11">
      <w:pPr>
        <w:pStyle w:val="ManualHeading3"/>
        <w:rPr>
          <w:noProof/>
        </w:rPr>
      </w:pPr>
      <w:r>
        <w:rPr>
          <w:noProof/>
        </w:rPr>
        <w:t>1.5.5.</w:t>
      </w:r>
      <w:r>
        <w:rPr>
          <w:noProof/>
        </w:rPr>
        <w:tab/>
        <w:t>Оценка на различните налични варианти за финансиране, включително възможностите за преразпределяне на средства</w:t>
      </w:r>
      <w:bookmarkEnd w:id="29"/>
      <w:bookmarkEnd w:id="30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2"/>
        <w:rPr>
          <w:bCs/>
          <w:noProof/>
          <w:szCs w:val="24"/>
        </w:rPr>
      </w:pPr>
      <w:bookmarkStart w:id="31" w:name="_Toc514938039"/>
      <w:bookmarkStart w:id="32" w:name="_Toc520485040"/>
      <w:r>
        <w:rPr>
          <w:noProof/>
        </w:rPr>
        <w:t>1.6.</w:t>
      </w:r>
      <w:r>
        <w:rPr>
          <w:noProof/>
        </w:rPr>
        <w:tab/>
        <w:t>Продължителност и финансово отражение на предложениет</w:t>
      </w:r>
      <w:r>
        <w:rPr>
          <w:noProof/>
        </w:rPr>
        <w:t>о/инициативата</w:t>
      </w:r>
      <w:bookmarkEnd w:id="31"/>
      <w:bookmarkEnd w:id="32"/>
    </w:p>
    <w:p w:rsidR="00684532" w:rsidRDefault="00E06C11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ограничен срок на действие 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 сила от [ДД/ММ]ГГГГ до [ДД/ММ]ГГГГ 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Финансово отражение от ГГГГ до ГГГГ за бюджетни кредити за поети задължения и от ГГГГ до ГГГГ за бюджетни кредити за плащания.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sym w:font="Wingdings" w:char="F0FE"/>
      </w:r>
      <w:r>
        <w:rPr>
          <w:b/>
          <w:i/>
          <w:noProof/>
        </w:rPr>
        <w:t xml:space="preserve"> </w:t>
      </w:r>
      <w:r>
        <w:rPr>
          <w:b/>
          <w:noProof/>
        </w:rPr>
        <w:t>неограничен срок на действие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t>Изпълнение</w:t>
      </w:r>
      <w:r>
        <w:rPr>
          <w:noProof/>
        </w:rPr>
        <w:t xml:space="preserve"> с период на започване на дейност от ГГГГ до ГГГГ,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 w:rsidR="00684532" w:rsidRDefault="00E06C11">
      <w:pPr>
        <w:pStyle w:val="ManualHeading2"/>
        <w:rPr>
          <w:bCs/>
          <w:noProof/>
          <w:szCs w:val="24"/>
        </w:rPr>
      </w:pPr>
      <w:bookmarkStart w:id="33" w:name="_Toc514938040"/>
      <w:bookmarkStart w:id="34" w:name="_Toc520485041"/>
      <w:r>
        <w:rPr>
          <w:noProof/>
        </w:rPr>
        <w:t>1.7.</w:t>
      </w:r>
      <w:r>
        <w:rPr>
          <w:noProof/>
        </w:rPr>
        <w:tab/>
        <w:t>Планирани методи на управление</w:t>
      </w:r>
      <w:r>
        <w:rPr>
          <w:rStyle w:val="FootnoteReference"/>
          <w:noProof/>
        </w:rPr>
        <w:footnoteReference w:id="4"/>
      </w:r>
      <w:bookmarkEnd w:id="33"/>
      <w:bookmarkEnd w:id="34"/>
      <w:r>
        <w:rPr>
          <w:rStyle w:val="FootnoteReference"/>
          <w:noProof/>
        </w:rPr>
        <w:t xml:space="preserve">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sym w:font="Wingdings" w:char="F0FE"/>
      </w:r>
      <w:r>
        <w:rPr>
          <w:i/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 w:rsidR="00684532" w:rsidRDefault="00E06C11">
      <w:pPr>
        <w:pStyle w:val="ListDash2"/>
        <w:rPr>
          <w:rFonts w:cs="EUAlbertina"/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 xml:space="preserve">от нейните служби, включително от нейния персонал в делегациите на Съюза; 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</w:r>
      <w:r>
        <w:rPr>
          <w:noProof/>
        </w:rPr>
        <w:t xml:space="preserve">от изпълнителните агенции.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възлагане на задачи по изпълнението на бюджета на: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</w:t>
      </w:r>
      <w:r>
        <w:rPr>
          <w:noProof/>
        </w:rPr>
        <w:t>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 70 и 71 от Финансовия регламент;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</w:t>
      </w:r>
      <w:r>
        <w:rPr>
          <w:noProof/>
        </w:rPr>
        <w:t>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 w:rsidR="00684532" w:rsidRDefault="00E06C11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</w:t>
      </w:r>
      <w:r>
        <w:rPr>
          <w:noProof/>
        </w:rPr>
        <w:t xml:space="preserve"> V от ДЕС и които са посочени в съответния основен акт.</w:t>
      </w:r>
    </w:p>
    <w:p w:rsidR="00684532" w:rsidRDefault="00E06C11"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 w:rsidR="00684532" w:rsidRDefault="00E06C11">
      <w:pPr>
        <w:rPr>
          <w:noProof/>
        </w:rPr>
      </w:pPr>
      <w:r>
        <w:rPr>
          <w:noProof/>
        </w:rPr>
        <w:t xml:space="preserve">Забележки </w:t>
      </w:r>
    </w:p>
    <w:p w:rsidR="00684532" w:rsidRDefault="0068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84532" w:rsidRDefault="00684532">
      <w:pPr>
        <w:rPr>
          <w:noProof/>
        </w:rPr>
        <w:sectPr w:rsidR="00684532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1"/>
        <w:rPr>
          <w:bCs/>
          <w:noProof/>
          <w:szCs w:val="24"/>
        </w:rPr>
      </w:pPr>
      <w:bookmarkStart w:id="35" w:name="_Toc514938041"/>
      <w:bookmarkStart w:id="36" w:name="_Toc520485042"/>
      <w:r>
        <w:rPr>
          <w:noProof/>
        </w:rPr>
        <w:t>2.</w:t>
      </w:r>
      <w:r>
        <w:rPr>
          <w:noProof/>
        </w:rPr>
        <w:tab/>
        <w:t>МЕРКИ ЗА УПРАВЛЕНИЕ</w:t>
      </w:r>
      <w:bookmarkEnd w:id="35"/>
      <w:bookmarkEnd w:id="36"/>
      <w:r>
        <w:rPr>
          <w:noProof/>
        </w:rPr>
        <w:t xml:space="preserve"> </w:t>
      </w:r>
    </w:p>
    <w:p w:rsidR="00684532" w:rsidRDefault="00E06C11">
      <w:pPr>
        <w:pStyle w:val="ManualHeading2"/>
        <w:rPr>
          <w:noProof/>
        </w:rPr>
      </w:pPr>
      <w:bookmarkStart w:id="37" w:name="_Toc514938042"/>
      <w:bookmarkStart w:id="38" w:name="_Toc520485043"/>
      <w:r>
        <w:rPr>
          <w:noProof/>
        </w:rPr>
        <w:t>2.1.</w:t>
      </w:r>
      <w:r>
        <w:rPr>
          <w:noProof/>
        </w:rPr>
        <w:tab/>
        <w:t>Правила за мониторинг и докладване</w:t>
      </w:r>
      <w:bookmarkEnd w:id="37"/>
      <w:bookmarkEnd w:id="38"/>
      <w:r>
        <w:rPr>
          <w:noProof/>
        </w:rPr>
        <w:t xml:space="preserve"> </w:t>
      </w:r>
    </w:p>
    <w:p w:rsidR="00684532" w:rsidRDefault="00E06C11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 xml:space="preserve">Да се посочат </w:t>
      </w:r>
      <w:r>
        <w:rPr>
          <w:i/>
          <w:noProof/>
          <w:sz w:val="20"/>
        </w:rPr>
        <w:t>честотата и условията.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bookmarkStart w:id="39" w:name="_Toc514938045"/>
      <w:bookmarkStart w:id="40" w:name="_Toc520485044"/>
      <w:r>
        <w:rPr>
          <w:noProof/>
        </w:rPr>
        <w:t>Съвместният комитет ще изготвя годишен доклад за функционирането на Споразумението.</w:t>
      </w:r>
    </w:p>
    <w:p w:rsidR="00684532" w:rsidRDefault="00E06C11">
      <w:pPr>
        <w:pStyle w:val="ManualHeading2"/>
        <w:rPr>
          <w:bCs/>
          <w:noProof/>
          <w:szCs w:val="24"/>
        </w:rPr>
      </w:pPr>
      <w:r>
        <w:rPr>
          <w:noProof/>
        </w:rPr>
        <w:t>2.2.</w:t>
      </w:r>
      <w:r>
        <w:rPr>
          <w:noProof/>
        </w:rPr>
        <w:tab/>
        <w:t>Системи за управление и контрол</w:t>
      </w:r>
      <w:bookmarkEnd w:id="39"/>
      <w:bookmarkEnd w:id="40"/>
      <w:r>
        <w:rPr>
          <w:noProof/>
        </w:rPr>
        <w:t xml:space="preserve"> </w:t>
      </w:r>
    </w:p>
    <w:p w:rsidR="00684532" w:rsidRDefault="00E06C11">
      <w:pPr>
        <w:pStyle w:val="ManualHeading3"/>
        <w:rPr>
          <w:noProof/>
        </w:rPr>
      </w:pPr>
      <w:bookmarkStart w:id="41" w:name="_Toc514938046"/>
      <w:bookmarkStart w:id="42" w:name="_Toc520485045"/>
      <w:r>
        <w:rPr>
          <w:noProof/>
        </w:rPr>
        <w:t>2.2.1.</w:t>
      </w:r>
      <w:r>
        <w:rPr>
          <w:noProof/>
        </w:rPr>
        <w:tab/>
        <w:t xml:space="preserve">Обосновка на предложените начини за управление, механизми за финансиране на изпълнението, начини за </w:t>
      </w:r>
      <w:r>
        <w:rPr>
          <w:noProof/>
        </w:rPr>
        <w:t>плащане и стратегия за контрол</w:t>
      </w:r>
      <w:bookmarkEnd w:id="41"/>
      <w:bookmarkEnd w:id="42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3"/>
        <w:rPr>
          <w:bCs/>
          <w:noProof/>
          <w:szCs w:val="24"/>
        </w:rPr>
      </w:pPr>
      <w:bookmarkStart w:id="43" w:name="_Toc514938047"/>
      <w:bookmarkStart w:id="44" w:name="_Toc520485046"/>
      <w:r>
        <w:rPr>
          <w:noProof/>
        </w:rPr>
        <w:t>2.2.2.</w:t>
      </w:r>
      <w:r>
        <w:rPr>
          <w:noProof/>
        </w:rPr>
        <w:tab/>
        <w:t>Информация относно установените рискове и системите за вътрешен контрол, създадени с цел намаляването им</w:t>
      </w:r>
      <w:bookmarkEnd w:id="43"/>
      <w:bookmarkEnd w:id="44"/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3"/>
        <w:rPr>
          <w:noProof/>
        </w:rPr>
      </w:pPr>
      <w:bookmarkStart w:id="45" w:name="_Toc514938048"/>
      <w:bookmarkStart w:id="46" w:name="_Toc520485047"/>
      <w:r>
        <w:rPr>
          <w:noProof/>
        </w:rPr>
        <w:t>2.2.3.</w:t>
      </w:r>
      <w:r>
        <w:rPr>
          <w:noProof/>
        </w:rPr>
        <w:tab/>
        <w:t>Оценка и обосновка на разходната ефективност на проверките (съотношение „разхо</w:t>
      </w:r>
      <w:r>
        <w:rPr>
          <w:noProof/>
        </w:rPr>
        <w:t>ди за контрол ÷ стойност на съответните управлявани фондове“) и оценка на очакваната степен на риска от грешки (при плащане и при приключване)</w:t>
      </w:r>
      <w:bookmarkEnd w:id="45"/>
      <w:bookmarkEnd w:id="46"/>
      <w:r>
        <w:rPr>
          <w:noProof/>
        </w:rPr>
        <w:t xml:space="preserve"> 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</w:t>
      </w:r>
    </w:p>
    <w:p w:rsidR="00684532" w:rsidRDefault="00E06C11">
      <w:pPr>
        <w:pStyle w:val="ManualHeading2"/>
        <w:rPr>
          <w:bCs/>
          <w:noProof/>
          <w:szCs w:val="24"/>
        </w:rPr>
      </w:pPr>
      <w:bookmarkStart w:id="47" w:name="_Toc514938049"/>
      <w:bookmarkStart w:id="48" w:name="_Toc520485048"/>
      <w:r>
        <w:rPr>
          <w:noProof/>
        </w:rPr>
        <w:t>2.3.</w:t>
      </w:r>
      <w:r>
        <w:rPr>
          <w:noProof/>
        </w:rPr>
        <w:tab/>
        <w:t>Мерки за предотвратяване на измами и нередности</w:t>
      </w:r>
      <w:bookmarkEnd w:id="47"/>
      <w:bookmarkEnd w:id="48"/>
      <w:r>
        <w:rPr>
          <w:noProof/>
        </w:rPr>
        <w:t xml:space="preserve"> </w:t>
      </w:r>
    </w:p>
    <w:p w:rsidR="00684532" w:rsidRDefault="00E06C11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</w:t>
      </w:r>
      <w:r>
        <w:rPr>
          <w:i/>
          <w:noProof/>
          <w:sz w:val="20"/>
        </w:rPr>
        <w:t xml:space="preserve"> мерки за превенция и защита, например от стратегията за борба с измамите.</w:t>
      </w:r>
    </w:p>
    <w:p w:rsidR="00684532" w:rsidRDefault="0068453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84532" w:rsidRDefault="0068453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84532" w:rsidRDefault="00684532">
      <w:pPr>
        <w:rPr>
          <w:noProof/>
        </w:rPr>
        <w:sectPr w:rsidR="00684532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1"/>
        <w:rPr>
          <w:bCs/>
          <w:noProof/>
          <w:szCs w:val="24"/>
        </w:rPr>
      </w:pPr>
      <w:bookmarkStart w:id="49" w:name="_Toc514938050"/>
      <w:bookmarkStart w:id="50" w:name="_Toc520485049"/>
      <w:r>
        <w:rPr>
          <w:noProof/>
        </w:rPr>
        <w:t>3.</w:t>
      </w:r>
      <w:r>
        <w:rPr>
          <w:noProof/>
        </w:rPr>
        <w:tab/>
        <w:t>ОЧАКВАНО ФИНАНСОВО ОТРАЖЕНИЕ НА ПРЕДЛОЖЕНИЕТО/ИНИЦИАТИВАТА</w:t>
      </w:r>
      <w:bookmarkEnd w:id="49"/>
      <w:bookmarkEnd w:id="50"/>
      <w:r>
        <w:rPr>
          <w:noProof/>
        </w:rPr>
        <w:t xml:space="preserve"> </w:t>
      </w:r>
    </w:p>
    <w:p w:rsidR="00684532" w:rsidRDefault="00E06C11">
      <w:pPr>
        <w:pStyle w:val="ManualHeading2"/>
        <w:rPr>
          <w:noProof/>
        </w:rPr>
      </w:pPr>
      <w:bookmarkStart w:id="51" w:name="_Toc514938051"/>
      <w:bookmarkStart w:id="52" w:name="_Toc520485050"/>
      <w:r>
        <w:rPr>
          <w:noProof/>
        </w:rPr>
        <w:t>3.1.</w:t>
      </w:r>
      <w:r>
        <w:rPr>
          <w:noProof/>
        </w:rPr>
        <w:tab/>
        <w:t>Съответни функции от многогодишната финансова рамка и разходни бюджетни редове</w:t>
      </w:r>
      <w:bookmarkEnd w:id="51"/>
      <w:bookmarkEnd w:id="52"/>
      <w:r>
        <w:rPr>
          <w:noProof/>
        </w:rPr>
        <w:t xml:space="preserve"> </w:t>
      </w:r>
    </w:p>
    <w:p w:rsidR="00684532" w:rsidRDefault="00E06C11">
      <w:pPr>
        <w:pStyle w:val="ListBullet1"/>
        <w:rPr>
          <w:noProof/>
        </w:rPr>
      </w:pPr>
      <w:r>
        <w:rPr>
          <w:noProof/>
        </w:rPr>
        <w:t>Съществ</w:t>
      </w:r>
      <w:r>
        <w:rPr>
          <w:noProof/>
        </w:rPr>
        <w:t xml:space="preserve">уващи бюджетни редове </w:t>
      </w:r>
    </w:p>
    <w:p w:rsidR="00684532" w:rsidRDefault="00E06C11">
      <w:pPr>
        <w:pStyle w:val="Text1"/>
        <w:rPr>
          <w:i/>
          <w:noProof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 w:rsidR="00684532">
        <w:tc>
          <w:tcPr>
            <w:tcW w:w="1080" w:type="dxa"/>
            <w:vMerge w:val="restart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Вид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</w:t>
            </w:r>
          </w:p>
        </w:tc>
        <w:tc>
          <w:tcPr>
            <w:tcW w:w="4440" w:type="dxa"/>
            <w:gridSpan w:val="4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Финансов принос </w:t>
            </w:r>
          </w:p>
        </w:tc>
      </w:tr>
      <w:tr w:rsidR="00684532">
        <w:tc>
          <w:tcPr>
            <w:tcW w:w="1080" w:type="dxa"/>
            <w:vMerge/>
            <w:vAlign w:val="center"/>
          </w:tcPr>
          <w:p w:rsidR="00684532" w:rsidRDefault="00684532"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 w:rsidR="00684532" w:rsidRDefault="00E06C11"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5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[Функция „Администрация“]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Многогод./едногод.</w:t>
            </w:r>
            <w:r>
              <w:rPr>
                <w:rStyle w:val="FootnoteReference"/>
                <w:noProof/>
                <w:sz w:val="18"/>
              </w:rPr>
              <w:footnoteReference w:id="5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от</w:t>
            </w:r>
            <w:r>
              <w:rPr>
                <w:noProof/>
                <w:sz w:val="18"/>
              </w:rPr>
              <w:t xml:space="preserve"> ЕАСТ</w:t>
            </w:r>
            <w:r>
              <w:rPr>
                <w:rStyle w:val="FootnoteReference"/>
                <w:noProof/>
                <w:sz w:val="18"/>
              </w:rPr>
              <w:footnoteReference w:id="6"/>
            </w:r>
          </w:p>
          <w:p w:rsidR="00684532" w:rsidRDefault="00684532"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7"/>
            </w:r>
          </w:p>
          <w:p w:rsidR="00684532" w:rsidRDefault="00684532"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 w:rsidR="00684532">
        <w:tc>
          <w:tcPr>
            <w:tcW w:w="1080" w:type="dxa"/>
            <w:vAlign w:val="center"/>
          </w:tcPr>
          <w:p w:rsidR="00684532" w:rsidRDefault="00684532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960" w:type="dxa"/>
            <w:vAlign w:val="center"/>
          </w:tcPr>
          <w:p w:rsidR="00684532" w:rsidRDefault="00E06C11">
            <w:pPr>
              <w:spacing w:before="60"/>
              <w:rPr>
                <w:noProof/>
              </w:rPr>
            </w:pPr>
            <w:r>
              <w:rPr>
                <w:noProof/>
              </w:rPr>
              <w:t>XX 01 01 01 Разходи, свързани с длъжностните лица и временно наетите служители, работещи в институцията.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Многогод.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1448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 w:rsidR="00684532">
        <w:tc>
          <w:tcPr>
            <w:tcW w:w="1080" w:type="dxa"/>
            <w:vAlign w:val="center"/>
          </w:tcPr>
          <w:p w:rsidR="00684532" w:rsidRDefault="00684532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960" w:type="dxa"/>
            <w:vAlign w:val="center"/>
          </w:tcPr>
          <w:p w:rsidR="00684532" w:rsidRDefault="00E06C11">
            <w:pPr>
              <w:spacing w:before="60"/>
              <w:rPr>
                <w:noProof/>
              </w:rPr>
            </w:pPr>
            <w:r>
              <w:rPr>
                <w:noProof/>
              </w:rPr>
              <w:t xml:space="preserve">XX 01 </w:t>
            </w:r>
            <w:r>
              <w:rPr>
                <w:noProof/>
              </w:rPr>
              <w:t>02 11 01 Разходи за мисии и представителни разходи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Многогод.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  <w:tc>
          <w:tcPr>
            <w:tcW w:w="1448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</w:tbl>
    <w:p w:rsidR="00684532" w:rsidRDefault="00E06C11">
      <w:pPr>
        <w:pStyle w:val="ListBullet1"/>
        <w:rPr>
          <w:noProof/>
        </w:rPr>
      </w:pPr>
      <w:r>
        <w:rPr>
          <w:noProof/>
        </w:rPr>
        <w:t xml:space="preserve">Поискани нови бюджетни редове </w:t>
      </w:r>
    </w:p>
    <w:p w:rsidR="00684532" w:rsidRDefault="00E06C11">
      <w:pPr>
        <w:pStyle w:val="Text1"/>
        <w:rPr>
          <w:i/>
          <w:noProof/>
          <w:sz w:val="20"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 w:rsidR="00684532">
        <w:tc>
          <w:tcPr>
            <w:tcW w:w="1080" w:type="dxa"/>
            <w:vMerge w:val="restart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Вид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</w:t>
            </w:r>
          </w:p>
        </w:tc>
        <w:tc>
          <w:tcPr>
            <w:tcW w:w="4440" w:type="dxa"/>
            <w:gridSpan w:val="4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Финансов принос </w:t>
            </w:r>
          </w:p>
        </w:tc>
      </w:tr>
      <w:tr w:rsidR="00684532">
        <w:tc>
          <w:tcPr>
            <w:tcW w:w="1080" w:type="dxa"/>
            <w:vMerge/>
            <w:vAlign w:val="center"/>
          </w:tcPr>
          <w:p w:rsidR="00684532" w:rsidRDefault="00684532"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 w:rsidR="00684532" w:rsidRDefault="00E06C11"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</w:rPr>
              <w:br/>
              <w:t>[…]</w:t>
            </w:r>
            <w:r>
              <w:rPr>
                <w:noProof/>
                <w:sz w:val="20"/>
              </w:rPr>
              <w:t>[Наименование………………………………………]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Многогод./едногод.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от ЕАСТ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кандидатки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 w:rsidR="00684532">
        <w:tc>
          <w:tcPr>
            <w:tcW w:w="1080" w:type="dxa"/>
            <w:vAlign w:val="center"/>
          </w:tcPr>
          <w:p w:rsidR="00684532" w:rsidRDefault="00684532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960" w:type="dxa"/>
            <w:vAlign w:val="center"/>
          </w:tcPr>
          <w:p w:rsidR="00684532" w:rsidRDefault="00E06C11">
            <w:pPr>
              <w:spacing w:before="60"/>
              <w:rPr>
                <w:noProof/>
              </w:rPr>
            </w:pPr>
            <w:r>
              <w:rPr>
                <w:noProof/>
              </w:rPr>
              <w:t>[…][XX.ГГ.ГГ.ГГ]</w:t>
            </w:r>
          </w:p>
          <w:p w:rsidR="00684532" w:rsidRDefault="00684532">
            <w:pPr>
              <w:spacing w:after="60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jc w:val="center"/>
              <w:rPr>
                <w:noProof/>
              </w:rPr>
            </w:pP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956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1448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</w:rPr>
              <w:t>ДА/НЕ</w:t>
            </w:r>
          </w:p>
        </w:tc>
      </w:tr>
    </w:tbl>
    <w:p w:rsidR="00684532" w:rsidRDefault="00684532">
      <w:pPr>
        <w:rPr>
          <w:noProof/>
        </w:rPr>
        <w:sectPr w:rsidR="00684532"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2"/>
        <w:rPr>
          <w:bCs/>
          <w:noProof/>
          <w:szCs w:val="24"/>
        </w:rPr>
      </w:pPr>
      <w:bookmarkStart w:id="53" w:name="_Toc514938052"/>
      <w:bookmarkStart w:id="54" w:name="_Toc520485051"/>
      <w:r>
        <w:rPr>
          <w:noProof/>
        </w:rPr>
        <w:t>3.2.</w:t>
      </w:r>
      <w:r>
        <w:rPr>
          <w:noProof/>
        </w:rPr>
        <w:tab/>
        <w:t>Очаквано финансово отражение на предложението върху бюджетните кредити</w:t>
      </w:r>
      <w:bookmarkEnd w:id="53"/>
      <w:bookmarkEnd w:id="54"/>
      <w:r>
        <w:rPr>
          <w:noProof/>
        </w:rPr>
        <w:t xml:space="preserve"> </w:t>
      </w:r>
    </w:p>
    <w:p w:rsidR="00684532" w:rsidRDefault="00E06C11">
      <w:pPr>
        <w:pStyle w:val="ManualHeading3"/>
        <w:rPr>
          <w:noProof/>
        </w:rPr>
      </w:pPr>
      <w:bookmarkStart w:id="55" w:name="_Toc514938053"/>
      <w:bookmarkStart w:id="56" w:name="_Toc520485052"/>
      <w:r>
        <w:rPr>
          <w:noProof/>
        </w:rPr>
        <w:t>3.2.1.</w:t>
      </w:r>
      <w:r>
        <w:rPr>
          <w:noProof/>
        </w:rPr>
        <w:tab/>
        <w:t>Обобщение на очакваното отражение върху бюджетните кредити за оперативни разходи</w:t>
      </w:r>
      <w:bookmarkEnd w:id="55"/>
      <w:bookmarkEnd w:id="56"/>
      <w:r>
        <w:rPr>
          <w:noProof/>
        </w:rPr>
        <w:t xml:space="preserve">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не налага използване на бюджетни кре</w:t>
      </w:r>
      <w:r>
        <w:rPr>
          <w:noProof/>
        </w:rPr>
        <w:t xml:space="preserve">дити за оперативни разходи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 w:rsidR="00684532" w:rsidRDefault="00E06C11">
      <w:pPr>
        <w:jc w:val="right"/>
        <w:rPr>
          <w:noProof/>
          <w:sz w:val="18"/>
          <w:szCs w:val="18"/>
        </w:rPr>
      </w:pPr>
      <w:r>
        <w:rPr>
          <w:noProof/>
          <w:sz w:val="18"/>
        </w:rPr>
        <w:t>млн. евро (до третия знак след десетичната запетая)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684532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684532" w:rsidRDefault="00E06C11"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Номер</w:t>
            </w:r>
          </w:p>
        </w:tc>
        <w:tc>
          <w:tcPr>
            <w:tcW w:w="7817" w:type="dxa"/>
            <w:vAlign w:val="center"/>
          </w:tcPr>
          <w:p w:rsidR="00684532" w:rsidRDefault="00684532">
            <w:pPr>
              <w:spacing w:before="60" w:after="60"/>
              <w:rPr>
                <w:noProof/>
              </w:rPr>
            </w:pPr>
          </w:p>
        </w:tc>
      </w:tr>
    </w:tbl>
    <w:p w:rsidR="00684532" w:rsidRDefault="00684532"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c>
          <w:tcPr>
            <w:tcW w:w="3960" w:type="dxa"/>
            <w:vAlign w:val="center"/>
          </w:tcPr>
          <w:p w:rsidR="00684532" w:rsidRDefault="00E06C11"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 xml:space="preserve">ГД: </w:t>
            </w:r>
            <w:r>
              <w:rPr>
                <w:noProof/>
                <w:sz w:val="22"/>
              </w:rPr>
              <w:t>&lt;…….&gt;</w:t>
            </w:r>
          </w:p>
        </w:tc>
        <w:tc>
          <w:tcPr>
            <w:tcW w:w="1560" w:type="dxa"/>
            <w:gridSpan w:val="2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b/>
                <w:noProof/>
                <w:sz w:val="20"/>
              </w:rPr>
              <w:footnoteReference w:id="8"/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684532">
        <w:trPr>
          <w:trHeight w:val="213"/>
        </w:trPr>
        <w:tc>
          <w:tcPr>
            <w:tcW w:w="6054" w:type="dxa"/>
            <w:gridSpan w:val="4"/>
            <w:vAlign w:val="center"/>
          </w:tcPr>
          <w:p w:rsidR="00684532" w:rsidRDefault="00E06C11">
            <w:pPr>
              <w:spacing w:before="20" w:after="20"/>
              <w:rPr>
                <w:noProof/>
                <w:sz w:val="21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>Бюджетни кредити за оперативни разходи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</w:tr>
      <w:tr w:rsidR="00684532">
        <w:trPr>
          <w:trHeight w:val="277"/>
        </w:trPr>
        <w:tc>
          <w:tcPr>
            <w:tcW w:w="3960" w:type="dxa"/>
            <w:vMerge w:val="restart"/>
            <w:vAlign w:val="center"/>
          </w:tcPr>
          <w:p w:rsidR="00684532" w:rsidRDefault="00E06C11">
            <w:pPr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  <w:r>
              <w:rPr>
                <w:rStyle w:val="FootnoteReference"/>
                <w:noProof/>
                <w:sz w:val="20"/>
              </w:rPr>
              <w:footnoteReference w:id="9"/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(1а)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(2а)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 w:val="restart"/>
            <w:vAlign w:val="center"/>
          </w:tcPr>
          <w:p w:rsidR="00684532" w:rsidRDefault="00E06C11">
            <w:pPr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(1б)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(2б)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rPr>
          <w:trHeight w:val="231"/>
        </w:trPr>
        <w:tc>
          <w:tcPr>
            <w:tcW w:w="6054" w:type="dxa"/>
            <w:gridSpan w:val="4"/>
            <w:vAlign w:val="center"/>
          </w:tcPr>
          <w:p w:rsidR="00684532" w:rsidRDefault="00E06C11"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  <w:sz w:val="21"/>
              </w:rPr>
              <w:footnoteReference w:id="10"/>
            </w:r>
            <w:r>
              <w:rPr>
                <w:noProof/>
                <w:sz w:val="21"/>
              </w:rPr>
              <w:t xml:space="preserve"> </w:t>
            </w:r>
          </w:p>
          <w:p w:rsidR="00684532" w:rsidRDefault="00684532">
            <w:pPr>
              <w:spacing w:before="0" w:after="0"/>
              <w:rPr>
                <w:noProof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rPr>
                <w:b/>
                <w:noProof/>
                <w:sz w:val="20"/>
              </w:rPr>
            </w:pPr>
          </w:p>
        </w:tc>
      </w:tr>
      <w:tr w:rsidR="00684532">
        <w:trPr>
          <w:trHeight w:val="319"/>
        </w:trPr>
        <w:tc>
          <w:tcPr>
            <w:tcW w:w="3960" w:type="dxa"/>
            <w:vAlign w:val="center"/>
          </w:tcPr>
          <w:p w:rsidR="00684532" w:rsidRDefault="00E06C11">
            <w:pPr>
              <w:spacing w:before="60" w:after="60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440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 w:val="restart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за ГД </w:t>
            </w:r>
            <w:r>
              <w:rPr>
                <w:noProof/>
                <w:sz w:val="22"/>
              </w:rPr>
              <w:t>&lt;…….&gt;</w:t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=1а+1б+3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=2а+2б</w:t>
            </w:r>
          </w:p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E06C11">
      <w:pPr>
        <w:rPr>
          <w:noProof/>
        </w:rPr>
      </w:pP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rPr>
          <w:trHeight w:val="277"/>
        </w:trPr>
        <w:tc>
          <w:tcPr>
            <w:tcW w:w="3960" w:type="dxa"/>
            <w:vMerge w:val="restart"/>
            <w:vAlign w:val="center"/>
          </w:tcPr>
          <w:p w:rsidR="00684532" w:rsidRDefault="00E06C11">
            <w:pPr>
              <w:spacing w:before="20" w:after="20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>ОБЩО бюджетни кредити за оперативни разходи</w:t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rPr>
          <w:trHeight w:val="533"/>
        </w:trPr>
        <w:tc>
          <w:tcPr>
            <w:tcW w:w="5400" w:type="dxa"/>
            <w:gridSpan w:val="2"/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ОБЩО бюджетни кредити за административни разходи, финансирани от пакета за </w:t>
            </w:r>
            <w:r>
              <w:rPr>
                <w:noProof/>
                <w:sz w:val="21"/>
              </w:rPr>
              <w:t>определени програми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 w:val="restart"/>
            <w:shd w:val="thinDiagStripe" w:color="C0C0C0" w:fill="auto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&lt;….&gt;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=4+6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  <w:shd w:val="thinDiagStripe" w:color="C0C0C0" w:fill="auto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=5+6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E06C11"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 xml:space="preserve">Ако предложението/инициативата има отражение върху повече от една оперативна функция, повторете </w:t>
      </w:r>
      <w:r>
        <w:rPr>
          <w:b/>
          <w:noProof/>
          <w:sz w:val="22"/>
          <w:u w:val="single"/>
        </w:rPr>
        <w:t>частта по-горе: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vAlign w:val="center"/>
          </w:tcPr>
          <w:p w:rsidR="00684532" w:rsidRDefault="00E06C11"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>ОБЩО бюджетни кредити за оперативни разходи (всички оперативни функции)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vAlign w:val="center"/>
          </w:tcPr>
          <w:p w:rsidR="00684532" w:rsidRDefault="00E06C11"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(всички оперативни функции)</w:t>
            </w:r>
          </w:p>
        </w:tc>
        <w:tc>
          <w:tcPr>
            <w:tcW w:w="654" w:type="dxa"/>
            <w:vAlign w:val="center"/>
          </w:tcPr>
          <w:p w:rsidR="00684532" w:rsidRDefault="00684532">
            <w:pPr>
              <w:rPr>
                <w:noProof/>
              </w:rPr>
            </w:pPr>
          </w:p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1—4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=4+6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thinDiagStripe" w:color="C0C0C0" w:fill="auto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4532" w:rsidRDefault="00E06C1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84532" w:rsidRDefault="00E06C11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684532">
      <w:pPr>
        <w:rPr>
          <w:noProof/>
        </w:rPr>
      </w:pPr>
    </w:p>
    <w:p w:rsidR="00684532" w:rsidRDefault="00E06C11">
      <w:pPr>
        <w:spacing w:before="0" w:after="0"/>
        <w:jc w:val="left"/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684532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684532" w:rsidRDefault="00E06C11"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 w:rsidR="00684532" w:rsidRDefault="00E06C11"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 xml:space="preserve">„Административни разходи“ </w:t>
            </w:r>
          </w:p>
        </w:tc>
      </w:tr>
    </w:tbl>
    <w:p w:rsidR="00684532" w:rsidRDefault="00E06C11">
      <w:pPr>
        <w:jc w:val="left"/>
        <w:rPr>
          <w:noProof/>
          <w:sz w:val="20"/>
        </w:rPr>
      </w:pPr>
      <w:r>
        <w:rPr>
          <w:noProof/>
        </w:rPr>
        <w:t xml:space="preserve">Тази част следва да бъде попълнена, като се използва таблицата за бюджетни данни от административно естество, която най-напред се въвежда в </w:t>
      </w:r>
      <w:hyperlink r:id="rId12">
        <w:r>
          <w:rPr>
            <w:rStyle w:val="Hyperlink"/>
            <w:noProof/>
          </w:rPr>
          <w:t>приложението към финансовата обосновка</w:t>
        </w:r>
      </w:hyperlink>
      <w:r>
        <w:rPr>
          <w:noProof/>
        </w:rPr>
        <w:t xml:space="preserve"> (приложение V към вътрешните правила), което се качва в DECIDE за провеждането на </w:t>
      </w:r>
      <w:r>
        <w:rPr>
          <w:noProof/>
        </w:rPr>
        <w:t>вътрешни консултации между службите.</w:t>
      </w:r>
    </w:p>
    <w:p w:rsidR="00684532" w:rsidRDefault="00E06C11"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684532" w:rsidRDefault="00684532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за да се обхване продължителността на отражението (вж. точка 1.6) </w:t>
            </w:r>
          </w:p>
        </w:tc>
        <w:tc>
          <w:tcPr>
            <w:tcW w:w="1777" w:type="dxa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684532">
        <w:trPr>
          <w:gridAfter w:val="10"/>
          <w:wAfter w:w="9947" w:type="dxa"/>
        </w:trPr>
        <w:tc>
          <w:tcPr>
            <w:tcW w:w="3960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ГД: SG (и потенциално SJ,...)</w:t>
            </w:r>
          </w:p>
        </w:tc>
      </w:tr>
      <w:tr w:rsidR="00684532">
        <w:trPr>
          <w:trHeight w:val="313"/>
        </w:trPr>
        <w:tc>
          <w:tcPr>
            <w:tcW w:w="6054" w:type="dxa"/>
            <w:gridSpan w:val="3"/>
            <w:vAlign w:val="center"/>
          </w:tcPr>
          <w:p w:rsidR="00684532" w:rsidRDefault="00E06C11"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Човешки ресурси 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rPr>
          <w:trHeight w:val="351"/>
        </w:trPr>
        <w:tc>
          <w:tcPr>
            <w:tcW w:w="6054" w:type="dxa"/>
            <w:gridSpan w:val="3"/>
            <w:vAlign w:val="center"/>
          </w:tcPr>
          <w:p w:rsidR="00684532" w:rsidRDefault="00E06C11"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Други административни разходи 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ГД</w:t>
            </w:r>
          </w:p>
        </w:tc>
        <w:tc>
          <w:tcPr>
            <w:tcW w:w="2094" w:type="dxa"/>
            <w:gridSpan w:val="2"/>
            <w:vAlign w:val="center"/>
          </w:tcPr>
          <w:p w:rsidR="00684532" w:rsidRDefault="00E06C11">
            <w:pPr>
              <w:spacing w:before="60" w:after="6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Бюджетни кредити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684532"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c>
          <w:tcPr>
            <w:tcW w:w="3960" w:type="dxa"/>
            <w:shd w:val="thinDiagStripe" w:color="C0C0C0" w:fill="auto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 5</w:t>
            </w:r>
            <w:r>
              <w:rPr>
                <w:noProof/>
                <w:sz w:val="22"/>
              </w:rPr>
              <w:br/>
              <w:t xml:space="preserve">от </w:t>
            </w:r>
            <w:r>
              <w:rPr>
                <w:noProof/>
                <w:sz w:val="22"/>
              </w:rPr>
              <w:t>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684532" w:rsidRDefault="00E06C11">
            <w:pPr>
              <w:spacing w:before="40" w:after="40"/>
              <w:rPr>
                <w:noProof/>
              </w:rPr>
            </w:pPr>
            <w:r>
              <w:rPr>
                <w:noProof/>
                <w:sz w:val="18"/>
              </w:rPr>
              <w:t>(Общо поети задължения = oбщо плащания)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20" w:after="2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E06C11"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684532"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684532" w:rsidRDefault="00684532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684532" w:rsidRDefault="0068453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b/>
                <w:noProof/>
                <w:sz w:val="20"/>
              </w:rPr>
              <w:footnoteReference w:id="11"/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</w:t>
            </w:r>
            <w:r>
              <w:rPr>
                <w:noProof/>
                <w:sz w:val="18"/>
              </w:rPr>
              <w:t>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684532">
        <w:tc>
          <w:tcPr>
            <w:tcW w:w="3960" w:type="dxa"/>
            <w:vMerge w:val="restart"/>
            <w:shd w:val="clear" w:color="auto" w:fill="C0C0C0"/>
            <w:vAlign w:val="center"/>
          </w:tcPr>
          <w:p w:rsidR="00684532" w:rsidRDefault="00E06C1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 w:rsidR="00684532" w:rsidRDefault="00E06C11"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</w:tr>
      <w:tr w:rsidR="00684532">
        <w:tc>
          <w:tcPr>
            <w:tcW w:w="3960" w:type="dxa"/>
            <w:vMerge/>
            <w:shd w:val="clear" w:color="auto" w:fill="C0C0C0"/>
          </w:tcPr>
          <w:p w:rsidR="00684532" w:rsidRDefault="00684532">
            <w:pPr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84532" w:rsidRDefault="00E06C11"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E06C11"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684532" w:rsidRDefault="00684532"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</w:tr>
    </w:tbl>
    <w:p w:rsidR="00684532" w:rsidRDefault="00684532">
      <w:pPr>
        <w:rPr>
          <w:noProof/>
        </w:rPr>
      </w:pPr>
    </w:p>
    <w:p w:rsidR="00684532" w:rsidRDefault="00E06C11">
      <w:pPr>
        <w:pStyle w:val="ManualHeading3"/>
        <w:rPr>
          <w:bCs/>
          <w:noProof/>
          <w:szCs w:val="24"/>
        </w:rPr>
      </w:pPr>
      <w:bookmarkStart w:id="57" w:name="_Toc514938054"/>
      <w:bookmarkStart w:id="58" w:name="_Toc520485053"/>
      <w:r>
        <w:rPr>
          <w:noProof/>
        </w:rPr>
        <w:t>3.2.2.</w:t>
      </w:r>
      <w:r>
        <w:rPr>
          <w:noProof/>
        </w:rPr>
        <w:tab/>
        <w:t>Очакван резултат, финансиран с бюджетни кредити за оперативни разходи</w:t>
      </w:r>
      <w:bookmarkEnd w:id="57"/>
      <w:bookmarkEnd w:id="58"/>
      <w:r>
        <w:rPr>
          <w:noProof/>
        </w:rPr>
        <w:t xml:space="preserve"> </w:t>
      </w:r>
    </w:p>
    <w:p w:rsidR="00684532" w:rsidRDefault="00E06C11"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евро (до третия знак след десетичната запетая)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720"/>
        <w:gridCol w:w="540"/>
        <w:gridCol w:w="720"/>
        <w:gridCol w:w="720"/>
        <w:gridCol w:w="720"/>
        <w:gridCol w:w="900"/>
        <w:gridCol w:w="51"/>
        <w:gridCol w:w="669"/>
        <w:gridCol w:w="540"/>
        <w:gridCol w:w="648"/>
        <w:gridCol w:w="432"/>
        <w:gridCol w:w="720"/>
        <w:gridCol w:w="540"/>
        <w:gridCol w:w="720"/>
        <w:gridCol w:w="720"/>
        <w:gridCol w:w="900"/>
      </w:tblGrid>
      <w:tr w:rsidR="00684532">
        <w:trPr>
          <w:jc w:val="center"/>
        </w:trPr>
        <w:tc>
          <w:tcPr>
            <w:tcW w:w="1423" w:type="dxa"/>
            <w:vMerge w:val="restart"/>
            <w:vAlign w:val="center"/>
          </w:tcPr>
          <w:p w:rsidR="00684532" w:rsidRDefault="00E06C11"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 w:rsidR="00684532" w:rsidRDefault="00684532"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1260" w:type="dxa"/>
            <w:gridSpan w:val="2"/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1440" w:type="dxa"/>
            <w:gridSpan w:val="2"/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620" w:type="dxa"/>
            <w:gridSpan w:val="3"/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600" w:type="dxa"/>
            <w:gridSpan w:val="6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  <w:r>
              <w:rPr>
                <w:noProof/>
                <w:sz w:val="18"/>
              </w:rPr>
              <w:t xml:space="preserve">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 w:rsidR="00684532">
        <w:trPr>
          <w:jc w:val="center"/>
        </w:trPr>
        <w:tc>
          <w:tcPr>
            <w:tcW w:w="1423" w:type="dxa"/>
            <w:vMerge/>
            <w:vAlign w:val="center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19"/>
            <w:vAlign w:val="center"/>
          </w:tcPr>
          <w:p w:rsidR="00684532" w:rsidRDefault="00E06C11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 w:rsidR="00684532">
        <w:trPr>
          <w:cantSplit/>
          <w:trHeight w:val="1134"/>
          <w:jc w:val="center"/>
        </w:trPr>
        <w:tc>
          <w:tcPr>
            <w:tcW w:w="1423" w:type="dxa"/>
            <w:vMerge/>
            <w:vAlign w:val="center"/>
          </w:tcPr>
          <w:p w:rsidR="00684532" w:rsidRDefault="0068453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</w:t>
            </w:r>
            <w:r>
              <w:rPr>
                <w:rStyle w:val="FootnoteReference"/>
                <w:noProof/>
                <w:sz w:val="18"/>
              </w:rPr>
              <w:footnoteReference w:id="12"/>
            </w:r>
          </w:p>
          <w:p w:rsidR="00684532" w:rsidRDefault="00684532"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Средни разходи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684532" w:rsidRDefault="00E06C1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 w:rsidR="00684532">
        <w:trPr>
          <w:jc w:val="center"/>
        </w:trPr>
        <w:tc>
          <w:tcPr>
            <w:tcW w:w="2844" w:type="dxa"/>
            <w:gridSpan w:val="3"/>
            <w:vAlign w:val="center"/>
          </w:tcPr>
          <w:p w:rsidR="00684532" w:rsidRDefault="00E06C11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1</w:t>
            </w:r>
            <w:r>
              <w:rPr>
                <w:rStyle w:val="FootnoteReference"/>
                <w:noProof/>
                <w:sz w:val="18"/>
              </w:rPr>
              <w:footnoteReference w:id="13"/>
            </w:r>
            <w:r>
              <w:rPr>
                <w:noProof/>
                <w:sz w:val="18"/>
              </w:rPr>
              <w:t>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trHeight w:hRule="exact" w:val="369"/>
          <w:jc w:val="center"/>
        </w:trPr>
        <w:tc>
          <w:tcPr>
            <w:tcW w:w="1423" w:type="dxa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trHeight w:hRule="exact" w:val="369"/>
          <w:jc w:val="center"/>
        </w:trPr>
        <w:tc>
          <w:tcPr>
            <w:tcW w:w="1423" w:type="dxa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trHeight w:hRule="exact" w:val="369"/>
          <w:jc w:val="center"/>
        </w:trPr>
        <w:tc>
          <w:tcPr>
            <w:tcW w:w="1423" w:type="dxa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trHeight w:val="77"/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1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jc w:val="center"/>
        </w:trPr>
        <w:tc>
          <w:tcPr>
            <w:tcW w:w="2844" w:type="dxa"/>
            <w:gridSpan w:val="3"/>
            <w:vAlign w:val="center"/>
          </w:tcPr>
          <w:p w:rsidR="00684532" w:rsidRDefault="00E06C11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2…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84532" w:rsidRDefault="00684532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trHeight w:hRule="exact" w:val="369"/>
          <w:jc w:val="center"/>
        </w:trPr>
        <w:tc>
          <w:tcPr>
            <w:tcW w:w="1423" w:type="dxa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 w:rsidR="00684532" w:rsidRDefault="00E06C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2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84532" w:rsidRDefault="00684532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684532"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4532" w:rsidRDefault="00E06C11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32" w:rsidRDefault="00684532"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684532" w:rsidRDefault="00684532">
      <w:pPr>
        <w:rPr>
          <w:noProof/>
        </w:rPr>
        <w:sectPr w:rsidR="0068453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3"/>
        <w:rPr>
          <w:bCs/>
          <w:noProof/>
          <w:szCs w:val="24"/>
        </w:rPr>
      </w:pPr>
      <w:bookmarkStart w:id="59" w:name="_Toc514938055"/>
      <w:bookmarkStart w:id="60" w:name="_Toc520485054"/>
      <w:r>
        <w:rPr>
          <w:noProof/>
        </w:rPr>
        <w:t>3.2.3.</w:t>
      </w:r>
      <w:r>
        <w:rPr>
          <w:noProof/>
        </w:rPr>
        <w:tab/>
        <w:t>Обобщение на очакваното отражение върху бюджетните кредити за административни разходи</w:t>
      </w:r>
      <w:bookmarkEnd w:id="59"/>
      <w:bookmarkEnd w:id="60"/>
      <w:r>
        <w:rPr>
          <w:noProof/>
        </w:rPr>
        <w:t xml:space="preserve">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>Предложението/инициативата</w:t>
      </w:r>
      <w:r>
        <w:rPr>
          <w:noProof/>
        </w:rPr>
        <w:t xml:space="preserve"> налага използване на бюджетни кредити за административни разходи съгласно обяснението по-долу:</w:t>
      </w:r>
    </w:p>
    <w:p w:rsidR="00684532" w:rsidRDefault="00E06C11"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3240"/>
        <w:gridCol w:w="1080"/>
      </w:tblGrid>
      <w:tr w:rsidR="00684532">
        <w:trPr>
          <w:trHeight w:val="585"/>
        </w:trPr>
        <w:tc>
          <w:tcPr>
            <w:tcW w:w="1980" w:type="dxa"/>
          </w:tcPr>
          <w:p w:rsidR="00684532" w:rsidRDefault="00684532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  <w:r>
              <w:rPr>
                <w:rStyle w:val="FootnoteReference"/>
                <w:b/>
                <w:noProof/>
                <w:sz w:val="16"/>
              </w:rPr>
              <w:footnoteReference w:id="14"/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N+2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3240" w:type="dxa"/>
            <w:vAlign w:val="center"/>
          </w:tcPr>
          <w:p w:rsidR="00684532" w:rsidRDefault="00E06C11"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Да се добавят толкова години, колкото е необходимо, за да се обх</w:t>
            </w:r>
            <w:r>
              <w:rPr>
                <w:noProof/>
                <w:sz w:val="16"/>
              </w:rPr>
              <w:t>ване продължителността на отражението (вж. точка 1.6)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 w:rsidR="00684532" w:rsidRDefault="00684532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8453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vAlign w:val="center"/>
          </w:tcPr>
          <w:p w:rsidR="00684532" w:rsidRDefault="00E06C11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286 000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vAlign w:val="center"/>
          </w:tcPr>
          <w:p w:rsidR="00684532" w:rsidRDefault="00E06C11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 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 w:rsidR="00684532" w:rsidRDefault="00684532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8453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 5</w:t>
            </w:r>
            <w:r>
              <w:rPr>
                <w:rStyle w:val="FootnoteReference"/>
                <w:b/>
                <w:noProof/>
                <w:sz w:val="16"/>
              </w:rPr>
              <w:footnoteReference w:id="15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 w:rsidR="00684532" w:rsidRDefault="00684532"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vAlign w:val="center"/>
          </w:tcPr>
          <w:p w:rsidR="00684532" w:rsidRDefault="00E06C11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vAlign w:val="center"/>
          </w:tcPr>
          <w:p w:rsidR="00684532" w:rsidRDefault="00E06C11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разходи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68453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извън ФУНКЦИЯ 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 w:rsidR="00684532" w:rsidRDefault="00684532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84532"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E06C11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E06C11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8"/>
              </w:rPr>
              <w:t>288 000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532" w:rsidRDefault="0068453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 w:rsidR="00684532" w:rsidRDefault="00E06C11">
      <w:pPr>
        <w:rPr>
          <w:noProof/>
          <w:sz w:val="18"/>
        </w:rPr>
      </w:pPr>
      <w:r>
        <w:rPr>
          <w:noProof/>
          <w:sz w:val="18"/>
        </w:rPr>
        <w:t xml:space="preserve">Бюджетните кредити, необходими за човешки ресурси и други разходи с административен характер, ще бъдат покрити от бюджетните кредити на ГД, които вече са определени за </w:t>
      </w:r>
      <w:r>
        <w:rPr>
          <w:noProof/>
          <w:sz w:val="18"/>
        </w:rPr>
        <w:t>управлението на действието и/или които са преразпределени в рамките на ГД, при необходимост заедно с допълнително отпуснати ресурси, които могат да бъдат предоставени на управляващата ГД в рамките на годишната процедура за отпускане на средства и като се и</w:t>
      </w:r>
      <w:r>
        <w:rPr>
          <w:noProof/>
          <w:sz w:val="18"/>
        </w:rPr>
        <w:t>мат предвид бюджетните ограничения.</w:t>
      </w:r>
    </w:p>
    <w:p w:rsidR="00684532" w:rsidRDefault="00684532">
      <w:pPr>
        <w:rPr>
          <w:noProof/>
          <w:sz w:val="18"/>
        </w:rPr>
        <w:sectPr w:rsidR="00684532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4"/>
        <w:rPr>
          <w:bCs/>
          <w:noProof/>
          <w:szCs w:val="24"/>
        </w:rPr>
      </w:pPr>
      <w:r>
        <w:rPr>
          <w:noProof/>
        </w:rPr>
        <w:t>3.2.3.1.</w:t>
      </w:r>
      <w:r>
        <w:rPr>
          <w:noProof/>
        </w:rPr>
        <w:tab/>
        <w:t xml:space="preserve">Очаквани нужди от човешки ресурси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</w:t>
      </w:r>
      <w:r>
        <w:rPr>
          <w:noProof/>
        </w:rPr>
        <w:t>е на човешки ресурси съгласно обяснението по-долу:</w:t>
      </w:r>
    </w:p>
    <w:p w:rsidR="00684532" w:rsidRDefault="00E06C11"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9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376"/>
        <w:gridCol w:w="2378"/>
        <w:gridCol w:w="731"/>
        <w:gridCol w:w="731"/>
        <w:gridCol w:w="731"/>
        <w:gridCol w:w="731"/>
        <w:gridCol w:w="731"/>
        <w:gridCol w:w="731"/>
        <w:gridCol w:w="731"/>
      </w:tblGrid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</w:tcPr>
          <w:p w:rsidR="00684532" w:rsidRDefault="00684532"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Да се добавят толкова години, колкото е необходимо, за да се обхване продължителността на отражението </w:t>
            </w:r>
            <w:r>
              <w:rPr>
                <w:noProof/>
                <w:sz w:val="16"/>
              </w:rPr>
              <w:t>(вж. точка 1.6)</w:t>
            </w: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600" w:type="dxa"/>
            <w:gridSpan w:val="9"/>
            <w:shd w:val="clear" w:color="auto" w:fill="auto"/>
          </w:tcPr>
          <w:p w:rsidR="00684532" w:rsidRDefault="00E06C11">
            <w:pPr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Длъжности в щатното разписание (длъжностни лица и срочно наети служители)</w:t>
            </w: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01 (Централа и представителства на Комисията)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02 (Делегации)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05 01/11/21 (Непреки научни изследвания)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10 01 05 </w:t>
            </w:r>
            <w:r>
              <w:rPr>
                <w:noProof/>
                <w:sz w:val="16"/>
              </w:rPr>
              <w:t>01/11 (Преки научни изследвания)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trHeight w:val="248"/>
          <w:jc w:val="center"/>
        </w:trPr>
        <w:tc>
          <w:tcPr>
            <w:tcW w:w="600" w:type="dxa"/>
            <w:gridSpan w:val="10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Външен персонал (в еквивалент на пълно работно време — ЕПРВ)</w:t>
            </w:r>
            <w:r>
              <w:rPr>
                <w:rStyle w:val="FootnoteReference"/>
                <w:b/>
                <w:noProof/>
                <w:sz w:val="16"/>
              </w:rPr>
              <w:footnoteReference w:id="16"/>
            </w:r>
          </w:p>
          <w:p w:rsidR="00684532" w:rsidRDefault="00684532"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 и ПНА от общия финансов пакет)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01 04 </w:t>
            </w:r>
            <w:r>
              <w:rPr>
                <w:b/>
                <w:noProof/>
                <w:sz w:val="16"/>
              </w:rPr>
              <w:t>yy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sz w:val="16"/>
              </w:rPr>
              <w:footnoteReference w:id="17"/>
            </w:r>
          </w:p>
          <w:p w:rsidR="00684532" w:rsidRDefault="00684532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  <w:p w:rsidR="00684532" w:rsidRDefault="00684532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:rsidR="00684532" w:rsidRDefault="00684532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в делегациите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6"/>
              </w:rPr>
              <w:t>01 05 02/12/22 (ДНП, КНЕ, ПНА — Непреки научни изследвания)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02/12 (ДНП, КНЕ, ПНА — Преки научни изследвания)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532">
        <w:trPr>
          <w:gridBefore w:val="1"/>
          <w:wBefore w:w="13" w:type="dxa"/>
          <w:trHeight w:val="289"/>
          <w:jc w:val="center"/>
        </w:trPr>
        <w:tc>
          <w:tcPr>
            <w:tcW w:w="390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E06C11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532" w:rsidRDefault="00684532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</w:tbl>
    <w:p w:rsidR="00684532" w:rsidRDefault="00E06C11"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  <w:szCs w:val="18"/>
        </w:rPr>
        <w:t>XX</w:t>
      </w:r>
      <w:r>
        <w:rPr>
          <w:noProof/>
          <w:sz w:val="18"/>
          <w:szCs w:val="18"/>
        </w:rPr>
        <w:t xml:space="preserve"> е съответната област на политика или бюджетен дял.</w:t>
      </w:r>
    </w:p>
    <w:p w:rsidR="00684532" w:rsidRDefault="00E06C11"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</w:t>
      </w:r>
      <w:r>
        <w:rPr>
          <w:noProof/>
          <w:sz w:val="18"/>
        </w:rPr>
        <w:t>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 w:rsidR="00684532" w:rsidRDefault="00E06C11"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 w:rsidR="00684532">
        <w:tc>
          <w:tcPr>
            <w:tcW w:w="3240" w:type="dxa"/>
          </w:tcPr>
          <w:p w:rsidR="00684532" w:rsidRDefault="00E06C1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срочн</w:t>
            </w:r>
            <w:r>
              <w:rPr>
                <w:noProof/>
                <w:sz w:val="20"/>
              </w:rPr>
              <w:t>о наети служители</w:t>
            </w:r>
          </w:p>
        </w:tc>
        <w:tc>
          <w:tcPr>
            <w:tcW w:w="7200" w:type="dxa"/>
          </w:tcPr>
          <w:p w:rsidR="00684532" w:rsidRDefault="00E06C1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Подготовка и участие в заседанията на Съвместния комитет и предприемане на последващи действия във връзка с тях. Изготвяне и приемане на годишен доклад за функционирането на Споразумението.</w:t>
            </w:r>
          </w:p>
        </w:tc>
      </w:tr>
      <w:tr w:rsidR="00684532">
        <w:tc>
          <w:tcPr>
            <w:tcW w:w="3240" w:type="dxa"/>
          </w:tcPr>
          <w:p w:rsidR="00684532" w:rsidRDefault="00E06C11"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 w:rsidR="00684532" w:rsidRDefault="00684532">
            <w:pPr>
              <w:rPr>
                <w:noProof/>
                <w:sz w:val="20"/>
              </w:rPr>
            </w:pPr>
          </w:p>
        </w:tc>
      </w:tr>
    </w:tbl>
    <w:p w:rsidR="00684532" w:rsidRDefault="00684532">
      <w:pPr>
        <w:rPr>
          <w:noProof/>
        </w:rPr>
        <w:sectPr w:rsidR="00684532"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 w:rsidR="00684532" w:rsidRDefault="00E06C11">
      <w:pPr>
        <w:pStyle w:val="ManualHeading3"/>
        <w:rPr>
          <w:noProof/>
        </w:rPr>
      </w:pPr>
      <w:bookmarkStart w:id="61" w:name="_Toc514938056"/>
      <w:bookmarkStart w:id="62" w:name="_Toc520485055"/>
      <w:r>
        <w:rPr>
          <w:noProof/>
        </w:rPr>
        <w:t>3.2.4.</w:t>
      </w:r>
      <w:r>
        <w:rPr>
          <w:noProof/>
        </w:rPr>
        <w:tab/>
      </w:r>
      <w:r>
        <w:rPr>
          <w:noProof/>
        </w:rPr>
        <w:t>Съвместимост с настоящата многогодишна финансова рамка</w:t>
      </w:r>
      <w:bookmarkEnd w:id="61"/>
      <w:bookmarkEnd w:id="62"/>
      <w:r>
        <w:rPr>
          <w:noProof/>
        </w:rPr>
        <w:t xml:space="preserve">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t>Предложението/инициативата: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>може да се финансира изцяло чрез преразпределяне на средства в рамките на съответната функция от многогодишната финансова рамка (МФР).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Предложението предполага само админ</w:t>
      </w:r>
      <w:r>
        <w:rPr>
          <w:noProof/>
          <w:sz w:val="20"/>
        </w:rPr>
        <w:t>истративни разходи, които ще бъдат набелязани чрез преразпределяне по време на разпределянето на ресурсите.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налага да се използват неразпределеният марж под съответната функция от МФР и/или специалните инструменти, предвидени в Регламента за МФР.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</w:t>
      </w:r>
      <w:r>
        <w:rPr>
          <w:noProof/>
          <w:sz w:val="20"/>
        </w:rPr>
        <w:t>е какво е необходимо, като посочите съответните функции, бюджетни редове и суми и инструментите, които се предлага да бъдат използвани.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налага преразглеждане на МФР.</w:t>
      </w:r>
    </w:p>
    <w:p w:rsidR="00684532" w:rsidRDefault="00E06C1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 w:rsidR="00684532" w:rsidRDefault="00E06C11">
      <w:pPr>
        <w:pStyle w:val="ManualHeading3"/>
        <w:rPr>
          <w:bCs/>
          <w:noProof/>
          <w:szCs w:val="24"/>
        </w:rPr>
      </w:pPr>
      <w:bookmarkStart w:id="63" w:name="_Toc514938058"/>
      <w:bookmarkStart w:id="64" w:name="_Toc520485056"/>
      <w:r>
        <w:rPr>
          <w:noProof/>
        </w:rPr>
        <w:t>3.2.5.</w:t>
      </w:r>
      <w:r>
        <w:rPr>
          <w:noProof/>
        </w:rPr>
        <w:tab/>
        <w:t>Участие на трети страни във финансирането</w:t>
      </w:r>
      <w:bookmarkEnd w:id="63"/>
      <w:bookmarkEnd w:id="64"/>
      <w:r>
        <w:rPr>
          <w:noProof/>
        </w:rPr>
        <w:t xml:space="preserve"> </w:t>
      </w:r>
    </w:p>
    <w:p w:rsidR="00684532" w:rsidRDefault="00E06C11">
      <w:pPr>
        <w:pStyle w:val="Text1"/>
        <w:rPr>
          <w:noProof/>
        </w:rPr>
      </w:pPr>
      <w:r>
        <w:rPr>
          <w:noProof/>
        </w:rPr>
        <w:t>Предложението/инициативата: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>не предвижда съфинансиране от трети страни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предвижда следното съфинансиране от трети страни, като оценките са дадени по-долу:</w:t>
      </w:r>
    </w:p>
    <w:p w:rsidR="00684532" w:rsidRDefault="00E06C11">
      <w:pPr>
        <w:jc w:val="right"/>
        <w:rPr>
          <w:noProof/>
          <w:sz w:val="20"/>
        </w:rPr>
      </w:pPr>
      <w:r>
        <w:rPr>
          <w:noProof/>
          <w:sz w:val="20"/>
        </w:rPr>
        <w:t xml:space="preserve">Бюджетни кредити в млн. евро (до третия знак </w:t>
      </w:r>
      <w:r>
        <w:rPr>
          <w:noProof/>
          <w:sz w:val="20"/>
        </w:rPr>
        <w:t>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 w:rsidR="00684532">
        <w:trPr>
          <w:cantSplit/>
        </w:trPr>
        <w:tc>
          <w:tcPr>
            <w:tcW w:w="2340" w:type="dxa"/>
          </w:tcPr>
          <w:p w:rsidR="00684532" w:rsidRDefault="00684532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b/>
                <w:noProof/>
                <w:sz w:val="20"/>
              </w:rPr>
              <w:footnoteReference w:id="18"/>
            </w:r>
          </w:p>
        </w:tc>
        <w:tc>
          <w:tcPr>
            <w:tcW w:w="964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 w:rsidR="00684532" w:rsidRDefault="00E06C1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 w:rsidR="00684532" w:rsidRDefault="00E06C11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 w:rsidR="00684532">
        <w:trPr>
          <w:cantSplit/>
        </w:trPr>
        <w:tc>
          <w:tcPr>
            <w:tcW w:w="2340" w:type="dxa"/>
          </w:tcPr>
          <w:p w:rsidR="00684532" w:rsidRDefault="00E06C11">
            <w:pPr>
              <w:rPr>
                <w:noProof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684532">
        <w:trPr>
          <w:cantSplit/>
        </w:trPr>
        <w:tc>
          <w:tcPr>
            <w:tcW w:w="2340" w:type="dxa"/>
          </w:tcPr>
          <w:p w:rsidR="00684532" w:rsidRDefault="00E06C11"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684532" w:rsidRDefault="0068453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 w:rsidR="00684532" w:rsidRDefault="00E06C11">
      <w:pPr>
        <w:rPr>
          <w:noProof/>
        </w:rPr>
      </w:pPr>
      <w:r>
        <w:rPr>
          <w:noProof/>
        </w:rPr>
        <w:br/>
      </w:r>
    </w:p>
    <w:p w:rsidR="00684532" w:rsidRDefault="00E06C11"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bookmarkStart w:id="65" w:name="_Toc514938059"/>
      <w:bookmarkStart w:id="66" w:name="_Toc520485057"/>
      <w:r>
        <w:rPr>
          <w:noProof/>
        </w:rPr>
        <w:t>3.3.</w:t>
      </w:r>
      <w:r>
        <w:rPr>
          <w:noProof/>
        </w:rPr>
        <w:tab/>
        <w:t>Очаквано отражение върху приходите</w:t>
      </w:r>
      <w:bookmarkEnd w:id="65"/>
      <w:bookmarkEnd w:id="66"/>
      <w:r>
        <w:rPr>
          <w:noProof/>
        </w:rPr>
        <w:t xml:space="preserve"> 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 w:rsidR="00684532" w:rsidRDefault="00E06C11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отражение:</w:t>
      </w:r>
    </w:p>
    <w:p w:rsidR="00684532" w:rsidRDefault="00E06C11"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 w:rsidR="00684532" w:rsidRDefault="00E06C11"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</w:r>
      <w:r>
        <w:rPr>
          <w:noProof/>
        </w:rPr>
        <w:t>върху разните приходи</w:t>
      </w:r>
    </w:p>
    <w:p w:rsidR="00684532" w:rsidRDefault="00E06C11"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моля, посочете дали приходите са записани по разходни бюджетни редове </w:t>
      </w:r>
    </w:p>
    <w:p w:rsidR="00684532" w:rsidRDefault="00E06C11">
      <w:pPr>
        <w:ind w:left="4320"/>
        <w:rPr>
          <w:i/>
          <w:noProof/>
          <w:sz w:val="20"/>
        </w:rPr>
      </w:pPr>
      <w:r>
        <w:rPr>
          <w:noProof/>
        </w:rPr>
        <w:t xml:space="preserve">     млн. евро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325"/>
        <w:gridCol w:w="1031"/>
        <w:gridCol w:w="900"/>
        <w:gridCol w:w="900"/>
        <w:gridCol w:w="1080"/>
        <w:gridCol w:w="1080"/>
        <w:gridCol w:w="1080"/>
        <w:gridCol w:w="1080"/>
      </w:tblGrid>
      <w:tr w:rsidR="00684532">
        <w:trPr>
          <w:trHeight w:val="388"/>
        </w:trPr>
        <w:tc>
          <w:tcPr>
            <w:tcW w:w="2144" w:type="dxa"/>
            <w:vMerge w:val="restart"/>
            <w:vAlign w:val="center"/>
          </w:tcPr>
          <w:p w:rsidR="00684532" w:rsidRDefault="00E06C11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325" w:type="dxa"/>
            <w:vMerge w:val="restart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финансова година</w:t>
            </w:r>
          </w:p>
        </w:tc>
        <w:tc>
          <w:tcPr>
            <w:tcW w:w="7151" w:type="dxa"/>
            <w:gridSpan w:val="7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Отражение на </w:t>
            </w:r>
            <w:r>
              <w:rPr>
                <w:noProof/>
                <w:sz w:val="18"/>
              </w:rPr>
              <w:t>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19"/>
            </w:r>
          </w:p>
        </w:tc>
      </w:tr>
      <w:tr w:rsidR="00684532">
        <w:trPr>
          <w:trHeight w:val="388"/>
        </w:trPr>
        <w:tc>
          <w:tcPr>
            <w:tcW w:w="2144" w:type="dxa"/>
            <w:vMerge/>
          </w:tcPr>
          <w:p w:rsidR="00684532" w:rsidRDefault="00684532"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325" w:type="dxa"/>
            <w:vMerge/>
          </w:tcPr>
          <w:p w:rsidR="00684532" w:rsidRDefault="00684532"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31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 w:rsidR="00684532" w:rsidRDefault="00E06C1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 w:rsidR="00684532" w:rsidRDefault="00E06C11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 w:rsidR="00684532">
        <w:trPr>
          <w:trHeight w:val="388"/>
        </w:trPr>
        <w:tc>
          <w:tcPr>
            <w:tcW w:w="2144" w:type="dxa"/>
            <w:vAlign w:val="center"/>
          </w:tcPr>
          <w:p w:rsidR="00684532" w:rsidRDefault="00E06C11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………….</w:t>
            </w:r>
          </w:p>
        </w:tc>
        <w:tc>
          <w:tcPr>
            <w:tcW w:w="1325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31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684532" w:rsidRDefault="00684532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 w:rsidR="00684532" w:rsidRDefault="00E06C11">
      <w:pPr>
        <w:pStyle w:val="Text1"/>
        <w:rPr>
          <w:noProof/>
          <w:sz w:val="20"/>
        </w:rPr>
      </w:pPr>
      <w:r>
        <w:rPr>
          <w:noProof/>
          <w:sz w:val="20"/>
        </w:rPr>
        <w:t xml:space="preserve">За целевите приходи да се посочат </w:t>
      </w:r>
      <w:r>
        <w:rPr>
          <w:noProof/>
          <w:sz w:val="20"/>
        </w:rPr>
        <w:t>съответните разходни бюджетни редове.</w:t>
      </w:r>
    </w:p>
    <w:p w:rsidR="00684532" w:rsidRDefault="0068453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84532" w:rsidRDefault="00E06C11">
      <w:pPr>
        <w:pStyle w:val="Text1"/>
        <w:rPr>
          <w:noProof/>
          <w:sz w:val="20"/>
        </w:rPr>
      </w:pPr>
      <w:r>
        <w:rPr>
          <w:noProof/>
          <w:sz w:val="20"/>
        </w:rPr>
        <w:t>Други забележки (например метод/формула за изчисляване на отражението върху приходите или друга информация).</w:t>
      </w:r>
    </w:p>
    <w:p w:rsidR="00684532" w:rsidRDefault="0068453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sectPr w:rsidR="00684532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32" w:rsidRDefault="00E06C11">
      <w:pPr>
        <w:spacing w:before="0" w:after="0"/>
      </w:pPr>
      <w:r>
        <w:separator/>
      </w:r>
    </w:p>
  </w:endnote>
  <w:endnote w:type="continuationSeparator" w:id="0">
    <w:p w:rsidR="00684532" w:rsidRDefault="00E06C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E06C1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E06C1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E06C11"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FooterLandscap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E06C1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32" w:rsidRDefault="00E06C11">
      <w:pPr>
        <w:spacing w:before="0" w:after="0"/>
      </w:pPr>
      <w:r>
        <w:separator/>
      </w:r>
    </w:p>
  </w:footnote>
  <w:footnote w:type="continuationSeparator" w:id="0">
    <w:p w:rsidR="00684532" w:rsidRDefault="00E06C11">
      <w:pPr>
        <w:spacing w:before="0" w:after="0"/>
      </w:pPr>
      <w:r>
        <w:continuationSeparator/>
      </w:r>
    </w:p>
  </w:footnote>
  <w:footnote w:id="1">
    <w:p w:rsidR="00684532" w:rsidRDefault="00E06C11">
      <w:pPr>
        <w:pStyle w:val="FootnoteText"/>
      </w:pPr>
      <w:r>
        <w:rPr>
          <w:rStyle w:val="FootnoteReference"/>
        </w:rPr>
        <w:footnoteRef/>
      </w:r>
      <w:r>
        <w:tab/>
        <w:t>Текстът на Споразумението за оттегляне, на който беше извършен правен преглед, беше оповестен на ДД.М</w:t>
      </w:r>
      <w:r>
        <w:t xml:space="preserve">М.ГГГГ и може да бъде намерен на следния адрес: </w:t>
      </w:r>
      <w:hyperlink r:id="rId1">
        <w:r>
          <w:rPr>
            <w:rStyle w:val="Hyperlink"/>
          </w:rPr>
          <w:t>https://ec.europa.eu/commission/publications/XXXX_en</w:t>
        </w:r>
      </w:hyperlink>
      <w:r>
        <w:rPr>
          <w:rStyle w:val="Hyperlink"/>
        </w:rPr>
        <w:t>.</w:t>
      </w:r>
    </w:p>
  </w:footnote>
  <w:footnote w:id="2">
    <w:p w:rsidR="00684532" w:rsidRDefault="00E06C11"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https://www.consilium.europa.eu/media/37100/20181121-cover-political-declaration.pdf</w:t>
        </w:r>
      </w:hyperlink>
      <w:r>
        <w:t xml:space="preserve"> </w:t>
      </w:r>
    </w:p>
  </w:footnote>
  <w:footnote w:id="3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58, параграф 2, буква а) или б) от Финансовия реглам</w:t>
      </w:r>
      <w:r>
        <w:t>ент.</w:t>
      </w:r>
    </w:p>
  </w:footnote>
  <w:footnote w:id="4">
    <w:p w:rsidR="00684532" w:rsidRDefault="00E06C11">
      <w:pPr>
        <w:pStyle w:val="FootnoteText"/>
        <w:jc w:val="left"/>
        <w:rPr>
          <w:szCs w:val="24"/>
        </w:rPr>
      </w:pPr>
      <w:r>
        <w:rPr>
          <w:rStyle w:val="FootnoteReference"/>
        </w:rPr>
        <w:footnoteRef/>
      </w:r>
      <w:r>
        <w:tab/>
        <w:t xml:space="preserve">Подробности във връзка с методите на управление и позоваванията на Финансовия регламент могат да бъдат намерени на уебсайта BudgWeb: </w:t>
      </w:r>
      <w:hyperlink r:id="rId3">
        <w:r>
          <w:rPr>
            <w:rStyle w:val="Hyperlink"/>
          </w:rPr>
          <w:t>https://myintracom</w:t>
        </w:r>
        <w:r>
          <w:rPr>
            <w:rStyle w:val="Hyperlink"/>
          </w:rPr>
          <w:t>m.ec.europa.eu/budgweb/EN/man/budgmanag/Pages/budgmanag.aspx</w:t>
        </w:r>
      </w:hyperlink>
      <w:r>
        <w:t xml:space="preserve"> </w:t>
      </w:r>
    </w:p>
  </w:footnote>
  <w:footnote w:id="5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Многогод.= многогодишни бюджетни кредити/едногод. = едногодишни бюджетни кредити.</w:t>
      </w:r>
    </w:p>
  </w:footnote>
  <w:footnote w:id="6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ЕАСТ: Европейска асоциация за свободна търговия. </w:t>
      </w:r>
    </w:p>
  </w:footnote>
  <w:footnote w:id="7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Държави кандидатки и, ако е приложимо, потенциални </w:t>
      </w:r>
      <w:r>
        <w:t>кандидатки от Западните Балкани.</w:t>
      </w:r>
    </w:p>
  </w:footnote>
  <w:footnote w:id="8">
    <w:p w:rsidR="00684532" w:rsidRDefault="00E06C11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Година N е годината, през която започва да се осъществява предложението/инициативата. Моля, заменете буквата N с очакваната първа година от изпълнението (например: 2021). Същото за следващите години.</w:t>
      </w:r>
    </w:p>
  </w:footnote>
  <w:footnote w:id="9">
    <w:p w:rsidR="00684532" w:rsidRDefault="00E06C11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Съгласно официалнат</w:t>
      </w:r>
      <w:r>
        <w:rPr>
          <w:sz w:val="18"/>
        </w:rPr>
        <w:t>а бюджетна номенклатура.</w:t>
      </w:r>
    </w:p>
  </w:footnote>
  <w:footnote w:id="10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1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Година N е годината, през която започва да</w:t>
      </w:r>
      <w:r>
        <w:rPr>
          <w:sz w:val="18"/>
        </w:rPr>
        <w:t xml:space="preserve"> се осъществява предложението/инициативата. Моля, заменете буквата N с очакваната първа година от изпълнението (например: 2021). Същото за следващите години.</w:t>
      </w:r>
    </w:p>
  </w:footnote>
  <w:footnote w:id="12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Резултатите са продуктите и услугите, които ще бъдат доставени (напр. брой финансирани обмени на</w:t>
      </w:r>
      <w:r>
        <w:t xml:space="preserve"> учащи се, дължина на построените пътища в километри и т.н.).</w:t>
      </w:r>
    </w:p>
  </w:footnote>
  <w:footnote w:id="13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Съгласно описанието в точка 1.4.2. „Конкретни цели…“ </w:t>
      </w:r>
    </w:p>
  </w:footnote>
  <w:footnote w:id="14">
    <w:p w:rsidR="00684532" w:rsidRDefault="00E06C11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Година N е годината, през която започва да се осъществява предложението/инициативата. Моля, заменете буквата N с очакваната първа година</w:t>
      </w:r>
      <w:r>
        <w:rPr>
          <w:sz w:val="18"/>
        </w:rPr>
        <w:t xml:space="preserve"> от изпълнението (например: 2021). Същото за следващите години.</w:t>
      </w:r>
    </w:p>
  </w:footnote>
  <w:footnote w:id="15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6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ДНП</w:t>
      </w:r>
      <w:r>
        <w:t xml:space="preserve">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17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</w:t>
      </w:r>
      <w:r>
        <w:t>ходи (предишни редове BA).</w:t>
      </w:r>
    </w:p>
  </w:footnote>
  <w:footnote w:id="18">
    <w:p w:rsidR="00684532" w:rsidRDefault="00E06C11">
      <w:pPr>
        <w:pStyle w:val="FootnoteText"/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 Моля, заменете буквата N с очакваната първа година от изпълнението (например: 2021). Същото за следващите години.</w:t>
      </w:r>
    </w:p>
  </w:footnote>
  <w:footnote w:id="19">
    <w:p w:rsidR="00684532" w:rsidRDefault="00E06C11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</w:t>
      </w:r>
      <w:r>
        <w:t>ните собствени ресурси (мита, налози върху захарта), посочените суми трябва да бъдат нетни, т.е. брутни суми, от които са приспаднати 20 %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HeaderLandsca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HeaderLandscap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32" w:rsidRDefault="00684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90602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E3C1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C5211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728FE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3C2DC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5D236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AA2EB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EE20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2C6A95"/>
    <w:multiLevelType w:val="singleLevel"/>
    <w:tmpl w:val="02BAFA82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 w15:restartNumberingAfterBreak="0">
    <w:nsid w:val="128364B0"/>
    <w:multiLevelType w:val="singleLevel"/>
    <w:tmpl w:val="D084FB5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 w15:restartNumberingAfterBreak="0">
    <w:nsid w:val="13E4330B"/>
    <w:multiLevelType w:val="multilevel"/>
    <w:tmpl w:val="875C4416"/>
    <w:name w:val="List Dash 3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 w15:restartNumberingAfterBreak="0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1CD398A"/>
    <w:multiLevelType w:val="singleLevel"/>
    <w:tmpl w:val="0276BF00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 w15:restartNumberingAfterBreak="0">
    <w:nsid w:val="489D74ED"/>
    <w:multiLevelType w:val="singleLevel"/>
    <w:tmpl w:val="C2E2F936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1" w15:restartNumberingAfterBreak="0">
    <w:nsid w:val="4D0C058A"/>
    <w:multiLevelType w:val="singleLevel"/>
    <w:tmpl w:val="BAE8D90E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5"/>
  </w:num>
  <w:num w:numId="12">
    <w:abstractNumId w:val="21"/>
  </w:num>
  <w:num w:numId="13">
    <w:abstractNumId w:val="20"/>
  </w:num>
  <w:num w:numId="14">
    <w:abstractNumId w:val="9"/>
  </w:num>
  <w:num w:numId="15">
    <w:abstractNumId w:val="16"/>
  </w:num>
  <w:num w:numId="16">
    <w:abstractNumId w:val="10"/>
  </w:num>
  <w:num w:numId="17">
    <w:abstractNumId w:val="25"/>
  </w:num>
  <w:num w:numId="18">
    <w:abstractNumId w:val="17"/>
  </w:num>
  <w:num w:numId="19">
    <w:abstractNumId w:val="27"/>
  </w:num>
  <w:num w:numId="20">
    <w:abstractNumId w:val="14"/>
  </w:num>
  <w:num w:numId="21">
    <w:abstractNumId w:val="18"/>
  </w:num>
  <w:num w:numId="22">
    <w:abstractNumId w:val="12"/>
  </w:num>
  <w:num w:numId="23">
    <w:abstractNumId w:val="26"/>
  </w:num>
  <w:num w:numId="24">
    <w:abstractNumId w:val="11"/>
  </w:num>
  <w:num w:numId="25">
    <w:abstractNumId w:val="19"/>
  </w:num>
  <w:num w:numId="26">
    <w:abstractNumId w:val="23"/>
  </w:num>
  <w:num w:numId="27">
    <w:abstractNumId w:val="24"/>
  </w:num>
  <w:num w:numId="28">
    <w:abstractNumId w:val="13"/>
  </w:num>
  <w:num w:numId="29">
    <w:abstractNumId w:val="22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1 13:14:0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BBA244AB-0DE6-48CD-A0CA-D43254A955EB"/>
    <w:docVar w:name="LW_COVERPAGE_TYPE" w:val="1"/>
    <w:docVar w:name="LW_CROSSREFERENCE" w:val="&lt;UNUSED&gt;"/>
    <w:docVar w:name="LW_DocType" w:val="COM"/>
    <w:docVar w:name="LW_EMISSION" w:val="5.12.2018"/>
    <w:docVar w:name="LW_EMISSION_ISODATE" w:val="2018-12-05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426"/>
    <w:docVar w:name="LW_REF.II.NEW.CP_YEAR" w:val="2018"/>
    <w:docVar w:name="LW_REF.INST.NEW" w:val="COM"/>
    <w:docVar w:name="LW_REF.INST.NEW_ADOPTED" w:val="final"/>
    <w:docVar w:name="LW_REF.INST.NEW_TEXT" w:val="(2018) 8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 \u1080? \u1085?\u1072? \u1045?\u1074?\u1088?\u1086?\u1087?\u1077?\u1081?\u1089?\u1082?\u1072?\u1090?\u1072? \u1086?\u1073?\u1097?\u1085?\u1086?\u1089?\u1090? \u1079?\u1072? \u1072?\u1090?\u1086?\u1084?\u1085?\u1072? \u1077?\u1085?\u1077?\u1088?\u1075?\u1080?\u1103?, \u1085?\u1072? \u1057?\u1087?\u1086?\u1088?\u1072?\u1079?\u1091?\u1084?\u1077?\u1085?\u1080?\u1077?\u1090?\u1086? \u1079?\u1072? \u1086?\u1090?\u1090?\u1077?\u1075?\u1083?\u1103?\u1085?\u1077? \u1085?\u1072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"/>
    <w:docVar w:name="LW_TYPE.DOC.CP" w:val="\u1056?\u1045?\u1064?\u1045?\u1053?\u1048?\u1045? \u1053?\u1040? \u1057?\u1066?\u1042?\u1045?\u1058?\u1040?"/>
  </w:docVars>
  <w:rsids>
    <w:rsidRoot w:val="00684532"/>
    <w:rsid w:val="00684532"/>
    <w:rsid w:val="00E0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EC9E3FA-04CA-4A7B-BF2E-45B2F2C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aliases w:val="Listaszerű bekezdés1,List Paragraph à moi,Colorful List - Accent 11,Medium Grid 1 - Accent 21,Listaszeru bekezdés1,Colorful List - Accent 111,Dot pt,F5 List Paragraph,List Paragraph1,No Spacing1,List Paragraph Char Char Char,Bullets"/>
    <w:basedOn w:val="Normal"/>
    <w:link w:val="ListParagraphChar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ListBullet1">
    <w:name w:val="List Bullet 1"/>
    <w:basedOn w:val="Normal"/>
    <w:pPr>
      <w:numPr>
        <w:numId w:val="10"/>
      </w:numPr>
    </w:pPr>
    <w:rPr>
      <w:rFonts w:eastAsia="Times New Roman"/>
    </w:rPr>
  </w:style>
  <w:style w:type="paragraph" w:customStyle="1" w:styleId="ListDash">
    <w:name w:val="List Dash"/>
    <w:basedOn w:val="Normal"/>
    <w:pPr>
      <w:numPr>
        <w:numId w:val="1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FollowedHyperlink">
    <w:name w:val="FollowedHyperlink"/>
    <w:rPr>
      <w:color w:val="800080"/>
      <w:u w:val="single"/>
    </w:rPr>
  </w:style>
  <w:style w:type="character" w:customStyle="1" w:styleId="ListParagraphChar">
    <w:name w:val="List Paragraph Char"/>
    <w:aliases w:val="Listaszerű bekezdés1 Char,List Paragraph à moi Char,Colorful List - Accent 11 Char,Medium Grid 1 - Accent 21 Char,Listaszeru bekezdés1 Char,Colorful List - Accent 111 Char,Dot pt Char,F5 List Paragraph Char,List Paragraph1 Char"/>
    <w:basedOn w:val="DefaultParagraphFont"/>
    <w:link w:val="ListParagraph"/>
    <w:uiPriority w:val="34"/>
    <w:locked/>
    <w:rPr>
      <w:lang w:val="bg-BG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bg-BG"/>
    </w:rPr>
  </w:style>
  <w:style w:type="character" w:customStyle="1" w:styleId="FooterSensitivityChar">
    <w:name w:val="Footer Sensitivity Char"/>
    <w:basedOn w:val="DefaultParagraphFont"/>
    <w:rPr>
      <w:rFonts w:ascii="Times New Roman" w:hAnsi="Times New Roman" w:cs="Times New Roman"/>
      <w:b/>
      <w:sz w:val="32"/>
      <w:lang w:val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bg-BG"/>
    </w:rPr>
  </w:style>
  <w:style w:type="character" w:customStyle="1" w:styleId="HeaderSensitivityChar">
    <w:name w:val="Header Sensitivity Char"/>
    <w:basedOn w:val="DefaultParagraphFont"/>
    <w:rPr>
      <w:rFonts w:ascii="Times New Roman" w:hAnsi="Times New Roman" w:cs="Times New Roman"/>
      <w:b/>
      <w:sz w:val="32"/>
      <w:lang w:val="bg-BG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Titrearticle"/>
  </w:style>
  <w:style w:type="paragraph" w:customStyle="1" w:styleId="ListDash3">
    <w:name w:val="List Dash 3"/>
    <w:basedOn w:val="Normal"/>
    <w:pPr>
      <w:numPr>
        <w:numId w:val="14"/>
      </w:numPr>
    </w:pPr>
    <w:rPr>
      <w:rFonts w:eastAsia="Times New Roman"/>
    </w:rPr>
  </w:style>
  <w:style w:type="paragraph" w:customStyle="1" w:styleId="ListDash4">
    <w:name w:val="List Dash 4"/>
    <w:basedOn w:val="Normal"/>
    <w:pPr>
      <w:numPr>
        <w:numId w:val="15"/>
      </w:numPr>
    </w:pPr>
    <w:rPr>
      <w:rFonts w:eastAsia="Times New Roman"/>
    </w:rPr>
  </w:style>
  <w:style w:type="paragraph" w:customStyle="1" w:styleId="ListNumber1">
    <w:name w:val="List Number 1"/>
    <w:basedOn w:val="Text1"/>
    <w:pPr>
      <w:numPr>
        <w:numId w:val="16"/>
      </w:numPr>
    </w:pPr>
    <w:rPr>
      <w:rFonts w:eastAsia="Times New Roman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rFonts w:eastAsia="Times New Roman"/>
    </w:rPr>
  </w:style>
  <w:style w:type="paragraph" w:customStyle="1" w:styleId="ListNumber2Level2">
    <w:name w:val="List Number 2 (Level 2)"/>
    <w:basedOn w:val="Text2"/>
    <w:pPr>
      <w:tabs>
        <w:tab w:val="num" w:pos="2268"/>
      </w:tabs>
      <w:ind w:left="2268" w:hanging="708"/>
    </w:pPr>
    <w:rPr>
      <w:rFonts w:eastAsia="Times New Roman"/>
    </w:rPr>
  </w:style>
  <w:style w:type="paragraph" w:customStyle="1" w:styleId="ListNumber3Level2">
    <w:name w:val="List Number 3 (Level 2)"/>
    <w:basedOn w:val="Text3"/>
    <w:pPr>
      <w:tabs>
        <w:tab w:val="num" w:pos="2268"/>
      </w:tabs>
      <w:ind w:left="2268" w:hanging="708"/>
    </w:pPr>
    <w:rPr>
      <w:rFonts w:eastAsia="Times New Roman"/>
    </w:rPr>
  </w:style>
  <w:style w:type="paragraph" w:customStyle="1" w:styleId="ListNumber4Level2">
    <w:name w:val="List Number 4 (Level 2)"/>
    <w:basedOn w:val="Text4"/>
    <w:pPr>
      <w:tabs>
        <w:tab w:val="num" w:pos="2268"/>
      </w:tabs>
      <w:ind w:left="2268" w:hanging="708"/>
    </w:pPr>
    <w:rPr>
      <w:rFonts w:eastAsia="Times New Roman"/>
    </w:rPr>
  </w:style>
  <w:style w:type="paragraph" w:customStyle="1" w:styleId="ListNumber1Level3">
    <w:name w:val="List Number 1 (Level 3)"/>
    <w:basedOn w:val="Text1"/>
    <w:pPr>
      <w:numPr>
        <w:ilvl w:val="2"/>
        <w:numId w:val="16"/>
      </w:numPr>
    </w:pPr>
    <w:rPr>
      <w:rFonts w:eastAsia="Times New Roman"/>
    </w:rPr>
  </w:style>
  <w:style w:type="paragraph" w:customStyle="1" w:styleId="ListNumber2Level3">
    <w:name w:val="List Number 2 (Level 3)"/>
    <w:basedOn w:val="Text2"/>
    <w:pPr>
      <w:tabs>
        <w:tab w:val="num" w:pos="2977"/>
      </w:tabs>
      <w:ind w:left="2977" w:hanging="709"/>
    </w:pPr>
    <w:rPr>
      <w:rFonts w:eastAsia="Times New Roman"/>
    </w:rPr>
  </w:style>
  <w:style w:type="paragraph" w:customStyle="1" w:styleId="ListNumber3Level3">
    <w:name w:val="List Number 3 (Level 3)"/>
    <w:basedOn w:val="Text3"/>
    <w:pPr>
      <w:tabs>
        <w:tab w:val="num" w:pos="2977"/>
      </w:tabs>
      <w:ind w:left="2977" w:hanging="709"/>
    </w:pPr>
    <w:rPr>
      <w:rFonts w:eastAsia="Times New Roman"/>
    </w:rPr>
  </w:style>
  <w:style w:type="paragraph" w:customStyle="1" w:styleId="ListNumber4Level3">
    <w:name w:val="List Number 4 (Level 3)"/>
    <w:basedOn w:val="Text4"/>
    <w:pPr>
      <w:tabs>
        <w:tab w:val="num" w:pos="2977"/>
      </w:tabs>
      <w:ind w:left="2977" w:hanging="709"/>
    </w:pPr>
    <w:rPr>
      <w:rFonts w:eastAsia="Times New Roman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rFonts w:eastAsia="Times New Roman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Langueoriginale">
    <w:name w:val="Langue originale"/>
    <w:basedOn w:val="Normal"/>
    <w:pPr>
      <w:spacing w:before="360"/>
      <w:jc w:val="center"/>
    </w:pPr>
    <w:rPr>
      <w:rFonts w:eastAsia="Times New Roman"/>
      <w:caps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u w:val="single"/>
    </w:rPr>
  </w:style>
  <w:style w:type="character" w:styleId="PageNumber">
    <w:name w:val="page number"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OCHeadingChar">
    <w:name w:val="TOC Heading Char"/>
    <w:uiPriority w:val="39"/>
    <w:rPr>
      <w:rFonts w:ascii="Times New Roman" w:hAnsi="Times New Roman" w:cs="Times New Roman"/>
      <w:b/>
      <w:sz w:val="2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7"/>
      </w:numPr>
    </w:pPr>
  </w:style>
  <w:style w:type="paragraph" w:customStyle="1" w:styleId="Tiret1">
    <w:name w:val="Tiret 1"/>
    <w:basedOn w:val="Point1"/>
    <w:pPr>
      <w:numPr>
        <w:numId w:val="18"/>
      </w:numPr>
    </w:pPr>
  </w:style>
  <w:style w:type="paragraph" w:customStyle="1" w:styleId="Tiret2">
    <w:name w:val="Tiret 2"/>
    <w:basedOn w:val="Point2"/>
    <w:pPr>
      <w:numPr>
        <w:numId w:val="19"/>
      </w:numPr>
    </w:pPr>
  </w:style>
  <w:style w:type="paragraph" w:customStyle="1" w:styleId="Tiret3">
    <w:name w:val="Tiret 3"/>
    <w:basedOn w:val="Point3"/>
    <w:pPr>
      <w:numPr>
        <w:numId w:val="20"/>
      </w:numPr>
    </w:pPr>
  </w:style>
  <w:style w:type="paragraph" w:customStyle="1" w:styleId="Tiret4">
    <w:name w:val="Tiret 4"/>
    <w:basedOn w:val="Point4"/>
    <w:pPr>
      <w:numPr>
        <w:numId w:val="2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4"/>
      </w:numPr>
    </w:pPr>
  </w:style>
  <w:style w:type="paragraph" w:customStyle="1" w:styleId="Point1number">
    <w:name w:val="Point 1 (number)"/>
    <w:basedOn w:val="Normal"/>
    <w:pPr>
      <w:numPr>
        <w:ilvl w:val="2"/>
        <w:numId w:val="24"/>
      </w:numPr>
    </w:pPr>
  </w:style>
  <w:style w:type="paragraph" w:customStyle="1" w:styleId="Point2number">
    <w:name w:val="Point 2 (number)"/>
    <w:basedOn w:val="Normal"/>
    <w:pPr>
      <w:numPr>
        <w:ilvl w:val="4"/>
        <w:numId w:val="24"/>
      </w:numPr>
    </w:pPr>
  </w:style>
  <w:style w:type="paragraph" w:customStyle="1" w:styleId="Point3number">
    <w:name w:val="Point 3 (number)"/>
    <w:basedOn w:val="Normal"/>
    <w:pPr>
      <w:numPr>
        <w:ilvl w:val="6"/>
        <w:numId w:val="24"/>
      </w:numPr>
    </w:pPr>
  </w:style>
  <w:style w:type="paragraph" w:customStyle="1" w:styleId="Point0letter">
    <w:name w:val="Point 0 (letter)"/>
    <w:basedOn w:val="Normal"/>
    <w:pPr>
      <w:numPr>
        <w:ilvl w:val="1"/>
        <w:numId w:val="24"/>
      </w:numPr>
    </w:pPr>
  </w:style>
  <w:style w:type="paragraph" w:customStyle="1" w:styleId="Point1letter">
    <w:name w:val="Point 1 (letter)"/>
    <w:basedOn w:val="Normal"/>
    <w:pPr>
      <w:numPr>
        <w:ilvl w:val="3"/>
        <w:numId w:val="24"/>
      </w:numPr>
    </w:pPr>
  </w:style>
  <w:style w:type="paragraph" w:customStyle="1" w:styleId="Point2letter">
    <w:name w:val="Point 2 (letter)"/>
    <w:basedOn w:val="Normal"/>
    <w:pPr>
      <w:numPr>
        <w:ilvl w:val="5"/>
        <w:numId w:val="24"/>
      </w:numPr>
    </w:pPr>
  </w:style>
  <w:style w:type="paragraph" w:customStyle="1" w:styleId="Point3letter">
    <w:name w:val="Point 3 (letter)"/>
    <w:basedOn w:val="Normal"/>
    <w:pPr>
      <w:numPr>
        <w:ilvl w:val="7"/>
        <w:numId w:val="24"/>
      </w:numPr>
    </w:pPr>
  </w:style>
  <w:style w:type="paragraph" w:customStyle="1" w:styleId="Point4letter">
    <w:name w:val="Point 4 (letter)"/>
    <w:basedOn w:val="Normal"/>
    <w:pPr>
      <w:numPr>
        <w:ilvl w:val="8"/>
        <w:numId w:val="24"/>
      </w:numPr>
    </w:pPr>
  </w:style>
  <w:style w:type="paragraph" w:customStyle="1" w:styleId="Bullet0">
    <w:name w:val="Bullet 0"/>
    <w:basedOn w:val="Normal"/>
    <w:pPr>
      <w:numPr>
        <w:numId w:val="25"/>
      </w:numPr>
    </w:pPr>
  </w:style>
  <w:style w:type="paragraph" w:customStyle="1" w:styleId="Bullet1">
    <w:name w:val="Bullet 1"/>
    <w:basedOn w:val="Normal"/>
    <w:pPr>
      <w:numPr>
        <w:numId w:val="26"/>
      </w:numPr>
    </w:pPr>
  </w:style>
  <w:style w:type="paragraph" w:customStyle="1" w:styleId="Bullet2">
    <w:name w:val="Bullet 2"/>
    <w:basedOn w:val="Normal"/>
    <w:pPr>
      <w:numPr>
        <w:numId w:val="27"/>
      </w:numPr>
    </w:pPr>
  </w:style>
  <w:style w:type="paragraph" w:customStyle="1" w:styleId="Bullet3">
    <w:name w:val="Bullet 3"/>
    <w:basedOn w:val="Normal"/>
    <w:pPr>
      <w:numPr>
        <w:numId w:val="28"/>
      </w:numPr>
    </w:pPr>
  </w:style>
  <w:style w:type="paragraph" w:customStyle="1" w:styleId="Bullet4">
    <w:name w:val="Bullet 4"/>
    <w:basedOn w:val="Normal"/>
    <w:pPr>
      <w:numPr>
        <w:numId w:val="2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06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697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58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3905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1595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1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7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yintracomm.ec.europa.eu/budgweb/EN/leg/internal/Documents/2016-5-legislative-financial-statement-ann-en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intracomm.ec.europa.eu/budgweb/EN/man/budgmanag/Pages/budgmanag.aspx" TargetMode="External"/><Relationship Id="rId2" Type="http://schemas.openxmlformats.org/officeDocument/2006/relationships/hyperlink" Target="https://www.consilium.europa.eu/media/37100/20181121-cover-political-declaration.pdf" TargetMode="External"/><Relationship Id="rId1" Type="http://schemas.openxmlformats.org/officeDocument/2006/relationships/hyperlink" Target="https://ec.europa.eu/commission/publications/XXXX_en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AD2E00-943E-4092-A557-420C15F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5</TotalTime>
  <Pages>28</Pages>
  <Words>6865</Words>
  <Characters>41398</Characters>
  <Application>Microsoft Office Word</Application>
  <DocSecurity>0</DocSecurity>
  <Lines>1592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HEILEMANN Stefanie (SG)</cp:lastModifiedBy>
  <cp:revision>19</cp:revision>
  <cp:lastPrinted>2018-12-03T11:04:00Z</cp:lastPrinted>
  <dcterms:created xsi:type="dcterms:W3CDTF">2018-12-11T11:10:00Z</dcterms:created>
  <dcterms:modified xsi:type="dcterms:W3CDTF">2018-12-11T13:16:00Z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