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793079A-B0CB-442B-B754-DD09ED080F9D"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Calibri"/>
          <w:noProof/>
          <w:szCs w:val="20"/>
        </w:rPr>
      </w:pPr>
      <w:r>
        <w:rPr>
          <w:noProof/>
        </w:rPr>
        <w:t xml:space="preserve">В член 305 от Договора за функционирането на Европейския съюз (ДФЕС) се предвижда броят на членовете на Комитета на регионите (наричан по-нататък „Комитетът“) да не надвишава 350. </w:t>
      </w:r>
    </w:p>
    <w:p>
      <w:pPr>
        <w:rPr>
          <w:rFonts w:eastAsia="Calibri"/>
          <w:noProof/>
          <w:szCs w:val="20"/>
        </w:rPr>
      </w:pPr>
      <w:r>
        <w:rPr>
          <w:noProof/>
        </w:rPr>
        <w:t>До влизането в сила на Договора от Лисабон съставът на Комитета бе определен в Договорите. След влизането в сила на Договора от Лисабон в член 305, параграф 2 от ДФЕС се предвижда, че Съветът, като действа с единодушие и по предложение на Комисията, приема решение за определяне на състава на Комитета.</w:t>
      </w:r>
    </w:p>
    <w:p>
      <w:pPr>
        <w:rPr>
          <w:rFonts w:eastAsia="Calibri"/>
          <w:noProof/>
          <w:szCs w:val="20"/>
        </w:rPr>
      </w:pPr>
      <w:r>
        <w:rPr>
          <w:noProof/>
        </w:rPr>
        <w:t>Следва да се припомни, че в член 300, параграф 5 от ДФЕС се предвижда, че правилата относно състава на консултативните органи „се преразглеждат на редовни интервали от време от Съвета, като се отчита икономическото, социалното и демографското развитие на Съюза. Съветът, по предложение на Комисията, приема решения за тази цел.“</w:t>
      </w:r>
    </w:p>
    <w:p>
      <w:pPr>
        <w:rPr>
          <w:rFonts w:eastAsia="Calibri"/>
          <w:noProof/>
          <w:szCs w:val="20"/>
        </w:rPr>
      </w:pPr>
      <w:r>
        <w:rPr>
          <w:noProof/>
        </w:rPr>
        <w:t>Считано от 1 юли 2013 г., съставът на Комитета бе адаптиран с член 24, параграф 1 от Акта относно условията за присъединяване на Република Хърватия</w:t>
      </w:r>
      <w:r>
        <w:rPr>
          <w:rStyle w:val="FootnoteReference"/>
          <w:noProof/>
        </w:rPr>
        <w:footnoteReference w:id="1"/>
      </w:r>
      <w:r>
        <w:rPr>
          <w:noProof/>
        </w:rPr>
        <w:t>, а с член 24, параграф 2 бе предвидено временно увеличаване на броя на членовете на Комитета на 353, за да се вземе предвид присъединяването на Република Хърватия. На 16 декември 2014 г. Съветът прие решение за определяне на състава на Комитета</w:t>
      </w:r>
      <w:r>
        <w:rPr>
          <w:rStyle w:val="FootnoteReference"/>
          <w:noProof/>
        </w:rPr>
        <w:footnoteReference w:id="2"/>
      </w:r>
      <w:r>
        <w:rPr>
          <w:noProof/>
        </w:rPr>
        <w:t xml:space="preserve"> за периода 2015—2020 г. с цел той да съответства на максималния брой от 350 души, предвиден в Договора. То доведе до намаляване с по едно място на делегациите на Естония, Кипър и Люксембург.</w:t>
      </w:r>
    </w:p>
    <w:p>
      <w:pPr>
        <w:rPr>
          <w:rFonts w:eastAsia="Calibri"/>
          <w:noProof/>
          <w:szCs w:val="20"/>
        </w:rPr>
      </w:pPr>
      <w:r>
        <w:rPr>
          <w:noProof/>
        </w:rPr>
        <w:t xml:space="preserve">Настоящият мандат на Комитета ще приключи на 25 януари 2020 г. Следователно е необходимо Съветът да приеме решението относно състава на Комитета навреме преди Съветът да стартира процедурата за подновяване на мандата на Комитета за периода 2020—2025 г. </w:t>
      </w:r>
    </w:p>
    <w:p>
      <w:pPr>
        <w:rPr>
          <w:rFonts w:eastAsia="Calibri"/>
          <w:noProof/>
          <w:szCs w:val="20"/>
        </w:rPr>
      </w:pPr>
      <w:r>
        <w:rPr>
          <w:noProof/>
        </w:rPr>
        <w:t xml:space="preserve">Оттеглянето на Обединеното кралство от Европейския съюз на 30 март 2019 г. ще доведе до 24 незаети места в Комитета. </w:t>
      </w:r>
    </w:p>
    <w:p>
      <w:pPr>
        <w:rPr>
          <w:rFonts w:eastAsia="Calibri"/>
          <w:noProof/>
          <w:szCs w:val="20"/>
        </w:rPr>
      </w:pPr>
      <w:r>
        <w:rPr>
          <w:noProof/>
        </w:rPr>
        <w:t xml:space="preserve">Комисията е на мнение, че сегашното равновесие в състава на Комитета следва да се поддържа доколкото е възможно, тъй като е резултат от последователни междуправителствени конференции. </w:t>
      </w:r>
    </w:p>
    <w:p>
      <w:pPr>
        <w:rPr>
          <w:rFonts w:eastAsia="Calibri"/>
          <w:noProof/>
          <w:szCs w:val="20"/>
        </w:rPr>
      </w:pPr>
      <w:r>
        <w:rPr>
          <w:noProof/>
        </w:rPr>
        <w:t>Ето защо се предлага на Естония, Кипър и Люксембург да бъдат върнати трите места, които те изгубиха вследствие на последното решение за определяне на състава на Комитета, а останалите освободени места да бъде запазени като резерв за евентуални бъдещи разширявания. В резултат на това през периода 2020—2025 г. Комитетът ще се състои от 329 членове.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rFonts w:eastAsia="Calibri"/>
          <w:noProof/>
          <w:szCs w:val="20"/>
        </w:rPr>
      </w:pPr>
      <w:r>
        <w:rPr>
          <w:noProof/>
        </w:rPr>
        <w:t xml:space="preserve">Комисията приема настоящото предложение успоредно с предложението относно състава на Икономическия и социален комитет. Еднаквото разпределение на местата между държавите членки в двата комитета следва да се запази. </w:t>
      </w:r>
    </w:p>
    <w:p>
      <w:pPr>
        <w:rPr>
          <w:rFonts w:eastAsia="Calibri"/>
          <w:noProof/>
          <w:szCs w:val="20"/>
        </w:rPr>
      </w:pPr>
      <w:r>
        <w:rPr>
          <w:noProof/>
        </w:rPr>
        <w:t>Договорите не съдържат разпоредби относно метода за определяне на състава на Икономическия и социален комитет или на Комитета на регионите при спазване на максималния брой от 350 членове. Това е в контраст с критериите за състава на Европейския парламент, които са определени в член 14, параграф 2 от Договора за Европейския съюз. Европейският парламент е съставен от пряко избрани представители на гражданите на Съюза, а Комитетът се състои от представители на регионалните и местните власти (член 300, параграф 3 от ДФЕС). Следователно основна грижа следва да бъде гарантирането, че мнението на регионите и местните органи е представено в Комитета, а не установяването на пряка връзка с числеността на населението на съответните държави членки.</w:t>
      </w:r>
    </w:p>
    <w:p>
      <w:pPr>
        <w:rPr>
          <w:rFonts w:eastAsia="Calibri"/>
          <w:noProof/>
          <w:szCs w:val="20"/>
        </w:rPr>
      </w:pPr>
      <w:r>
        <w:rPr>
          <w:noProof/>
        </w:rPr>
        <w:t>В съобщението „Принципите на субсидиарност и пропорционалност: засилване на тяхната роля в изготвянето на политиките на ЕС“</w:t>
      </w:r>
      <w:r>
        <w:rPr>
          <w:rStyle w:val="FootnoteReference"/>
          <w:noProof/>
        </w:rPr>
        <w:footnoteReference w:id="3"/>
      </w:r>
      <w:r>
        <w:rPr>
          <w:noProof/>
        </w:rPr>
        <w:t xml:space="preserve"> са представени начини да се гарантира, че местните и регионалните органи и техни организации могат да участват по-ефективно в изготвянето и прилагането на политиките на Съюза, и на Комитета на регионите се отрежда важна роля в улесняването на този процес.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Calibri"/>
          <w:noProof/>
          <w:szCs w:val="20"/>
        </w:rPr>
      </w:pPr>
      <w:r>
        <w:rPr>
          <w:noProof/>
        </w:rPr>
        <w:t xml:space="preserve">Предложението се основава на член 305 от ДФЕС, в който се предвижда единодушно решение на Съвета за определяне на състава на Комитета. </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член 305, параграф 2 от ДФЕС се предвижда, че Съветът, като действа с единодушие и по предложение на Комисията, приема решение за определяне на състава на Комитета.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При подготвянето на настоящото предложение Комисията проведе тесен диалог с представители на държавите членки и организира няколко срещи с тях. Комитетът изпрати на Комисията препоръката си въз основа на решението на своето Бюро от 3 юли 2018 г.</w:t>
      </w:r>
      <w:r>
        <w:rPr>
          <w:rStyle w:val="FootnoteReference"/>
          <w:noProof/>
        </w:rPr>
        <w:footnoteReference w:id="4"/>
      </w:r>
      <w:r>
        <w:rPr>
          <w:noProof/>
        </w:rPr>
        <w:t xml:space="preserve"> за възстановяване на три места на Естония, Кипър и Люксембург и за неразпределяне на останалите освободени места, като така броят на членовете за мандата 2020—2025 г. се определя на 329.</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не е придружено от специална оценка на въздействието, тъй като не се очаква да има по-широко икономическо, социално и екологично въздействие.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Намаляването на броя на местата вследствие на оттеглянето на Обединеното кралство от Европейския съюз може да окаже отражение в посока намаляване на общия бюджет на Комитета.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Влизане в сила</w:t>
      </w:r>
    </w:p>
    <w:p>
      <w:pPr>
        <w:rPr>
          <w:rFonts w:eastAsia="Calibri"/>
          <w:noProof/>
          <w:szCs w:val="20"/>
        </w:rPr>
      </w:pPr>
      <w:r>
        <w:rPr>
          <w:noProof/>
        </w:rPr>
        <w:t xml:space="preserve">Предлага се Съветът да отложи влизането в сила на настоящото решение до деня след края на настоящия мандат на Комитета.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2018/0401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състава на Комитета на регионите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305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 xml:space="preserve">В член 300 от Договора са установени правилата относно състава на Комитета на регионите. </w:t>
      </w:r>
    </w:p>
    <w:p>
      <w:pPr>
        <w:pStyle w:val="ManualConsidrant"/>
        <w:rPr>
          <w:noProof/>
        </w:rPr>
      </w:pPr>
      <w:r>
        <w:t>(2)</w:t>
      </w:r>
      <w:r>
        <w:tab/>
      </w:r>
      <w:r>
        <w:rPr>
          <w:noProof/>
        </w:rPr>
        <w:t>С Решение № 2014/930/ЕС на Съвета</w:t>
      </w:r>
      <w:r>
        <w:rPr>
          <w:rStyle w:val="FootnoteReference"/>
          <w:noProof/>
        </w:rPr>
        <w:footnoteReference w:id="5"/>
      </w:r>
      <w:r>
        <w:rPr>
          <w:noProof/>
        </w:rPr>
        <w:t xml:space="preserve"> съставът на Комитета на регионите беше адаптиран вследствие на присъединяването на Хърватия. Естония, Кипър и Люксембург изгубиха по едно място, за да няма несъответствие между максималния брой на членовете, определен в Договора, и броя на членовете след присъединяването на Хърватия. </w:t>
      </w:r>
    </w:p>
    <w:p>
      <w:pPr>
        <w:pStyle w:val="ManualConsidrant"/>
        <w:rPr>
          <w:noProof/>
        </w:rPr>
      </w:pPr>
      <w:r>
        <w:t>(3)</w:t>
      </w:r>
      <w:r>
        <w:tab/>
      </w:r>
      <w:r>
        <w:rPr>
          <w:noProof/>
        </w:rPr>
        <w:t>В преамбюла към Решение № 2014/930/ЕС се казва, че съставът на Комитета трябва да бъде преразгледан своевременно и преди началото на неговия мандат през 2020 г.</w:t>
      </w:r>
    </w:p>
    <w:p>
      <w:pPr>
        <w:pStyle w:val="ManualConsidrant"/>
        <w:rPr>
          <w:noProof/>
        </w:rPr>
      </w:pPr>
      <w:r>
        <w:t>(4)</w:t>
      </w:r>
      <w:r>
        <w:tab/>
      </w:r>
      <w:r>
        <w:rPr>
          <w:noProof/>
        </w:rPr>
        <w:t>На 3 юли 2018 г. Комитетът на регионите прие препоръки към Комисията и Съвета относно бъдещия си състав</w:t>
      </w:r>
      <w:r>
        <w:rPr>
          <w:rStyle w:val="FootnoteReference"/>
          <w:noProof/>
        </w:rPr>
        <w:footnoteReference w:id="6"/>
      </w:r>
      <w:r>
        <w:rPr>
          <w:noProof/>
        </w:rPr>
        <w:t>.</w:t>
      </w:r>
    </w:p>
    <w:p>
      <w:pPr>
        <w:pStyle w:val="ManualConsidrant"/>
        <w:rPr>
          <w:noProof/>
        </w:rPr>
      </w:pPr>
      <w:r>
        <w:t>(5)</w:t>
      </w:r>
      <w:r>
        <w:tab/>
      </w:r>
      <w:r>
        <w:rPr>
          <w:noProof/>
        </w:rPr>
        <w:t>Сегашното равновесие в състава на Комитета на регионите следва да се запази, доколкото е възможно, тъй като е резултат от последователни междуправителствени конференции.</w:t>
      </w:r>
    </w:p>
    <w:p>
      <w:pPr>
        <w:pStyle w:val="ManualConsidrant"/>
        <w:rPr>
          <w:noProof/>
        </w:rPr>
      </w:pPr>
      <w:r>
        <w:t>(6)</w:t>
      </w:r>
      <w:r>
        <w:tab/>
      </w:r>
      <w:r>
        <w:rPr>
          <w:noProof/>
        </w:rPr>
        <w:t>Оттеглянето на Обединеното кралство от Европейския съюз ще доведе до 24 незаети места в Комитета. Вследствие на това равновесието в разпределянето на местата, съществуващо преди приемането на Решение (ЕС) 2014/930 на Съвета, може да бъде възстановено,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rFonts w:eastAsia="Calibri"/>
          <w:noProof/>
          <w:szCs w:val="20"/>
        </w:rPr>
      </w:pPr>
      <w:r>
        <w:rPr>
          <w:noProof/>
        </w:rPr>
        <w:t>Съставът на Комитета на регионите е както следва:</w:t>
      </w:r>
    </w:p>
    <w:p>
      <w:pPr>
        <w:tabs>
          <w:tab w:val="left" w:pos="2835"/>
        </w:tabs>
        <w:rPr>
          <w:rFonts w:eastAsia="Calibri"/>
          <w:noProof/>
          <w:szCs w:val="20"/>
        </w:rPr>
      </w:pPr>
      <w:r>
        <w:rPr>
          <w:noProof/>
        </w:rPr>
        <w:t>Белгия</w:t>
      </w:r>
      <w:r>
        <w:rPr>
          <w:noProof/>
        </w:rPr>
        <w:tab/>
        <w:t>12</w:t>
      </w:r>
    </w:p>
    <w:p>
      <w:pPr>
        <w:tabs>
          <w:tab w:val="left" w:pos="2835"/>
        </w:tabs>
        <w:rPr>
          <w:rFonts w:eastAsia="Calibri"/>
          <w:noProof/>
          <w:szCs w:val="20"/>
        </w:rPr>
      </w:pPr>
      <w:r>
        <w:rPr>
          <w:noProof/>
        </w:rPr>
        <w:t>България</w:t>
      </w:r>
      <w:r>
        <w:rPr>
          <w:noProof/>
        </w:rPr>
        <w:tab/>
        <w:t>12</w:t>
      </w:r>
    </w:p>
    <w:p>
      <w:pPr>
        <w:tabs>
          <w:tab w:val="left" w:pos="2835"/>
        </w:tabs>
        <w:rPr>
          <w:rFonts w:eastAsia="Calibri"/>
          <w:noProof/>
          <w:szCs w:val="20"/>
        </w:rPr>
      </w:pPr>
      <w:r>
        <w:rPr>
          <w:noProof/>
        </w:rPr>
        <w:t>Чешка република</w:t>
      </w:r>
      <w:r>
        <w:rPr>
          <w:noProof/>
        </w:rPr>
        <w:tab/>
        <w:t>12</w:t>
      </w:r>
    </w:p>
    <w:p>
      <w:pPr>
        <w:tabs>
          <w:tab w:val="left" w:pos="2977"/>
        </w:tabs>
        <w:rPr>
          <w:rFonts w:eastAsia="Calibri"/>
          <w:noProof/>
          <w:szCs w:val="20"/>
        </w:rPr>
      </w:pPr>
      <w:r>
        <w:rPr>
          <w:noProof/>
        </w:rPr>
        <w:t>Дания</w:t>
      </w:r>
      <w:r>
        <w:rPr>
          <w:noProof/>
        </w:rPr>
        <w:tab/>
        <w:t>9</w:t>
      </w:r>
    </w:p>
    <w:p>
      <w:pPr>
        <w:tabs>
          <w:tab w:val="left" w:pos="2835"/>
        </w:tabs>
        <w:rPr>
          <w:rFonts w:eastAsia="Calibri"/>
          <w:noProof/>
          <w:szCs w:val="20"/>
        </w:rPr>
      </w:pPr>
      <w:r>
        <w:rPr>
          <w:noProof/>
        </w:rPr>
        <w:t>Германия</w:t>
      </w:r>
      <w:r>
        <w:rPr>
          <w:noProof/>
        </w:rPr>
        <w:tab/>
        <w:t>24</w:t>
      </w:r>
    </w:p>
    <w:p>
      <w:pPr>
        <w:tabs>
          <w:tab w:val="left" w:pos="2977"/>
        </w:tabs>
        <w:rPr>
          <w:rFonts w:eastAsia="Calibri"/>
          <w:noProof/>
          <w:szCs w:val="20"/>
        </w:rPr>
      </w:pPr>
      <w:r>
        <w:rPr>
          <w:noProof/>
        </w:rPr>
        <w:t>Естония</w:t>
      </w:r>
      <w:r>
        <w:rPr>
          <w:noProof/>
        </w:rPr>
        <w:tab/>
        <w:t>7</w:t>
      </w:r>
    </w:p>
    <w:p>
      <w:pPr>
        <w:tabs>
          <w:tab w:val="left" w:pos="2977"/>
        </w:tabs>
        <w:rPr>
          <w:rFonts w:eastAsia="Calibri"/>
          <w:noProof/>
          <w:szCs w:val="20"/>
        </w:rPr>
      </w:pPr>
      <w:r>
        <w:rPr>
          <w:noProof/>
        </w:rPr>
        <w:t>Ирландия</w:t>
      </w:r>
      <w:r>
        <w:rPr>
          <w:noProof/>
        </w:rPr>
        <w:tab/>
        <w:t>9</w:t>
      </w:r>
    </w:p>
    <w:p>
      <w:pPr>
        <w:tabs>
          <w:tab w:val="left" w:pos="2835"/>
        </w:tabs>
        <w:rPr>
          <w:rFonts w:eastAsia="Calibri"/>
          <w:noProof/>
          <w:szCs w:val="20"/>
        </w:rPr>
      </w:pPr>
      <w:r>
        <w:rPr>
          <w:noProof/>
        </w:rPr>
        <w:t>Гърция</w:t>
      </w:r>
      <w:r>
        <w:rPr>
          <w:noProof/>
        </w:rPr>
        <w:tab/>
        <w:t>12</w:t>
      </w:r>
    </w:p>
    <w:p>
      <w:pPr>
        <w:tabs>
          <w:tab w:val="left" w:pos="2835"/>
        </w:tabs>
        <w:rPr>
          <w:rFonts w:eastAsia="Calibri"/>
          <w:noProof/>
          <w:szCs w:val="20"/>
        </w:rPr>
      </w:pPr>
      <w:r>
        <w:rPr>
          <w:noProof/>
        </w:rPr>
        <w:t>Испания</w:t>
      </w:r>
      <w:r>
        <w:rPr>
          <w:noProof/>
        </w:rPr>
        <w:tab/>
        <w:t>21</w:t>
      </w:r>
    </w:p>
    <w:p>
      <w:pPr>
        <w:tabs>
          <w:tab w:val="left" w:pos="2835"/>
        </w:tabs>
        <w:rPr>
          <w:rFonts w:eastAsia="Calibri"/>
          <w:noProof/>
          <w:szCs w:val="20"/>
        </w:rPr>
      </w:pPr>
      <w:r>
        <w:rPr>
          <w:noProof/>
        </w:rPr>
        <w:t>Франция</w:t>
      </w:r>
      <w:r>
        <w:rPr>
          <w:noProof/>
        </w:rPr>
        <w:tab/>
        <w:t>24</w:t>
      </w:r>
    </w:p>
    <w:p>
      <w:pPr>
        <w:tabs>
          <w:tab w:val="left" w:pos="2977"/>
        </w:tabs>
        <w:rPr>
          <w:rFonts w:eastAsia="Calibri"/>
          <w:noProof/>
          <w:szCs w:val="20"/>
        </w:rPr>
      </w:pPr>
      <w:r>
        <w:rPr>
          <w:noProof/>
        </w:rPr>
        <w:t>Хърватия</w:t>
      </w:r>
      <w:r>
        <w:rPr>
          <w:noProof/>
        </w:rPr>
        <w:tab/>
        <w:t>9</w:t>
      </w:r>
    </w:p>
    <w:p>
      <w:pPr>
        <w:tabs>
          <w:tab w:val="left" w:pos="2835"/>
        </w:tabs>
        <w:rPr>
          <w:rFonts w:eastAsia="Calibri"/>
          <w:noProof/>
          <w:szCs w:val="20"/>
        </w:rPr>
      </w:pPr>
      <w:r>
        <w:rPr>
          <w:noProof/>
        </w:rPr>
        <w:t>Италия</w:t>
      </w:r>
      <w:r>
        <w:rPr>
          <w:noProof/>
        </w:rPr>
        <w:tab/>
        <w:t>24</w:t>
      </w:r>
    </w:p>
    <w:p>
      <w:pPr>
        <w:tabs>
          <w:tab w:val="left" w:pos="2977"/>
        </w:tabs>
        <w:rPr>
          <w:rFonts w:eastAsia="Calibri"/>
          <w:noProof/>
          <w:szCs w:val="20"/>
        </w:rPr>
      </w:pPr>
      <w:r>
        <w:rPr>
          <w:noProof/>
        </w:rPr>
        <w:t>Кипър</w:t>
      </w:r>
      <w:r>
        <w:rPr>
          <w:noProof/>
        </w:rPr>
        <w:tab/>
        <w:t>6</w:t>
      </w:r>
    </w:p>
    <w:p>
      <w:pPr>
        <w:tabs>
          <w:tab w:val="left" w:pos="2977"/>
        </w:tabs>
        <w:rPr>
          <w:rFonts w:eastAsia="Calibri"/>
          <w:noProof/>
          <w:szCs w:val="20"/>
        </w:rPr>
      </w:pPr>
      <w:r>
        <w:rPr>
          <w:noProof/>
        </w:rPr>
        <w:t>Латвия</w:t>
      </w:r>
      <w:r>
        <w:rPr>
          <w:noProof/>
        </w:rPr>
        <w:tab/>
        <w:t>7</w:t>
      </w:r>
    </w:p>
    <w:p>
      <w:pPr>
        <w:tabs>
          <w:tab w:val="left" w:pos="2977"/>
        </w:tabs>
        <w:rPr>
          <w:rFonts w:eastAsia="Calibri"/>
          <w:noProof/>
          <w:szCs w:val="20"/>
        </w:rPr>
      </w:pPr>
      <w:r>
        <w:rPr>
          <w:noProof/>
        </w:rPr>
        <w:t>Литва</w:t>
      </w:r>
      <w:r>
        <w:rPr>
          <w:noProof/>
        </w:rPr>
        <w:tab/>
        <w:t>9</w:t>
      </w:r>
    </w:p>
    <w:p>
      <w:pPr>
        <w:tabs>
          <w:tab w:val="left" w:pos="2977"/>
        </w:tabs>
        <w:rPr>
          <w:rFonts w:eastAsia="Calibri"/>
          <w:noProof/>
          <w:szCs w:val="20"/>
        </w:rPr>
      </w:pPr>
      <w:r>
        <w:rPr>
          <w:noProof/>
        </w:rPr>
        <w:t>Люксембург</w:t>
      </w:r>
      <w:r>
        <w:rPr>
          <w:noProof/>
        </w:rPr>
        <w:tab/>
        <w:t>6</w:t>
      </w:r>
    </w:p>
    <w:p>
      <w:pPr>
        <w:tabs>
          <w:tab w:val="left" w:pos="2835"/>
        </w:tabs>
        <w:rPr>
          <w:rFonts w:eastAsia="Calibri"/>
          <w:noProof/>
          <w:szCs w:val="20"/>
        </w:rPr>
      </w:pPr>
      <w:r>
        <w:rPr>
          <w:noProof/>
        </w:rPr>
        <w:t>Унгария</w:t>
      </w:r>
      <w:r>
        <w:rPr>
          <w:noProof/>
        </w:rPr>
        <w:tab/>
        <w:t>12</w:t>
      </w:r>
    </w:p>
    <w:p>
      <w:pPr>
        <w:tabs>
          <w:tab w:val="left" w:pos="2977"/>
        </w:tabs>
        <w:rPr>
          <w:rFonts w:eastAsia="Calibri"/>
          <w:noProof/>
          <w:szCs w:val="20"/>
        </w:rPr>
      </w:pPr>
      <w:r>
        <w:rPr>
          <w:noProof/>
        </w:rPr>
        <w:t>Малта</w:t>
      </w:r>
      <w:r>
        <w:rPr>
          <w:noProof/>
        </w:rPr>
        <w:tab/>
        <w:t>5</w:t>
      </w:r>
    </w:p>
    <w:p>
      <w:pPr>
        <w:tabs>
          <w:tab w:val="left" w:pos="2835"/>
        </w:tabs>
        <w:rPr>
          <w:rFonts w:eastAsia="Calibri"/>
          <w:noProof/>
          <w:szCs w:val="20"/>
        </w:rPr>
      </w:pPr>
      <w:r>
        <w:rPr>
          <w:noProof/>
        </w:rPr>
        <w:t>Нидерландия</w:t>
      </w:r>
      <w:r>
        <w:rPr>
          <w:noProof/>
        </w:rPr>
        <w:tab/>
        <w:t>12</w:t>
      </w:r>
    </w:p>
    <w:p>
      <w:pPr>
        <w:tabs>
          <w:tab w:val="left" w:pos="2835"/>
        </w:tabs>
        <w:rPr>
          <w:rFonts w:eastAsia="Calibri"/>
          <w:noProof/>
          <w:szCs w:val="20"/>
        </w:rPr>
      </w:pPr>
      <w:r>
        <w:rPr>
          <w:noProof/>
        </w:rPr>
        <w:t>Австрия</w:t>
      </w:r>
      <w:r>
        <w:rPr>
          <w:noProof/>
        </w:rPr>
        <w:tab/>
        <w:t>12</w:t>
      </w:r>
    </w:p>
    <w:p>
      <w:pPr>
        <w:tabs>
          <w:tab w:val="left" w:pos="2835"/>
        </w:tabs>
        <w:rPr>
          <w:rFonts w:eastAsia="Calibri"/>
          <w:noProof/>
          <w:szCs w:val="20"/>
        </w:rPr>
      </w:pPr>
      <w:r>
        <w:rPr>
          <w:noProof/>
        </w:rPr>
        <w:t>Полша</w:t>
      </w:r>
      <w:r>
        <w:rPr>
          <w:noProof/>
        </w:rPr>
        <w:tab/>
        <w:t>21</w:t>
      </w:r>
    </w:p>
    <w:p>
      <w:pPr>
        <w:tabs>
          <w:tab w:val="left" w:pos="2835"/>
        </w:tabs>
        <w:rPr>
          <w:rFonts w:eastAsia="Calibri"/>
          <w:noProof/>
          <w:szCs w:val="20"/>
        </w:rPr>
      </w:pPr>
      <w:r>
        <w:rPr>
          <w:noProof/>
        </w:rPr>
        <w:t>Португалия</w:t>
      </w:r>
      <w:r>
        <w:rPr>
          <w:noProof/>
        </w:rPr>
        <w:tab/>
        <w:t>12</w:t>
      </w:r>
    </w:p>
    <w:p>
      <w:pPr>
        <w:tabs>
          <w:tab w:val="left" w:pos="2835"/>
        </w:tabs>
        <w:rPr>
          <w:rFonts w:eastAsia="Calibri" w:cs="EUAlbertina"/>
          <w:noProof/>
          <w:szCs w:val="20"/>
        </w:rPr>
      </w:pPr>
      <w:r>
        <w:rPr>
          <w:noProof/>
        </w:rPr>
        <w:t>Румъния</w:t>
      </w:r>
      <w:r>
        <w:rPr>
          <w:noProof/>
        </w:rPr>
        <w:tab/>
        <w:t>15</w:t>
      </w:r>
    </w:p>
    <w:p>
      <w:pPr>
        <w:tabs>
          <w:tab w:val="left" w:pos="2977"/>
        </w:tabs>
        <w:rPr>
          <w:rFonts w:eastAsia="Calibri"/>
          <w:noProof/>
          <w:szCs w:val="20"/>
        </w:rPr>
      </w:pPr>
      <w:r>
        <w:rPr>
          <w:noProof/>
        </w:rPr>
        <w:t>Словения</w:t>
      </w:r>
      <w:r>
        <w:rPr>
          <w:noProof/>
        </w:rPr>
        <w:tab/>
        <w:t>7</w:t>
      </w:r>
    </w:p>
    <w:p>
      <w:pPr>
        <w:tabs>
          <w:tab w:val="left" w:pos="2977"/>
        </w:tabs>
        <w:rPr>
          <w:rFonts w:eastAsia="Calibri"/>
          <w:noProof/>
          <w:szCs w:val="20"/>
        </w:rPr>
      </w:pPr>
      <w:r>
        <w:rPr>
          <w:noProof/>
        </w:rPr>
        <w:t>Словакия</w:t>
      </w:r>
      <w:r>
        <w:rPr>
          <w:noProof/>
        </w:rPr>
        <w:tab/>
        <w:t>9</w:t>
      </w:r>
    </w:p>
    <w:p>
      <w:pPr>
        <w:tabs>
          <w:tab w:val="left" w:pos="2977"/>
        </w:tabs>
        <w:rPr>
          <w:rFonts w:eastAsia="Calibri"/>
          <w:noProof/>
          <w:szCs w:val="20"/>
        </w:rPr>
      </w:pPr>
      <w:r>
        <w:rPr>
          <w:noProof/>
        </w:rPr>
        <w:t>Финландия</w:t>
      </w:r>
      <w:r>
        <w:rPr>
          <w:noProof/>
        </w:rPr>
        <w:tab/>
        <w:t>9</w:t>
      </w:r>
    </w:p>
    <w:p>
      <w:pPr>
        <w:tabs>
          <w:tab w:val="left" w:pos="2835"/>
        </w:tabs>
        <w:rPr>
          <w:rFonts w:eastAsia="Calibri"/>
          <w:noProof/>
          <w:szCs w:val="20"/>
        </w:rPr>
      </w:pPr>
      <w:r>
        <w:rPr>
          <w:noProof/>
        </w:rPr>
        <w:t>Швеция</w:t>
      </w:r>
      <w:r>
        <w:rPr>
          <w:noProof/>
        </w:rPr>
        <w:tab/>
        <w:t>12.</w:t>
      </w:r>
    </w:p>
    <w:p>
      <w:pPr>
        <w:pStyle w:val="Titrearticle"/>
        <w:keepNext w:val="0"/>
        <w:rPr>
          <w:noProof/>
        </w:rPr>
      </w:pPr>
      <w:r>
        <w:rPr>
          <w:noProof/>
        </w:rPr>
        <w:t>Член 2</w:t>
      </w:r>
    </w:p>
    <w:p>
      <w:pPr>
        <w:keepLines/>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pPr>
        <w:keepLines/>
        <w:rPr>
          <w:noProof/>
        </w:rPr>
      </w:pPr>
      <w:r>
        <w:rPr>
          <w:noProof/>
        </w:rPr>
        <w:t>То се прилага от 26 януари 2020 г.</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Акт относно условията за присъединяване на Република Хърватия и промените в Договора за Европейския съюз, Договора за функционирането на Европейския съюз и Договора за създаване на Европейската общност за атомна енергия (OВ L 112, 24.4.2012 г., стр. 6—110).</w:t>
      </w:r>
    </w:p>
  </w:footnote>
  <w:footnote w:id="2">
    <w:p>
      <w:pPr>
        <w:pStyle w:val="FootnoteText"/>
      </w:pPr>
      <w:r>
        <w:rPr>
          <w:rStyle w:val="FootnoteReference"/>
        </w:rPr>
        <w:footnoteRef/>
      </w:r>
      <w:r>
        <w:tab/>
        <w:t>Решение № 2014/930/ЕС на Съвета (ОВ L 365, 19.12.2014 г., стр. 143—144).</w:t>
      </w:r>
    </w:p>
  </w:footnote>
  <w:footnote w:id="3">
    <w:p>
      <w:pPr>
        <w:pStyle w:val="FootnoteText"/>
      </w:pPr>
      <w:r>
        <w:rPr>
          <w:rStyle w:val="FootnoteReference"/>
        </w:rPr>
        <w:footnoteRef/>
      </w:r>
      <w:r>
        <w:tab/>
        <w:t>COM(2018) 703 final, прието на 23 октомври 2018 г.</w:t>
      </w:r>
    </w:p>
  </w:footnote>
  <w:footnote w:id="4">
    <w:p>
      <w:pPr>
        <w:pStyle w:val="FootnoteText"/>
      </w:pPr>
      <w:r>
        <w:rPr>
          <w:rStyle w:val="FootnoteReference"/>
        </w:rPr>
        <w:footnoteRef/>
      </w:r>
      <w:r>
        <w:tab/>
        <w:t>Писмо от председателя на Комитета до Комисията от 27 юли 2018 г.</w:t>
      </w:r>
    </w:p>
  </w:footnote>
  <w:footnote w:id="5">
    <w:p>
      <w:pPr>
        <w:pStyle w:val="FootnoteText"/>
      </w:pPr>
      <w:r>
        <w:rPr>
          <w:rStyle w:val="FootnoteReference"/>
        </w:rPr>
        <w:footnoteRef/>
      </w:r>
      <w:r>
        <w:tab/>
        <w:t>Решение № 2014/930/ЕС на Съвета (ОВ L 365, 19.12.2014 г., стр. 143—144).</w:t>
      </w:r>
    </w:p>
  </w:footnote>
  <w:footnote w:id="6">
    <w:p>
      <w:pPr>
        <w:pStyle w:val="FootnoteText"/>
      </w:pPr>
      <w:r>
        <w:rPr>
          <w:rStyle w:val="FootnoteReference"/>
        </w:rPr>
        <w:footnoteRef/>
      </w:r>
      <w:r>
        <w:tab/>
        <w:t>Решение на Бюрото на Комитета на регионите от 3 юли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2494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9CB0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2204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C2CF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A631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1268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0C8566"/>
    <w:lvl w:ilvl="0">
      <w:start w:val="1"/>
      <w:numFmt w:val="decimal"/>
      <w:pStyle w:val="ListNumber"/>
      <w:lvlText w:val="%1."/>
      <w:lvlJc w:val="left"/>
      <w:pPr>
        <w:tabs>
          <w:tab w:val="num" w:pos="360"/>
        </w:tabs>
        <w:ind w:left="360" w:hanging="360"/>
      </w:pPr>
    </w:lvl>
  </w:abstractNum>
  <w:abstractNum w:abstractNumId="7">
    <w:nsid w:val="FFFFFF89"/>
    <w:multiLevelType w:val="singleLevel"/>
    <w:tmpl w:val="CF708D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4:18: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93079A-B0CB-442B-B754-DD09ED080F9D"/>
    <w:docVar w:name="LW_COVERPAGE_TYPE" w:val="1"/>
    <w:docVar w:name="LW_CROSSREFERENCE" w:val="&lt;UNUSED&gt;"/>
    <w:docVar w:name="LW_DocType" w:val="COM"/>
    <w:docVar w:name="LW_EMISSION" w:val="28.11.2018"/>
    <w:docVar w:name="LW_EMISSION_ISODATE" w:val="2018-11-28"/>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01"/>
    <w:docVar w:name="LW_REF.II.NEW.CP_YEAR" w:val="2018"/>
    <w:docVar w:name="LW_REF.INST.NEW" w:val="COM"/>
    <w:docVar w:name="LW_REF.INST.NEW_ADOPTED" w:val="final"/>
    <w:docVar w:name="LW_REF.INST.NEW_TEXT" w:val="(2018)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9?\u1098?\u1089?\u1090?\u1072?\u1074?\u1072? \u1085?\u1072? \u1050?\u1086?\u1084?\u1080?\u1090?\u1077?\u1090?\u1072? \u1085?\u1072? \u1088?\u1077?\u1075?\u1080?\u1086?\u1085?\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F8F5-71F4-432E-A512-E71787EA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6</Pages>
  <Words>1225</Words>
  <Characters>6764</Characters>
  <Application>Microsoft Office Word</Application>
  <DocSecurity>0</DocSecurity>
  <Lines>173</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2018-09-17T08:35:00Z</cp:lastPrinted>
  <dcterms:created xsi:type="dcterms:W3CDTF">2018-12-06T12:58:00Z</dcterms:created>
  <dcterms:modified xsi:type="dcterms:W3CDTF">2018-12-07T13:18:00Z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