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CE5BE1-84F6-4392-B257-C69374E33EB6"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 xml:space="preserve">Настоящото предложение има за цел да се гарантира сигурност и приемственост на отпускането на подпомагане на европейските земеделски стопани през 2019 г. и 2020 г., като се адаптират два законодателни акта на общата селскостопанска политика (ОСП). </w:t>
      </w:r>
    </w:p>
    <w:p>
      <w:pPr>
        <w:rPr>
          <w:noProof/>
        </w:rPr>
      </w:pPr>
      <w:r>
        <w:rPr>
          <w:noProof/>
        </w:rPr>
        <w:t>Във връзка с развитието на селските райони са необходими някои изменения на Регламент (ЕС) № 1305/2013 (Регламент за развитие на селските райони), за да се гарантира приемственост на политиката през последните години от програмния период и плавен преход към следващия програмен период. Тези изменения се отнасят до нов график за прогресивно намаляване на плащанията в районите с природни ограничения (РПО), различни от планинските райони, и използването на техническата помощ по линия на ЕЗФРСР по инициатива на Комисията за действия, подготвящи изпълнението на бъдещата ОСП.</w:t>
      </w:r>
    </w:p>
    <w:p>
      <w:pPr>
        <w:rPr>
          <w:noProof/>
        </w:rPr>
      </w:pPr>
      <w:r>
        <w:rPr>
          <w:noProof/>
        </w:rPr>
        <w:t xml:space="preserve">Във връзка с директните плащания някои от разпоредбите на Регламент (ЕС) № 1307/2013 (Регламент за директните плащания) не обхващат календарната 2020 г., тъй като разходите във връзка с календарната 2020 г. се правят през финансовата 2021 г., която е първата година от новата многогодишна финансова рамка (МФР) за периода 2021—2027 г. Към момента на приемането на този регламент не беше следователно възможно да се поемат задължения във връзка с бъдещата МФР. Ако не бъде изменен Регламент (ЕС) № 1307/2013, някои държави членки ще бъдат изправени пред неблагоприятни финансови последици във връзка с директните плащания през календарната 2020 г., надхвърлящи тези за новата МФР (МФР за периода 2021—2027 г.). Тези държави членки ще понесат големи промени в своите директни плащания и пакети за развитие на селските райони, водещи до съществени последици за плащанията на земеделските стопани по тези два стълба. Освен това се добавят други технически елементи, тъй като те ще улеснят изпълнението на настоящата законодателна рамка.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Предложените изменения са съгласувани с Регламента за развитие на селските райони и Регламента за директните плащания, следователно предложението е съгласувано с действащите разпоредби на ОСП.</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keepNext/>
        <w:tabs>
          <w:tab w:val="left" w:pos="0"/>
        </w:tabs>
        <w:outlineLvl w:val="1"/>
        <w:rPr>
          <w:noProof/>
          <w:u w:color="000000"/>
          <w:bdr w:val="nil"/>
        </w:rPr>
      </w:pPr>
      <w:r>
        <w:rPr>
          <w:noProof/>
          <w:u w:color="000000"/>
          <w:bdr w:val="nil"/>
        </w:rPr>
        <w:t xml:space="preserve">Член 42 и член 43, параграф 2 от Договора за функционирането на Европейския съюз (ДФЕС).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keepNext/>
        <w:tabs>
          <w:tab w:val="left" w:pos="0"/>
        </w:tabs>
        <w:outlineLvl w:val="1"/>
        <w:rPr>
          <w:noProof/>
          <w:u w:color="000000"/>
          <w:bdr w:val="nil"/>
        </w:rPr>
      </w:pPr>
      <w:r>
        <w:rPr>
          <w:noProof/>
          <w:u w:color="000000"/>
          <w:bdr w:val="nil"/>
        </w:rPr>
        <w:t xml:space="preserve">ДФЕС предвижда, че компетентността за селското стопанство е споделена между Съюза и държавите членки. </w:t>
      </w:r>
      <w:r>
        <w:rPr>
          <w:noProof/>
        </w:rPr>
        <w:t xml:space="preserve">Съюзът упражнява своята компетентност, приемайки различни законодателни актове, като по този начин определя и осъществява общата </w:t>
      </w:r>
      <w:r>
        <w:rPr>
          <w:noProof/>
        </w:rPr>
        <w:lastRenderedPageBreak/>
        <w:t>селскостопанска политика на ЕС съгласно предвиденото в членове 38—44 от Договора за функционирането на Европейския съюз.</w:t>
      </w:r>
      <w:r>
        <w:rPr>
          <w:noProof/>
          <w:u w:color="000000"/>
          <w:bdr w:val="nil"/>
        </w:rPr>
        <w:t xml:space="preserve"> </w:t>
      </w:r>
      <w:r>
        <w:rPr>
          <w:noProof/>
        </w:rPr>
        <w:t>С Регламент (ЕС) № 1305/2013 и Регламент (ЕС) № 1307/2013 се определя система за подпомагане на развитието на селските райони и за директните плащания на земеделските стопани.</w:t>
      </w:r>
      <w:r>
        <w:rPr>
          <w:noProof/>
          <w:u w:color="000000"/>
          <w:bdr w:val="nil"/>
        </w:rPr>
        <w:t xml:space="preserve"> Съгласно член 39 от ДФЕС цел на договора за ОСП е, наред с други цели, да осигури приемлив жизнен стандарт за земеделските стопани, а предложената инициатива се вписва в тази цел. По този начин с Европейския фонд за гарантиране на земеделието (ЕФГЗ) ОСП финансира директните плащания, а с Регламент (ЕС) № 1307/2013 се регламентират плащанията на равнището на Съюза. Подпомагането на развитието на селските райони е неразделна част от ОСП и допринася за постигане на целите на ОСП, установени в Договора за функционирането на Европейския съюз. Добавената стойност на предложението е гарантирането на сигурност и стабилност на директното подпомагане на доходите на европейските земеделски стопани през 2020 г. и подпомагането за развитие на селските райони през последните години от настоящия програмен период. Тези цели могат да се постигнат единствено чрез изменение на Регламент (ЕС) № 1305/2013 и Регламент (ЕС) № 1307/2013 от съзаконодателите на ЕС.</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u w:color="000000"/>
          <w:bdr w:val="nil"/>
        </w:rPr>
      </w:pPr>
      <w:r>
        <w:rPr>
          <w:noProof/>
          <w:u w:color="000000"/>
          <w:bdr w:val="nil"/>
        </w:rPr>
        <w:t xml:space="preserve">Предложението не води до нововъведения в политиката по отношение на законодателните актове, които е предвидено да измени. Предложението изменя съществуващите регламенти само в рамките на необходимото за постигане на изложените по-горе цели. </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u w:color="000000"/>
          <w:bdr w:val="nil"/>
        </w:rPr>
      </w:pPr>
      <w:r>
        <w:rPr>
          <w:noProof/>
          <w:u w:color="000000"/>
          <w:bdr w:val="nil"/>
        </w:rPr>
        <w:t xml:space="preserve">Тъй като първоначалните законодателни актове са регламенти на Европейския парламент и на Съвета, измененията трябва също да бъдат въведени като регламент на Европейския парламент и на Съвета посредством обикновената законодателна процедура.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rPr>
          <w:rFonts w:eastAsia="Times New Roman"/>
          <w:noProof/>
        </w:rPr>
      </w:pPr>
      <w:r>
        <w:rPr>
          <w:noProof/>
        </w:rPr>
        <w:t xml:space="preserve">Предложението се отклонява от стандартната практика, установена в насоките за по-добро регулиране и в набора от инструменти. Отклонението от стандартната практика се налага поради следните основания: </w:t>
      </w:r>
    </w:p>
    <w:p>
      <w:pPr>
        <w:rPr>
          <w:rFonts w:eastAsia="Times New Roman"/>
          <w:noProof/>
        </w:rPr>
      </w:pPr>
      <w:r>
        <w:rPr>
          <w:noProof/>
        </w:rPr>
        <w:t xml:space="preserve">— предложението е подчертано техническо в своето приложно поле; </w:t>
      </w:r>
    </w:p>
    <w:p>
      <w:pPr>
        <w:rPr>
          <w:rFonts w:eastAsia="Times New Roman"/>
          <w:noProof/>
        </w:rPr>
      </w:pPr>
      <w:r>
        <w:rPr>
          <w:noProof/>
        </w:rPr>
        <w:t>— инициативата е ограничена до последните години от настоящия програмен период;</w:t>
      </w:r>
    </w:p>
    <w:p>
      <w:pPr>
        <w:rPr>
          <w:rFonts w:eastAsia="Times New Roman"/>
          <w:noProof/>
        </w:rPr>
      </w:pPr>
      <w:r>
        <w:rPr>
          <w:noProof/>
        </w:rPr>
        <w:t xml:space="preserve">— то не въвежда нови политически ангажименти. </w:t>
      </w:r>
    </w:p>
    <w:p>
      <w:pPr>
        <w:rPr>
          <w:noProof/>
        </w:rPr>
      </w:pPr>
      <w:r>
        <w:rPr>
          <w:noProof/>
        </w:rPr>
        <w:t xml:space="preserve">За настоящото предложение следователно не са необходими оценка на въздействието, обществена консултация и пътна карта  . Освен това, тъй като законодателството трябва да бъде въведено през 2019 г., то трябва да се приеме по спешност от съзаконодателите. </w:t>
      </w:r>
    </w:p>
    <w:p>
      <w:pPr>
        <w:rPr>
          <w:noProof/>
        </w:rPr>
      </w:pP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основните права и принципите, признати по-специално с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Предложената опция за държавите членки да се продължи настоящата гъвкавост между директните плащания и развитието на селските райони през календарната 2020 г. (финансовата 2021 г.) и прехвърлянето на очаквания резултат от намаленията от директни плащания към развитие на селските райони през тази година може, в зависимост от решенията на държавите членки, да засегне разпределението между директните плащания и развитието на селските райони. Каквото и да е прехвърляне няма обаче да окаже въздействие върху общите бюджетни задължения. </w:t>
      </w:r>
    </w:p>
    <w:p>
      <w:pPr>
        <w:pBdr>
          <w:top w:val="nil"/>
          <w:left w:val="nil"/>
          <w:bottom w:val="nil"/>
          <w:right w:val="nil"/>
          <w:between w:val="nil"/>
          <w:bar w:val="nil"/>
        </w:pBdr>
        <w:spacing w:before="0" w:after="240"/>
        <w:rPr>
          <w:noProof/>
        </w:rPr>
      </w:pPr>
      <w:r>
        <w:rPr>
          <w:noProof/>
        </w:rPr>
        <w:t>Допълнителни подробности относно финансовото въздействие на настоящото предложение са предоставени във финансовата обосновка, приложена към предложението.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noProof/>
          <w:highlight w:val="yellow"/>
        </w:rPr>
      </w:pPr>
      <w:r>
        <w:rPr>
          <w:noProof/>
          <w:u w:color="000000"/>
          <w:bdr w:val="nil"/>
        </w:rPr>
        <w:t>•</w:t>
      </w:r>
      <w:r>
        <w:rPr>
          <w:noProof/>
          <w:u w:color="000000"/>
          <w:bdr w:val="nil"/>
        </w:rPr>
        <w:tab/>
        <w:t>Подробно разяснение на отделните разпоредби на предложението</w:t>
      </w:r>
    </w:p>
    <w:p>
      <w:pPr>
        <w:pStyle w:val="Text1"/>
        <w:rPr>
          <w:noProof/>
        </w:rPr>
      </w:pPr>
    </w:p>
    <w:p>
      <w:pPr>
        <w:pStyle w:val="Bullet0"/>
        <w:numPr>
          <w:ilvl w:val="0"/>
          <w:numId w:val="9"/>
        </w:numPr>
        <w:rPr>
          <w:noProof/>
        </w:rPr>
      </w:pPr>
      <w:r>
        <w:rPr>
          <w:noProof/>
        </w:rPr>
        <w:t>Развитие на селските райони</w:t>
      </w:r>
    </w:p>
    <w:p>
      <w:pPr>
        <w:pStyle w:val="Text1"/>
        <w:ind w:left="0"/>
        <w:rPr>
          <w:noProof/>
        </w:rPr>
      </w:pPr>
      <w:r>
        <w:rPr>
          <w:noProof/>
        </w:rPr>
        <w:t xml:space="preserve">Предложението предоставя възможност на държавите членки да променят графика за прогресивно намаляване на плащанията в районите, които са получили такива плащания през предходния програмен период, докато през текущия период не са вече класифицирани като райони с природни ограничения, различни от планинските райони, съгласно член 31, параграф 5 от Регламента за развитие на селските райони. Това изменение е вследствие на удължаването на срока за новото определяне на тези райони до 2019 г., въведено с Регламент (ЕС) 2017/2393, означаващо (към края на текущия </w:t>
      </w:r>
      <w:r>
        <w:rPr>
          <w:noProof/>
        </w:rPr>
        <w:lastRenderedPageBreak/>
        <w:t xml:space="preserve">програмен период) по-кратък период на приспособяване за земеделските стопани, които не отговарят вече на условията за тези плащания. Изменението ще даде възможност за изчисляване на преходни плащания за 2019 г. и 2020 г. въз основа на равнищата на плащанията за периода 2014—2020 г. Освен това прогресивното намаляване на преходните плащания няма да бъде толкова рязко, тъй като ще бъде определено от държавите членки така, че крайното равнище да се равнява на половината от първоначалното. </w:t>
      </w:r>
    </w:p>
    <w:p>
      <w:pPr>
        <w:pStyle w:val="Text1"/>
        <w:ind w:left="0"/>
        <w:rPr>
          <w:noProof/>
          <w:highlight w:val="yellow"/>
        </w:rPr>
      </w:pPr>
      <w:r>
        <w:rPr>
          <w:noProof/>
        </w:rPr>
        <w:t>С предложението се разширява използването на техническата помощ по инициатива на Комисията, финансирана от Европейския земеделски фонд за развитие на селските райони (ЕЗФРСР), за действия, свързани с работата по бъдещата ОСП. Предложението се отнася единствено до обхвата на техническата помощ, без да се изменя финансовото подпомагане.</w:t>
      </w:r>
    </w:p>
    <w:p>
      <w:pPr>
        <w:pStyle w:val="Bullet0"/>
        <w:numPr>
          <w:ilvl w:val="0"/>
          <w:numId w:val="9"/>
        </w:numPr>
        <w:rPr>
          <w:noProof/>
        </w:rPr>
      </w:pPr>
      <w:r>
        <w:rPr>
          <w:noProof/>
        </w:rPr>
        <w:t>Гъвкавост между стълбовете през 2020 г. и прехвърляне на резултата от намаленията от директните плащания към развитието на селските райони</w:t>
      </w:r>
    </w:p>
    <w:p>
      <w:pPr>
        <w:pStyle w:val="Text1"/>
        <w:ind w:left="0"/>
        <w:rPr>
          <w:noProof/>
        </w:rPr>
      </w:pPr>
      <w:r>
        <w:rPr>
          <w:noProof/>
        </w:rPr>
        <w:t>Предложението включва разпоредби относно възможността държавите членки да прехвърлят финансови средства между стълбовете през календарната 2020 г. (съответстваща на финансовата 2021 г.). За периода 2015—2019 г. държавите членки имаха възможността да прехвърлят суми от директните плащания към развитието на селските райони и обратно. Действащите правила не предвиждат такава гъвкавост за календарната 2020 г./финансовата 2021 г.</w:t>
      </w:r>
      <w:r>
        <w:rPr>
          <w:b/>
          <w:noProof/>
          <w:szCs w:val="24"/>
        </w:rPr>
        <w:t xml:space="preserve"> </w:t>
      </w:r>
      <w:r>
        <w:rPr>
          <w:noProof/>
        </w:rPr>
        <w:t>Този финансов механизъм е важен за осигуряване на гъвкавост на държавите членки при управлението на техните финансови пакети и за оптимално използване на наличните средства. Опитът показва, че въпросният механизъм се е оказал ефективен инструмент за държавите членки и благодарение на него някои държави членки прехвърлят значителни суми между двата стълба. Липсата на гъвкавост между стълбовете през календарната 2020 г./финансовата 2021 г. би довела по всяка вероятност до тежки финансови проблеми за земеделските стопани в някои държави членки, тъй като въздействието върху техните пакети може да се окаже значително. Ето защо предложението призовава да се запази възможността за прехвърлянето между стълбовете през календарната 2020 г. при същите условия, каквито има понастоящем, и очакваният резултат от намаленията от директните плащания да продължи да се прехвърля към развитието на селските райони.</w:t>
      </w:r>
    </w:p>
    <w:p>
      <w:pPr>
        <w:pStyle w:val="Text1"/>
        <w:ind w:left="0"/>
        <w:rPr>
          <w:noProof/>
        </w:rPr>
      </w:pPr>
    </w:p>
    <w:p>
      <w:pPr>
        <w:pStyle w:val="Text1"/>
        <w:ind w:left="0"/>
        <w:rPr>
          <w:noProof/>
        </w:rPr>
      </w:pPr>
    </w:p>
    <w:p>
      <w:pPr>
        <w:pBdr>
          <w:top w:val="nil"/>
          <w:left w:val="nil"/>
          <w:bottom w:val="nil"/>
          <w:right w:val="nil"/>
          <w:between w:val="nil"/>
          <w:bar w:val="nil"/>
        </w:pBdr>
        <w:spacing w:before="0" w:after="240"/>
        <w:jc w:val="left"/>
        <w:rPr>
          <w:rFonts w:eastAsia="Arial Unicode MS"/>
          <w:noProof/>
          <w:color w:val="008000"/>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 1305/2013 и Регламент (ЕС) № 1307/2013 по отношение на  някои правила за директните плащания и подпомагането на развитието на селските райони за 2019 г. и 2020 г.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42 и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Регламент (ЕС) № 1305/2013 на Европейския парламент и на Съвета</w:t>
      </w:r>
      <w:r>
        <w:rPr>
          <w:rStyle w:val="FootnoteReference"/>
          <w:noProof/>
        </w:rPr>
        <w:footnoteReference w:id="2"/>
      </w:r>
      <w:r>
        <w:rPr>
          <w:noProof/>
        </w:rPr>
        <w:t xml:space="preserve"> е настоящата правна рамка за подпомагане на развитието на селските райони. Той осигурява подпомагане на районите с природни ограничения, различни от планинските райони. Като се вземат предвид удължаването до 2019 г. на срока за новото определяне на районите с природни ограничения, различни от планинските райони, посредством Регламент (ЕС) 2017/2393 на Европейския парламент и на Съвета</w:t>
      </w:r>
      <w:r>
        <w:rPr>
          <w:rStyle w:val="FootnoteReference"/>
          <w:noProof/>
        </w:rPr>
        <w:footnoteReference w:id="3"/>
      </w:r>
      <w:r>
        <w:rPr>
          <w:noProof/>
        </w:rPr>
        <w:t>, и по-краткият период на приспособяване за земеделските стопани, които няма да отговарят вече на условията за плащане, намаляващите преходни плащания, които започват едва през 2019 г., следва да започнат с не повече от 80 % от средните плащания, определени за програмния период 2014—2020 г. Равнището на плащанията следва да се определи по такъв начин, че крайното равнище през 2020 г. да бъде равно на половината от първоначалното равнище.</w:t>
      </w:r>
    </w:p>
    <w:p>
      <w:pPr>
        <w:pStyle w:val="ManualConsidrant"/>
        <w:rPr>
          <w:noProof/>
        </w:rPr>
      </w:pPr>
      <w:r>
        <w:rPr>
          <w:noProof/>
        </w:rPr>
        <w:lastRenderedPageBreak/>
        <w:t>(2)</w:t>
      </w:r>
      <w:r>
        <w:rPr>
          <w:noProof/>
        </w:rPr>
        <w:tab/>
        <w:t>С оглед да се осигури помощ на държавите членки и заинтересованите страни за своевременната подготовка на бъдещата обща селскостопанска политика (ОСП) и да се гарантира плавен преход към следващия програмен период, следва да се поясни, че е възможно да бъдат финансирани дейности, свързани с работата по бъдещата ОСП, чрез техническа помощ по инициатива на Комисията.</w:t>
      </w:r>
    </w:p>
    <w:p>
      <w:pPr>
        <w:pStyle w:val="ManualConsidrant"/>
        <w:rPr>
          <w:noProof/>
        </w:rPr>
      </w:pPr>
      <w:r>
        <w:rPr>
          <w:noProof/>
        </w:rPr>
        <w:t>(3)</w:t>
      </w:r>
      <w:r>
        <w:rPr>
          <w:noProof/>
        </w:rPr>
        <w:tab/>
        <w:t>Регламент (ЕС) № 1307/2013 на Европейския парламент и на Съвета</w:t>
      </w:r>
      <w:r>
        <w:rPr>
          <w:rStyle w:val="FootnoteReference"/>
          <w:noProof/>
        </w:rPr>
        <w:footnoteReference w:id="4"/>
      </w:r>
      <w:r>
        <w:rPr>
          <w:noProof/>
        </w:rPr>
        <w:t xml:space="preserve"> е настоящата правна рамка за директни плащания. Повечето от неговите разпоредби могат да се прилагат, докато този регламент остава в сила, но други разпоредби се отнасят изрично до календарните години 2015—2019 г., попадащи в обхвата на многогодишната финансова рамка за периода 2014—2020 г. За някои от другите разпоредби не беше изрично предвидено да се прилагат след календарната 2019 г. През юни 2018 г. Комисията представи предложение за нов регламент, който да замени Регламент (ЕС) № 1307/2013, но считано от 1 януари 2021 г. Целесъобразно е поради това да се пристъпи към някои технически корекции на Регламент (ЕС) № 1307/2013, за да може той да бъде безпрепятствено прилаган през календарната 2020 г.</w:t>
      </w:r>
    </w:p>
    <w:p>
      <w:pPr>
        <w:pStyle w:val="ManualConsidrant"/>
        <w:rPr>
          <w:noProof/>
        </w:rPr>
      </w:pPr>
      <w:r>
        <w:rPr>
          <w:noProof/>
        </w:rPr>
        <w:t>(4)</w:t>
      </w:r>
      <w:r>
        <w:rPr>
          <w:noProof/>
        </w:rPr>
        <w:tab/>
        <w:t xml:space="preserve">Задължението, установено в член 11 от Регламент (ЕС) № 1307/2013 за намаляване на онази част от размера на директните плащания, отпускани на земеделски стопанин за дадена календарна година, която надвишава 150 000 EUR, продължава да се прилага, докато този регламент остава в сила. Към настоящия момент обаче този член предвижда само задължение за уведомление от страна на държавите членки относно техните решения и за очаквания резултат от намаленията за периода 2015—2019 г. За да се осигури приемственост на съществуващата система, следва да се посочи, че държавите членки трябва да уведомяват и за своите решения относно 2020 г., както и за очаквания резултат от намаленията за посочената година. </w:t>
      </w:r>
    </w:p>
    <w:p>
      <w:pPr>
        <w:pStyle w:val="ManualConsidrant"/>
        <w:rPr>
          <w:noProof/>
        </w:rPr>
      </w:pPr>
      <w:r>
        <w:rPr>
          <w:noProof/>
        </w:rPr>
        <w:t>(5)</w:t>
      </w:r>
      <w:r>
        <w:rPr>
          <w:noProof/>
        </w:rPr>
        <w:tab/>
        <w:t xml:space="preserve">Гъвкавостта между стълбовете е прехвърляне по избор на средства между директните плащания и развитието на селските райони. Съгласно настоящия член 14 от Регламент (ЕС) № 1307/2013 държавите членки могат да използват тази гъвкавост по отношение на календарните 2014—2019 г. С цел да се осигури възможността на държавите членки да запазят собствената си стратегия, гъвкавостта между стълбовете следва да е приложима и за календарната 2020 г., отговаряща на финансовата 2021 г. </w:t>
      </w:r>
    </w:p>
    <w:p>
      <w:pPr>
        <w:pStyle w:val="ManualConsidrant"/>
        <w:rPr>
          <w:noProof/>
        </w:rPr>
      </w:pPr>
      <w:r>
        <w:rPr>
          <w:noProof/>
        </w:rPr>
        <w:t>(6)</w:t>
      </w:r>
      <w:r>
        <w:rPr>
          <w:noProof/>
        </w:rPr>
        <w:tab/>
        <w:t>Като последица от изменението на член 14 от Регламент (ЕС) № 1307/2013 по отношение на календарната 2020 г., целесъобразно е да се коригират отпратките към този член в контекста на задължението на държавите членки линейно да намалят или увеличат стойността на всички права на плащане поради колебания в годишния национален таван в резултат на уведомленията им относно прилагането на гъвкавост между стълбовете.</w:t>
      </w:r>
    </w:p>
    <w:p>
      <w:pPr>
        <w:pStyle w:val="ManualConsidrant"/>
        <w:rPr>
          <w:noProof/>
        </w:rPr>
      </w:pPr>
      <w:r>
        <w:rPr>
          <w:noProof/>
        </w:rPr>
        <w:t>(7)</w:t>
      </w:r>
      <w:r>
        <w:rPr>
          <w:noProof/>
        </w:rPr>
        <w:tab/>
        <w:t>Поради това Регламент (ЕС) № 1305/2013 и Регламент (ЕС) № 1307/2013 следва да бъдат съответно изменени.</w:t>
      </w:r>
    </w:p>
    <w:p>
      <w:pPr>
        <w:pStyle w:val="ManualConsidrant"/>
        <w:rPr>
          <w:noProof/>
        </w:rPr>
      </w:pPr>
      <w:r>
        <w:rPr>
          <w:noProof/>
        </w:rPr>
        <w:t>(8)</w:t>
      </w:r>
      <w:r>
        <w:rPr>
          <w:noProof/>
        </w:rPr>
        <w:tab/>
        <w:t xml:space="preserve">С цел да се осигури бързо необходимата гъвкавост на държавите членки и да се гарантира приемствеността на политиката за развитие на селските райони през </w:t>
      </w:r>
      <w:r>
        <w:rPr>
          <w:noProof/>
        </w:rPr>
        <w:lastRenderedPageBreak/>
        <w:t xml:space="preserve">последните години от програмния период 2014—2020 г., настоящият регламент следва да се прилага, считано от 1 март 2019 г., </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Изменения на Регламент (ЕС) № 1305/2013</w:t>
      </w:r>
    </w:p>
    <w:p>
      <w:pPr>
        <w:rPr>
          <w:noProof/>
        </w:rPr>
      </w:pPr>
      <w:r>
        <w:rPr>
          <w:noProof/>
        </w:rPr>
        <w:t>Регламент (ЕС) № 1305/2013 се изменя, както следва:</w:t>
      </w:r>
    </w:p>
    <w:p>
      <w:pPr>
        <w:pStyle w:val="Point0"/>
        <w:rPr>
          <w:noProof/>
        </w:rPr>
      </w:pPr>
      <w:r>
        <w:rPr>
          <w:noProof/>
        </w:rPr>
        <w:t>1)</w:t>
      </w:r>
      <w:r>
        <w:rPr>
          <w:noProof/>
        </w:rPr>
        <w:tab/>
        <w:t>в член 31, параграф 5 се вмъква следната втора алинея:</w:t>
      </w:r>
    </w:p>
    <w:p>
      <w:pPr>
        <w:pStyle w:val="Text1"/>
        <w:rPr>
          <w:i/>
          <w:noProof/>
        </w:rPr>
      </w:pPr>
      <w:r>
        <w:rPr>
          <w:noProof/>
        </w:rPr>
        <w:t>„Чрез дерогация от първата алинея, съгласно която прогресивно намаляващите плащания започват едва през 2019 г., тези плащания започват при не повече от 80 % от средното плащане, определено в програмата за програмния период 2014—2020 г. Равнището на плащанията се определя по такъв начин, че крайното равнище през 2020 г. да бъде равно на половината от първоначалното равнище.“;</w:t>
      </w:r>
      <w:r>
        <w:rPr>
          <w:noProof/>
        </w:rPr>
        <w:br/>
      </w:r>
    </w:p>
    <w:p>
      <w:pPr>
        <w:pStyle w:val="Point0"/>
        <w:rPr>
          <w:noProof/>
        </w:rPr>
      </w:pPr>
      <w:r>
        <w:rPr>
          <w:noProof/>
        </w:rPr>
        <w:t>2)</w:t>
      </w:r>
      <w:r>
        <w:rPr>
          <w:noProof/>
        </w:rPr>
        <w:tab/>
        <w:t>в член 51, параграф 1 се вмъква следната втора алинея:</w:t>
      </w:r>
    </w:p>
    <w:p>
      <w:pPr>
        <w:pStyle w:val="Text1"/>
        <w:rPr>
          <w:noProof/>
        </w:rPr>
      </w:pPr>
      <w:r>
        <w:rPr>
          <w:noProof/>
        </w:rPr>
        <w:t>„ЕЗФРСР може да финансира дейности за подготовка на изпълнението на ОСП през следващия програмен период“.</w:t>
      </w:r>
    </w:p>
    <w:p>
      <w:pPr>
        <w:pStyle w:val="Text1"/>
        <w:ind w:left="0"/>
        <w:rPr>
          <w:noProof/>
        </w:rPr>
      </w:pPr>
    </w:p>
    <w:p>
      <w:pPr>
        <w:pStyle w:val="Titrearticle"/>
        <w:rPr>
          <w:noProof/>
        </w:rPr>
      </w:pPr>
      <w:r>
        <w:rPr>
          <w:noProof/>
        </w:rPr>
        <w:t>Член 2</w:t>
      </w:r>
    </w:p>
    <w:p>
      <w:pPr>
        <w:jc w:val="center"/>
        <w:rPr>
          <w:b/>
          <w:noProof/>
        </w:rPr>
      </w:pPr>
      <w:r>
        <w:rPr>
          <w:b/>
          <w:noProof/>
        </w:rPr>
        <w:t>Изменения на Регламент (ЕС) № 1307/2013</w:t>
      </w:r>
    </w:p>
    <w:p>
      <w:pPr>
        <w:rPr>
          <w:noProof/>
        </w:rPr>
      </w:pPr>
      <w:r>
        <w:rPr>
          <w:noProof/>
        </w:rPr>
        <w:t>Регламент (ЕС) № 1307/2013 се изменя, както следва:</w:t>
      </w:r>
    </w:p>
    <w:p>
      <w:pPr>
        <w:pStyle w:val="Point0"/>
        <w:rPr>
          <w:noProof/>
        </w:rPr>
      </w:pPr>
      <w:r>
        <w:rPr>
          <w:noProof/>
        </w:rPr>
        <w:t>1)</w:t>
      </w:r>
      <w:r>
        <w:rPr>
          <w:noProof/>
        </w:rPr>
        <w:tab/>
        <w:t xml:space="preserve"> в член 7 параграф 2 се заменя със следното:</w:t>
      </w:r>
    </w:p>
    <w:p>
      <w:pPr>
        <w:pStyle w:val="Text1"/>
        <w:rPr>
          <w:noProof/>
        </w:rPr>
      </w:pPr>
      <w:r>
        <w:rPr>
          <w:noProof/>
        </w:rPr>
        <w:t>„2. За всяка държава членка и за всяка календарна година полученият резултат от намалението на плащанията, посочено в член 11 (изразяващ се в разликата между националните тавани, посочени в приложение II, към които е добавена наличната сума в съответствие с член 58, и нетният таван, посочен в приложение III), се предоставя под формата на подпомагане от Съюза, финансирано от Европейския земеделски фонд за развитие на селските райони (ЕЗФРСР).“;</w:t>
      </w:r>
    </w:p>
    <w:p>
      <w:pPr>
        <w:ind w:left="360"/>
        <w:rPr>
          <w:noProof/>
        </w:rPr>
      </w:pPr>
    </w:p>
    <w:p>
      <w:pPr>
        <w:pStyle w:val="Point0"/>
        <w:rPr>
          <w:noProof/>
        </w:rPr>
      </w:pPr>
      <w:r>
        <w:rPr>
          <w:noProof/>
        </w:rPr>
        <w:t>2)</w:t>
      </w:r>
      <w:r>
        <w:rPr>
          <w:noProof/>
        </w:rPr>
        <w:tab/>
        <w:t>в член 11, параграф 6 се добавя следната трета алинея:</w:t>
      </w:r>
    </w:p>
    <w:p>
      <w:pPr>
        <w:pStyle w:val="Text1"/>
        <w:rPr>
          <w:noProof/>
        </w:rPr>
      </w:pPr>
      <w:r>
        <w:rPr>
          <w:noProof/>
        </w:rPr>
        <w:t>„За 2020 г. държавите членки уведомяват Комисията за решенията, взети в съответствие с настоящия член, и за очаквания резултат от намаленията до 31 декември 2019 г.“;</w:t>
      </w:r>
    </w:p>
    <w:p>
      <w:pPr>
        <w:pStyle w:val="ListParagraph"/>
        <w:ind w:left="1080"/>
        <w:rPr>
          <w:b/>
          <w:i/>
          <w:noProof/>
        </w:rPr>
      </w:pPr>
    </w:p>
    <w:p>
      <w:pPr>
        <w:pStyle w:val="Point0"/>
        <w:rPr>
          <w:noProof/>
        </w:rPr>
      </w:pPr>
      <w:r>
        <w:rPr>
          <w:noProof/>
        </w:rPr>
        <w:t>3)</w:t>
      </w:r>
      <w:r>
        <w:rPr>
          <w:noProof/>
        </w:rPr>
        <w:tab/>
        <w:t>член 14 се изменя, както следва:</w:t>
      </w:r>
    </w:p>
    <w:p>
      <w:pPr>
        <w:pStyle w:val="ListParagraph"/>
        <w:rPr>
          <w:noProof/>
        </w:rPr>
      </w:pPr>
    </w:p>
    <w:p>
      <w:pPr>
        <w:pStyle w:val="Point0"/>
        <w:rPr>
          <w:noProof/>
        </w:rPr>
      </w:pPr>
      <w:r>
        <w:rPr>
          <w:noProof/>
        </w:rPr>
        <w:t>а)</w:t>
      </w:r>
      <w:r>
        <w:rPr>
          <w:noProof/>
        </w:rPr>
        <w:tab/>
        <w:t xml:space="preserve">в параграф 1 се добавя следната шеста алинея: </w:t>
      </w:r>
    </w:p>
    <w:p>
      <w:pPr>
        <w:pStyle w:val="Text1"/>
        <w:rPr>
          <w:noProof/>
        </w:rPr>
      </w:pPr>
      <w:r>
        <w:rPr>
          <w:noProof/>
        </w:rPr>
        <w:lastRenderedPageBreak/>
        <w:t>„До 31 декември 2019 г. държавите членки могат да решат да предоставят допълнително подпомагане, финансирано от ЕЗФРСР през финансовата 2021 г., до 15 % от годишните си национални тавани за календарната 2020 г., предвидени в приложение II към настоящия регламент. В резултат на това съответната сума вече няма да е на разположение за отпускане на директни плащания. Това решение се съобщава на Комисията до 31 декември 2019 г., като в него се определя избраният процент.“;</w:t>
      </w:r>
    </w:p>
    <w:p>
      <w:pPr>
        <w:pStyle w:val="ListParagraph"/>
        <w:rPr>
          <w:noProof/>
        </w:rPr>
      </w:pPr>
    </w:p>
    <w:p>
      <w:pPr>
        <w:pStyle w:val="Point0"/>
        <w:rPr>
          <w:noProof/>
        </w:rPr>
      </w:pPr>
      <w:r>
        <w:rPr>
          <w:noProof/>
        </w:rPr>
        <w:t>б)</w:t>
      </w:r>
      <w:r>
        <w:rPr>
          <w:noProof/>
        </w:rPr>
        <w:tab/>
        <w:t xml:space="preserve">в параграф 2 се добавя следната шеста алинея: </w:t>
      </w:r>
    </w:p>
    <w:p>
      <w:pPr>
        <w:pStyle w:val="Text1"/>
        <w:rPr>
          <w:noProof/>
        </w:rPr>
      </w:pPr>
      <w:r>
        <w:rPr>
          <w:noProof/>
        </w:rPr>
        <w:t xml:space="preserve">„До 31 декември 2019 г. държавите членки могат да решат да предоставят като директни плащания до 15 % или — в случая на България, Естония, Испания, Латвия, Литва, Полша, Португалия, Румъния, Словакия, Финландия и Швеция — до 25 % от сумата, отпусната за подпомагане, финансирано по ЕЗФРСР през финансовата 2021 г. съгласно законодателството на Съюза, прието вследствие на регламента, приет от Съвета съгласно член 312, параграф 2 от Договора за функционирането на Европейския съюз. В резултат на това съответната сума вече няма да е на разположение за подпомагане, финансирано по ЕЗФРСР. Това решение се съобщава на Комисията до 31 декември 2019 г., като в него се определя избраният процент.“; </w:t>
      </w:r>
    </w:p>
    <w:p>
      <w:pPr>
        <w:pStyle w:val="ListParagraph"/>
        <w:rPr>
          <w:noProof/>
        </w:rPr>
      </w:pPr>
    </w:p>
    <w:p>
      <w:pPr>
        <w:pStyle w:val="Point0"/>
        <w:rPr>
          <w:noProof/>
        </w:rPr>
      </w:pPr>
      <w:r>
        <w:rPr>
          <w:noProof/>
        </w:rPr>
        <w:t>4)</w:t>
      </w:r>
      <w:r>
        <w:rPr>
          <w:noProof/>
        </w:rPr>
        <w:tab/>
        <w:t>в член 22 параграф 5 се заменя със следното:</w:t>
      </w:r>
    </w:p>
    <w:p>
      <w:pPr>
        <w:pStyle w:val="Text1"/>
        <w:rPr>
          <w:noProof/>
        </w:rPr>
      </w:pPr>
      <w:r>
        <w:rPr>
          <w:noProof/>
        </w:rPr>
        <w:t>„5. Ако таванът за държава членка, определен от Комисията в съответствие с параграф 1, е различен от този за предходната година в резултат на решение, взето от същата държава членка в съответствие с параграф 3 от настоящия член, член 14, параграф 1 или параграф 2, член 42, параграф 1, член 49, параграф 1, втора алинея, член 51, параграф 1, втора алинея или член 53, съответната държава членка линейно намалява или увеличава стойността на всички права на плащане, за да се гарантира съответствие с параграф 4 от настоящия член“.</w:t>
      </w:r>
    </w:p>
    <w:p>
      <w:pPr>
        <w:ind w:left="360"/>
        <w:rPr>
          <w:noProof/>
        </w:rPr>
      </w:pPr>
    </w:p>
    <w:p>
      <w:pPr>
        <w:pStyle w:val="Titrearticle"/>
        <w:rPr>
          <w:noProof/>
        </w:rPr>
      </w:pPr>
      <w:r>
        <w:rPr>
          <w:noProof/>
        </w:rPr>
        <w:t>Член 3</w:t>
      </w:r>
    </w:p>
    <w:p>
      <w:pPr>
        <w:jc w:val="center"/>
        <w:rPr>
          <w:b/>
          <w:noProof/>
        </w:rPr>
      </w:pPr>
      <w:r>
        <w:rPr>
          <w:b/>
          <w:noProof/>
        </w:rPr>
        <w:t>Влизане в сила и прилагане</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rPr>
          <w:noProof/>
        </w:rPr>
      </w:pPr>
      <w:r>
        <w:rPr>
          <w:noProof/>
        </w:rPr>
        <w:t xml:space="preserve">Той се прилага от 1 март 2019 г.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Председател</w:t>
      </w:r>
      <w:r>
        <w:rPr>
          <w:noProof/>
        </w:rPr>
        <w:tab/>
        <w:t>Председател</w:t>
      </w:r>
    </w:p>
    <w:p>
      <w:pPr>
        <w:pStyle w:val="Fichefinanciretitre"/>
        <w:rPr>
          <w:noProof/>
        </w:rPr>
      </w:pPr>
      <w:r>
        <w:rPr>
          <w:noProof/>
        </w:rPr>
        <w:lastRenderedPageBreak/>
        <w:t>ЗАКОНОДАТЕЛНА ФИНАНСОВА ОБОСНОВКА</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
        <w:gridCol w:w="411"/>
        <w:gridCol w:w="567"/>
        <w:gridCol w:w="1134"/>
      </w:tblGrid>
      <w:tr>
        <w:trPr>
          <w:trHeight w:val="355"/>
        </w:trPr>
        <w:tc>
          <w:tcPr>
            <w:tcW w:w="7016" w:type="dxa"/>
            <w:gridSpan w:val="6"/>
            <w:vMerge w:val="restart"/>
          </w:tcPr>
          <w:p>
            <w:pPr>
              <w:jc w:val="center"/>
              <w:rPr>
                <w:rFonts w:eastAsia="Times New Roman"/>
                <w:b/>
                <w:noProof/>
                <w:sz w:val="40"/>
              </w:rPr>
            </w:pPr>
            <w:r>
              <w:rPr>
                <w:b/>
                <w:noProof/>
                <w:sz w:val="40"/>
              </w:rPr>
              <w:t>ФИНАНСОВА ОБОСНОВКА</w:t>
            </w:r>
          </w:p>
        </w:tc>
        <w:tc>
          <w:tcPr>
            <w:tcW w:w="2112" w:type="dxa"/>
            <w:gridSpan w:val="3"/>
          </w:tcPr>
          <w:p>
            <w:pPr>
              <w:spacing w:before="0" w:after="0"/>
              <w:jc w:val="center"/>
              <w:rPr>
                <w:rFonts w:eastAsia="Times New Roman"/>
                <w:noProof/>
                <w:sz w:val="20"/>
              </w:rPr>
            </w:pPr>
            <w:r>
              <w:rPr>
                <w:noProof/>
                <w:sz w:val="20"/>
              </w:rPr>
              <w:t>FS/18/CS/pl 5249450</w:t>
            </w:r>
          </w:p>
        </w:tc>
      </w:tr>
      <w:tr>
        <w:trPr>
          <w:trHeight w:val="355"/>
        </w:trPr>
        <w:tc>
          <w:tcPr>
            <w:tcW w:w="7016" w:type="dxa"/>
            <w:gridSpan w:val="6"/>
            <w:vMerge/>
            <w:tcBorders>
              <w:bottom w:val="nil"/>
            </w:tcBorders>
          </w:tcPr>
          <w:p>
            <w:pPr>
              <w:jc w:val="center"/>
              <w:rPr>
                <w:rFonts w:eastAsia="Times New Roman"/>
                <w:b/>
                <w:noProof/>
                <w:sz w:val="40"/>
                <w:lang w:eastAsia="en-GB"/>
              </w:rPr>
            </w:pPr>
          </w:p>
        </w:tc>
        <w:tc>
          <w:tcPr>
            <w:tcW w:w="2112" w:type="dxa"/>
            <w:gridSpan w:val="3"/>
          </w:tcPr>
          <w:p>
            <w:pPr>
              <w:spacing w:before="0" w:after="0"/>
              <w:jc w:val="center"/>
              <w:rPr>
                <w:rFonts w:eastAsia="Times New Roman"/>
                <w:noProof/>
                <w:sz w:val="20"/>
              </w:rPr>
            </w:pPr>
            <w:r>
              <w:rPr>
                <w:noProof/>
                <w:sz w:val="20"/>
              </w:rPr>
              <w:t>6.15.2018.1</w:t>
            </w:r>
          </w:p>
        </w:tc>
      </w:tr>
      <w:tr>
        <w:tc>
          <w:tcPr>
            <w:tcW w:w="7016" w:type="dxa"/>
            <w:gridSpan w:val="6"/>
            <w:tcBorders>
              <w:top w:val="nil"/>
            </w:tcBorders>
          </w:tcPr>
          <w:p>
            <w:pPr>
              <w:spacing w:before="0" w:after="0"/>
              <w:jc w:val="left"/>
              <w:rPr>
                <w:rFonts w:eastAsia="Times New Roman"/>
                <w:noProof/>
                <w:sz w:val="20"/>
                <w:lang w:eastAsia="en-GB"/>
              </w:rPr>
            </w:pPr>
          </w:p>
        </w:tc>
        <w:tc>
          <w:tcPr>
            <w:tcW w:w="2112" w:type="dxa"/>
            <w:gridSpan w:val="3"/>
          </w:tcPr>
          <w:p>
            <w:pPr>
              <w:spacing w:before="0" w:after="0"/>
              <w:jc w:val="left"/>
              <w:rPr>
                <w:rFonts w:eastAsia="Times New Roman"/>
                <w:noProof/>
                <w:sz w:val="20"/>
              </w:rPr>
            </w:pPr>
            <w:r>
              <w:rPr>
                <w:noProof/>
                <w:sz w:val="20"/>
              </w:rPr>
              <w:t>ДАТА: 13.9.2018 г.</w:t>
            </w:r>
          </w:p>
          <w:p>
            <w:pPr>
              <w:spacing w:before="0" w:after="0"/>
              <w:jc w:val="lef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rPr>
            </w:pPr>
            <w:r>
              <w:rPr>
                <w:noProof/>
                <w:sz w:val="20"/>
              </w:rPr>
              <w:t>1.</w:t>
            </w:r>
          </w:p>
        </w:tc>
        <w:tc>
          <w:tcPr>
            <w:tcW w:w="6449" w:type="dxa"/>
            <w:gridSpan w:val="5"/>
            <w:tcBorders>
              <w:left w:val="nil"/>
              <w:right w:val="nil"/>
            </w:tcBorders>
          </w:tcPr>
          <w:p>
            <w:pPr>
              <w:spacing w:before="0" w:after="0"/>
              <w:jc w:val="left"/>
              <w:rPr>
                <w:rFonts w:eastAsia="Times New Roman"/>
                <w:noProof/>
                <w:sz w:val="20"/>
              </w:rPr>
            </w:pPr>
            <w:r>
              <w:rPr>
                <w:noProof/>
                <w:sz w:val="20"/>
              </w:rPr>
              <w:t>БЮДЖЕТЕН РЕД: настоящата МФР: позиция 2, предложение за МФР за периода 2021—2027 г.: позиция 3</w:t>
            </w:r>
          </w:p>
          <w:p>
            <w:pPr>
              <w:spacing w:before="0" w:after="0"/>
              <w:jc w:val="left"/>
              <w:rPr>
                <w:rFonts w:eastAsia="Times New Roman"/>
                <w:noProof/>
                <w:sz w:val="20"/>
              </w:rPr>
            </w:pPr>
            <w:r>
              <w:rPr>
                <w:noProof/>
                <w:sz w:val="20"/>
              </w:rPr>
              <w:t>Проектобюджет за 2019 г.:</w:t>
            </w:r>
          </w:p>
          <w:p>
            <w:pPr>
              <w:spacing w:before="0" w:after="0"/>
              <w:jc w:val="left"/>
              <w:rPr>
                <w:rFonts w:eastAsia="Times New Roman"/>
                <w:noProof/>
                <w:sz w:val="20"/>
              </w:rPr>
            </w:pPr>
            <w:r>
              <w:rPr>
                <w:noProof/>
                <w:sz w:val="20"/>
              </w:rPr>
              <w:t>05 03 Директни плащания след прилагането на механизма за финансова дисциплина:</w:t>
            </w:r>
          </w:p>
          <w:p>
            <w:pPr>
              <w:spacing w:before="0" w:after="0"/>
              <w:jc w:val="left"/>
              <w:rPr>
                <w:rFonts w:eastAsia="Times New Roman"/>
                <w:noProof/>
                <w:sz w:val="20"/>
              </w:rPr>
            </w:pPr>
            <w:r>
              <w:rPr>
                <w:noProof/>
                <w:sz w:val="20"/>
              </w:rPr>
              <w:t>05 04 60 Европейски земеделски фонд за развитие на селските райони (ЕЗФРСР)(2014—2020 г.)</w:t>
            </w:r>
          </w:p>
        </w:tc>
        <w:tc>
          <w:tcPr>
            <w:tcW w:w="2112" w:type="dxa"/>
            <w:gridSpan w:val="3"/>
            <w:tcBorders>
              <w:left w:val="nil"/>
            </w:tcBorders>
          </w:tcPr>
          <w:p>
            <w:pPr>
              <w:tabs>
                <w:tab w:val="left" w:pos="1736"/>
              </w:tabs>
              <w:spacing w:before="0" w:after="0"/>
              <w:ind w:right="136"/>
              <w:jc w:val="left"/>
              <w:rPr>
                <w:rFonts w:eastAsia="Times New Roman"/>
                <w:noProof/>
                <w:sz w:val="20"/>
              </w:rPr>
            </w:pPr>
            <w:r>
              <w:rPr>
                <w:noProof/>
                <w:sz w:val="20"/>
              </w:rPr>
              <w:t>БЮДЖЕТНИ КРЕДИТИ:</w:t>
            </w:r>
          </w:p>
          <w:p>
            <w:pPr>
              <w:tabs>
                <w:tab w:val="left" w:pos="1736"/>
              </w:tabs>
              <w:spacing w:before="0" w:after="0"/>
              <w:ind w:right="136"/>
              <w:jc w:val="left"/>
              <w:rPr>
                <w:rFonts w:eastAsia="Times New Roman"/>
                <w:noProof/>
                <w:sz w:val="20"/>
              </w:rPr>
            </w:pPr>
            <w:r>
              <w:rPr>
                <w:noProof/>
                <w:sz w:val="20"/>
              </w:rPr>
              <w:t>в млн. ЕUR</w:t>
            </w:r>
          </w:p>
          <w:p>
            <w:pPr>
              <w:tabs>
                <w:tab w:val="left" w:pos="1736"/>
              </w:tabs>
              <w:spacing w:before="0" w:after="0"/>
              <w:ind w:right="136"/>
              <w:jc w:val="right"/>
              <w:rPr>
                <w:rFonts w:eastAsia="Times New Roman"/>
                <w:noProof/>
                <w:sz w:val="20"/>
                <w:lang w:eastAsia="en-GB"/>
              </w:rPr>
            </w:pPr>
          </w:p>
          <w:p>
            <w:pPr>
              <w:tabs>
                <w:tab w:val="left" w:pos="1736"/>
              </w:tabs>
              <w:spacing w:before="0" w:after="0"/>
              <w:ind w:right="136"/>
              <w:jc w:val="right"/>
              <w:rPr>
                <w:rFonts w:eastAsia="Times New Roman"/>
                <w:noProof/>
                <w:sz w:val="20"/>
              </w:rPr>
            </w:pPr>
            <w:r>
              <w:rPr>
                <w:noProof/>
                <w:sz w:val="20"/>
              </w:rPr>
              <w:t>40 981,6</w:t>
            </w:r>
          </w:p>
          <w:p>
            <w:pPr>
              <w:tabs>
                <w:tab w:val="left" w:pos="1736"/>
              </w:tabs>
              <w:spacing w:before="0" w:after="0"/>
              <w:ind w:right="136"/>
              <w:jc w:val="right"/>
              <w:rPr>
                <w:rFonts w:eastAsia="Times New Roman"/>
                <w:noProof/>
                <w:sz w:val="20"/>
                <w:lang w:eastAsia="en-GB"/>
              </w:rPr>
            </w:pPr>
          </w:p>
          <w:p>
            <w:pPr>
              <w:tabs>
                <w:tab w:val="left" w:pos="1736"/>
              </w:tabs>
              <w:spacing w:before="0" w:after="0"/>
              <w:ind w:right="136"/>
              <w:jc w:val="right"/>
              <w:rPr>
                <w:rFonts w:eastAsia="Times New Roman"/>
                <w:noProof/>
                <w:sz w:val="20"/>
              </w:rPr>
            </w:pPr>
            <w:r>
              <w:rPr>
                <w:noProof/>
                <w:sz w:val="20"/>
              </w:rPr>
              <w:t>14 673,6</w:t>
            </w:r>
          </w:p>
        </w:tc>
      </w:tr>
      <w:tr>
        <w:tc>
          <w:tcPr>
            <w:tcW w:w="567" w:type="dxa"/>
            <w:tcBorders>
              <w:bottom w:val="nil"/>
              <w:right w:val="nil"/>
            </w:tcBorders>
          </w:tcPr>
          <w:p>
            <w:pPr>
              <w:spacing w:before="0" w:after="0"/>
              <w:jc w:val="left"/>
              <w:rPr>
                <w:rFonts w:eastAsia="Times New Roman"/>
                <w:noProof/>
                <w:sz w:val="20"/>
              </w:rPr>
            </w:pPr>
            <w:r>
              <w:rPr>
                <w:noProof/>
                <w:sz w:val="20"/>
              </w:rPr>
              <w:t>2.</w:t>
            </w:r>
          </w:p>
        </w:tc>
        <w:tc>
          <w:tcPr>
            <w:tcW w:w="8561" w:type="dxa"/>
            <w:gridSpan w:val="8"/>
            <w:tcBorders>
              <w:left w:val="nil"/>
            </w:tcBorders>
          </w:tcPr>
          <w:p>
            <w:pPr>
              <w:spacing w:before="0" w:after="0"/>
              <w:jc w:val="left"/>
              <w:rPr>
                <w:rFonts w:eastAsia="Times New Roman"/>
                <w:noProof/>
                <w:sz w:val="20"/>
              </w:rPr>
            </w:pPr>
            <w:r>
              <w:rPr>
                <w:noProof/>
                <w:sz w:val="20"/>
              </w:rPr>
              <w:t>НАИМЕНОВАНИЕ:</w:t>
            </w:r>
          </w:p>
          <w:p>
            <w:pPr>
              <w:spacing w:before="0" w:after="0"/>
              <w:jc w:val="left"/>
              <w:rPr>
                <w:rFonts w:eastAsia="Times New Roman"/>
                <w:noProof/>
                <w:sz w:val="20"/>
              </w:rPr>
            </w:pPr>
            <w:r>
              <w:rPr>
                <w:noProof/>
                <w:sz w:val="20"/>
              </w:rPr>
              <w:t xml:space="preserve">Предложение за регламент на Европейския парламент и на Съвета за изменение на Регламент (ЕС) № 1305/2013 и Регламент (ЕС) № 1307/2013 по отношение на  някои правила за директните плащания и подпомагането на развитието на селските райони за 2019 г. и 2020 г.  </w:t>
            </w:r>
          </w:p>
          <w:p>
            <w:pPr>
              <w:spacing w:before="0" w:after="0"/>
              <w:jc w:val="left"/>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rPr>
            </w:pPr>
            <w:r>
              <w:rPr>
                <w:noProof/>
                <w:sz w:val="20"/>
              </w:rPr>
              <w:t>3.</w:t>
            </w:r>
          </w:p>
        </w:tc>
        <w:tc>
          <w:tcPr>
            <w:tcW w:w="8561" w:type="dxa"/>
            <w:gridSpan w:val="8"/>
            <w:tcBorders>
              <w:left w:val="nil"/>
            </w:tcBorders>
          </w:tcPr>
          <w:p>
            <w:pPr>
              <w:spacing w:before="0" w:after="0"/>
              <w:jc w:val="left"/>
              <w:rPr>
                <w:rFonts w:eastAsia="Times New Roman"/>
                <w:noProof/>
                <w:sz w:val="20"/>
              </w:rPr>
            </w:pPr>
            <w:r>
              <w:rPr>
                <w:noProof/>
                <w:sz w:val="20"/>
              </w:rPr>
              <w:t>ПРАВНО ОСНОВАНИЕ:</w:t>
            </w:r>
          </w:p>
          <w:p>
            <w:pPr>
              <w:spacing w:before="0" w:after="0"/>
              <w:jc w:val="left"/>
              <w:rPr>
                <w:rFonts w:eastAsia="Times New Roman"/>
                <w:noProof/>
                <w:sz w:val="20"/>
              </w:rPr>
            </w:pPr>
            <w:r>
              <w:rPr>
                <w:noProof/>
                <w:sz w:val="20"/>
              </w:rPr>
              <w:t xml:space="preserve">Член 42 и член 43, параграф 2 от Договора за функционирането на Европейския съюз </w:t>
            </w:r>
          </w:p>
          <w:p>
            <w:pPr>
              <w:spacing w:before="0" w:after="0"/>
              <w:jc w:val="lef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rPr>
            </w:pPr>
            <w:r>
              <w:rPr>
                <w:noProof/>
                <w:sz w:val="20"/>
              </w:rPr>
              <w:t>4.</w:t>
            </w:r>
          </w:p>
        </w:tc>
        <w:tc>
          <w:tcPr>
            <w:tcW w:w="8561" w:type="dxa"/>
            <w:gridSpan w:val="8"/>
            <w:tcBorders>
              <w:left w:val="nil"/>
            </w:tcBorders>
          </w:tcPr>
          <w:p>
            <w:pPr>
              <w:spacing w:before="0" w:after="0"/>
              <w:jc w:val="left"/>
              <w:rPr>
                <w:rFonts w:eastAsia="Times New Roman"/>
                <w:noProof/>
                <w:sz w:val="20"/>
              </w:rPr>
            </w:pPr>
            <w:r>
              <w:rPr>
                <w:noProof/>
                <w:sz w:val="20"/>
              </w:rPr>
              <w:t>ЦЕЛИ:</w:t>
            </w:r>
          </w:p>
          <w:p>
            <w:pPr>
              <w:spacing w:before="0" w:after="0"/>
              <w:jc w:val="left"/>
              <w:rPr>
                <w:rFonts w:eastAsia="Times New Roman"/>
                <w:noProof/>
                <w:sz w:val="20"/>
              </w:rPr>
            </w:pPr>
            <w:r>
              <w:rPr>
                <w:noProof/>
                <w:sz w:val="20"/>
              </w:rPr>
              <w:t xml:space="preserve">Настоящото предложение има за цел да се гарантира приемственост на отпускането на подпомагане на европейските земеделски стопани през 2019 г. и 2020 г., като адаптира два законодателни акта на Общата селскостопанска политика (ОСП): развитие на селските райони съгласно Регламент (ЕС) № 1305/2013 и директни плащания съгласно Регламент (ЕС) № 1307/2013. </w:t>
            </w:r>
          </w:p>
          <w:p>
            <w:pPr>
              <w:spacing w:before="0" w:after="0"/>
              <w:jc w:val="left"/>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rPr>
            </w:pPr>
            <w:r>
              <w:rPr>
                <w:noProof/>
                <w:sz w:val="20"/>
              </w:rPr>
              <w:t>5.</w:t>
            </w:r>
          </w:p>
        </w:tc>
        <w:tc>
          <w:tcPr>
            <w:tcW w:w="3884" w:type="dxa"/>
            <w:tcBorders>
              <w:left w:val="nil"/>
            </w:tcBorders>
          </w:tcPr>
          <w:p>
            <w:pPr>
              <w:spacing w:before="0" w:after="0"/>
              <w:jc w:val="left"/>
              <w:rPr>
                <w:rFonts w:eastAsia="Times New Roman"/>
                <w:noProof/>
                <w:sz w:val="20"/>
              </w:rPr>
            </w:pPr>
            <w:r>
              <w:rPr>
                <w:noProof/>
                <w:sz w:val="20"/>
              </w:rPr>
              <w:t>ФИНАНСОВО ОТРАЖЕНИЕ</w:t>
            </w:r>
          </w:p>
        </w:tc>
        <w:tc>
          <w:tcPr>
            <w:tcW w:w="1417" w:type="dxa"/>
            <w:gridSpan w:val="2"/>
          </w:tcPr>
          <w:p>
            <w:pPr>
              <w:spacing w:before="0" w:after="0"/>
              <w:jc w:val="center"/>
              <w:rPr>
                <w:rFonts w:eastAsia="Times New Roman"/>
                <w:noProof/>
                <w:sz w:val="20"/>
              </w:rPr>
            </w:pPr>
            <w:r>
              <w:rPr>
                <w:noProof/>
                <w:sz w:val="20"/>
              </w:rPr>
              <w:t>ПЕРИОД ОТ 12 МЕСЕЦА</w:t>
            </w:r>
            <w:r>
              <w:rPr>
                <w:noProof/>
                <w:sz w:val="20"/>
              </w:rPr>
              <w:br/>
            </w:r>
            <w:r>
              <w:rPr>
                <w:noProof/>
                <w:sz w:val="20"/>
              </w:rPr>
              <w:br/>
            </w:r>
            <w:r>
              <w:rPr>
                <w:noProof/>
                <w:sz w:val="20"/>
              </w:rPr>
              <w:br/>
              <w:t>(в млн. EUR)</w:t>
            </w:r>
          </w:p>
        </w:tc>
        <w:tc>
          <w:tcPr>
            <w:tcW w:w="1559" w:type="dxa"/>
            <w:gridSpan w:val="3"/>
          </w:tcPr>
          <w:p>
            <w:pPr>
              <w:spacing w:before="0" w:after="0"/>
              <w:jc w:val="center"/>
              <w:rPr>
                <w:rFonts w:eastAsia="Times New Roman"/>
                <w:noProof/>
                <w:sz w:val="20"/>
              </w:rPr>
            </w:pPr>
            <w:r>
              <w:rPr>
                <w:noProof/>
                <w:sz w:val="20"/>
              </w:rPr>
              <w:t>ТЕКУЩА ФИНАНСОВА ГОДИНА</w:t>
            </w:r>
          </w:p>
          <w:p>
            <w:pPr>
              <w:spacing w:before="0" w:after="0"/>
              <w:jc w:val="center"/>
              <w:rPr>
                <w:rFonts w:eastAsia="Times New Roman"/>
                <w:noProof/>
                <w:sz w:val="20"/>
              </w:rPr>
            </w:pPr>
            <w:r>
              <w:rPr>
                <w:noProof/>
                <w:sz w:val="20"/>
              </w:rPr>
              <w:t>2018</w:t>
            </w:r>
          </w:p>
          <w:p>
            <w:pPr>
              <w:spacing w:before="0" w:after="0"/>
              <w:jc w:val="center"/>
              <w:rPr>
                <w:rFonts w:eastAsia="Times New Roman"/>
                <w:noProof/>
                <w:sz w:val="20"/>
              </w:rPr>
            </w:pPr>
            <w:r>
              <w:rPr>
                <w:noProof/>
                <w:sz w:val="20"/>
              </w:rPr>
              <w:t>(в млн. EUR)</w:t>
            </w:r>
          </w:p>
        </w:tc>
        <w:tc>
          <w:tcPr>
            <w:tcW w:w="1701" w:type="dxa"/>
            <w:gridSpan w:val="2"/>
          </w:tcPr>
          <w:p>
            <w:pPr>
              <w:spacing w:before="0" w:after="0"/>
              <w:jc w:val="center"/>
              <w:rPr>
                <w:rFonts w:eastAsia="Times New Roman"/>
                <w:noProof/>
                <w:sz w:val="20"/>
              </w:rPr>
            </w:pPr>
            <w:r>
              <w:rPr>
                <w:noProof/>
                <w:sz w:val="20"/>
              </w:rPr>
              <w:t>СЛЕДВАЩА ФИНАНСОВА ГОДИНА</w:t>
            </w:r>
          </w:p>
          <w:p>
            <w:pPr>
              <w:spacing w:before="0" w:after="0"/>
              <w:jc w:val="center"/>
              <w:rPr>
                <w:rFonts w:eastAsia="Times New Roman"/>
                <w:noProof/>
                <w:sz w:val="20"/>
              </w:rPr>
            </w:pPr>
            <w:r>
              <w:rPr>
                <w:noProof/>
                <w:sz w:val="20"/>
              </w:rPr>
              <w:t>2019</w:t>
            </w:r>
          </w:p>
          <w:p>
            <w:pPr>
              <w:spacing w:before="0" w:after="0"/>
              <w:jc w:val="center"/>
              <w:rPr>
                <w:rFonts w:eastAsia="Times New Roman"/>
                <w:noProof/>
                <w:sz w:val="20"/>
              </w:rPr>
            </w:pPr>
            <w:r>
              <w:rPr>
                <w:noProof/>
                <w:sz w:val="20"/>
              </w:rPr>
              <w:t>(в млн. EUR)</w:t>
            </w:r>
          </w:p>
        </w:tc>
      </w:tr>
      <w:tr>
        <w:tc>
          <w:tcPr>
            <w:tcW w:w="567" w:type="dxa"/>
            <w:tcBorders>
              <w:bottom w:val="nil"/>
              <w:right w:val="nil"/>
            </w:tcBorders>
          </w:tcPr>
          <w:p>
            <w:pPr>
              <w:spacing w:before="0" w:after="0"/>
              <w:jc w:val="left"/>
              <w:rPr>
                <w:rFonts w:eastAsia="Times New Roman"/>
                <w:noProof/>
                <w:sz w:val="20"/>
              </w:rPr>
            </w:pPr>
            <w:r>
              <w:rPr>
                <w:noProof/>
                <w:sz w:val="20"/>
              </w:rPr>
              <w:t>5.0</w:t>
            </w:r>
          </w:p>
        </w:tc>
        <w:tc>
          <w:tcPr>
            <w:tcW w:w="3884" w:type="dxa"/>
            <w:tcBorders>
              <w:left w:val="nil"/>
            </w:tcBorders>
          </w:tcPr>
          <w:p>
            <w:pPr>
              <w:spacing w:before="0" w:after="0"/>
              <w:jc w:val="left"/>
              <w:rPr>
                <w:rFonts w:eastAsia="Times New Roman"/>
                <w:noProof/>
                <w:sz w:val="20"/>
              </w:rPr>
            </w:pPr>
            <w:r>
              <w:rPr>
                <w:noProof/>
                <w:sz w:val="20"/>
              </w:rPr>
              <w:t>РАЗХОДИ</w:t>
            </w:r>
          </w:p>
          <w:p>
            <w:pPr>
              <w:spacing w:before="0" w:after="0"/>
              <w:jc w:val="left"/>
              <w:rPr>
                <w:rFonts w:eastAsia="Times New Roman"/>
                <w:noProof/>
                <w:sz w:val="20"/>
              </w:rPr>
            </w:pPr>
            <w:r>
              <w:rPr>
                <w:noProof/>
                <w:sz w:val="20"/>
              </w:rPr>
              <w:t>-</w:t>
            </w:r>
            <w:r>
              <w:rPr>
                <w:noProof/>
                <w:sz w:val="20"/>
              </w:rPr>
              <w:tab/>
              <w:t>ЗА СМЕТКА НА БЮДЖЕТА НА ЕС</w:t>
            </w:r>
            <w:r>
              <w:rPr>
                <w:noProof/>
                <w:sz w:val="20"/>
              </w:rPr>
              <w:br/>
              <w:t>(ВЪЗСТАНОВЯВАНИЯ/МЕРКИ ЗА НАМЕСА)</w:t>
            </w:r>
          </w:p>
          <w:p>
            <w:pPr>
              <w:spacing w:before="0" w:after="0"/>
              <w:jc w:val="left"/>
              <w:rPr>
                <w:rFonts w:eastAsia="Times New Roman"/>
                <w:noProof/>
                <w:sz w:val="20"/>
              </w:rPr>
            </w:pPr>
            <w:r>
              <w:rPr>
                <w:noProof/>
                <w:sz w:val="20"/>
              </w:rPr>
              <w:t>-</w:t>
            </w:r>
            <w:r>
              <w:rPr>
                <w:noProof/>
                <w:sz w:val="20"/>
              </w:rPr>
              <w:tab/>
              <w:t>НА НАЦИОНАЛНИТЕ ОРГАНИ</w:t>
            </w:r>
          </w:p>
          <w:p>
            <w:pPr>
              <w:spacing w:before="0" w:after="0"/>
              <w:jc w:val="left"/>
              <w:rPr>
                <w:rFonts w:eastAsia="Times New Roman"/>
                <w:noProof/>
                <w:sz w:val="20"/>
              </w:rPr>
            </w:pPr>
            <w:r>
              <w:rPr>
                <w:noProof/>
                <w:sz w:val="20"/>
              </w:rPr>
              <w:t>-</w:t>
            </w:r>
            <w:r>
              <w:rPr>
                <w:noProof/>
                <w:sz w:val="20"/>
              </w:rPr>
              <w:tab/>
              <w:t>ДРУГИ</w:t>
            </w:r>
          </w:p>
        </w:tc>
        <w:tc>
          <w:tcPr>
            <w:tcW w:w="1417" w:type="dxa"/>
            <w:gridSpan w:val="2"/>
          </w:tcPr>
          <w:p>
            <w:pPr>
              <w:spacing w:before="0" w:after="0"/>
              <w:jc w:val="center"/>
              <w:rPr>
                <w:rFonts w:eastAsia="Times New Roman"/>
                <w:noProof/>
                <w:sz w:val="20"/>
                <w:lang w:eastAsia="en-GB"/>
              </w:rPr>
            </w:pPr>
          </w:p>
          <w:p>
            <w:pPr>
              <w:spacing w:before="0" w:after="0"/>
              <w:jc w:val="right"/>
              <w:rPr>
                <w:rFonts w:eastAsia="Times New Roman"/>
                <w:noProof/>
                <w:sz w:val="20"/>
                <w:lang w:eastAsia="en-GB"/>
              </w:rPr>
            </w:pPr>
          </w:p>
        </w:tc>
        <w:tc>
          <w:tcPr>
            <w:tcW w:w="1559" w:type="dxa"/>
            <w:gridSpan w:val="3"/>
          </w:tcPr>
          <w:p>
            <w:pPr>
              <w:spacing w:before="0" w:after="0"/>
              <w:jc w:val="center"/>
              <w:rPr>
                <w:rFonts w:eastAsia="Times New Roman"/>
                <w:noProof/>
                <w:sz w:val="20"/>
              </w:rPr>
            </w:pPr>
            <w:r>
              <w:rPr>
                <w:noProof/>
                <w:sz w:val="20"/>
              </w:rPr>
              <w:t>н. п.</w:t>
            </w:r>
          </w:p>
        </w:tc>
        <w:tc>
          <w:tcPr>
            <w:tcW w:w="1701" w:type="dxa"/>
            <w:gridSpan w:val="2"/>
          </w:tcPr>
          <w:p>
            <w:pPr>
              <w:spacing w:before="0" w:after="0"/>
              <w:jc w:val="center"/>
              <w:rPr>
                <w:rFonts w:eastAsia="Times New Roman"/>
                <w:noProof/>
                <w:sz w:val="20"/>
              </w:rPr>
            </w:pPr>
            <w:r>
              <w:rPr>
                <w:noProof/>
                <w:sz w:val="20"/>
              </w:rPr>
              <w:t>н. п.</w:t>
            </w:r>
          </w:p>
          <w:p>
            <w:pPr>
              <w:spacing w:before="0" w:after="0"/>
              <w:jc w:val="righ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rPr>
            </w:pPr>
            <w:r>
              <w:rPr>
                <w:noProof/>
                <w:sz w:val="20"/>
              </w:rPr>
              <w:t>5.1</w:t>
            </w:r>
          </w:p>
        </w:tc>
        <w:tc>
          <w:tcPr>
            <w:tcW w:w="3884" w:type="dxa"/>
            <w:tcBorders>
              <w:left w:val="nil"/>
            </w:tcBorders>
          </w:tcPr>
          <w:p>
            <w:pPr>
              <w:spacing w:before="0" w:after="0"/>
              <w:jc w:val="left"/>
              <w:rPr>
                <w:rFonts w:eastAsia="Times New Roman"/>
                <w:noProof/>
                <w:sz w:val="20"/>
              </w:rPr>
            </w:pPr>
            <w:r>
              <w:rPr>
                <w:noProof/>
                <w:sz w:val="20"/>
              </w:rPr>
              <w:t>ПРИХОДИ</w:t>
            </w:r>
          </w:p>
          <w:p>
            <w:pPr>
              <w:spacing w:before="0" w:after="0"/>
              <w:jc w:val="left"/>
              <w:rPr>
                <w:rFonts w:eastAsia="Times New Roman"/>
                <w:noProof/>
                <w:sz w:val="20"/>
              </w:rPr>
            </w:pPr>
            <w:r>
              <w:rPr>
                <w:noProof/>
                <w:sz w:val="20"/>
              </w:rPr>
              <w:t>-</w:t>
            </w:r>
            <w:r>
              <w:rPr>
                <w:noProof/>
                <w:sz w:val="20"/>
              </w:rPr>
              <w:tab/>
              <w:t xml:space="preserve">СОБСТВЕНИ РЕСУРСИ НА ЕС </w:t>
            </w:r>
            <w:r>
              <w:rPr>
                <w:noProof/>
                <w:sz w:val="20"/>
              </w:rPr>
              <w:br/>
              <w:t>(НАЛОЗИ/МИТА)</w:t>
            </w:r>
          </w:p>
          <w:p>
            <w:pPr>
              <w:spacing w:before="0" w:after="0"/>
              <w:jc w:val="left"/>
              <w:rPr>
                <w:rFonts w:eastAsia="Times New Roman"/>
                <w:noProof/>
                <w:sz w:val="20"/>
              </w:rPr>
            </w:pPr>
            <w:r>
              <w:rPr>
                <w:noProof/>
                <w:sz w:val="20"/>
              </w:rPr>
              <w:t>-</w:t>
            </w:r>
            <w:r>
              <w:rPr>
                <w:noProof/>
                <w:sz w:val="20"/>
              </w:rPr>
              <w:tab/>
              <w:t>НАЦИОНАЛНИ</w:t>
            </w:r>
          </w:p>
        </w:tc>
        <w:tc>
          <w:tcPr>
            <w:tcW w:w="1417" w:type="dxa"/>
            <w:gridSpan w:val="2"/>
          </w:tcPr>
          <w:p>
            <w:pPr>
              <w:spacing w:before="0" w:after="0"/>
              <w:jc w:val="center"/>
              <w:rPr>
                <w:rFonts w:eastAsia="Times New Roman"/>
                <w:noProof/>
                <w:sz w:val="20"/>
                <w:lang w:eastAsia="en-GB"/>
              </w:rPr>
            </w:pPr>
          </w:p>
        </w:tc>
        <w:tc>
          <w:tcPr>
            <w:tcW w:w="1559" w:type="dxa"/>
            <w:gridSpan w:val="3"/>
          </w:tcPr>
          <w:p>
            <w:pPr>
              <w:spacing w:before="0" w:after="0"/>
              <w:jc w:val="center"/>
              <w:rPr>
                <w:rFonts w:eastAsia="Times New Roman"/>
                <w:noProof/>
                <w:sz w:val="20"/>
                <w:lang w:eastAsia="en-GB"/>
              </w:rPr>
            </w:pPr>
          </w:p>
        </w:tc>
        <w:tc>
          <w:tcPr>
            <w:tcW w:w="1701" w:type="dxa"/>
            <w:gridSpan w:val="2"/>
          </w:tcPr>
          <w:p>
            <w:pPr>
              <w:spacing w:before="0" w:after="0"/>
              <w:jc w:val="center"/>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lang w:eastAsia="en-GB"/>
              </w:rPr>
            </w:pPr>
          </w:p>
        </w:tc>
        <w:tc>
          <w:tcPr>
            <w:tcW w:w="3884" w:type="dxa"/>
            <w:tcBorders>
              <w:left w:val="nil"/>
              <w:bottom w:val="nil"/>
            </w:tcBorders>
          </w:tcPr>
          <w:p>
            <w:pPr>
              <w:spacing w:before="0" w:after="0"/>
              <w:jc w:val="left"/>
              <w:rPr>
                <w:rFonts w:eastAsia="Times New Roman"/>
                <w:noProof/>
                <w:sz w:val="20"/>
                <w:lang w:eastAsia="en-GB"/>
              </w:rPr>
            </w:pPr>
          </w:p>
        </w:tc>
        <w:tc>
          <w:tcPr>
            <w:tcW w:w="1275" w:type="dxa"/>
            <w:tcBorders>
              <w:bottom w:val="nil"/>
            </w:tcBorders>
          </w:tcPr>
          <w:p>
            <w:pPr>
              <w:spacing w:before="0" w:after="0"/>
              <w:jc w:val="center"/>
              <w:rPr>
                <w:rFonts w:eastAsia="Times New Roman"/>
                <w:noProof/>
                <w:sz w:val="20"/>
              </w:rPr>
            </w:pPr>
            <w:r>
              <w:rPr>
                <w:noProof/>
                <w:sz w:val="20"/>
              </w:rPr>
              <w:t>2017 г.</w:t>
            </w:r>
          </w:p>
        </w:tc>
        <w:tc>
          <w:tcPr>
            <w:tcW w:w="1276" w:type="dxa"/>
            <w:gridSpan w:val="2"/>
            <w:tcBorders>
              <w:bottom w:val="nil"/>
            </w:tcBorders>
          </w:tcPr>
          <w:p>
            <w:pPr>
              <w:spacing w:before="0" w:after="0"/>
              <w:jc w:val="center"/>
              <w:rPr>
                <w:rFonts w:eastAsia="Times New Roman"/>
                <w:noProof/>
                <w:sz w:val="20"/>
              </w:rPr>
            </w:pPr>
            <w:r>
              <w:rPr>
                <w:noProof/>
                <w:sz w:val="20"/>
              </w:rPr>
              <w:t>2018 г.</w:t>
            </w:r>
          </w:p>
        </w:tc>
        <w:tc>
          <w:tcPr>
            <w:tcW w:w="992" w:type="dxa"/>
            <w:gridSpan w:val="3"/>
            <w:tcBorders>
              <w:bottom w:val="nil"/>
            </w:tcBorders>
          </w:tcPr>
          <w:p>
            <w:pPr>
              <w:spacing w:before="0" w:after="0"/>
              <w:jc w:val="center"/>
              <w:rPr>
                <w:rFonts w:eastAsia="Times New Roman"/>
                <w:noProof/>
                <w:sz w:val="20"/>
              </w:rPr>
            </w:pPr>
            <w:r>
              <w:rPr>
                <w:noProof/>
                <w:sz w:val="20"/>
              </w:rPr>
              <w:t>2019 г.</w:t>
            </w:r>
          </w:p>
        </w:tc>
        <w:tc>
          <w:tcPr>
            <w:tcW w:w="1134" w:type="dxa"/>
            <w:tcBorders>
              <w:bottom w:val="nil"/>
            </w:tcBorders>
          </w:tcPr>
          <w:p>
            <w:pPr>
              <w:spacing w:before="0" w:after="0"/>
              <w:jc w:val="center"/>
              <w:rPr>
                <w:rFonts w:eastAsia="Times New Roman"/>
                <w:noProof/>
                <w:sz w:val="20"/>
              </w:rPr>
            </w:pPr>
            <w:r>
              <w:rPr>
                <w:noProof/>
                <w:sz w:val="20"/>
              </w:rPr>
              <w:t>2020 г.</w:t>
            </w:r>
          </w:p>
        </w:tc>
      </w:tr>
      <w:tr>
        <w:tc>
          <w:tcPr>
            <w:tcW w:w="567" w:type="dxa"/>
            <w:tcBorders>
              <w:top w:val="nil"/>
              <w:bottom w:val="nil"/>
              <w:right w:val="nil"/>
            </w:tcBorders>
          </w:tcPr>
          <w:p>
            <w:pPr>
              <w:spacing w:before="0" w:after="0"/>
              <w:jc w:val="left"/>
              <w:rPr>
                <w:rFonts w:eastAsia="Times New Roman"/>
                <w:noProof/>
                <w:sz w:val="20"/>
              </w:rPr>
            </w:pPr>
            <w:r>
              <w:rPr>
                <w:noProof/>
                <w:sz w:val="20"/>
              </w:rPr>
              <w:t>5.0.1</w:t>
            </w:r>
          </w:p>
        </w:tc>
        <w:tc>
          <w:tcPr>
            <w:tcW w:w="3884" w:type="dxa"/>
            <w:tcBorders>
              <w:top w:val="nil"/>
              <w:left w:val="nil"/>
              <w:bottom w:val="nil"/>
            </w:tcBorders>
          </w:tcPr>
          <w:p>
            <w:pPr>
              <w:spacing w:before="0" w:after="0"/>
              <w:jc w:val="left"/>
              <w:rPr>
                <w:rFonts w:eastAsia="Times New Roman"/>
                <w:noProof/>
                <w:sz w:val="20"/>
              </w:rPr>
            </w:pPr>
            <w:r>
              <w:rPr>
                <w:noProof/>
                <w:sz w:val="20"/>
              </w:rPr>
              <w:t>ОЧАКВАНИ РАЗХОДИ</w:t>
            </w:r>
          </w:p>
        </w:tc>
        <w:tc>
          <w:tcPr>
            <w:tcW w:w="1275" w:type="dxa"/>
            <w:tcBorders>
              <w:bottom w:val="nil"/>
            </w:tcBorders>
          </w:tcPr>
          <w:p>
            <w:pPr>
              <w:spacing w:before="0" w:after="0"/>
              <w:jc w:val="center"/>
              <w:rPr>
                <w:rFonts w:eastAsia="Times New Roman"/>
                <w:noProof/>
                <w:sz w:val="20"/>
                <w:lang w:eastAsia="en-GB"/>
              </w:rPr>
            </w:pPr>
          </w:p>
        </w:tc>
        <w:tc>
          <w:tcPr>
            <w:tcW w:w="1276" w:type="dxa"/>
            <w:gridSpan w:val="2"/>
            <w:tcBorders>
              <w:bottom w:val="nil"/>
            </w:tcBorders>
          </w:tcPr>
          <w:p>
            <w:pPr>
              <w:spacing w:before="0" w:after="0"/>
              <w:jc w:val="center"/>
              <w:rPr>
                <w:rFonts w:eastAsia="Times New Roman"/>
                <w:noProof/>
                <w:sz w:val="20"/>
                <w:lang w:eastAsia="en-GB"/>
              </w:rPr>
            </w:pPr>
          </w:p>
        </w:tc>
        <w:tc>
          <w:tcPr>
            <w:tcW w:w="992" w:type="dxa"/>
            <w:gridSpan w:val="3"/>
            <w:tcBorders>
              <w:bottom w:val="nil"/>
            </w:tcBorders>
          </w:tcPr>
          <w:p>
            <w:pPr>
              <w:spacing w:before="0" w:after="0"/>
              <w:jc w:val="center"/>
              <w:rPr>
                <w:rFonts w:eastAsia="Times New Roman"/>
                <w:noProof/>
                <w:sz w:val="20"/>
                <w:lang w:eastAsia="en-GB"/>
              </w:rPr>
            </w:pPr>
          </w:p>
        </w:tc>
        <w:tc>
          <w:tcPr>
            <w:tcW w:w="1134" w:type="dxa"/>
            <w:tcBorders>
              <w:bottom w:val="nil"/>
            </w:tcBorders>
          </w:tcPr>
          <w:p>
            <w:pPr>
              <w:spacing w:before="0" w:after="0"/>
              <w:jc w:val="center"/>
              <w:rPr>
                <w:rFonts w:eastAsia="Times New Roman"/>
                <w:noProof/>
                <w:sz w:val="20"/>
                <w:lang w:eastAsia="en-GB"/>
              </w:rPr>
            </w:pPr>
          </w:p>
        </w:tc>
      </w:tr>
      <w:tr>
        <w:tc>
          <w:tcPr>
            <w:tcW w:w="567" w:type="dxa"/>
            <w:tcBorders>
              <w:top w:val="nil"/>
              <w:right w:val="nil"/>
            </w:tcBorders>
          </w:tcPr>
          <w:p>
            <w:pPr>
              <w:spacing w:before="0" w:after="0"/>
              <w:jc w:val="left"/>
              <w:rPr>
                <w:rFonts w:eastAsia="Times New Roman"/>
                <w:noProof/>
                <w:sz w:val="20"/>
              </w:rPr>
            </w:pPr>
            <w:r>
              <w:rPr>
                <w:noProof/>
                <w:sz w:val="20"/>
              </w:rPr>
              <w:t>5.1.1</w:t>
            </w:r>
          </w:p>
        </w:tc>
        <w:tc>
          <w:tcPr>
            <w:tcW w:w="3884" w:type="dxa"/>
            <w:tcBorders>
              <w:top w:val="nil"/>
              <w:left w:val="nil"/>
            </w:tcBorders>
          </w:tcPr>
          <w:p>
            <w:pPr>
              <w:spacing w:before="0" w:after="0"/>
              <w:jc w:val="left"/>
              <w:rPr>
                <w:rFonts w:eastAsia="Times New Roman"/>
                <w:noProof/>
                <w:sz w:val="20"/>
              </w:rPr>
            </w:pPr>
            <w:r>
              <w:rPr>
                <w:noProof/>
                <w:sz w:val="20"/>
              </w:rPr>
              <w:t>ОЧАКВАНИ ПРИХОДИ</w:t>
            </w:r>
          </w:p>
        </w:tc>
        <w:tc>
          <w:tcPr>
            <w:tcW w:w="1275" w:type="dxa"/>
            <w:tcBorders>
              <w:top w:val="nil"/>
            </w:tcBorders>
          </w:tcPr>
          <w:p>
            <w:pPr>
              <w:spacing w:before="0" w:after="0"/>
              <w:jc w:val="center"/>
              <w:rPr>
                <w:rFonts w:eastAsia="Times New Roman"/>
                <w:noProof/>
                <w:sz w:val="20"/>
                <w:lang w:eastAsia="en-GB"/>
              </w:rPr>
            </w:pPr>
          </w:p>
        </w:tc>
        <w:tc>
          <w:tcPr>
            <w:tcW w:w="1276" w:type="dxa"/>
            <w:gridSpan w:val="2"/>
            <w:tcBorders>
              <w:top w:val="nil"/>
            </w:tcBorders>
          </w:tcPr>
          <w:p>
            <w:pPr>
              <w:spacing w:before="0" w:after="0"/>
              <w:jc w:val="center"/>
              <w:rPr>
                <w:rFonts w:eastAsia="Times New Roman"/>
                <w:noProof/>
                <w:sz w:val="20"/>
                <w:lang w:eastAsia="en-GB"/>
              </w:rPr>
            </w:pPr>
          </w:p>
        </w:tc>
        <w:tc>
          <w:tcPr>
            <w:tcW w:w="992" w:type="dxa"/>
            <w:gridSpan w:val="3"/>
            <w:tcBorders>
              <w:top w:val="nil"/>
            </w:tcBorders>
          </w:tcPr>
          <w:p>
            <w:pPr>
              <w:spacing w:before="0" w:after="0"/>
              <w:jc w:val="center"/>
              <w:rPr>
                <w:rFonts w:eastAsia="Times New Roman"/>
                <w:noProof/>
                <w:sz w:val="20"/>
                <w:lang w:eastAsia="en-GB"/>
              </w:rPr>
            </w:pPr>
          </w:p>
        </w:tc>
        <w:tc>
          <w:tcPr>
            <w:tcW w:w="1134" w:type="dxa"/>
            <w:tcBorders>
              <w:top w:val="nil"/>
            </w:tcBorders>
          </w:tcPr>
          <w:p>
            <w:pPr>
              <w:spacing w:before="0" w:after="0"/>
              <w:jc w:val="center"/>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rPr>
            </w:pPr>
            <w:r>
              <w:rPr>
                <w:noProof/>
                <w:sz w:val="20"/>
              </w:rPr>
              <w:t>5.2</w:t>
            </w:r>
          </w:p>
        </w:tc>
        <w:tc>
          <w:tcPr>
            <w:tcW w:w="8561" w:type="dxa"/>
            <w:gridSpan w:val="8"/>
            <w:tcBorders>
              <w:left w:val="nil"/>
            </w:tcBorders>
          </w:tcPr>
          <w:p>
            <w:pPr>
              <w:spacing w:before="60" w:after="60"/>
              <w:jc w:val="left"/>
              <w:rPr>
                <w:rFonts w:eastAsia="Times New Roman"/>
                <w:noProof/>
                <w:sz w:val="20"/>
              </w:rPr>
            </w:pPr>
            <w:r>
              <w:rPr>
                <w:noProof/>
                <w:sz w:val="20"/>
              </w:rPr>
              <w:t>МЕТОД НА ИЗЧИСЛЕНИЕ:</w:t>
            </w:r>
          </w:p>
          <w:p>
            <w:pPr>
              <w:spacing w:before="60" w:after="60"/>
              <w:jc w:val="left"/>
              <w:rPr>
                <w:rFonts w:eastAsia="Times New Roman"/>
                <w:noProof/>
                <w:sz w:val="20"/>
              </w:rPr>
            </w:pPr>
            <w:r>
              <w:rPr>
                <w:noProof/>
                <w:sz w:val="20"/>
              </w:rPr>
              <w:t>Вж. забележките</w:t>
            </w:r>
          </w:p>
        </w:tc>
      </w:tr>
      <w:tr>
        <w:tc>
          <w:tcPr>
            <w:tcW w:w="567" w:type="dxa"/>
            <w:tcBorders>
              <w:bottom w:val="nil"/>
              <w:right w:val="nil"/>
            </w:tcBorders>
          </w:tcPr>
          <w:p>
            <w:pPr>
              <w:spacing w:before="0" w:after="0"/>
              <w:jc w:val="left"/>
              <w:rPr>
                <w:rFonts w:eastAsia="Times New Roman"/>
                <w:noProof/>
                <w:sz w:val="20"/>
              </w:rPr>
            </w:pPr>
            <w:r>
              <w:rPr>
                <w:noProof/>
                <w:sz w:val="20"/>
              </w:rPr>
              <w:t>6.0</w:t>
            </w:r>
          </w:p>
        </w:tc>
        <w:tc>
          <w:tcPr>
            <w:tcW w:w="7427" w:type="dxa"/>
            <w:gridSpan w:val="7"/>
            <w:tcBorders>
              <w:left w:val="nil"/>
              <w:right w:val="nil"/>
            </w:tcBorders>
          </w:tcPr>
          <w:p>
            <w:pPr>
              <w:spacing w:before="60" w:after="60"/>
              <w:jc w:val="left"/>
              <w:rPr>
                <w:rFonts w:eastAsia="Times New Roman"/>
                <w:noProof/>
                <w:sz w:val="20"/>
              </w:rPr>
            </w:pPr>
            <w:r>
              <w:rPr>
                <w:noProof/>
                <w:sz w:val="20"/>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spacing w:before="0" w:after="0"/>
              <w:jc w:val="center"/>
              <w:rPr>
                <w:rFonts w:eastAsia="Times New Roman"/>
                <w:noProof/>
                <w:sz w:val="20"/>
              </w:rPr>
            </w:pPr>
            <w:r>
              <w:rPr>
                <w:noProof/>
                <w:sz w:val="20"/>
              </w:rPr>
              <w:t>н. п.</w:t>
            </w:r>
          </w:p>
        </w:tc>
      </w:tr>
      <w:tr>
        <w:tc>
          <w:tcPr>
            <w:tcW w:w="567" w:type="dxa"/>
            <w:tcBorders>
              <w:bottom w:val="nil"/>
              <w:right w:val="nil"/>
            </w:tcBorders>
          </w:tcPr>
          <w:p>
            <w:pPr>
              <w:spacing w:before="0" w:after="0"/>
              <w:jc w:val="left"/>
              <w:rPr>
                <w:rFonts w:eastAsia="Times New Roman"/>
                <w:noProof/>
                <w:sz w:val="20"/>
              </w:rPr>
            </w:pPr>
            <w:r>
              <w:rPr>
                <w:noProof/>
                <w:sz w:val="20"/>
              </w:rPr>
              <w:t>6.1</w:t>
            </w:r>
          </w:p>
        </w:tc>
        <w:tc>
          <w:tcPr>
            <w:tcW w:w="7427" w:type="dxa"/>
            <w:gridSpan w:val="7"/>
            <w:tcBorders>
              <w:left w:val="nil"/>
              <w:right w:val="nil"/>
            </w:tcBorders>
          </w:tcPr>
          <w:p>
            <w:pPr>
              <w:spacing w:before="60" w:after="60"/>
              <w:jc w:val="left"/>
              <w:rPr>
                <w:rFonts w:eastAsia="Times New Roman"/>
                <w:noProof/>
                <w:sz w:val="20"/>
              </w:rPr>
            </w:pPr>
            <w:r>
              <w:rPr>
                <w:noProof/>
                <w:sz w:val="20"/>
              </w:rPr>
              <w:t>МОЖЕ ЛИ ПРОЕКТЪТ ДА БЪДЕ ФИНАНСИРАН ЧРЕЗ ПРЕХВЪРЛЯНЕ МЕЖДУ ГЛАВИ ОТ ТЕКУЩИЯ БЮДЖЕТ?</w:t>
            </w:r>
          </w:p>
        </w:tc>
        <w:tc>
          <w:tcPr>
            <w:tcW w:w="1134" w:type="dxa"/>
            <w:tcBorders>
              <w:left w:val="nil"/>
              <w:bottom w:val="nil"/>
            </w:tcBorders>
          </w:tcPr>
          <w:p>
            <w:pPr>
              <w:spacing w:before="0" w:after="0"/>
              <w:jc w:val="center"/>
              <w:rPr>
                <w:rFonts w:eastAsia="Times New Roman"/>
                <w:noProof/>
                <w:sz w:val="20"/>
              </w:rPr>
            </w:pPr>
            <w:r>
              <w:rPr>
                <w:noProof/>
                <w:sz w:val="20"/>
              </w:rPr>
              <w:t>н. п.</w:t>
            </w:r>
          </w:p>
        </w:tc>
      </w:tr>
      <w:tr>
        <w:tc>
          <w:tcPr>
            <w:tcW w:w="567" w:type="dxa"/>
            <w:tcBorders>
              <w:bottom w:val="nil"/>
              <w:right w:val="nil"/>
            </w:tcBorders>
          </w:tcPr>
          <w:p>
            <w:pPr>
              <w:spacing w:before="0" w:after="0"/>
              <w:jc w:val="left"/>
              <w:rPr>
                <w:rFonts w:eastAsia="Times New Roman"/>
                <w:noProof/>
                <w:sz w:val="20"/>
              </w:rPr>
            </w:pPr>
            <w:r>
              <w:rPr>
                <w:noProof/>
                <w:sz w:val="20"/>
              </w:rPr>
              <w:t>6.2</w:t>
            </w:r>
          </w:p>
        </w:tc>
        <w:tc>
          <w:tcPr>
            <w:tcW w:w="7427" w:type="dxa"/>
            <w:gridSpan w:val="7"/>
            <w:tcBorders>
              <w:left w:val="nil"/>
              <w:right w:val="nil"/>
            </w:tcBorders>
          </w:tcPr>
          <w:p>
            <w:pPr>
              <w:spacing w:before="60" w:after="60"/>
              <w:jc w:val="left"/>
              <w:rPr>
                <w:rFonts w:eastAsia="Times New Roman"/>
                <w:noProof/>
                <w:sz w:val="20"/>
              </w:rPr>
            </w:pPr>
            <w:r>
              <w:rPr>
                <w:noProof/>
                <w:sz w:val="20"/>
              </w:rPr>
              <w:t>ЩЕ БЪДЕ ЛИ НЕОБХОДИМ ДОПЪЛНИТЕЛЕН БЮДЖЕТ?</w:t>
            </w:r>
          </w:p>
        </w:tc>
        <w:tc>
          <w:tcPr>
            <w:tcW w:w="1134" w:type="dxa"/>
            <w:tcBorders>
              <w:left w:val="nil"/>
              <w:bottom w:val="nil"/>
            </w:tcBorders>
          </w:tcPr>
          <w:p>
            <w:pPr>
              <w:spacing w:before="0" w:after="0"/>
              <w:jc w:val="center"/>
              <w:rPr>
                <w:rFonts w:eastAsia="Times New Roman"/>
                <w:noProof/>
                <w:sz w:val="20"/>
              </w:rPr>
            </w:pPr>
            <w:r>
              <w:rPr>
                <w:noProof/>
                <w:sz w:val="20"/>
              </w:rPr>
              <w:t>НЕ</w:t>
            </w:r>
          </w:p>
        </w:tc>
      </w:tr>
      <w:tr>
        <w:tc>
          <w:tcPr>
            <w:tcW w:w="567" w:type="dxa"/>
            <w:tcBorders>
              <w:right w:val="nil"/>
            </w:tcBorders>
          </w:tcPr>
          <w:p>
            <w:pPr>
              <w:spacing w:before="0" w:after="0"/>
              <w:jc w:val="left"/>
              <w:rPr>
                <w:rFonts w:eastAsia="Times New Roman"/>
                <w:noProof/>
                <w:sz w:val="20"/>
              </w:rPr>
            </w:pPr>
            <w:r>
              <w:rPr>
                <w:noProof/>
                <w:sz w:val="20"/>
              </w:rPr>
              <w:t>6.3</w:t>
            </w:r>
          </w:p>
        </w:tc>
        <w:tc>
          <w:tcPr>
            <w:tcW w:w="7427" w:type="dxa"/>
            <w:gridSpan w:val="7"/>
            <w:tcBorders>
              <w:left w:val="nil"/>
              <w:right w:val="nil"/>
            </w:tcBorders>
          </w:tcPr>
          <w:p>
            <w:pPr>
              <w:spacing w:before="60" w:after="60"/>
              <w:jc w:val="left"/>
              <w:rPr>
                <w:rFonts w:eastAsia="Times New Roman"/>
                <w:noProof/>
                <w:sz w:val="20"/>
              </w:rPr>
            </w:pPr>
            <w:r>
              <w:rPr>
                <w:noProof/>
                <w:sz w:val="20"/>
              </w:rPr>
              <w:t>ЩЕ БЪДЕ ЛИ НЕОБХОДИМО ВПИСВАНЕТО НА БЮДЖЕТНИ КРЕДИТИ В БЪДЕЩИ БЮДЖЕТИ?</w:t>
            </w:r>
          </w:p>
        </w:tc>
        <w:tc>
          <w:tcPr>
            <w:tcW w:w="1134" w:type="dxa"/>
            <w:tcBorders>
              <w:left w:val="nil"/>
            </w:tcBorders>
          </w:tcPr>
          <w:p>
            <w:pPr>
              <w:spacing w:before="0" w:after="0"/>
              <w:jc w:val="center"/>
              <w:rPr>
                <w:rFonts w:eastAsia="Times New Roman"/>
                <w:noProof/>
                <w:sz w:val="20"/>
              </w:rPr>
            </w:pPr>
            <w:r>
              <w:rPr>
                <w:noProof/>
                <w:sz w:val="20"/>
              </w:rPr>
              <w:t>ДА (вж. забележките)</w:t>
            </w:r>
          </w:p>
        </w:tc>
      </w:tr>
      <w:tr>
        <w:tc>
          <w:tcPr>
            <w:tcW w:w="9128" w:type="dxa"/>
            <w:gridSpan w:val="9"/>
          </w:tcPr>
          <w:p>
            <w:pPr>
              <w:spacing w:before="0" w:after="0"/>
              <w:jc w:val="left"/>
              <w:rPr>
                <w:rFonts w:eastAsia="Times New Roman"/>
                <w:noProof/>
                <w:sz w:val="20"/>
              </w:rPr>
            </w:pPr>
            <w:r>
              <w:rPr>
                <w:noProof/>
                <w:sz w:val="20"/>
              </w:rPr>
              <w:t>ЗАБЕЛЕЖКИ:</w:t>
            </w:r>
          </w:p>
          <w:p>
            <w:pPr>
              <w:spacing w:before="0" w:after="0"/>
              <w:jc w:val="left"/>
              <w:rPr>
                <w:rFonts w:eastAsia="Times New Roman"/>
                <w:noProof/>
                <w:sz w:val="16"/>
                <w:szCs w:val="16"/>
                <w:lang w:eastAsia="en-GB"/>
              </w:rPr>
            </w:pPr>
          </w:p>
          <w:p>
            <w:pPr>
              <w:spacing w:before="0"/>
              <w:jc w:val="left"/>
              <w:rPr>
                <w:rFonts w:eastAsia="Times New Roman"/>
                <w:noProof/>
                <w:sz w:val="20"/>
              </w:rPr>
            </w:pPr>
            <w:r>
              <w:rPr>
                <w:noProof/>
                <w:sz w:val="20"/>
              </w:rPr>
              <w:t xml:space="preserve">Във връзка с подпомагането на развитието на селските райони съгласно Регламент (ЕС) № 1305/2013 (ЕЗФРСР) предложението се отнася до финансовите години 2019—2021 г., докато предложените изменения за директните плащания съгласно Регламент (ЕС) № 1307/2013 се отнасят до календарната 2020 г./финансовата 2021 г. </w:t>
            </w:r>
          </w:p>
          <w:p>
            <w:pPr>
              <w:spacing w:before="0"/>
              <w:jc w:val="left"/>
              <w:rPr>
                <w:rFonts w:eastAsia="Times New Roman"/>
                <w:noProof/>
                <w:sz w:val="20"/>
              </w:rPr>
            </w:pPr>
            <w:r>
              <w:rPr>
                <w:noProof/>
                <w:sz w:val="20"/>
              </w:rPr>
              <w:t xml:space="preserve">Предложението е без финансово отражение, изразяващо се в увеличени разходи. </w:t>
            </w:r>
          </w:p>
          <w:p>
            <w:pPr>
              <w:spacing w:before="0"/>
              <w:jc w:val="left"/>
              <w:rPr>
                <w:rFonts w:eastAsia="Times New Roman"/>
                <w:noProof/>
                <w:sz w:val="20"/>
              </w:rPr>
            </w:pPr>
            <w:r>
              <w:rPr>
                <w:noProof/>
                <w:sz w:val="20"/>
              </w:rPr>
              <w:t xml:space="preserve">Последиците от предложените разпоредби, предоставящи на държавите членки възможност да прехвърлят средства между разпределените средства за директни плащания през календарната 2020 г./финансовата 2021 г. и ЕЗФРСР през финансовата 2021 г., както и прехвърлянето на очаквания резултат от намаленията от директни плащания през календарната 2020 г. към ЕЗФРСР през финансовата 2021 г., ще зависят от изпълнението от страна на държавите членки, поради което не могат да бъдат изразени количествено към настоящия момент. </w:t>
            </w:r>
          </w:p>
          <w:p>
            <w:pPr>
              <w:spacing w:before="0"/>
              <w:jc w:val="left"/>
              <w:rPr>
                <w:rFonts w:eastAsia="Times New Roman"/>
                <w:noProof/>
                <w:sz w:val="20"/>
              </w:rPr>
            </w:pPr>
            <w:r>
              <w:rPr>
                <w:noProof/>
                <w:sz w:val="20"/>
              </w:rPr>
              <w:t xml:space="preserve">Във всички случаи такива прехвърляния няма да окажат въздействие върху общите бюджетни кредити за поети задължения, тъй като всички приспадания от разпределените средства за директни плащания ще бъдат компенсирани от съответно увеличение на разпределените средства по ЕЗФРСР и обратно. </w:t>
            </w:r>
          </w:p>
          <w:p>
            <w:pPr>
              <w:spacing w:before="0"/>
              <w:jc w:val="left"/>
              <w:rPr>
                <w:rFonts w:eastAsia="Times New Roman"/>
                <w:noProof/>
                <w:sz w:val="20"/>
              </w:rPr>
            </w:pPr>
            <w:r>
              <w:rPr>
                <w:noProof/>
                <w:sz w:val="20"/>
              </w:rPr>
              <w:t xml:space="preserve">Що се отнася до бюджетните кредити за плащания, ако изпълнението от страна на държавите членки на тези разпоредби доведе до нетно прехвърляне към ЕЗФРСР, това може да причини малко отлагане на плащанията от финансовата 2021 г. за следващите години в сравнение със случая, в който изпълнението от страна на държавите членки се изразява в нетно прехвърляне към разпределените средства за директни плащания или до липса на преразпределяне. </w:t>
            </w:r>
          </w:p>
          <w:p>
            <w:pPr>
              <w:spacing w:before="0"/>
              <w:jc w:val="left"/>
              <w:rPr>
                <w:rFonts w:eastAsia="Times New Roman"/>
                <w:noProof/>
                <w:sz w:val="20"/>
              </w:rPr>
            </w:pPr>
            <w:r>
              <w:rPr>
                <w:noProof/>
                <w:sz w:val="20"/>
              </w:rPr>
              <w:t>Този ефект не може обаче да се изрази количествено на този етап и във всички случаи се очаква да остане минимален.</w:t>
            </w:r>
          </w:p>
          <w:p>
            <w:pPr>
              <w:spacing w:before="0"/>
              <w:jc w:val="left"/>
              <w:rPr>
                <w:rFonts w:eastAsia="Times New Roman"/>
                <w:noProof/>
                <w:sz w:val="20"/>
              </w:rPr>
            </w:pPr>
            <w:r>
              <w:rPr>
                <w:noProof/>
                <w:sz w:val="20"/>
              </w:rPr>
              <w:t xml:space="preserve">Така например, без да се пречи на избора на държавите членки за календарната 2020 г./финансовата 2021 г., гъвкавостта през финансовите 2018 г. и 2019 г. води до нетни прехвърляния към ЕЗФРСР в размер съответно на 612 млн. EUR и 920 млн. EUR. Прехвърлянето към ЕЗФРСР на очаквания резултат от намаленията през същите финансови години е съответно 110 млн. EUR и 111 млн. EUR. </w:t>
            </w:r>
          </w:p>
          <w:p>
            <w:pPr>
              <w:spacing w:before="0"/>
              <w:jc w:val="left"/>
              <w:rPr>
                <w:rFonts w:eastAsia="Times New Roman"/>
                <w:noProof/>
                <w:sz w:val="20"/>
              </w:rPr>
            </w:pPr>
            <w:r>
              <w:rPr>
                <w:noProof/>
                <w:sz w:val="20"/>
              </w:rPr>
              <w:t>Като се има предвид досегашният опит и бюджетните пакети, предложени за периода 2021—2027 г., нетно прехвърляне към ЕФГЗ изглежда малко вероятно; то не може обаче да се изключи напълно на този етап. В този случай, за да бъдат спазени приложимите тавани, може да се наложи да бъде понижен приоритетът на диференцираните разходи, например на плащанията по ЕЗФРСР.</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C , , стр. .</w:t>
      </w:r>
    </w:p>
  </w:footnote>
  <w:footnote w:id="2">
    <w:p>
      <w:pPr>
        <w:pStyle w:val="FootnoteText"/>
      </w:pPr>
      <w:r>
        <w:rPr>
          <w:rStyle w:val="FootnoteReference"/>
        </w:rPr>
        <w:footnoteRef/>
      </w:r>
      <w:r>
        <w:tab/>
        <w:t xml:space="preserve">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 20.12.2013 г., стр. 487). </w:t>
      </w:r>
    </w:p>
  </w:footnote>
  <w:footnote w:id="3">
    <w:p>
      <w:pPr>
        <w:pStyle w:val="FootnoteText"/>
      </w:pPr>
      <w:r>
        <w:rPr>
          <w:rStyle w:val="FootnoteReference"/>
        </w:rPr>
        <w:footnoteRef/>
      </w:r>
      <w:r>
        <w:tab/>
        <w:t xml:space="preserve">Регламент (ЕС) 2017/2393 на Европейския парламент и на Съвета от 13 декември 2017 г. за изменение на Регламент (ЕС) № 1305/2013 относно подпомагане на развитието на селските райони от Европейския земеделски фонд за развитие на селските райони (ЕЗФРСР), Регламент (ЕС) № 1306/2013 относно финансирането, управлението и мониторинга на общата селскостопанска политика, Регламент (ЕС) № 1307/2013 за установяване на правила за директни плащания за земеделски стопани по схеми за подпомагане в рамките на общата селскостопанска политика, Регламент (ЕС) № 1308/2013 за установяване на обща организация на пазарите на селскостопански продукти и Регламент (ЕС) № 652/2014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(ОВ L 350, 29.12.2017 г., стр. 15). </w:t>
      </w:r>
    </w:p>
  </w:footnote>
  <w:footnote w:id="4">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(OВ L 347, 20.12.2013 г., стр.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1891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14E0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DE8B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D07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FAD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20E9A"/>
    <w:lvl w:ilvl="0">
      <w:start w:val="1"/>
      <w:numFmt w:val="decimal"/>
      <w:pStyle w:val="ListNumber"/>
      <w:lvlText w:val="%1."/>
      <w:lvlJc w:val="left"/>
      <w:pPr>
        <w:tabs>
          <w:tab w:val="num" w:pos="360"/>
        </w:tabs>
        <w:ind w:left="360" w:hanging="360"/>
      </w:pPr>
    </w:lvl>
  </w:abstractNum>
  <w:abstractNum w:abstractNumId="7">
    <w:nsid w:val="FFFFFF89"/>
    <w:multiLevelType w:val="singleLevel"/>
    <w:tmpl w:val="31784A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5:19: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C2CE5BE1-84F6-4392-B257-C69374E33EB6"/>
    <w:docVar w:name="LW_COVERPAGE_TYPE" w:val="1"/>
    <w:docVar w:name="LW_CROSSREFERENCE" w:val="&lt;UNUSED&gt;"/>
    <w:docVar w:name="LW_DocType" w:val="COM"/>
    <w:docVar w:name="LW_EMISSION" w:val="7.12.2018"/>
    <w:docVar w:name="LW_EMISSION_ISODATE" w:val="2018-12-0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14"/>
    <w:docVar w:name="LW_REF.II.NEW.CP_YEAR" w:val="2018"/>
    <w:docVar w:name="LW_REF.INST.NEW" w:val="COM"/>
    <w:docVar w:name="LW_REF.INST.NEW_ADOPTED" w:val="final"/>
    <w:docVar w:name="LW_REF.INST.NEW_TEXT" w:val="(2018) 8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5/2013 \u1080? \u1056?\u1077?\u1075?\u1083?\u1072?\u1084?\u1077?\u1085?\u1090? (\u1045?\u1057?) \u8470? 1307/2013 \u1087?\u1086? \u1086?\u1090?\u1085?\u1086?\u1096?\u1077?\u1085?\u1080?\u1077? \u1085?\u1072?  \u1085?\u1103?\u1082?\u1086?\u1080? \u1087?\u1088?\u1072?\u1074?\u1080?\u1083?\u1072? \u1079?\u1072? \u1076?\u1080?\u1088?\u1077?\u1082?\u1090?\u1085?\u1080?\u1090?\u1077? \u1087?\u1083?\u1072?\u1097?\u1072?\u1085?\u1080?\u1103? \u1080? \u1087?\u1086?\u1076?\u1087?\u1086?\u1084?\u1072?\u1075?\u1072?\u1085?\u1077?\u1090?\u1086? \u1085?\u1072? \u1088?\u1072?\u1079?\u1074?\u1080?\u1090?\u1080?\u1077?\u1090?\u1086? \u1085?\u1072? \u1089?\u1077?\u1083?\u1089?\u1082?\u1080?\u1090?\u1077? \u1088?\u1072?\u1081?\u1086?\u1085?\u1080? \u1079?\u1072? 2019 \u1075?. \u1080? 2020 \u1075?.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6901">
      <w:bodyDiv w:val="1"/>
      <w:marLeft w:val="0"/>
      <w:marRight w:val="0"/>
      <w:marTop w:val="0"/>
      <w:marBottom w:val="0"/>
      <w:divBdr>
        <w:top w:val="none" w:sz="0" w:space="0" w:color="auto"/>
        <w:left w:val="none" w:sz="0" w:space="0" w:color="auto"/>
        <w:bottom w:val="none" w:sz="0" w:space="0" w:color="auto"/>
        <w:right w:val="none" w:sz="0" w:space="0" w:color="auto"/>
      </w:divBdr>
    </w:div>
    <w:div w:id="16630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43420428-275f-4ab9-a918-4cdd10fcb441" xsi:nil="true"/>
    <_Status xmlns="http://schemas.microsoft.com/sharepoint/v3/fields">Not Started</_Status>
    <EC_Collab_DocumentLanguage xmlns="43420428-275f-4ab9-a918-4cdd10fcb441">EN</EC_Collab_DocumentLanguage>
    <EC_Collab_Status xmlns="43420428-275f-4ab9-a918-4cdd10fcb441">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1D959551336834BAE63FDF645310974" ma:contentTypeVersion="0" ma:contentTypeDescription="Create a new document in this library." ma:contentTypeScope="" ma:versionID="2c0d669f53e33e182a613a132957d548">
  <xsd:schema xmlns:xsd="http://www.w3.org/2001/XMLSchema" xmlns:xs="http://www.w3.org/2001/XMLSchema" xmlns:p="http://schemas.microsoft.com/office/2006/metadata/properties" xmlns:ns2="http://schemas.microsoft.com/sharepoint/v3/fields" xmlns:ns3="43420428-275f-4ab9-a918-4cdd10fcb441" targetNamespace="http://schemas.microsoft.com/office/2006/metadata/properties" ma:root="true" ma:fieldsID="1a90ed334c09365c6decdcb9b9653cfd" ns2:_="" ns3:_="">
    <xsd:import namespace="http://schemas.microsoft.com/sharepoint/v3/fields"/>
    <xsd:import namespace="43420428-275f-4ab9-a918-4cdd10fcb44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420428-275f-4ab9-a918-4cdd10fcb44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941651-53D3-45F0-A0AA-16660234FF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3420428-275f-4ab9-a918-4cdd10fcb441"/>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A26A7E2-86B4-453F-A21F-13365291E87C}">
  <ds:schemaRefs>
    <ds:schemaRef ds:uri="http://schemas.microsoft.com/sharepoint/v3/contenttype/forms"/>
  </ds:schemaRefs>
</ds:datastoreItem>
</file>

<file path=customXml/itemProps3.xml><?xml version="1.0" encoding="utf-8"?>
<ds:datastoreItem xmlns:ds="http://schemas.openxmlformats.org/officeDocument/2006/customXml" ds:itemID="{0F633674-83DA-4802-A50A-8BD150A5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3420428-275f-4ab9-a918-4cdd10fc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AEF8B-46E4-4A33-A88B-E64B8992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3390</Words>
  <Characters>19291</Characters>
  <Application>Microsoft Office Word</Application>
  <DocSecurity>0</DocSecurity>
  <Lines>459</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33</cp:revision>
  <cp:lastPrinted>2018-09-12T11:21:00Z</cp:lastPrinted>
  <dcterms:created xsi:type="dcterms:W3CDTF">2018-12-07T10:20:00Z</dcterms:created>
  <dcterms:modified xsi:type="dcterms:W3CDTF">2018-12-07T14:19:00Z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0x010100258AA79CEB83498886A3A0868112325000A1D959551336834BAE63FDF645310974</vt:lpwstr>
  </property>
  <property fmtid="{D5CDD505-2E9C-101B-9397-08002B2CF9AE}" pid="11" name="DQCStatus">
    <vt:lpwstr>Green (DQC version 03)</vt:lpwstr>
  </property>
</Properties>
</file>