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29" w:rsidRDefault="00BB59DD">
      <w:pPr>
        <w:pStyle w:val="Pagedecouverture"/>
        <w:rPr>
          <w:noProof/>
        </w:rPr>
      </w:pPr>
      <w:bookmarkStart w:id="0" w:name="LW_BM_COVERPAGE"/>
      <w:bookmarkStart w:id="1" w:name="_GoBack"/>
      <w:bookmarkEnd w:id="1"/>
      <w:r>
        <w:rPr>
          <w:noProof/>
        </w:rPr>
        <w:pict>
          <v:shape id="_x0000_i1026" type="#_x0000_t75" alt="6427C139-C2BF-40C6-8447-2D146968E4B9" style="width:450.6pt;height:375.1pt">
            <v:imagedata r:id="rId11" o:title=""/>
          </v:shape>
        </w:pict>
      </w:r>
    </w:p>
    <w:bookmarkEnd w:id="0"/>
    <w:p w:rsidR="000C6829" w:rsidRDefault="000C6829">
      <w:pPr>
        <w:rPr>
          <w:noProof/>
        </w:rPr>
        <w:sectPr w:rsidR="000C682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0C6829" w:rsidRDefault="00BB59DD">
      <w:pPr>
        <w:pStyle w:val="Heading1"/>
        <w:rPr>
          <w:noProof/>
        </w:rPr>
      </w:pPr>
      <w:bookmarkStart w:id="2" w:name="_Toc528147008"/>
      <w:r>
        <w:rPr>
          <w:noProof/>
        </w:rPr>
        <w:lastRenderedPageBreak/>
        <w:t>Въведение</w:t>
      </w:r>
      <w:bookmarkEnd w:id="2"/>
    </w:p>
    <w:p w:rsidR="000C6829" w:rsidRDefault="00BB59DD">
      <w:pPr>
        <w:pStyle w:val="BodyText"/>
        <w:rPr>
          <w:noProof/>
        </w:rPr>
      </w:pPr>
      <w:r>
        <w:rPr>
          <w:noProof/>
        </w:rPr>
        <w:t>В своята реч за състоянието на Съюза за 2018 г. председателят Юнкер подчерта, че „[н]</w:t>
      </w:r>
      <w:r>
        <w:rPr>
          <w:i/>
          <w:noProof/>
        </w:rPr>
        <w:t xml:space="preserve">еотдавнашни </w:t>
      </w:r>
      <w:r>
        <w:rPr>
          <w:i/>
          <w:noProof/>
        </w:rPr>
        <w:t>събития откроиха необходимостта да задълбочим нашия Икономически и паричен съюз и да изградим ликвидни и дълбоки капиталови пазари. Множество предложения на Комисията в тази посока чакат само да бъдат приети [от Европейския парламент и от Съвета].</w:t>
      </w:r>
      <w:r>
        <w:rPr>
          <w:noProof/>
        </w:rPr>
        <w:t xml:space="preserve">“ </w:t>
      </w:r>
    </w:p>
    <w:p w:rsidR="000C6829" w:rsidRDefault="00BB59DD">
      <w:pPr>
        <w:pStyle w:val="BodyText"/>
        <w:rPr>
          <w:noProof/>
        </w:rPr>
      </w:pPr>
      <w:r>
        <w:rPr>
          <w:b/>
          <w:noProof/>
        </w:rPr>
        <w:t xml:space="preserve">Целта </w:t>
      </w:r>
      <w:r>
        <w:rPr>
          <w:b/>
          <w:noProof/>
        </w:rPr>
        <w:t>на съюза на капиталовите пазари</w:t>
      </w:r>
      <w:r>
        <w:rPr>
          <w:rStyle w:val="FootnoteReference"/>
          <w:noProof/>
        </w:rPr>
        <w:footnoteReference w:id="1"/>
      </w:r>
      <w:r>
        <w:rPr>
          <w:b/>
          <w:noProof/>
        </w:rPr>
        <w:t xml:space="preserve"> е ключов приоритет за Европейския съюз.</w:t>
      </w:r>
      <w:r>
        <w:rPr>
          <w:noProof/>
        </w:rPr>
        <w:t xml:space="preserve"> Във връзка с предстоящото декемврийско заседание на Европейския съвет и срещата на върха на държавите от еврозоната в широк формат са спешно необходими пълната ангажираност и действия</w:t>
      </w:r>
      <w:r>
        <w:rPr>
          <w:noProof/>
        </w:rPr>
        <w:t xml:space="preserve"> от всички страни за доизграждане на съюза на капиталовите пазари.</w:t>
      </w:r>
    </w:p>
    <w:p w:rsidR="000C6829" w:rsidRDefault="00BB59DD">
      <w:pPr>
        <w:pStyle w:val="BodyText"/>
        <w:rPr>
          <w:noProof/>
        </w:rPr>
      </w:pPr>
      <w:r>
        <w:rPr>
          <w:noProof/>
        </w:rPr>
        <w:t xml:space="preserve">Съюзът се нуждае от добре развити и интегрирани капиталови пазари с цел </w:t>
      </w:r>
      <w:r>
        <w:rPr>
          <w:b/>
          <w:noProof/>
        </w:rPr>
        <w:t>укрепване и подкрепа на Икономическия и паричен съюз и на международната роля на еврото</w:t>
      </w:r>
      <w:r>
        <w:rPr>
          <w:noProof/>
        </w:rPr>
        <w:t>.</w:t>
      </w:r>
      <w:r>
        <w:rPr>
          <w:b/>
          <w:noProof/>
        </w:rPr>
        <w:t xml:space="preserve"> </w:t>
      </w:r>
      <w:r>
        <w:rPr>
          <w:noProof/>
        </w:rPr>
        <w:t>Ефикасното движение на капит</w:t>
      </w:r>
      <w:r>
        <w:rPr>
          <w:noProof/>
        </w:rPr>
        <w:t>али прави икономиката на Съюза по-силна, като подкрепя икономическата конвергенция. То позволява на държавите членки да се възползват от допълнителни източници на финансиране за инвестиции в работни места и растеж. Наличието на пълноценен съюз на капиталов</w:t>
      </w:r>
      <w:r>
        <w:rPr>
          <w:noProof/>
        </w:rPr>
        <w:t>ите пазари насърчава поделянето на рискове с частния сектор и спомага за смекчаването на икономическите шокове в еврозоната и извън нея, като предоставя възможност на инвеститори и дружества от държава, която е в затруднено положение, да имат достъп до инв</w:t>
      </w:r>
      <w:r>
        <w:rPr>
          <w:noProof/>
        </w:rPr>
        <w:t>естиции и възможности за финансиране в незасегнатите държави.</w:t>
      </w:r>
    </w:p>
    <w:p w:rsidR="000C6829" w:rsidRDefault="00BB59DD">
      <w:pPr>
        <w:pStyle w:val="BodyText"/>
        <w:rPr>
          <w:noProof/>
        </w:rPr>
      </w:pPr>
      <w:r>
        <w:rPr>
          <w:noProof/>
        </w:rPr>
        <w:t>Освен това пазарното финансиране може да запълни празнината в резултат на временен спад на банковото кредитиране. Например по време на кризата отпускането на заеми за дружествата рязко намаля, а</w:t>
      </w:r>
      <w:r>
        <w:rPr>
          <w:noProof/>
        </w:rPr>
        <w:t xml:space="preserve"> финансирането чрез акции и облигации остана стабилно. Един успешен съюз на капиталовите пазари с ефективен и последователен надзор ще допълни банковия съюз и </w:t>
      </w:r>
      <w:r>
        <w:rPr>
          <w:b/>
          <w:noProof/>
        </w:rPr>
        <w:t>допринасе за стабилността на финансовата система</w:t>
      </w:r>
      <w:r>
        <w:rPr>
          <w:noProof/>
        </w:rPr>
        <w:t>. Настоящото съобщение придружава приетия също дн</w:t>
      </w:r>
      <w:r>
        <w:rPr>
          <w:noProof/>
        </w:rPr>
        <w:t>ес Трети доклад за напредъка във връзка с намаляването на необслужваните кредити и допълнителното ограничаване на риска в банковия съюз.</w:t>
      </w:r>
    </w:p>
    <w:p w:rsidR="000C6829" w:rsidRDefault="00BB59DD">
      <w:pPr>
        <w:pStyle w:val="BodyText"/>
        <w:rPr>
          <w:noProof/>
        </w:rPr>
      </w:pPr>
      <w:r>
        <w:rPr>
          <w:noProof/>
        </w:rPr>
        <w:t xml:space="preserve">Също така успешният съюз на капиталовите пазари е необходим за </w:t>
      </w:r>
      <w:r>
        <w:rPr>
          <w:b/>
          <w:noProof/>
        </w:rPr>
        <w:t>развитието на местните капиталови пазари и подобряването</w:t>
      </w:r>
      <w:r>
        <w:rPr>
          <w:b/>
          <w:noProof/>
        </w:rPr>
        <w:t xml:space="preserve"> на достъпа до финансиране за предприятията</w:t>
      </w:r>
      <w:r>
        <w:rPr>
          <w:noProof/>
        </w:rPr>
        <w:t>. Предлагането на алтернативни пазарни източници на финансиране е особено важно за финансиране на иновациите, предприемачеството и стартиращите предприятия — основни фактори за създаването на работни места. Успешн</w:t>
      </w:r>
      <w:r>
        <w:rPr>
          <w:noProof/>
        </w:rPr>
        <w:t>ият съюз на капиталовите пазари ще даде възможност на дружествата да търсят финансиране в рамките на Съюза, например чрез регистрация на фондова борса в друга държава членка.</w:t>
      </w:r>
    </w:p>
    <w:p w:rsidR="000C6829" w:rsidRDefault="00BB59DD">
      <w:pPr>
        <w:pStyle w:val="BodyText"/>
        <w:rPr>
          <w:noProof/>
        </w:rPr>
      </w:pPr>
      <w:r>
        <w:rPr>
          <w:noProof/>
        </w:rPr>
        <w:t xml:space="preserve">Съюзът на капиталовите пазари </w:t>
      </w:r>
      <w:r>
        <w:rPr>
          <w:b/>
          <w:noProof/>
        </w:rPr>
        <w:t xml:space="preserve">предоставя повече възможности за инвестиции. </w:t>
      </w:r>
      <w:r>
        <w:rPr>
          <w:noProof/>
        </w:rPr>
        <w:t>Той да</w:t>
      </w:r>
      <w:r>
        <w:rPr>
          <w:noProof/>
        </w:rPr>
        <w:t xml:space="preserve">ва възможност на инвеститорите на дребно да получат достъп до инвестиционни продукти с висока възвръщаемост, задоволяващи техните средносрочни и дългосрочни финансови нужди, включително за пенсионно спестяване. Например понастоящем само 27 % от гражданите </w:t>
      </w:r>
      <w:r>
        <w:rPr>
          <w:noProof/>
        </w:rPr>
        <w:t xml:space="preserve">на Съюза използват </w:t>
      </w:r>
      <w:r>
        <w:rPr>
          <w:noProof/>
        </w:rPr>
        <w:lastRenderedPageBreak/>
        <w:t>продукт за лично пенсионно осигуряване. Съюзът на капиталовите пазари ще разшири тези възможности, за да могат повече граждани да се подготвят за пенсионирането си. Вследствие на регулаторни бариери едва малко над една трета от фондовете</w:t>
      </w:r>
      <w:r>
        <w:rPr>
          <w:noProof/>
        </w:rPr>
        <w:t xml:space="preserve"> за инвестиции на дребно</w:t>
      </w:r>
      <w:r>
        <w:rPr>
          <w:rStyle w:val="FootnoteReference"/>
          <w:noProof/>
        </w:rPr>
        <w:footnoteReference w:id="2"/>
      </w:r>
      <w:r>
        <w:rPr>
          <w:noProof/>
        </w:rPr>
        <w:t xml:space="preserve"> се предлагат в повече от три държави членки. Ето защо съюзът на капиталовите пазари ще позволи на гражданите да купуват по-евтини и по-добри инвестиционни продукти.</w:t>
      </w:r>
    </w:p>
    <w:p w:rsidR="000C6829" w:rsidRDefault="00BB59DD">
      <w:pPr>
        <w:pStyle w:val="BodyText"/>
        <w:rPr>
          <w:noProof/>
        </w:rPr>
      </w:pPr>
      <w:r>
        <w:rPr>
          <w:noProof/>
        </w:rPr>
        <w:t>Благодарение на силните и ликвидни капиталови пазари институциона</w:t>
      </w:r>
      <w:r>
        <w:rPr>
          <w:noProof/>
        </w:rPr>
        <w:t xml:space="preserve">лните инвеститори могат да работят по-лесно на равнището на целия Съюз и да финансират иновациите, прехода към нисковъглеродна кръгова икономика с по-ефективно използване на ресурсите, както и инвестициите в инфраструктура, които са от съществено значение </w:t>
      </w:r>
      <w:r>
        <w:rPr>
          <w:noProof/>
        </w:rPr>
        <w:t>за повишаване на конкурентоспособността на Съюза.</w:t>
      </w:r>
    </w:p>
    <w:p w:rsidR="000C6829" w:rsidRDefault="00BB59DD">
      <w:pPr>
        <w:pStyle w:val="BodyText"/>
        <w:rPr>
          <w:noProof/>
        </w:rPr>
      </w:pPr>
      <w:r>
        <w:rPr>
          <w:noProof/>
        </w:rPr>
        <w:t>Съюзът на капиталовите пазари ще позволи също така на доставчиците на финансови услуги да разширят дейността си и да предлагат своите услуги на по-широк кръг потребители в различни държави членки. Вече са н</w:t>
      </w:r>
      <w:r>
        <w:rPr>
          <w:noProof/>
        </w:rPr>
        <w:t xml:space="preserve">алице 13 484 финансови институции, които използват 359 953 паспорта за предоставяне на финансови услуги в рамките на Съюза. Благодарение на съюза на капиталовите пазари финансовите институции ще могат по-лесно да предлагат своите продукти и услуги в други </w:t>
      </w:r>
      <w:r>
        <w:rPr>
          <w:noProof/>
        </w:rPr>
        <w:t>държави членки, без да правят компромис със защитата на инвеститорите. Съюзът на капиталовите пазари може да бъде изграден чрез дълбока структурна реформа на финансовата система, а не чрез една-единствена мярка. Въздействието на мерките, предложени от Коми</w:t>
      </w:r>
      <w:r>
        <w:rPr>
          <w:noProof/>
        </w:rPr>
        <w:t xml:space="preserve">сията, ще бъде значително, но е необходимо време за пълната реализация на ползите. </w:t>
      </w:r>
      <w:r>
        <w:rPr>
          <w:b/>
          <w:noProof/>
        </w:rPr>
        <w:t>Потенциалът за нарастване е налице (вж. графиката по-долу) и сега е моментът да се предприемат решителни действия.</w:t>
      </w:r>
    </w:p>
    <w:p w:rsidR="000C6829" w:rsidRDefault="00BB59DD">
      <w:pPr>
        <w:pStyle w:val="BodyText"/>
        <w:keepNext/>
        <w:rPr>
          <w:i/>
          <w:noProof/>
        </w:rPr>
      </w:pPr>
      <w:r>
        <w:rPr>
          <w:noProof/>
        </w:rPr>
        <w:t>Графика — Големина на капиталовите пазари в избрани регион</w:t>
      </w:r>
      <w:r>
        <w:rPr>
          <w:noProof/>
        </w:rPr>
        <w:t xml:space="preserve">и </w:t>
      </w:r>
      <w:r>
        <w:rPr>
          <w:i/>
          <w:noProof/>
        </w:rPr>
        <w:t>(суми в обращение в края на 2017 г. като процент от БВП)</w:t>
      </w:r>
    </w:p>
    <w:p w:rsidR="000C6829" w:rsidRDefault="00BB59DD">
      <w:pPr>
        <w:pStyle w:val="BodyText"/>
        <w:rPr>
          <w:noProof/>
        </w:rPr>
      </w:pPr>
      <w:r>
        <w:rPr>
          <w:noProof/>
          <w:lang w:val="fr-BE" w:eastAsia="fr-BE" w:bidi="ar-SA"/>
        </w:rPr>
        <w:drawing>
          <wp:inline distT="0" distB="0" distL="0" distR="0">
            <wp:extent cx="5766179" cy="280396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1793" cy="2806690"/>
                    </a:xfrm>
                    <a:prstGeom prst="rect">
                      <a:avLst/>
                    </a:prstGeom>
                    <a:noFill/>
                  </pic:spPr>
                </pic:pic>
              </a:graphicData>
            </a:graphic>
          </wp:inline>
        </w:drawing>
      </w:r>
    </w:p>
    <w:p w:rsidR="000C6829" w:rsidRDefault="00BB59DD">
      <w:pPr>
        <w:spacing w:after="0"/>
        <w:rPr>
          <w:noProof/>
          <w:sz w:val="18"/>
        </w:rPr>
      </w:pPr>
      <w:r>
        <w:rPr>
          <w:noProof/>
          <w:sz w:val="18"/>
        </w:rPr>
        <w:t xml:space="preserve">Източник: </w:t>
      </w:r>
      <w:r>
        <w:rPr>
          <w:noProof/>
        </w:rPr>
        <w:tab/>
      </w:r>
      <w:r>
        <w:rPr>
          <w:noProof/>
          <w:sz w:val="18"/>
        </w:rPr>
        <w:t>Европейски институт за капиталовите пазари и собствени изчисления</w:t>
      </w:r>
    </w:p>
    <w:p w:rsidR="000C6829" w:rsidRDefault="00BB59DD">
      <w:pPr>
        <w:spacing w:after="0"/>
        <w:ind w:left="720" w:hanging="720"/>
        <w:rPr>
          <w:noProof/>
          <w:sz w:val="18"/>
        </w:rPr>
      </w:pPr>
      <w:r>
        <w:rPr>
          <w:noProof/>
          <w:sz w:val="18"/>
        </w:rPr>
        <w:t>Бележки:</w:t>
      </w:r>
      <w:r>
        <w:rPr>
          <w:noProof/>
        </w:rPr>
        <w:tab/>
        <w:t xml:space="preserve"> </w:t>
      </w:r>
      <w:r>
        <w:rPr>
          <w:noProof/>
          <w:sz w:val="18"/>
        </w:rPr>
        <w:t xml:space="preserve">въпреки че пазарите на ЕС и на САЩ не са напълно сравними, графиката показва, че капиталовите пазари в </w:t>
      </w:r>
      <w:r>
        <w:rPr>
          <w:noProof/>
          <w:sz w:val="18"/>
        </w:rPr>
        <w:t>държавите от ЕС-28 представляват около 160 % от БВП на Съюза, докато в САЩ това съотношение е 260 % от БВП;</w:t>
      </w:r>
      <w:r>
        <w:rPr>
          <w:i/>
          <w:noProof/>
          <w:sz w:val="18"/>
        </w:rPr>
        <w:t xml:space="preserve"> </w:t>
      </w:r>
      <w:r>
        <w:rPr>
          <w:noProof/>
          <w:sz w:val="18"/>
        </w:rPr>
        <w:t>капитализация на пазара на акции и облигации, емитирани от финансови и нефинансови предприятия; средната стойност за 5-те водещи пазара в Европейски</w:t>
      </w:r>
      <w:r>
        <w:rPr>
          <w:noProof/>
          <w:sz w:val="18"/>
        </w:rPr>
        <w:t>я съюз беше получена като средната претеглена спрямо БВП стойност за Нидерландия, Швеция, Дания, Ирландия и Люксембург с тежест от съответно 40 %, 26 %, 16 %, 16 % и 5 %</w:t>
      </w:r>
    </w:p>
    <w:p w:rsidR="000C6829" w:rsidRDefault="000C6829">
      <w:pPr>
        <w:spacing w:after="0"/>
        <w:ind w:left="720" w:hanging="720"/>
        <w:rPr>
          <w:i/>
          <w:noProof/>
          <w:sz w:val="18"/>
        </w:rPr>
      </w:pPr>
    </w:p>
    <w:p w:rsidR="000C6829" w:rsidRDefault="00BB59DD">
      <w:pPr>
        <w:pStyle w:val="BodyText"/>
        <w:rPr>
          <w:noProof/>
        </w:rPr>
      </w:pPr>
      <w:r>
        <w:rPr>
          <w:noProof/>
        </w:rPr>
        <w:t>През 2018 г. председателят Юнкер припомни в речта си за състоянието на Съюза, че „</w:t>
      </w:r>
      <w:r>
        <w:rPr>
          <w:i/>
          <w:noProof/>
        </w:rPr>
        <w:t>в н</w:t>
      </w:r>
      <w:r>
        <w:rPr>
          <w:i/>
          <w:noProof/>
        </w:rPr>
        <w:t>ачалото на този мандат всички заедно обещахме да създадем [...] съюз на капиталовите пазари</w:t>
      </w:r>
      <w:r>
        <w:rPr>
          <w:noProof/>
        </w:rPr>
        <w:t xml:space="preserve">“. С наближаването на изборите за Европейския парламент през май 2019 г. </w:t>
      </w:r>
      <w:r>
        <w:rPr>
          <w:b/>
          <w:noProof/>
        </w:rPr>
        <w:t>Комисията подчертава необходимостта съзаконодателите да ускорят работата по внесените предло</w:t>
      </w:r>
      <w:r>
        <w:rPr>
          <w:b/>
          <w:noProof/>
        </w:rPr>
        <w:t>жения и да проявят необходимата политическа амбиция, за да може всички предложения да бъдат разгледани до края на мандата.</w:t>
      </w:r>
      <w:r>
        <w:rPr>
          <w:noProof/>
        </w:rPr>
        <w:t xml:space="preserve"> Необходимостта от постигане на напредък става още по-явна поради предстоящото излизане на Обединеното кралство от ЕС. Комисията е гот</w:t>
      </w:r>
      <w:r>
        <w:rPr>
          <w:noProof/>
        </w:rPr>
        <w:t>ова да увеличи подкрепата си за съзаконодателите, като им предостави основните градивни елементи на съюза на капиталовите пазари.</w:t>
      </w:r>
    </w:p>
    <w:p w:rsidR="000C6829" w:rsidRDefault="00BB59DD">
      <w:pPr>
        <w:pStyle w:val="Heading1"/>
        <w:rPr>
          <w:noProof/>
        </w:rPr>
      </w:pPr>
      <w:bookmarkStart w:id="3" w:name="_Toc528147009"/>
      <w:r>
        <w:rPr>
          <w:noProof/>
        </w:rPr>
        <w:t xml:space="preserve">Предприети до момента стъпки към постигането на </w:t>
      </w:r>
      <w:bookmarkEnd w:id="3"/>
      <w:r>
        <w:rPr>
          <w:noProof/>
        </w:rPr>
        <w:t>съюза на капиталовите пазари</w:t>
      </w:r>
    </w:p>
    <w:p w:rsidR="000C6829" w:rsidRDefault="00BB59DD">
      <w:pPr>
        <w:pStyle w:val="BodyText"/>
        <w:rPr>
          <w:noProof/>
        </w:rPr>
      </w:pPr>
      <w:r>
        <w:rPr>
          <w:noProof/>
        </w:rPr>
        <w:t>С плана за действие за изграждане на съюза на кап</w:t>
      </w:r>
      <w:r>
        <w:rPr>
          <w:noProof/>
        </w:rPr>
        <w:t>италовите пазари от септември 2015 г. и с междинния преглед от юни 2017 г. бе създадена цялостна програма за изграждане на съюза на капиталовите пазари до 2019 г.</w:t>
      </w:r>
    </w:p>
    <w:p w:rsidR="000C6829" w:rsidRDefault="00BB59DD">
      <w:pPr>
        <w:pStyle w:val="BodyText"/>
        <w:rPr>
          <w:noProof/>
        </w:rPr>
      </w:pPr>
      <w:r>
        <w:rPr>
          <w:noProof/>
        </w:rPr>
        <w:t>Програмата включва 13 законодателни предложения, внесени от Комисията, за да се създадат осно</w:t>
      </w:r>
      <w:r>
        <w:rPr>
          <w:noProof/>
        </w:rPr>
        <w:t>вите на съюза на капиталовите пазари. Освен това Комисията излезе с три законодателни предложения, за да даде възможност на финансовия сектор на Съюза да заеме водеща позиция за постигането на по-екологична и по-чиста икономика.</w:t>
      </w:r>
      <w:r>
        <w:rPr>
          <w:rStyle w:val="FootnoteReference"/>
          <w:noProof/>
        </w:rPr>
        <w:footnoteReference w:id="3"/>
      </w:r>
      <w:r>
        <w:rPr>
          <w:noProof/>
        </w:rPr>
        <w:t xml:space="preserve"> При все това Европейският </w:t>
      </w:r>
      <w:r>
        <w:rPr>
          <w:noProof/>
        </w:rPr>
        <w:t>парламент и Съветът досега са постигнали съгласие само по три от тях:</w:t>
      </w:r>
    </w:p>
    <w:p w:rsidR="000C6829" w:rsidRDefault="00BB59DD">
      <w:pPr>
        <w:pStyle w:val="BodyText"/>
        <w:numPr>
          <w:ilvl w:val="0"/>
          <w:numId w:val="32"/>
        </w:numPr>
        <w:rPr>
          <w:noProof/>
          <w:szCs w:val="24"/>
        </w:rPr>
      </w:pPr>
      <w:r>
        <w:rPr>
          <w:b/>
          <w:noProof/>
        </w:rPr>
        <w:t>Регламентът за проспектите</w:t>
      </w:r>
      <w:r>
        <w:rPr>
          <w:rStyle w:val="FootnoteReference"/>
          <w:noProof/>
        </w:rPr>
        <w:footnoteReference w:id="4"/>
      </w:r>
      <w:r>
        <w:rPr>
          <w:noProof/>
        </w:rPr>
        <w:t>, приет през юни 2017 г., съкращава бюрокрацията за дружествата, които търсят възможности за финансиране, като улеснява съставянето на проспектите и ги прави п</w:t>
      </w:r>
      <w:r>
        <w:rPr>
          <w:noProof/>
        </w:rPr>
        <w:t xml:space="preserve">о-ясни за инвеститорите. </w:t>
      </w:r>
    </w:p>
    <w:p w:rsidR="000C6829" w:rsidRDefault="00BB59DD">
      <w:pPr>
        <w:pStyle w:val="BodyText"/>
        <w:numPr>
          <w:ilvl w:val="0"/>
          <w:numId w:val="32"/>
        </w:numPr>
        <w:rPr>
          <w:noProof/>
          <w:szCs w:val="24"/>
        </w:rPr>
      </w:pPr>
      <w:r>
        <w:rPr>
          <w:b/>
          <w:noProof/>
        </w:rPr>
        <w:t>Регламентите относно европейските фондове за рисков капитал и относно европейските фондове за социално предприемачество</w:t>
      </w:r>
      <w:r>
        <w:rPr>
          <w:rStyle w:val="FootnoteReference"/>
          <w:noProof/>
        </w:rPr>
        <w:footnoteReference w:id="5"/>
      </w:r>
      <w:r>
        <w:rPr>
          <w:noProof/>
        </w:rPr>
        <w:t xml:space="preserve">, приети през октомври 2017 г., целят да се стимулират инвестициите в рисков капитал и в социални проекти. Те </w:t>
      </w:r>
      <w:r>
        <w:rPr>
          <w:noProof/>
        </w:rPr>
        <w:t xml:space="preserve">улесняват инвестициите в малки и средни иновативни предприятия, тъй като в обхвата на регламентите ще бъдат включени лица, управляващи всякакви по размер фондове, като се разширява кръгът от дружества, в които може да се инвестира. В допълнение към новите </w:t>
      </w:r>
      <w:r>
        <w:rPr>
          <w:noProof/>
        </w:rPr>
        <w:t xml:space="preserve">правила Комисията създаде </w:t>
      </w:r>
      <w:r>
        <w:rPr>
          <w:b/>
          <w:noProof/>
        </w:rPr>
        <w:t>фондове за инвестиции във фондове за рисков капитал</w:t>
      </w:r>
      <w:r>
        <w:rPr>
          <w:noProof/>
        </w:rPr>
        <w:t xml:space="preserve"> в подкрепа на инвестициите в иновации и ще продължи да работи по други мерки за подкрепа на рисковия капитал. </w:t>
      </w:r>
    </w:p>
    <w:p w:rsidR="000C6829" w:rsidRDefault="00BB59DD">
      <w:pPr>
        <w:pStyle w:val="BodyText"/>
        <w:numPr>
          <w:ilvl w:val="0"/>
          <w:numId w:val="32"/>
        </w:numPr>
        <w:rPr>
          <w:noProof/>
          <w:szCs w:val="24"/>
        </w:rPr>
      </w:pPr>
      <w:r>
        <w:rPr>
          <w:noProof/>
        </w:rPr>
        <w:lastRenderedPageBreak/>
        <w:t xml:space="preserve">На последно място, </w:t>
      </w:r>
      <w:r>
        <w:rPr>
          <w:b/>
          <w:noProof/>
        </w:rPr>
        <w:t>Регламентът относно опростени, прозрачни и станд</w:t>
      </w:r>
      <w:r>
        <w:rPr>
          <w:b/>
          <w:noProof/>
        </w:rPr>
        <w:t>артизирани (ОПС) секюритизации</w:t>
      </w:r>
      <w:r>
        <w:rPr>
          <w:rStyle w:val="FootnoteReference"/>
          <w:noProof/>
        </w:rPr>
        <w:footnoteReference w:id="6"/>
      </w:r>
      <w:r>
        <w:rPr>
          <w:noProof/>
        </w:rPr>
        <w:t>, приет през декември 2017 г., спомага за изграждане на доверие в пазара на секюритизациите и за освобождаване на капацитет в счетоводните баланси на банките. Ако пазарът се върне до средните нива на емитиране отпреди кризата</w:t>
      </w:r>
      <w:r>
        <w:rPr>
          <w:noProof/>
        </w:rPr>
        <w:t>, банките биха могли да предоставят допълнителни кредити за частния сектор в размер на 157 милиарда евро</w:t>
      </w:r>
      <w:r>
        <w:rPr>
          <w:rStyle w:val="FootnoteReference"/>
          <w:noProof/>
        </w:rPr>
        <w:footnoteReference w:id="7"/>
      </w:r>
      <w:r>
        <w:rPr>
          <w:noProof/>
        </w:rPr>
        <w:t>. В допълнение към Регламента за ОПС секюритизации, Комисията измени правилата за прилагане на Регламента „Платежоспособност II“</w:t>
      </w:r>
      <w:r>
        <w:rPr>
          <w:rStyle w:val="FootnoteReference"/>
          <w:noProof/>
        </w:rPr>
        <w:footnoteReference w:id="8"/>
      </w:r>
      <w:r>
        <w:rPr>
          <w:noProof/>
        </w:rPr>
        <w:t xml:space="preserve">, за да се </w:t>
      </w:r>
      <w:r>
        <w:rPr>
          <w:b/>
          <w:noProof/>
        </w:rPr>
        <w:t>улеснят инв</w:t>
      </w:r>
      <w:r>
        <w:rPr>
          <w:b/>
          <w:noProof/>
        </w:rPr>
        <w:t>естициите на застрахователите в ОПС секюритизации и инфраструктура</w:t>
      </w:r>
      <w:r>
        <w:rPr>
          <w:noProof/>
        </w:rPr>
        <w:t xml:space="preserve">. </w:t>
      </w:r>
    </w:p>
    <w:p w:rsidR="000C6829" w:rsidRDefault="00BB59DD">
      <w:pPr>
        <w:pStyle w:val="BodyText"/>
        <w:rPr>
          <w:noProof/>
          <w:szCs w:val="24"/>
        </w:rPr>
      </w:pPr>
      <w:r>
        <w:rPr>
          <w:noProof/>
        </w:rPr>
        <w:t>Подобно на изменението във връзка с ОПС секюритизациите и инфраструктурата, Комисията възнамерява да предложи изменение по отношение на инвестициите на застрахователните дружества в капит</w:t>
      </w:r>
      <w:r>
        <w:rPr>
          <w:noProof/>
        </w:rPr>
        <w:t>алови инструменти и частни емисии на дългови инструменти.</w:t>
      </w:r>
    </w:p>
    <w:p w:rsidR="000C6829" w:rsidRDefault="00BB59DD">
      <w:pPr>
        <w:pStyle w:val="Heading1"/>
        <w:rPr>
          <w:noProof/>
        </w:rPr>
      </w:pPr>
      <w:r>
        <w:rPr>
          <w:noProof/>
        </w:rPr>
        <w:t>Инициативи във връзка със съюза на капиталовите пазари, по които е необходим бърз напредък</w:t>
      </w:r>
    </w:p>
    <w:p w:rsidR="000C6829" w:rsidRDefault="00BB59DD">
      <w:pPr>
        <w:rPr>
          <w:noProof/>
        </w:rPr>
      </w:pPr>
      <w:r>
        <w:rPr>
          <w:noProof/>
        </w:rPr>
        <w:t>За ефективното функциониране на съюза на капиталовите пазари е нужен силен политически импулс. С оглед извл</w:t>
      </w:r>
      <w:r>
        <w:rPr>
          <w:noProof/>
        </w:rPr>
        <w:t>ичането на максимални ползи от единния пазар, предприятията и инвеститорите трябва да имат нови възможности да разширят дейността си в целия Съюз и да се конкурират в световен мащаб, както и ясни и пропорционални правила и ефективен надзор. Стабилните и ли</w:t>
      </w:r>
      <w:r>
        <w:rPr>
          <w:noProof/>
        </w:rPr>
        <w:t>квидни капиталови пазари също играят решаваща роля за укрепване на водещата позиция на Съюза във финансирането на необходимия преход към нисковъглеродна, ресурсно ефективна и кръгова икономика.</w:t>
      </w:r>
    </w:p>
    <w:tbl>
      <w:tblPr>
        <w:tblStyle w:val="TableGrid"/>
        <w:tblW w:w="8630" w:type="dxa"/>
        <w:jc w:val="center"/>
        <w:tblLayout w:type="fixed"/>
        <w:tblCellMar>
          <w:top w:w="57" w:type="dxa"/>
        </w:tblCellMar>
        <w:tblLook w:val="04A0" w:firstRow="1" w:lastRow="0" w:firstColumn="1" w:lastColumn="0" w:noHBand="0" w:noVBand="1"/>
      </w:tblPr>
      <w:tblGrid>
        <w:gridCol w:w="450"/>
        <w:gridCol w:w="3547"/>
        <w:gridCol w:w="2217"/>
        <w:gridCol w:w="2217"/>
        <w:gridCol w:w="199"/>
      </w:tblGrid>
      <w:tr w:rsidR="000C6829">
        <w:trPr>
          <w:gridAfter w:val="1"/>
          <w:wAfter w:w="204" w:type="dxa"/>
          <w:trHeight w:hRule="exact" w:val="1676"/>
          <w:jc w:val="center"/>
        </w:trPr>
        <w:tc>
          <w:tcPr>
            <w:tcW w:w="4094" w:type="dxa"/>
            <w:gridSpan w:val="2"/>
            <w:tcBorders>
              <w:top w:val="nil"/>
              <w:left w:val="nil"/>
              <w:bottom w:val="single" w:sz="4" w:space="0" w:color="auto"/>
            </w:tcBorders>
            <w:vAlign w:val="center"/>
          </w:tcPr>
          <w:p w:rsidR="000C6829" w:rsidRDefault="00BB59DD">
            <w:pPr>
              <w:keepNext/>
              <w:keepLines/>
              <w:spacing w:after="0"/>
              <w:jc w:val="center"/>
              <w:rPr>
                <w:rFonts w:ascii="Times New Roman" w:hAnsi="Times New Roman" w:cs="Times New Roman"/>
                <w:b/>
                <w:noProof/>
                <w:color w:val="000000" w:themeColor="text1"/>
                <w:sz w:val="22"/>
              </w:rPr>
            </w:pPr>
            <w:r>
              <w:rPr>
                <w:rFonts w:ascii="Times New Roman" w:hAnsi="Times New Roman"/>
                <w:b/>
                <w:noProof/>
                <w:color w:val="000000" w:themeColor="text1"/>
                <w:sz w:val="22"/>
              </w:rPr>
              <w:lastRenderedPageBreak/>
              <w:t>ОПИСАНИЕ НА ПОЛИТИКАТА</w:t>
            </w:r>
          </w:p>
        </w:tc>
        <w:tc>
          <w:tcPr>
            <w:tcW w:w="2268" w:type="dxa"/>
            <w:tcBorders>
              <w:top w:val="nil"/>
            </w:tcBorders>
          </w:tcPr>
          <w:p w:rsidR="000C6829" w:rsidRDefault="00BB59DD">
            <w:pPr>
              <w:keepNext/>
              <w:keepLines/>
              <w:tabs>
                <w:tab w:val="left" w:pos="720"/>
              </w:tabs>
              <w:spacing w:before="120" w:after="0"/>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object w:dxaOrig="3225" w:dyaOrig="1920">
                <v:shape id="_x0000_i1027" type="#_x0000_t75" style="width:67.35pt;height:39.5pt" o:ole="">
                  <v:imagedata r:id="rId19" o:title=""/>
                </v:shape>
                <o:OLEObject Type="Embed" ProgID="PBrush" ShapeID="_x0000_i1027" DrawAspect="Content" ObjectID="_1606040266" r:id="rId20"/>
              </w:object>
            </w:r>
          </w:p>
          <w:p w:rsidR="000C6829" w:rsidRDefault="00BB59DD">
            <w:pPr>
              <w:keepNext/>
              <w:keepLines/>
              <w:tabs>
                <w:tab w:val="left" w:pos="756"/>
              </w:tabs>
              <w:spacing w:before="120" w:after="0"/>
              <w:jc w:val="center"/>
              <w:rPr>
                <w:rFonts w:ascii="Times New Roman" w:hAnsi="Times New Roman" w:cs="Times New Roman"/>
                <w:b/>
                <w:noProof/>
                <w:color w:val="000000" w:themeColor="text1"/>
                <w:sz w:val="20"/>
              </w:rPr>
            </w:pPr>
            <w:r>
              <w:rPr>
                <w:rFonts w:ascii="Times New Roman" w:hAnsi="Times New Roman"/>
                <w:noProof/>
                <w:sz w:val="20"/>
              </w:rPr>
              <w:t>Европейски парламент</w:t>
            </w:r>
          </w:p>
        </w:tc>
        <w:tc>
          <w:tcPr>
            <w:tcW w:w="2268" w:type="dxa"/>
            <w:tcBorders>
              <w:top w:val="nil"/>
            </w:tcBorders>
          </w:tcPr>
          <w:p w:rsidR="000C6829" w:rsidRDefault="00BB59DD">
            <w:pPr>
              <w:keepNext/>
              <w:keepLines/>
              <w:spacing w:before="120" w:after="0"/>
              <w:jc w:val="center"/>
              <w:rPr>
                <w:rFonts w:ascii="Times New Roman" w:hAnsi="Times New Roman" w:cs="Times New Roman"/>
                <w:noProof/>
                <w:sz w:val="20"/>
              </w:rPr>
            </w:pPr>
            <w:r>
              <w:rPr>
                <w:rFonts w:ascii="Times New Roman" w:eastAsia="Times New Roman" w:hAnsi="Times New Roman" w:cs="Times New Roman"/>
                <w:noProof/>
                <w:sz w:val="20"/>
                <w:szCs w:val="20"/>
              </w:rPr>
              <w:object w:dxaOrig="2805" w:dyaOrig="2490">
                <v:shape id="_x0000_i1028" type="#_x0000_t75" style="width:42.95pt;height:39.5pt" o:ole="">
                  <v:imagedata r:id="rId21" o:title=""/>
                </v:shape>
                <o:OLEObject Type="Embed" ProgID="PBrush" ShapeID="_x0000_i1028" DrawAspect="Content" ObjectID="_1606040267" r:id="rId22"/>
              </w:object>
            </w:r>
          </w:p>
          <w:p w:rsidR="000C6829" w:rsidRDefault="00BB59DD">
            <w:pPr>
              <w:keepNext/>
              <w:keepLines/>
              <w:tabs>
                <w:tab w:val="left" w:pos="720"/>
              </w:tabs>
              <w:spacing w:before="120" w:after="0"/>
              <w:jc w:val="center"/>
              <w:rPr>
                <w:rFonts w:ascii="Times New Roman" w:hAnsi="Times New Roman" w:cs="Times New Roman"/>
                <w:noProof/>
                <w:sz w:val="20"/>
              </w:rPr>
            </w:pPr>
            <w:r>
              <w:rPr>
                <w:rFonts w:ascii="Times New Roman" w:hAnsi="Times New Roman"/>
                <w:noProof/>
                <w:sz w:val="20"/>
              </w:rPr>
              <w:t>Съвет на Европейския съюз</w: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Общоевропейски продукт за лично пенсионно осигуряване (ОЕПЛПО)</w: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86" name="Oval 286"/>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D72422" id="Oval 286"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KBqLeuPAgAArwUAAA4AAAAAAAAAAAAAAAAALgIAAGRycy9lMm9Eb2MueG1sUEsBAi0AFAAG&#10;AAgAAAAhAFHKSrDZAAAAAwEAAA8AAAAAAAAAAAAAAAAA6QQAAGRycy9kb3ducmV2LnhtbFBLBQYA&#10;AAAABAAEAPMAAADvBQAAAAA=&#10;" fillcolor="#ffef10" strokecolor="#ffef10"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87" name="Oval 287"/>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C253EE" id="Oval 287"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PIzbMmPAgAArwUAAA4AAAAAAAAAAAAAAAAALgIAAGRycy9lMm9Eb2MueG1sUEsBAi0AFAAG&#10;AAgAAAAhAFHKSrDZAAAAAwEAAA8AAAAAAAAAAAAAAAAA6QQAAGRycy9kb3ducmV2LnhtbFBLBQYA&#10;AAAABAAEAPMAAADvBQAAAAA=&#10;" fillcolor="#ffef10" strokecolor="#ffef10"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b/>
                <w:noProof/>
                <w:color w:val="000000" w:themeColor="text1"/>
                <w:sz w:val="20"/>
              </w:rPr>
            </w:pPr>
            <w:r>
              <w:rPr>
                <w:rFonts w:ascii="Times New Roman" w:hAnsi="Times New Roman"/>
                <w:b/>
                <w:noProof/>
                <w:color w:val="000000" w:themeColor="text1"/>
                <w:sz w:val="20"/>
              </w:rPr>
              <w:t>Покрити облигации</w: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7635"/>
                      <wp:effectExtent l="0" t="0" r="27940" b="24765"/>
                      <wp:docPr id="2" name="Oval 2"/>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94F5CE" id="Oval 2"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" fillcolor="#ffef10" strokecolor="#ffef10"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7635"/>
                      <wp:effectExtent l="0" t="0" r="27940" b="24765"/>
                      <wp:docPr id="5" name="Oval 5"/>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0E7CE58" id="Oval 5"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" fillcolor="#ffef10" strokecolor="#ffef10"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Колективно финансиране</w: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88" name="Oval 288"/>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9D5246" id="Oval 288"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J1x0e+PAgAArwUAAA4AAAAAAAAAAAAAAAAALgIAAGRycy9lMm9Eb2MueG1sUEsBAi0AFAAG&#10;AAgAAAAhAFHKSrDZAAAAAwEAAA8AAAAAAAAAAAAAAAAA6QQAAGRycy9kb3ducmV2LnhtbFBLBQYA&#10;AAAABAAEAPMAAADvBQAAAAA=&#10;" fillcolor="#ffef10" strokecolor="#ffef10"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72" name="Oval 272"/>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055941E" id="Oval 272"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o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O+1/6i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Трансгранично разпространение на колективни инвестиционни фондове</w: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7635"/>
                      <wp:effectExtent l="0" t="0" r="27940" b="24765"/>
                      <wp:docPr id="6" name="Oval 6"/>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A97C15" id="Oval 6"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" fillcolor="#ffef10" strokecolor="#ffef10"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89" name="Oval 289"/>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E79B9E" id="Oval 289"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M8okM2PAgAArwUAAA4AAAAAAAAAAAAAAAAALgIAAGRycy9lMm9Eb2MueG1sUEsBAi0AFAAG&#10;AAgAAAAhAFHKSrDZAAAAAwEAAA8AAAAAAAAAAAAAAAAA6QQAAGRycy9kb3ducmV2LnhtbFBLBQYA&#10;AAAABAAEAPMAAADvBQAAAAA=&#10;" fillcolor="#ffef10" strokecolor="#ffef10"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Преглед на рамката </w:t>
            </w:r>
            <w:r>
              <w:rPr>
                <w:rFonts w:ascii="Times New Roman" w:hAnsi="Times New Roman"/>
                <w:b/>
                <w:noProof/>
                <w:color w:val="000000" w:themeColor="text1"/>
                <w:sz w:val="20"/>
              </w:rPr>
              <w:t>за инвестиционни посредници</w: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90" name="Oval 290"/>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3751F4" id="Oval 290"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2jjQ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" fillcolor="#ffef10" strokecolor="#ffef10"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74" name="Oval 27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81D1CC" id="Oval 27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hl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ANieGW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Превантивно преструктуриране, предоставяне на втори шанс и мерки за повишаване на ефективността на процедурите</w: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92" name="Oval 292"/>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E56A6D" id="Oval 292"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n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aX5v544CAACvBQAADgAAAAAAAAAAAAAAAAAuAgAAZHJzL2Uyb0RvYy54bWxQSwECLQAUAAYA&#10;CAAAACEAUcpKsNkAAAADAQAADwAAAAAAAAAAAAAAAADoBAAAZHJzL2Rvd25yZXYueG1sUEsFBgAA&#10;AAAEAAQA8wAAAO4FAAAAAA==&#10;" fillcolor="#ffef10" strokecolor="#ffef10"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94" name="Oval 294"/>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FA4E4AB" id="Oval 294"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gq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hanoKo4CAACvBQAADgAAAAAAAAAAAAAAAAAuAgAAZHJzL2Uyb0RvYy54bWxQSwECLQAUAAYA&#10;CAAAACEAUcpKsNkAAAADAQAADwAAAAAAAAAAAAAAAADoBAAAZHJzL2Rvd25yZXYueG1sUEsFBgAA&#10;AAAEAAQA8wAAAO4FAAAAAA==&#10;" fillcolor="#ffef10" strokecolor="#ffef10"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Насърчаване на пазарите за растеж на МСП</w: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75" name="Oval 275"/>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58A754" id="Oval 275"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l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S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FE7OUe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3" name="Oval 3"/>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4A0CE5" id="Oval 3"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" fillcolor="#f0842c" strokecolor="#f0842c"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Действие на прехвърлянето на вземания спрямо трети страни </w: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76" name="Oval 276"/>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1F4EBB" id="Oval 276"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o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R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KfQ+iG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4" name="Oval 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383D31" id="Oval 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" fillcolor="#f0842c" strokecolor="#f0842c"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Преглед на Европейските надзорни органи, включително засилени правила срещу изпирането на пари</w: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77" name="Oval 277"/>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808810" id="Oval 277"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sD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T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PWJuwO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78" name="Oval 278"/>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1CB916B" id="Oval 278"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Yl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JrLBiW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Регламент за европейската пазарна инфраструктура (надзор)</w: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95" name="Oval 295"/>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464215" id="Oval 295"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kIk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" fillcolor="#ffef10" strokecolor="#ffef10"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79" name="Oval 279"/>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942B21D" id="Oval 279"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c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SU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MiSRwe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Финансиране за устойчиво развитие: таксономия</w: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84" name="Oval 28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55B485" id="Oval 28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IijU7i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81" name="Oval 281"/>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0C69BA" id="Oval 281"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&#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CSnxcTkgIAAK8FAAAOAAAAAAAAAAAAAAAAAC4CAABkcnMvZTJvRG9jLnhtbFBLAQIt&#10;ABQABgAIAAAAIQDXWqZ42gAAAAMBAAAPAAAAAAAAAAAAAAAAAOwEAABkcnMvZG93bnJldi54bWxQ&#10;SwUGAAAAAAQABADzAAAA8wUAAAAA&#10;" fillcolor="#f0842c" strokecolor="#f0842c"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 xml:space="preserve">Финансиране за устойчиво развитие: </w:t>
            </w:r>
            <w:r>
              <w:rPr>
                <w:rFonts w:ascii="Times New Roman" w:hAnsi="Times New Roman"/>
                <w:b/>
                <w:noProof/>
                <w:color w:val="000000" w:themeColor="text1"/>
                <w:sz w:val="20"/>
              </w:rPr>
              <w:t>оповестяване</w:t>
            </w:r>
          </w:p>
        </w:tc>
        <w:tc>
          <w:tcPr>
            <w:tcW w:w="2268" w:type="dxa"/>
            <w:vAlign w:val="center"/>
          </w:tcPr>
          <w:p w:rsidR="000C6829" w:rsidRDefault="00BB59DD">
            <w:pPr>
              <w:keepNext/>
              <w:keepLines/>
              <w:spacing w:after="0"/>
              <w:jc w:val="center"/>
              <w:rPr>
                <w:b/>
                <w:noProof/>
                <w:color w:val="003399"/>
                <w:sz w:val="20"/>
                <w:szCs w:val="20"/>
              </w:rPr>
            </w:pPr>
            <w:r>
              <w:rPr>
                <w:b/>
                <w:noProof/>
                <w:color w:val="003399"/>
                <w:sz w:val="20"/>
                <w:lang w:val="fr-BE" w:eastAsia="fr-BE" w:bidi="ar-SA"/>
              </w:rPr>
              <mc:AlternateContent>
                <mc:Choice Requires="wps">
                  <w:drawing>
                    <wp:inline distT="0" distB="0" distL="0" distR="0">
                      <wp:extent cx="124460" cy="127635"/>
                      <wp:effectExtent l="0" t="0" r="27940" b="24765"/>
                      <wp:docPr id="297" name="Oval 297"/>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72E7F3" id="Oval 297"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tM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c0IrTI4CAACvBQAADgAAAAAAAAAAAAAAAAAuAgAAZHJzL2Uyb0RvYy54bWxQSwECLQAUAAYA&#10;CAAAACEAUcpKsNkAAAADAQAADwAAAAAAAAAAAAAAAADoBAAAZHJzL2Rvd25yZXYueG1sUEsFBgAA&#10;AAAEAAQA8wAAAO4FAAAAAA==&#10;" fillcolor="#ffef10" strokecolor="#ffef10"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82" name="Oval 282"/>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345A24" id="Oval 282"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GR01HW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0C682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0C6829" w:rsidRDefault="00BB59DD">
            <w:pPr>
              <w:keepNext/>
              <w:keepLine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Финансиране за устойчиво развитие: референтни показатели за ниски въглеродни емисии</w: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85" name="Oval 285"/>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825BF9" id="Oval 285"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&#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Da+hKakgIAAK8FAAAOAAAAAAAAAAAAAAAAAC4CAABkcnMvZTJvRG9jLnhtbFBLAQIt&#10;ABQABgAIAAAAIQDXWqZ42gAAAAMBAAAPAAAAAAAAAAAAAAAAAOwEAABkcnMvZG93bnJldi54bWxQ&#10;SwUGAAAAAAQABADzAAAA8wUAAAAA&#10;" fillcolor="#f0842c" strokecolor="#f0842c" strokeweight="2pt">
                      <w10:anchorlock/>
                    </v:oval>
                  </w:pict>
                </mc:Fallback>
              </mc:AlternateContent>
            </w:r>
          </w:p>
        </w:tc>
        <w:tc>
          <w:tcPr>
            <w:tcW w:w="2268" w:type="dxa"/>
            <w:vAlign w:val="center"/>
          </w:tcPr>
          <w:p w:rsidR="000C6829" w:rsidRDefault="00BB59DD">
            <w:pPr>
              <w:keepNext/>
              <w:keepLines/>
              <w:spacing w:after="0"/>
              <w:jc w:val="center"/>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83" name="Oval 283"/>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C27009" id="Oval 283"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&#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A2LZVXkgIAAK8FAAAOAAAAAAAAAAAAAAAAAC4CAABkcnMvZTJvRG9jLnhtbFBLAQIt&#10;ABQABgAIAAAAIQDXWqZ42gAAAAMBAAAPAAAAAAAAAAAAAAAAAOwEAABkcnMvZG93bnJldi54bWxQ&#10;SwUGAAAAAAQABADzAAAA8wUAAAAA&#10;" fillcolor="#f0842c" strokecolor="#f0842c" strokeweight="2pt">
                      <w10:anchorlock/>
                    </v:oval>
                  </w:pict>
                </mc:Fallback>
              </mc:AlternateContent>
            </w:r>
          </w:p>
        </w:tc>
      </w:tr>
      <w:tr w:rsidR="000C682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tblCellMar>
        </w:tblPrEx>
        <w:trPr>
          <w:trHeight w:val="397"/>
        </w:trPr>
        <w:tc>
          <w:tcPr>
            <w:tcW w:w="456" w:type="dxa"/>
            <w:vAlign w:val="center"/>
          </w:tcPr>
          <w:p w:rsidR="000C6829" w:rsidRDefault="00BB59DD">
            <w:pPr>
              <w:spacing w:after="0"/>
              <w:jc w:val="left"/>
              <w:rPr>
                <w:b/>
                <w:noProof/>
                <w:color w:val="003399"/>
                <w:sz w:val="20"/>
              </w:rPr>
            </w:pPr>
            <w:r>
              <w:rPr>
                <w:b/>
                <w:noProof/>
                <w:color w:val="003399"/>
                <w:sz w:val="20"/>
                <w:lang w:val="fr-BE" w:eastAsia="fr-BE" w:bidi="ar-SA"/>
              </w:rPr>
              <mc:AlternateContent>
                <mc:Choice Requires="wps">
                  <w:drawing>
                    <wp:inline distT="0" distB="0" distL="0" distR="0">
                      <wp:extent cx="124460" cy="127635"/>
                      <wp:effectExtent l="0" t="0" r="27940" b="24765"/>
                      <wp:docPr id="153" name="Oval 153"/>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27A799" id="Oval 153"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emmDOY4CAACvBQAADgAAAAAAAAAAAAAAAAAuAgAAZHJzL2Uyb0RvYy54bWxQSwECLQAUAAYA&#10;CAAAACEAUcpKsNkAAAADAQAADwAAAAAAAAAAAAAAAADoBAAAZHJzL2Rvd25yZXYueG1sUEsFBgAA&#10;AAAEAAQA8wAAAO4FAAAAAA==&#10;" fillcolor="#ffef10" strokecolor="#ffef10" strokeweight="2pt">
                      <w10:anchorlock/>
                    </v:oval>
                  </w:pict>
                </mc:Fallback>
              </mc:AlternateContent>
            </w:r>
          </w:p>
        </w:tc>
        <w:tc>
          <w:tcPr>
            <w:tcW w:w="8378" w:type="dxa"/>
            <w:gridSpan w:val="4"/>
            <w:vAlign w:val="center"/>
          </w:tcPr>
          <w:p w:rsidR="000C6829" w:rsidRDefault="00BB59DD">
            <w:pPr>
              <w:keepNext/>
              <w:tabs>
                <w:tab w:val="left" w:pos="142"/>
              </w:tab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ВЪЗМОЖНО Е БЪРЗОТО ПОСТИГАНЕ НА СПОРАЗУМЕНИЕ, КАТО СЕ СЛЕДВАТ ОБИКНОВЕНИТЕ ПРОЦЕДУРИ</w:t>
            </w:r>
          </w:p>
        </w:tc>
      </w:tr>
      <w:tr w:rsidR="000C682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tblCellMar>
        </w:tblPrEx>
        <w:trPr>
          <w:trHeight w:val="397"/>
        </w:trPr>
        <w:tc>
          <w:tcPr>
            <w:tcW w:w="456" w:type="dxa"/>
            <w:vAlign w:val="center"/>
          </w:tcPr>
          <w:p w:rsidR="000C6829" w:rsidRDefault="00BB59DD">
            <w:pPr>
              <w:tabs>
                <w:tab w:val="left" w:pos="142"/>
              </w:tabs>
              <w:spacing w:after="0"/>
              <w:jc w:val="left"/>
              <w:rPr>
                <w:b/>
                <w:noProof/>
                <w:color w:val="003399"/>
                <w:sz w:val="20"/>
              </w:rPr>
            </w:pPr>
            <w:r>
              <w:rPr>
                <w:b/>
                <w:noProof/>
                <w:color w:val="003399"/>
                <w:sz w:val="20"/>
                <w:lang w:val="fr-BE" w:eastAsia="fr-BE" w:bidi="ar-SA"/>
              </w:rPr>
              <mc:AlternateContent>
                <mc:Choice Requires="wps">
                  <w:drawing>
                    <wp:inline distT="0" distB="0" distL="0" distR="0">
                      <wp:extent cx="124460" cy="121920"/>
                      <wp:effectExtent l="0" t="0" r="27940" b="11430"/>
                      <wp:docPr id="270" name="Oval 270"/>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2B83B3" id="Oval 270"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skA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" fillcolor="#f0842c" strokecolor="#f0842c" strokeweight="2pt">
                      <w10:anchorlock/>
                    </v:oval>
                  </w:pict>
                </mc:Fallback>
              </mc:AlternateContent>
            </w:r>
          </w:p>
        </w:tc>
        <w:tc>
          <w:tcPr>
            <w:tcW w:w="8378" w:type="dxa"/>
            <w:gridSpan w:val="4"/>
            <w:vAlign w:val="center"/>
          </w:tcPr>
          <w:p w:rsidR="000C6829" w:rsidRDefault="00BB59DD">
            <w:pPr>
              <w:tabs>
                <w:tab w:val="left" w:pos="142"/>
              </w:tabs>
              <w:spacing w:after="0"/>
              <w:jc w:val="left"/>
              <w:rPr>
                <w:rFonts w:ascii="Times New Roman" w:hAnsi="Times New Roman" w:cs="Times New Roman"/>
                <w:b/>
                <w:noProof/>
                <w:color w:val="000000" w:themeColor="text1"/>
                <w:sz w:val="20"/>
                <w:szCs w:val="20"/>
              </w:rPr>
            </w:pPr>
            <w:r>
              <w:rPr>
                <w:rFonts w:ascii="Times New Roman" w:hAnsi="Times New Roman"/>
                <w:b/>
                <w:noProof/>
                <w:color w:val="000000" w:themeColor="text1"/>
                <w:sz w:val="20"/>
              </w:rPr>
              <w:t>ВЪЗМОЖНО Е ПОСТИГАНЕТО НА СПОРАЗУМЕНИЕ ПРИ НАЛИЧИЕ НА СИЛЕН</w:t>
            </w:r>
            <w:r>
              <w:rPr>
                <w:rFonts w:ascii="Times New Roman" w:hAnsi="Times New Roman"/>
                <w:b/>
                <w:noProof/>
                <w:color w:val="000000" w:themeColor="text1"/>
                <w:sz w:val="20"/>
              </w:rPr>
              <w:t xml:space="preserve"> ПОЛИТИЧЕСКИ АНГАЖИМЕНТ ОТ СТРАНА НА ВСИЧКИ ИНСТИТУЦИИ НА ЕС</w:t>
            </w:r>
          </w:p>
        </w:tc>
      </w:tr>
    </w:tbl>
    <w:p w:rsidR="000C6829" w:rsidRDefault="000C6829">
      <w:pPr>
        <w:tabs>
          <w:tab w:val="left" w:pos="142"/>
        </w:tabs>
        <w:spacing w:after="0"/>
        <w:rPr>
          <w:b/>
          <w:noProof/>
          <w:color w:val="003399"/>
          <w:sz w:val="20"/>
        </w:rPr>
      </w:pPr>
    </w:p>
    <w:p w:rsidR="000C6829" w:rsidRDefault="00BB59DD">
      <w:pPr>
        <w:pStyle w:val="Heading2"/>
        <w:rPr>
          <w:noProof/>
        </w:rPr>
      </w:pPr>
      <w:r>
        <w:rPr>
          <w:noProof/>
        </w:rPr>
        <w:t>Извличане на максимални ползи от единния пазар чрез нови общоевропейски продукти и услуги</w:t>
      </w:r>
    </w:p>
    <w:p w:rsidR="000C6829" w:rsidRDefault="00BB59DD">
      <w:pPr>
        <w:pStyle w:val="BodyText"/>
        <w:keepLines/>
        <w:rPr>
          <w:i/>
          <w:noProof/>
        </w:rPr>
      </w:pPr>
      <w:r>
        <w:rPr>
          <w:b/>
          <w:noProof/>
        </w:rPr>
        <w:t>През юни 2017 г. Комисията представи предложение за общоевропейски продукт за лично пенсионно осигурява</w:t>
      </w:r>
      <w:r>
        <w:rPr>
          <w:b/>
          <w:noProof/>
        </w:rPr>
        <w:t>не.</w:t>
      </w:r>
      <w:r>
        <w:rPr>
          <w:i/>
          <w:noProof/>
        </w:rPr>
        <w:t xml:space="preserve"> </w:t>
      </w:r>
      <w:r>
        <w:rPr>
          <w:noProof/>
        </w:rPr>
        <w:t>Общоевропейският продукт за лично пенсионно осигуряване ще даде повече възможности на гражданите за техните пенсионни спестявания, включително в трансграничен контекст. Той също така ще създаде икономии от мащаба, които биха били от полза за вложителите, к</w:t>
      </w:r>
      <w:r>
        <w:rPr>
          <w:noProof/>
        </w:rPr>
        <w:t>ато им се предостави достъп до по-добри и по-изгодни продукти. Личните пенсии могат да спомогнат за преодоляването на демографските предизвикателства от застаряването на населението, като допълнят държавните и професионалните пенсии за гражданите, които же</w:t>
      </w:r>
      <w:r>
        <w:rPr>
          <w:noProof/>
        </w:rPr>
        <w:t xml:space="preserve">лаят да се възползват от тази възможност. </w:t>
      </w:r>
    </w:p>
    <w:p w:rsidR="000C6829" w:rsidRDefault="00BB59DD">
      <w:pPr>
        <w:pStyle w:val="BodyText"/>
        <w:rPr>
          <w:noProof/>
        </w:rPr>
      </w:pPr>
      <w:r>
        <w:rPr>
          <w:b/>
          <w:noProof/>
        </w:rPr>
        <w:t>През март 2018 г. Комисията прие предложение за рамка за покрити облигации.</w:t>
      </w:r>
      <w:r>
        <w:rPr>
          <w:i/>
          <w:noProof/>
        </w:rPr>
        <w:t xml:space="preserve"> </w:t>
      </w:r>
      <w:r>
        <w:rPr>
          <w:noProof/>
        </w:rPr>
        <w:t>Пазарите на покрити облигации са сред най-големите пазари на частен дълг в Съюза и са важен източник за дългосрочно финансиране. Те са от</w:t>
      </w:r>
      <w:r>
        <w:rPr>
          <w:noProof/>
        </w:rPr>
        <w:t xml:space="preserve"> основно значение, за да могат кредитните институции ефективно да насочват финансови средства към пазара на недвижими имоти и за публично гарантирани инструменти, включително някои заеми за малки и средни предприятия.</w:t>
      </w:r>
    </w:p>
    <w:p w:rsidR="000C6829" w:rsidRDefault="00BB59DD">
      <w:pPr>
        <w:pStyle w:val="BodyText"/>
        <w:rPr>
          <w:noProof/>
        </w:rPr>
      </w:pPr>
      <w:r>
        <w:rPr>
          <w:b/>
          <w:noProof/>
        </w:rPr>
        <w:t xml:space="preserve">През март 2018 г. Комисията представи </w:t>
      </w:r>
      <w:r>
        <w:rPr>
          <w:b/>
          <w:noProof/>
        </w:rPr>
        <w:t>предложение за рамка относно колективното финансиране, като част от плана за действие за финансовите технологии</w:t>
      </w:r>
      <w:r>
        <w:rPr>
          <w:rStyle w:val="FootnoteReference"/>
          <w:noProof/>
        </w:rPr>
        <w:footnoteReference w:id="9"/>
      </w:r>
      <w:r>
        <w:rPr>
          <w:b/>
          <w:noProof/>
        </w:rPr>
        <w:t>.</w:t>
      </w:r>
      <w:r>
        <w:rPr>
          <w:noProof/>
        </w:rPr>
        <w:t xml:space="preserve"> Пазарът за колективно финансиране в Съюза е по-слабо развит в сравнение с други големи световни икономики. Едно от най-големите препятствия за</w:t>
      </w:r>
      <w:r>
        <w:rPr>
          <w:noProof/>
        </w:rPr>
        <w:t xml:space="preserve"> платформите за колективно финансиране, които се стремят да предлагат своите услуги отвъд националните граници, е липсата на общи правила за целия Съюз. Предложените правила следва да подобрят достъпа до тази новаторска форма на финансиране за предприятия,</w:t>
      </w:r>
      <w:r>
        <w:rPr>
          <w:noProof/>
        </w:rPr>
        <w:t xml:space="preserve"> които имат нужда от финансиране, по-специално за стартиращите предприятия, като същевременно гарантират, че инвеститорите се ползват със силна закрила и гаранции.</w:t>
      </w:r>
    </w:p>
    <w:p w:rsidR="000C6829" w:rsidRDefault="00BB59DD">
      <w:pPr>
        <w:pStyle w:val="BodyText"/>
        <w:spacing w:after="240"/>
        <w:rPr>
          <w:noProof/>
        </w:rPr>
      </w:pPr>
      <w:r>
        <w:rPr>
          <w:b/>
          <w:noProof/>
        </w:rPr>
        <w:t>През март 2018 г. Комисията също така направи предложение за улесняване на трансграничното р</w:t>
      </w:r>
      <w:r>
        <w:rPr>
          <w:b/>
          <w:noProof/>
        </w:rPr>
        <w:t>азпространение на колективни инвестиционни фондове.</w:t>
      </w:r>
      <w:r>
        <w:rPr>
          <w:noProof/>
        </w:rPr>
        <w:t xml:space="preserve"> Пречки ‒ като например националните пазарни изисквания и регулаторни такси, са в ущърб на трансграничното разпространение на фондове.</w:t>
      </w:r>
      <w:r>
        <w:rPr>
          <w:i/>
          <w:noProof/>
        </w:rPr>
        <w:t xml:space="preserve"> </w:t>
      </w:r>
      <w:r>
        <w:rPr>
          <w:noProof/>
        </w:rPr>
        <w:t>Предложението има за цел да направи трансграничното разпространение на</w:t>
      </w:r>
      <w:r>
        <w:rPr>
          <w:noProof/>
        </w:rPr>
        <w:t xml:space="preserve"> фондове по-просто, по-бързо и по-евтино. По-голямото трансгранично разпространение следва да създаде повече възможности за инвестиции в инвестиционни фондове, преследващи социални или екологични цели. Предложените правила следва да подобрят прозрачността </w:t>
      </w:r>
      <w:r>
        <w:rPr>
          <w:noProof/>
        </w:rPr>
        <w:t>на националните изисквания, да премахнат обременяващите изисквания и да хармонизират различаващите се национални правила.</w:t>
      </w:r>
    </w:p>
    <w:p w:rsidR="000C6829" w:rsidRDefault="00BB59DD">
      <w:pPr>
        <w:pStyle w:val="Heading2"/>
        <w:rPr>
          <w:noProof/>
        </w:rPr>
      </w:pPr>
      <w:r>
        <w:rPr>
          <w:noProof/>
        </w:rPr>
        <w:t xml:space="preserve">По-прости, по-ясни и по-пропорционални правила за предприятията </w:t>
      </w:r>
    </w:p>
    <w:p w:rsidR="000C6829" w:rsidRDefault="00BB59DD">
      <w:pPr>
        <w:pStyle w:val="BodyText"/>
        <w:rPr>
          <w:noProof/>
        </w:rPr>
      </w:pPr>
      <w:r>
        <w:rPr>
          <w:b/>
          <w:noProof/>
        </w:rPr>
        <w:t xml:space="preserve">През май 2017 г. Комисията представи предложение за опростяване на правилата и намаляване на регулаторната тежест върху пазарните участници на пазара на извънборсовите деривати. </w:t>
      </w:r>
      <w:r>
        <w:rPr>
          <w:noProof/>
        </w:rPr>
        <w:t>Основаните на глобалното споразумение на Г-20 за смекчаване на рисковете, свър</w:t>
      </w:r>
      <w:r>
        <w:rPr>
          <w:noProof/>
        </w:rPr>
        <w:t>зани с извънборсовите сделки с деривати, допринесоха значително за подобряване на стабилността на пазара на деривати. Настоящите правила обаче се прилагат за всички участници на пазара, от големите банки до малките финансови дружества, по начин, който не в</w:t>
      </w:r>
      <w:r>
        <w:rPr>
          <w:noProof/>
        </w:rPr>
        <w:t>инаги е напълно пропорционален. В този контекст, целта на предложените правила е да се намали регулаторната тежест за участниците на пазара. Ако бъдат приети, правилата биха могли да спестят на участниците на пазара значителни разходи, без да се застрашава</w:t>
      </w:r>
      <w:r>
        <w:rPr>
          <w:noProof/>
        </w:rPr>
        <w:t xml:space="preserve"> финансовата стабилност.</w:t>
      </w:r>
    </w:p>
    <w:p w:rsidR="000C6829" w:rsidRDefault="00BB59DD">
      <w:pPr>
        <w:pStyle w:val="BodyText"/>
        <w:rPr>
          <w:i/>
          <w:noProof/>
        </w:rPr>
      </w:pPr>
      <w:r>
        <w:rPr>
          <w:b/>
          <w:noProof/>
        </w:rPr>
        <w:t>През декември 2017 г. Комисията представи предложение за по-пропорционални и ефективни правила за инвестиционните посредници.</w:t>
      </w:r>
      <w:r>
        <w:rPr>
          <w:noProof/>
        </w:rPr>
        <w:t xml:space="preserve"> Предложението има за цел да създаде по-пропорционална пруденциална и надзорна рамка за инвестиционните по</w:t>
      </w:r>
      <w:r>
        <w:rPr>
          <w:noProof/>
        </w:rPr>
        <w:t>средници, съобразена с техния размер и характер. Новите правила ще осигурят равностойно третиране на големите финансови институции от системно значение, като в същото време ще въведат опростени пруденциални правила за инвестиционните посредници, които не с</w:t>
      </w:r>
      <w:r>
        <w:rPr>
          <w:noProof/>
        </w:rPr>
        <w:t>а от системно значение.</w:t>
      </w:r>
    </w:p>
    <w:p w:rsidR="000C6829" w:rsidRDefault="00BB59DD">
      <w:pPr>
        <w:pStyle w:val="BodyText"/>
        <w:rPr>
          <w:noProof/>
          <w:szCs w:val="24"/>
        </w:rPr>
      </w:pPr>
      <w:r>
        <w:rPr>
          <w:b/>
          <w:noProof/>
        </w:rPr>
        <w:t xml:space="preserve">През май 2018 г. Комисията представи предложение с цел да се улеснят малките предприятия да получават финансиране чрез капиталовите пазари. </w:t>
      </w:r>
      <w:r>
        <w:rPr>
          <w:noProof/>
        </w:rPr>
        <w:t xml:space="preserve">Малките и средните предприятия често са изправени пред непропорционални регулаторни пречки, </w:t>
      </w:r>
      <w:r>
        <w:rPr>
          <w:noProof/>
        </w:rPr>
        <w:t xml:space="preserve">които не им позволяват достъп до пазарно финансиране. Целта на предложението е да се намали бюрокрацията за малките и средните предприятия, които се опитват да получат достъп до „пазарите за растеж на МСП“ — нова категория места на търговия, предназначени </w:t>
      </w:r>
      <w:r>
        <w:rPr>
          <w:noProof/>
        </w:rPr>
        <w:t xml:space="preserve">за малки по размер емитенти. Предложените правила имат за цел да се въведе по-пропорционален подход за подкрепа на борсовото предлагане на МСП, като в същото време се гарантира защитата на инвеститорите и целостта на пазара. </w:t>
      </w:r>
    </w:p>
    <w:p w:rsidR="000C6829" w:rsidRDefault="00BB59DD">
      <w:pPr>
        <w:pStyle w:val="BodyText"/>
        <w:rPr>
          <w:noProof/>
        </w:rPr>
      </w:pPr>
      <w:r>
        <w:rPr>
          <w:b/>
          <w:noProof/>
        </w:rPr>
        <w:t>През ноември 2016 г. Комисията</w:t>
      </w:r>
      <w:r>
        <w:rPr>
          <w:b/>
          <w:noProof/>
        </w:rPr>
        <w:t xml:space="preserve"> прие предложение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w:t>
      </w:r>
      <w:r>
        <w:rPr>
          <w:noProof/>
        </w:rPr>
        <w:t xml:space="preserve"> Предоставянето на възможност на честните пред</w:t>
      </w:r>
      <w:r>
        <w:rPr>
          <w:noProof/>
        </w:rPr>
        <w:t>приемачи да се възползват от „втори шанс“, след като са преодолели своята несъстоятелност, е от решаващо значение за осигуряването на динамична стопанска среда и насърчаването на иновациите. Следователно предложението предвижда втори шанс за почтените пред</w:t>
      </w:r>
      <w:r>
        <w:rPr>
          <w:noProof/>
        </w:rPr>
        <w:t>приемачи чрез опрощаване на дълг, за да им се предостави възможност за ново начало и да се стимулира предприемачеството. Това предложение също така е предназначено за улесняване на ефективното преструктуриране на намиращите се във финансови затруднения жиз</w:t>
      </w:r>
      <w:r>
        <w:rPr>
          <w:noProof/>
        </w:rPr>
        <w:t>неспособни дружества, за да се предотврати изпадането им в несъстоятелност и загубите, свързани с прекратяването на дейността им.</w:t>
      </w:r>
    </w:p>
    <w:p w:rsidR="000C6829" w:rsidRDefault="00BB59DD">
      <w:pPr>
        <w:pStyle w:val="BodyText"/>
        <w:spacing w:after="240"/>
        <w:rPr>
          <w:noProof/>
        </w:rPr>
      </w:pPr>
      <w:r>
        <w:rPr>
          <w:b/>
          <w:noProof/>
        </w:rPr>
        <w:t>През март 2018 г. Комисията представи предложение относно приложимото право към действието на прехвърлянето на вземания спрямо</w:t>
      </w:r>
      <w:r>
        <w:rPr>
          <w:b/>
          <w:noProof/>
        </w:rPr>
        <w:t xml:space="preserve"> трети лица.</w:t>
      </w:r>
      <w:r>
        <w:rPr>
          <w:noProof/>
        </w:rPr>
        <w:t xml:space="preserve"> Предложението значително ще засили правната сигурност като определи кое национално право е приложимо към действието спрямо трети лица, когато прехвърлянето на вземане се извършва през граница.</w:t>
      </w:r>
    </w:p>
    <w:p w:rsidR="000C6829" w:rsidRDefault="00BB59DD">
      <w:pPr>
        <w:pStyle w:val="BodyText"/>
        <w:spacing w:after="240"/>
        <w:rPr>
          <w:noProof/>
        </w:rPr>
      </w:pPr>
      <w:r>
        <w:rPr>
          <w:b/>
          <w:noProof/>
        </w:rPr>
        <w:t>През октомври 2016 г. Комисията прие предложение з</w:t>
      </w:r>
      <w:r>
        <w:rPr>
          <w:b/>
          <w:noProof/>
        </w:rPr>
        <w:t>а обща консолидирана основа за облагане с корпоративен данък (ОКООКД).</w:t>
      </w:r>
      <w:r>
        <w:rPr>
          <w:noProof/>
        </w:rPr>
        <w:t xml:space="preserve"> В предложението се разглежда съществуващото преференциално данъчно третиране на дълга, което нарушава решенията за финансиране, прави дружествата по-уязвими на несъстоятелност и подкопа</w:t>
      </w:r>
      <w:r>
        <w:rPr>
          <w:noProof/>
        </w:rPr>
        <w:t>ва стабилността на икономиката като цяло. Целта на предложението е да се засили данъчната справедливост в рамките на единния пазар и да се създадат равни условия на конкуренция, както и да се увеличат инвестициите в благоприятстващите растежа дейности, как</w:t>
      </w:r>
      <w:r>
        <w:rPr>
          <w:noProof/>
        </w:rPr>
        <w:t>вито са научните изследвания и развойната дейност.</w:t>
      </w:r>
      <w:r>
        <w:rPr>
          <w:b/>
          <w:noProof/>
        </w:rPr>
        <w:t xml:space="preserve"> </w:t>
      </w:r>
      <w:r>
        <w:rPr>
          <w:noProof/>
        </w:rPr>
        <w:t xml:space="preserve">Освен това, с оглед на трудното постигане на единодушно съгласие от държавите членки в рамките на Съвета по важни предложения, свързани с данъчното облагане, скоро Комисията ще представи съобщение относно </w:t>
      </w:r>
      <w:r>
        <w:rPr>
          <w:noProof/>
        </w:rPr>
        <w:t>проучване на възможността да се премине към гласуване с квалифицирано мнозинство за някои данъчни въпроси</w:t>
      </w:r>
      <w:r>
        <w:rPr>
          <w:rStyle w:val="FootnoteReference"/>
          <w:noProof/>
          <w:sz w:val="23"/>
        </w:rPr>
        <w:footnoteReference w:id="10"/>
      </w:r>
      <w:r>
        <w:rPr>
          <w:noProof/>
        </w:rPr>
        <w:t>.</w:t>
      </w:r>
    </w:p>
    <w:p w:rsidR="000C6829" w:rsidRDefault="00BB59DD">
      <w:pPr>
        <w:pStyle w:val="Heading2"/>
        <w:rPr>
          <w:noProof/>
        </w:rPr>
      </w:pPr>
      <w:r>
        <w:rPr>
          <w:noProof/>
        </w:rPr>
        <w:t>По-ефективен надзор върху капиталовите пазари</w:t>
      </w:r>
    </w:p>
    <w:p w:rsidR="000C6829" w:rsidRDefault="00BB59DD">
      <w:pPr>
        <w:rPr>
          <w:b/>
          <w:noProof/>
        </w:rPr>
      </w:pPr>
      <w:bookmarkStart w:id="4" w:name="_Toc528147013"/>
      <w:r>
        <w:rPr>
          <w:rStyle w:val="BodyTextChar"/>
          <w:b/>
          <w:noProof/>
        </w:rPr>
        <w:t>През септември 2017 г. Комисията представи предложение за преглед на системата на европейските надзорн</w:t>
      </w:r>
      <w:r>
        <w:rPr>
          <w:rStyle w:val="BodyTextChar"/>
          <w:b/>
          <w:noProof/>
        </w:rPr>
        <w:t>и органи.</w:t>
      </w:r>
      <w:r>
        <w:rPr>
          <w:b/>
          <w:noProof/>
        </w:rPr>
        <w:t xml:space="preserve"> Предложението беше изменено през септември 2018 г. с цел укрепване на рамката за надзор в областта на борбата с изпирането на пари и финансирането на тероризма. </w:t>
      </w:r>
      <w:r>
        <w:rPr>
          <w:rStyle w:val="BodyTextChar"/>
          <w:noProof/>
        </w:rPr>
        <w:t xml:space="preserve">За постигане на по-висока степен на финансова интеграция е необходим по-интегриран и </w:t>
      </w:r>
      <w:r>
        <w:rPr>
          <w:rStyle w:val="BodyTextChar"/>
          <w:noProof/>
        </w:rPr>
        <w:t>ефективен надзор. Целта на предложенията е да се засили сближаването на надзорните практики и укрепване на изпълнението — това насърчава съгласуван и по-ефективен надзор. Ето защо е важно през настоящия парламентарен мандат да бъдат приети заедно съдържате</w:t>
      </w:r>
      <w:r>
        <w:rPr>
          <w:rStyle w:val="BodyTextChar"/>
          <w:noProof/>
        </w:rPr>
        <w:t xml:space="preserve">лна реформа на европейските надзорни органи и засилени правомощия на Европейския банков орган, за да се допринесе за борбата срещу изпирането на пари и финансирането на тероризма. По-независимото управление, силните правомощия за постигането на сближаване </w:t>
      </w:r>
      <w:r>
        <w:rPr>
          <w:rStyle w:val="BodyTextChar"/>
          <w:noProof/>
        </w:rPr>
        <w:t>и устойчивата рамка за финансиране, както се предлага в прегледа на системата на европейските надзорни органи, са еднакво важни за преодоляване на настоящите недостатъци и за повишаване на ефективността на надзора на борбата с изпирането на пари.</w:t>
      </w:r>
    </w:p>
    <w:p w:rsidR="000C6829" w:rsidRDefault="00BB59DD">
      <w:pPr>
        <w:rPr>
          <w:i/>
          <w:noProof/>
        </w:rPr>
      </w:pPr>
      <w:r>
        <w:rPr>
          <w:rStyle w:val="BodyTextChar"/>
          <w:b/>
          <w:noProof/>
        </w:rPr>
        <w:t xml:space="preserve">През юни </w:t>
      </w:r>
      <w:r>
        <w:rPr>
          <w:rStyle w:val="BodyTextChar"/>
          <w:b/>
          <w:noProof/>
        </w:rPr>
        <w:t>2017 г. Комисията представи предложение за укрепване на надзора над централните контрагенти.</w:t>
      </w:r>
      <w:r>
        <w:rPr>
          <w:b/>
          <w:noProof/>
        </w:rPr>
        <w:t xml:space="preserve"> </w:t>
      </w:r>
      <w:r>
        <w:rPr>
          <w:noProof/>
        </w:rPr>
        <w:t xml:space="preserve">Централните </w:t>
      </w:r>
      <w:r>
        <w:rPr>
          <w:rStyle w:val="BodyTextChar"/>
          <w:noProof/>
        </w:rPr>
        <w:t>контрагенти играят решаваща роля в интегрираните капиталови пазари чрез смекчаване на рисковете във връзка с неизпълнение от страна на контрагент по сд</w:t>
      </w:r>
      <w:r>
        <w:rPr>
          <w:rStyle w:val="BodyTextChar"/>
          <w:noProof/>
        </w:rPr>
        <w:t>елка. По този начин централните контрагенти акумулират рискове и могат да придобият системно значение за финансовата система. Системното значение на централните контрагенти ще продължи да расте едновременно с постепенното навлизане на изискванията към учас</w:t>
      </w:r>
      <w:r>
        <w:rPr>
          <w:rStyle w:val="BodyTextChar"/>
          <w:noProof/>
        </w:rPr>
        <w:t>тниците на пазара да извършват клиринг на своите трансакции чрез централен контрагент и с увеличаването на доброволния клиринг. Предложените правила ще гарантират, че надзорната рамка на Съюза е достатъчно надеждна за предвиждане и смекчаване на риска, свъ</w:t>
      </w:r>
      <w:r>
        <w:rPr>
          <w:rStyle w:val="BodyTextChar"/>
          <w:noProof/>
        </w:rPr>
        <w:t>рзан с централните контрагенти от Съюза и със системните централни контрагенти от трети държави, обслужващи клиенти от Съюза.</w:t>
      </w:r>
    </w:p>
    <w:p w:rsidR="000C6829" w:rsidRDefault="00BB59DD">
      <w:pPr>
        <w:keepLines/>
        <w:rPr>
          <w:noProof/>
          <w:szCs w:val="24"/>
        </w:rPr>
      </w:pPr>
      <w:r>
        <w:rPr>
          <w:rStyle w:val="BodyTextChar"/>
          <w:b/>
          <w:noProof/>
        </w:rPr>
        <w:t>През ноември 2016 г. Комисията представи предложение за допълване на режима на надзор за централните контрагенти с хармонизирана р</w:t>
      </w:r>
      <w:r>
        <w:rPr>
          <w:rStyle w:val="BodyTextChar"/>
          <w:b/>
          <w:noProof/>
        </w:rPr>
        <w:t>амка за възстановяване и преструктуриране.</w:t>
      </w:r>
      <w:r>
        <w:rPr>
          <w:noProof/>
        </w:rPr>
        <w:t xml:space="preserve"> </w:t>
      </w:r>
      <w:r>
        <w:rPr>
          <w:rStyle w:val="BodyTextChar"/>
          <w:noProof/>
        </w:rPr>
        <w:t>Ако бъде прието, това предложение ще гарантира, че както централните контрагенти, така и националните органи в Съюза разполагат с необходимите средства, за да действат решително в извънредни случаи, при които цент</w:t>
      </w:r>
      <w:r>
        <w:rPr>
          <w:rStyle w:val="BodyTextChar"/>
          <w:noProof/>
        </w:rPr>
        <w:t>ралните контрагенти са изправени пред сериозни смущения. Предложените правила имат за цел да се запази непрекъснатостта на ключовите функции на централните контрагенти, като същевременно се поддържа финансова стабилност. По този начин предложението гаранти</w:t>
      </w:r>
      <w:r>
        <w:rPr>
          <w:rStyle w:val="BodyTextChar"/>
          <w:noProof/>
        </w:rPr>
        <w:t>ра правилното функциониране на капиталовите пазари, предоставя сигурност за участниците на пазара и намалява потенциалните разходи за данъкоплатците, свързани с възстановяването и преструктурирането на централни контрагенти.</w:t>
      </w:r>
    </w:p>
    <w:p w:rsidR="000C6829" w:rsidRDefault="00BB59DD">
      <w:pPr>
        <w:pStyle w:val="Heading2"/>
        <w:rPr>
          <w:noProof/>
        </w:rPr>
      </w:pPr>
      <w:r>
        <w:rPr>
          <w:noProof/>
        </w:rPr>
        <w:t>Финансиране за устойчиво развит</w:t>
      </w:r>
      <w:r>
        <w:rPr>
          <w:noProof/>
        </w:rPr>
        <w:t>ие</w:t>
      </w:r>
    </w:p>
    <w:p w:rsidR="000C6829" w:rsidRDefault="00BB59DD">
      <w:pPr>
        <w:pStyle w:val="BodyText"/>
        <w:rPr>
          <w:noProof/>
        </w:rPr>
      </w:pPr>
      <w:r>
        <w:rPr>
          <w:noProof/>
        </w:rPr>
        <w:t>Капиталовите пазари трябва да се преобразуват и обновяват, за да подготвят убедителни отговори на предстоящите предизвикателства, включително борбата срещу изменението на климата и справянето с изчерпването на ресурсите. За тази цел през март 2018 г. Ко</w:t>
      </w:r>
      <w:r>
        <w:rPr>
          <w:noProof/>
        </w:rPr>
        <w:t xml:space="preserve">мисията прие </w:t>
      </w:r>
      <w:r>
        <w:rPr>
          <w:b/>
          <w:noProof/>
        </w:rPr>
        <w:t>план за действие за финансиране за устойчиво развитие</w:t>
      </w:r>
      <w:r>
        <w:rPr>
          <w:rStyle w:val="FootnoteReference"/>
          <w:b/>
          <w:noProof/>
        </w:rPr>
        <w:footnoteReference w:id="11"/>
      </w:r>
      <w:r>
        <w:rPr>
          <w:b/>
          <w:noProof/>
        </w:rPr>
        <w:t xml:space="preserve"> и вече изготви три конкретни законодателни предложения</w:t>
      </w:r>
      <w:r>
        <w:rPr>
          <w:noProof/>
        </w:rPr>
        <w:t>, а именно относно таксономията, оповестяванията, свързани с инвестициите в устойчивото развитие и рисковете за устойчивостта, и бенчм</w:t>
      </w:r>
      <w:r>
        <w:rPr>
          <w:noProof/>
        </w:rPr>
        <w:t>арковете за ниски въглеродни емисии. Целта е да се даде възможност на финансовия сектор на Съюза да заеме водеща позиция за постигането на по-екологична и по-чиста икономика. Предложенията следва да помогнат за пренасочване на частните капиталови потоци къ</w:t>
      </w:r>
      <w:r>
        <w:rPr>
          <w:noProof/>
        </w:rPr>
        <w:t xml:space="preserve">м по-устойчиви инвестиции, като например чист транспорт и енергия, и следва също така да помогнат за финансиране на прехода към нисковъглеродна, ресурсно ефективна и кръгова икономика. Тези инициативи потвърждават </w:t>
      </w:r>
      <w:r>
        <w:rPr>
          <w:b/>
          <w:noProof/>
        </w:rPr>
        <w:t xml:space="preserve">глобалното лидерство на Съюза в борбата с </w:t>
      </w:r>
      <w:r>
        <w:rPr>
          <w:b/>
          <w:noProof/>
        </w:rPr>
        <w:t>изменението на климата и в насърчаването на устойчивото развитие</w:t>
      </w:r>
      <w:r>
        <w:rPr>
          <w:noProof/>
        </w:rPr>
        <w:t xml:space="preserve"> в съответствие с Парижкото споразумение и 17-те цели за устойчиво развитие на Организацията на обединените нации. </w:t>
      </w:r>
    </w:p>
    <w:p w:rsidR="000C6829" w:rsidRDefault="00BB59DD">
      <w:pPr>
        <w:pStyle w:val="Heading1"/>
        <w:rPr>
          <w:noProof/>
        </w:rPr>
      </w:pPr>
      <w:r>
        <w:rPr>
          <w:noProof/>
        </w:rPr>
        <w:t>Развитие на местните капиталови пазари</w:t>
      </w:r>
    </w:p>
    <w:p w:rsidR="000C6829" w:rsidRDefault="00BB59DD">
      <w:pPr>
        <w:pStyle w:val="BodyText"/>
        <w:rPr>
          <w:noProof/>
          <w:szCs w:val="24"/>
        </w:rPr>
      </w:pPr>
      <w:r>
        <w:rPr>
          <w:noProof/>
        </w:rPr>
        <w:t xml:space="preserve">Освен това Комисията </w:t>
      </w:r>
      <w:r>
        <w:rPr>
          <w:b/>
          <w:noProof/>
        </w:rPr>
        <w:t>подпомогна съюза</w:t>
      </w:r>
      <w:r>
        <w:rPr>
          <w:b/>
          <w:noProof/>
        </w:rPr>
        <w:t xml:space="preserve"> на капиталовите пазари посредством развитието на местните капиталови пазари чрез незаконодателни мерки</w:t>
      </w:r>
      <w:r>
        <w:rPr>
          <w:noProof/>
        </w:rPr>
        <w:t>. Местните капиталови пазари трябва да бъдат развити и добре свързани във финансови центрове, за да може ползите от съюза на капиталовите пазари да дости</w:t>
      </w:r>
      <w:r>
        <w:rPr>
          <w:noProof/>
        </w:rPr>
        <w:t>гнат до всички държави членки. Това изисква подходящ баланс между ползите от мащаба и местното присъствие с цел да се използват по най-добрия начин вътрешните спестявания и да се привличат международни инвеститори, така че да се отговори на финансовите пот</w:t>
      </w:r>
      <w:r>
        <w:rPr>
          <w:noProof/>
        </w:rPr>
        <w:t xml:space="preserve">ребности на местните предприемачи. Комисията продължава усилията на </w:t>
      </w:r>
      <w:r>
        <w:rPr>
          <w:b/>
          <w:noProof/>
        </w:rPr>
        <w:t>работната група по въпросите на съюза на капиталовите пазари в рамките на Виенската инициатива</w:t>
      </w:r>
      <w:r>
        <w:rPr>
          <w:rStyle w:val="FootnoteReference"/>
          <w:noProof/>
        </w:rPr>
        <w:footnoteReference w:id="12"/>
      </w:r>
      <w:r>
        <w:rPr>
          <w:noProof/>
        </w:rPr>
        <w:t xml:space="preserve">. Няколко държави членки изготвиха стратегии за капиталовия пазар, създадоха специални схеми </w:t>
      </w:r>
      <w:r>
        <w:rPr>
          <w:noProof/>
        </w:rPr>
        <w:t xml:space="preserve">за подкрепа на включването на малките и средни предприятия, включително с публични средства, а някои държави членки, по-специално в Централна, Източна и Югоизточна Европа, решиха да укрепят своя капацитет за надзор на капиталовия пазар. </w:t>
      </w:r>
      <w:r>
        <w:rPr>
          <w:b/>
          <w:noProof/>
        </w:rPr>
        <w:t>По искане на държав</w:t>
      </w:r>
      <w:r>
        <w:rPr>
          <w:b/>
          <w:noProof/>
        </w:rPr>
        <w:t xml:space="preserve">ите членки службата за подкрепа на структурните реформи на Комисията до този момент предоставяше специална техническа и финансова подкрепа за различни инициативи, свързани със съюза на капиталовите пазари. </w:t>
      </w:r>
      <w:r>
        <w:rPr>
          <w:noProof/>
        </w:rPr>
        <w:t>Това е важно, за да се приложат реформите на капит</w:t>
      </w:r>
      <w:r>
        <w:rPr>
          <w:noProof/>
        </w:rPr>
        <w:t>аловите пазари.</w:t>
      </w:r>
    </w:p>
    <w:p w:rsidR="000C6829" w:rsidRDefault="00BB59DD">
      <w:pPr>
        <w:pStyle w:val="Heading1"/>
        <w:rPr>
          <w:noProof/>
        </w:rPr>
      </w:pPr>
      <w:r>
        <w:rPr>
          <w:noProof/>
        </w:rPr>
        <w:t>Заключение</w:t>
      </w:r>
      <w:bookmarkEnd w:id="4"/>
    </w:p>
    <w:p w:rsidR="000C6829" w:rsidRDefault="00BB59DD">
      <w:pPr>
        <w:pStyle w:val="BodyText"/>
        <w:rPr>
          <w:b/>
          <w:noProof/>
        </w:rPr>
      </w:pPr>
      <w:r>
        <w:rPr>
          <w:noProof/>
        </w:rPr>
        <w:t>Съюзът на капиталовите пазари е от основно значение за повишаване на устойчивостта и сближаването на икономиката на държавите членки и Икономическия и паричен съюз (ИПС), за гарантиране на финансовата стабилност и укрепване на ме</w:t>
      </w:r>
      <w:r>
        <w:rPr>
          <w:noProof/>
        </w:rPr>
        <w:t xml:space="preserve">ждународната роля на еврото. </w:t>
      </w:r>
      <w:r>
        <w:rPr>
          <w:b/>
          <w:noProof/>
        </w:rPr>
        <w:t xml:space="preserve">Комисията призовава съзаконодателите да действат сега, преди изборите за Европейски парламент през 2019 г., за да положат необходимите основи за цялостното изграждане на съюза на капиталовите пазари. </w:t>
      </w:r>
    </w:p>
    <w:p w:rsidR="000C6829" w:rsidRDefault="00BB59DD">
      <w:pPr>
        <w:pStyle w:val="BodyText"/>
        <w:rPr>
          <w:noProof/>
        </w:rPr>
      </w:pPr>
      <w:r>
        <w:rPr>
          <w:b/>
          <w:noProof/>
        </w:rPr>
        <w:t>Европейският съвет се прик</w:t>
      </w:r>
      <w:r>
        <w:rPr>
          <w:b/>
          <w:noProof/>
        </w:rPr>
        <w:t>анва да поднови своя ангажимент към съюза на капиталовите пазари, като подкрепи тези усилия, които са от съществено значение не само за икономическия и паричен съюз и банковия съюз, но и за единния пазар.</w:t>
      </w:r>
    </w:p>
    <w:p w:rsidR="000C6829" w:rsidRDefault="00BB59DD">
      <w:pPr>
        <w:pStyle w:val="BodyText"/>
        <w:rPr>
          <w:noProof/>
        </w:rPr>
      </w:pPr>
      <w:r>
        <w:rPr>
          <w:noProof/>
        </w:rPr>
        <w:t>Наред със законодателните реформи Комисията също та</w:t>
      </w:r>
      <w:r>
        <w:rPr>
          <w:noProof/>
        </w:rPr>
        <w:t>ка е решена да предприеме останалите</w:t>
      </w:r>
      <w:r>
        <w:rPr>
          <w:b/>
          <w:noProof/>
        </w:rPr>
        <w:t xml:space="preserve"> незаконодателни действия</w:t>
      </w:r>
      <w:r>
        <w:rPr>
          <w:noProof/>
        </w:rPr>
        <w:t>, обявени в междинния преглед на съюза на капиталовите пазари. Тези действия представляват ключов принос за постигане на задълбочени и ликвидни капиталови пазари чрез разглеждане на важни въпроси</w:t>
      </w:r>
      <w:r>
        <w:rPr>
          <w:noProof/>
        </w:rPr>
        <w:t>, като разпространението на инвестиционни продукти на дребно, институционалните инвестиции, корпоративните финанси за предприемачите и новосъздадените предприятия и по-доброто използване на финансовите технологии.</w:t>
      </w:r>
    </w:p>
    <w:p w:rsidR="000C6829" w:rsidRDefault="00BB59DD">
      <w:pPr>
        <w:pStyle w:val="BodyText"/>
        <w:rPr>
          <w:noProof/>
        </w:rPr>
      </w:pPr>
      <w:r>
        <w:rPr>
          <w:noProof/>
        </w:rPr>
        <w:t>Комисията също така ще продължи да осъщест</w:t>
      </w:r>
      <w:r>
        <w:rPr>
          <w:noProof/>
        </w:rPr>
        <w:t>вява комуникационни дейности, целящи информиране на гражданите на Съюза, социалните партньори и предприятията относно значението на Съюза на капиталовите пазари.</w:t>
      </w:r>
    </w:p>
    <w:p w:rsidR="000C6829" w:rsidRDefault="00BB59DD">
      <w:pPr>
        <w:pStyle w:val="BodyText"/>
        <w:rPr>
          <w:noProof/>
        </w:rPr>
      </w:pPr>
      <w:r>
        <w:rPr>
          <w:noProof/>
        </w:rPr>
        <w:t>Реформирането на капиталовите пазари не може да бъде постигнато единствено чрез действия на Ко</w:t>
      </w:r>
      <w:r>
        <w:rPr>
          <w:noProof/>
        </w:rPr>
        <w:t xml:space="preserve">мисията. </w:t>
      </w:r>
      <w:r>
        <w:rPr>
          <w:b/>
          <w:noProof/>
        </w:rPr>
        <w:t xml:space="preserve">Всички заинтересовани лица — на национално равнище и на равнището на Съюза, трябва също да засилят своя ангажимент и да дадат своя принос. </w:t>
      </w:r>
      <w:r>
        <w:rPr>
          <w:noProof/>
        </w:rPr>
        <w:t>Комисията ще продължи да подкрепя тези усилия.</w:t>
      </w:r>
    </w:p>
    <w:sectPr w:rsidR="000C6829">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29" w:rsidRDefault="00BB59DD">
      <w:pPr>
        <w:spacing w:after="0"/>
      </w:pPr>
      <w:r>
        <w:separator/>
      </w:r>
    </w:p>
  </w:endnote>
  <w:endnote w:type="continuationSeparator" w:id="0">
    <w:p w:rsidR="000C6829" w:rsidRDefault="00BB59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BB59DD">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BB59DD">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29" w:rsidRDefault="00BB59DD">
      <w:pPr>
        <w:spacing w:after="0"/>
      </w:pPr>
      <w:r>
        <w:separator/>
      </w:r>
    </w:p>
  </w:footnote>
  <w:footnote w:type="continuationSeparator" w:id="0">
    <w:p w:rsidR="000C6829" w:rsidRDefault="00BB59DD">
      <w:pPr>
        <w:spacing w:after="0"/>
      </w:pPr>
      <w:r>
        <w:continuationSeparator/>
      </w:r>
    </w:p>
  </w:footnote>
  <w:footnote w:id="1">
    <w:p w:rsidR="000C6829" w:rsidRDefault="00BB59DD">
      <w:pPr>
        <w:pStyle w:val="FootnoteText"/>
        <w:ind w:left="284" w:hanging="284"/>
      </w:pPr>
      <w:r>
        <w:rPr>
          <w:rStyle w:val="FootnoteReference"/>
        </w:rPr>
        <w:footnoteRef/>
      </w:r>
      <w:r>
        <w:tab/>
        <w:t>План за действие за изграждане на съюз на</w:t>
      </w:r>
      <w:r>
        <w:t xml:space="preserve"> капиталовите пазари, COM(2015)468 final, 30.9.2015 г.; Съобщение относно междинния преглед на Плана за действие за изграждане на съюз на капиталовите пазари, COM(2017) 292 final, 8.6.2017 г.</w:t>
      </w:r>
    </w:p>
  </w:footnote>
  <w:footnote w:id="2">
    <w:p w:rsidR="000C6829" w:rsidRDefault="00BB59DD">
      <w:pPr>
        <w:pStyle w:val="FootnoteText"/>
        <w:ind w:left="284" w:hanging="284"/>
      </w:pPr>
      <w:r>
        <w:rPr>
          <w:rStyle w:val="FootnoteReference"/>
        </w:rPr>
        <w:footnoteRef/>
      </w:r>
      <w:r>
        <w:t xml:space="preserve"> </w:t>
      </w:r>
      <w:r>
        <w:tab/>
        <w:t>Предприятия за колективно инвестиране в прехвърлими ценни кни</w:t>
      </w:r>
      <w:r>
        <w:t>жа (ПКИПЦК).</w:t>
      </w:r>
    </w:p>
  </w:footnote>
  <w:footnote w:id="3">
    <w:p w:rsidR="000C6829" w:rsidRDefault="00BB59DD">
      <w:pPr>
        <w:pStyle w:val="FootnoteText"/>
      </w:pPr>
      <w:r>
        <w:rPr>
          <w:rStyle w:val="FootnoteReference"/>
        </w:rPr>
        <w:footnoteRef/>
      </w:r>
      <w:r>
        <w:t xml:space="preserve"> </w:t>
      </w:r>
      <w:r>
        <w:tab/>
        <w:t>Комисията предложи и редица незаконодателни мерки с цел подсилване и повишаване на устойчивостта на капиталовите пазари на Съюза.</w:t>
      </w:r>
    </w:p>
  </w:footnote>
  <w:footnote w:id="4">
    <w:p w:rsidR="000C6829" w:rsidRDefault="00BB59DD">
      <w:pPr>
        <w:pStyle w:val="FootnoteText"/>
        <w:ind w:left="284" w:hanging="284"/>
      </w:pPr>
      <w:r>
        <w:rPr>
          <w:rStyle w:val="FootnoteReference"/>
        </w:rPr>
        <w:footnoteRef/>
      </w:r>
      <w:r>
        <w:tab/>
        <w:t>Регламент (EС) 2017/1129 на Европейския парламент и на Съвета от 14 юни 2017 г. относно проспекта, който тря</w:t>
      </w:r>
      <w:r>
        <w:t>бва да се публикува при публично предлагане или допускане на ценни книжа до търговия на регулиран пазар, и за отмяна на Директива 2003/71/ЕО (ОВ L 168, 30.6.2017 г.).</w:t>
      </w:r>
    </w:p>
  </w:footnote>
  <w:footnote w:id="5">
    <w:p w:rsidR="000C6829" w:rsidRDefault="00BB59DD">
      <w:pPr>
        <w:pStyle w:val="FootnoteText"/>
        <w:ind w:left="284" w:hanging="284"/>
      </w:pPr>
      <w:r>
        <w:rPr>
          <w:rStyle w:val="FootnoteReference"/>
        </w:rPr>
        <w:footnoteRef/>
      </w:r>
      <w:r>
        <w:tab/>
        <w:t>Регламент (ЕС) 2017/1991 на Европейския парламент и на Съвета от 25 октомври 2017 г. от</w:t>
      </w:r>
      <w:r>
        <w:t>носно европейските фондове за рисков капитал и Регламент (ЕС) № 346/2013 относно европейски фондове за социално предприемачество (OВ L 293, 10.11.2017 г.).</w:t>
      </w:r>
    </w:p>
  </w:footnote>
  <w:footnote w:id="6">
    <w:p w:rsidR="000C6829" w:rsidRDefault="00BB59DD">
      <w:pPr>
        <w:pStyle w:val="FootnoteText"/>
        <w:tabs>
          <w:tab w:val="left" w:pos="284"/>
        </w:tabs>
        <w:ind w:left="284" w:hanging="284"/>
      </w:pPr>
      <w:r>
        <w:rPr>
          <w:rStyle w:val="FootnoteReference"/>
        </w:rPr>
        <w:footnoteRef/>
      </w:r>
      <w:r>
        <w:t xml:space="preserve"> </w:t>
      </w:r>
      <w:r>
        <w:tab/>
        <w:t>Регламент (ЕС) 2017/2402 на Европейския парламент и на Съвета от 12 декември 2017 г. за определян</w:t>
      </w:r>
      <w:r>
        <w:t>е на обща рамка за секюритизациите и за създаване на специфична рамка за опростени, прозрачни и стандартизирани секюритизации (OВ L 347, 28.12.2017 г.).</w:t>
      </w:r>
    </w:p>
  </w:footnote>
  <w:footnote w:id="7">
    <w:p w:rsidR="000C6829" w:rsidRDefault="00BB59DD">
      <w:pPr>
        <w:pStyle w:val="FootnoteText"/>
        <w:ind w:left="284" w:hanging="284"/>
      </w:pPr>
      <w:r>
        <w:rPr>
          <w:rStyle w:val="FootnoteReference"/>
        </w:rPr>
        <w:footnoteRef/>
      </w:r>
      <w:r>
        <w:t xml:space="preserve"> </w:t>
      </w:r>
      <w:r>
        <w:tab/>
        <w:t>Работен документ на службите на Комисията „Оценка на въздействието, придружаваща предложението за Ре</w:t>
      </w:r>
      <w:r>
        <w:t xml:space="preserve">гламент на Европейския парламент и на Съвета за определяне на общите правила за секюритизациите и създаване на европейска рамка за опростени и прозрачни секюритизации [...]“, SWD/2015/0186 final, 2015/0226 (COD), 30.9.2015 г. </w:t>
      </w:r>
    </w:p>
  </w:footnote>
  <w:footnote w:id="8">
    <w:p w:rsidR="000C6829" w:rsidRDefault="00BB59DD">
      <w:pPr>
        <w:pStyle w:val="FootnoteText"/>
        <w:ind w:left="284" w:hanging="284"/>
      </w:pPr>
      <w:r>
        <w:rPr>
          <w:rStyle w:val="FootnoteReference"/>
        </w:rPr>
        <w:footnoteRef/>
      </w:r>
      <w:r>
        <w:t xml:space="preserve"> </w:t>
      </w:r>
      <w:r>
        <w:tab/>
        <w:t>Делегиран регламент (ЕС) 2</w:t>
      </w:r>
      <w:r>
        <w:t xml:space="preserve">015/35 на Комисията от 10 октомври 2014 г. за допълнение на Директива 2009/138/ЕО на Европейския парламент и на Съвета относно започването и упражняването на застрахователна и презастрахователна дейност (Платежоспособност II) (ОВ L 12, 17.1.2015 г.). </w:t>
      </w:r>
    </w:p>
  </w:footnote>
  <w:footnote w:id="9">
    <w:p w:rsidR="000C6829" w:rsidRDefault="00BB59DD">
      <w:pPr>
        <w:pStyle w:val="FootnoteText"/>
        <w:ind w:left="284" w:hanging="284"/>
      </w:pPr>
      <w:r>
        <w:rPr>
          <w:rStyle w:val="FootnoteReference"/>
        </w:rPr>
        <w:footnoteRef/>
      </w:r>
      <w:r>
        <w:t xml:space="preserve"> </w:t>
      </w:r>
      <w:r>
        <w:tab/>
        <w:t>С</w:t>
      </w:r>
      <w:r>
        <w:t>ъобщение на Комисията до Европейския парламент, Европейския съвет, Съвета, Европейската централна банка, Европейския икономически и социален комитет и Комитета на регионите „План за действие в областта на финансовите технологии — за по-конкурентоспособен и</w:t>
      </w:r>
      <w:r>
        <w:t xml:space="preserve"> иновативен европейски финансов сектор“ (COM/2018/0109 final, 8.3.2018 г.).</w:t>
      </w:r>
    </w:p>
  </w:footnote>
  <w:footnote w:id="10">
    <w:p w:rsidR="000C6829" w:rsidRDefault="00BB59DD">
      <w:pPr>
        <w:pStyle w:val="FootnoteText"/>
      </w:pPr>
      <w:r>
        <w:rPr>
          <w:rStyle w:val="FootnoteReference"/>
        </w:rPr>
        <w:footnoteRef/>
      </w:r>
      <w:r>
        <w:t xml:space="preserve"> </w:t>
      </w:r>
      <w:r>
        <w:tab/>
        <w:t xml:space="preserve">Вж. също Съобщение на Комисията до Европейския парламент, Европейския съвет, Съвета, Европейския икономически и социален комитет и Комитета на регионите „Единният пазар в един </w:t>
      </w:r>
      <w:r>
        <w:t>променящ се свят — уникален актив, нуждаещ се от възобновен политически ангажимент“ (COM 2018(772), 22.11.2018 г.).</w:t>
      </w:r>
    </w:p>
  </w:footnote>
  <w:footnote w:id="11">
    <w:p w:rsidR="000C6829" w:rsidRDefault="00BB59DD">
      <w:pPr>
        <w:pStyle w:val="FootnoteText"/>
        <w:ind w:left="284" w:hanging="284"/>
      </w:pPr>
      <w:r>
        <w:rPr>
          <w:rStyle w:val="FootnoteReference"/>
        </w:rPr>
        <w:footnoteRef/>
      </w:r>
      <w:r>
        <w:t xml:space="preserve"> </w:t>
      </w:r>
      <w:r>
        <w:tab/>
        <w:t>Съобщение на Комисията до Европейския парламент, Европейския съвет, Съвета, Европейската централна банка, Европейския икономически и соци</w:t>
      </w:r>
      <w:r>
        <w:t>ален комитет и Комитета на регионите „План за действие: финансиране за устойчив растеж“ (COM/2018/097 final, 8.3.2018 г.).</w:t>
      </w:r>
    </w:p>
  </w:footnote>
  <w:footnote w:id="12">
    <w:p w:rsidR="000C6829" w:rsidRDefault="00BB59DD">
      <w:pPr>
        <w:pStyle w:val="FootnoteText"/>
        <w:ind w:left="284" w:hanging="284"/>
      </w:pPr>
      <w:r>
        <w:rPr>
          <w:rStyle w:val="FootnoteReference"/>
        </w:rPr>
        <w:footnoteRef/>
      </w:r>
      <w:r>
        <w:t xml:space="preserve"> </w:t>
      </w:r>
      <w:r>
        <w:tab/>
        <w:t>През март 2018 г. работната група по въпросите на съюза на капиталовите пазари публикува своя доклада, достъпен на адрес: http://v</w:t>
      </w:r>
      <w:r>
        <w:t>ienna-initiative.com/wp-content/uploads/2018/03/VI-CMU-Working-Group-Final-Report-March-2018.pdf.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29" w:rsidRDefault="000C682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25pt;height:16.25pt;visibility:visible;mso-wrap-style:square" o:bullet="t">
        <v:imagedata r:id="rId1" o:title=""/>
      </v:shape>
    </w:pict>
  </w:numPicBullet>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1BF9"/>
    <w:multiLevelType w:val="hybridMultilevel"/>
    <w:tmpl w:val="B6DA552A"/>
    <w:lvl w:ilvl="0" w:tplc="B140579E">
      <w:start w:val="1"/>
      <w:numFmt w:val="decimal"/>
      <w:lvlText w:val="%1."/>
      <w:lvlJc w:val="left"/>
      <w:pPr>
        <w:ind w:left="643" w:hanging="360"/>
      </w:pPr>
      <w:rPr>
        <w:rFonts w:ascii="Times New Roman" w:hAnsi="Times New Roman" w:cs="Times New Roman" w:hint="default"/>
        <w:sz w:val="22"/>
        <w:szCs w:val="2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BC7898"/>
    <w:multiLevelType w:val="hybridMultilevel"/>
    <w:tmpl w:val="7CDC7E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49C77A5"/>
    <w:multiLevelType w:val="hybridMultilevel"/>
    <w:tmpl w:val="8F3C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1B92838"/>
    <w:multiLevelType w:val="hybridMultilevel"/>
    <w:tmpl w:val="3500B092"/>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7" w15:restartNumberingAfterBreak="0">
    <w:nsid w:val="45C85B27"/>
    <w:multiLevelType w:val="hybridMultilevel"/>
    <w:tmpl w:val="D772CE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4D80482"/>
    <w:multiLevelType w:val="hybridMultilevel"/>
    <w:tmpl w:val="3C00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5"/>
  </w:num>
  <w:num w:numId="5">
    <w:abstractNumId w:val="8"/>
  </w:num>
  <w:num w:numId="6">
    <w:abstractNumId w:val="14"/>
  </w:num>
  <w:num w:numId="7">
    <w:abstractNumId w:val="22"/>
  </w:num>
  <w:num w:numId="8">
    <w:abstractNumId w:val="24"/>
  </w:num>
  <w:num w:numId="9">
    <w:abstractNumId w:val="11"/>
  </w:num>
  <w:num w:numId="10">
    <w:abstractNumId w:val="21"/>
  </w:num>
  <w:num w:numId="11">
    <w:abstractNumId w:val="20"/>
  </w:num>
  <w:num w:numId="12">
    <w:abstractNumId w:val="18"/>
  </w:num>
  <w:num w:numId="13">
    <w:abstractNumId w:val="19"/>
  </w:num>
  <w:num w:numId="14">
    <w:abstractNumId w:val="6"/>
  </w:num>
  <w:num w:numId="15">
    <w:abstractNumId w:val="13"/>
  </w:num>
  <w:num w:numId="16">
    <w:abstractNumId w:val="4"/>
  </w:num>
  <w:num w:numId="17">
    <w:abstractNumId w:val="9"/>
  </w:num>
  <w:num w:numId="18">
    <w:abstractNumId w:val="25"/>
  </w:num>
  <w:num w:numId="19">
    <w:abstractNumId w:val="10"/>
  </w:num>
  <w:num w:numId="20">
    <w:abstractNumId w:val="26"/>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2"/>
  </w:num>
  <w:num w:numId="29">
    <w:abstractNumId w:val="16"/>
  </w:num>
  <w:num w:numId="30">
    <w:abstractNumId w:val="7"/>
  </w:num>
  <w:num w:numId="31">
    <w:abstractNumId w:val="17"/>
  </w:num>
  <w:num w:numId="32">
    <w:abstractNumId w:val="23"/>
  </w:num>
  <w:num w:numId="3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embedSystemFonts/>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27C139-C2BF-40C6-8447-2D146968E4B9"/>
    <w:docVar w:name="LW_COVERPAGE_TYPE" w:val="1"/>
    <w:docVar w:name="LW_CROSSREFERENCE" w:val="&lt;UNUSED&gt;"/>
    <w:docVar w:name="LW_DocType" w:val="EUROLOOK"/>
    <w:docVar w:name="LW_EMISSION" w:val="28.11.2018"/>
    <w:docVar w:name="LW_EMISSION_ISODATE" w:val="2018-11-28"/>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7?\u1098?\u1102?\u1079? \u1085?\u1072? \u1082?\u1072?\u1087?\u1080?\u1090?\u1072?\u1083?\u1086?\u1074?\u1080?\u1090?\u1077? \u1087?\u1072?\u1079?\u1072?\u1088?\u1080?: \u1074?\u1088?\u1077?\u1084?\u1077? \u1077? \u1076?\u1072? \u1087?\u1086?\u1076?\u1085?\u1086?\u1074?\u1080?\u1084? \u1091?\u1089?\u1080?\u1083?\u1080?\u1103?\u1090?\u1072? \u1079?\u1072? \u1087?\u1086?\u1089?\u1090?\u1080?\u1075?\u1072?\u1085?\u1077? \u1085?\u1072? \u1080?\u1085?\u1074?\u1077?\u1089?\u1090?\u1080?\u1094?\u1080?\u1080?, \u1088?\u1072?\u1089?\u1090?\u1077?\u1078? \u1080? \u1080? \u1087?\u1086?-\u1079?\u1085?\u1072?\u1095?\u1080?\u1084?\u1072? \u1088?\u1086?\u1083?\u1103? \u1085?\u1072? \u1077?\u1074?\u1088?\u1086?\u1090?\u1086?&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_x000b_"/>
  </w:docVars>
  <w:rsids>
    <w:rsidRoot w:val="000C6829"/>
    <w:rsid w:val="000C6829"/>
    <w:rsid w:val="00BB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FootnoteTextChar">
    <w:name w:val="Footnote Text Char"/>
    <w:basedOn w:val="DefaultParagraphFont"/>
    <w:link w:val="FootnoteText"/>
    <w:uiPriority w:val="99"/>
    <w:semiHidden/>
    <w:rPr>
      <w:lang w:eastAsia="bg-BG"/>
    </w:rPr>
  </w:style>
  <w:style w:type="character" w:customStyle="1" w:styleId="CommentTextChar">
    <w:name w:val="Comment Text Char"/>
    <w:basedOn w:val="DefaultParagraphFont"/>
    <w:link w:val="CommentText"/>
    <w:uiPriority w:val="99"/>
    <w:rPr>
      <w:lang w:eastAsia="bg-BG"/>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Nota,Ref,styl,o"/>
    <w:basedOn w:val="DefaultParagraphFont"/>
    <w:uiPriority w:val="99"/>
    <w:unhideWhenUsed/>
    <w:qFormat/>
    <w:rPr>
      <w:vertAlign w:val="superscript"/>
    </w:rPr>
  </w:style>
  <w:style w:type="paragraph" w:customStyle="1" w:styleId="Text10">
    <w:name w:val="Text1"/>
    <w:basedOn w:val="Text2"/>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bg-BG"/>
    </w:rPr>
  </w:style>
  <w:style w:type="character" w:customStyle="1" w:styleId="FooterCoverPageChar">
    <w:name w:val="Footer Cover Page Char"/>
    <w:basedOn w:val="TOCHeadingChar"/>
    <w:link w:val="FooterCoverPage"/>
    <w:rPr>
      <w:b w:val="0"/>
      <w:sz w:val="24"/>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bg-BG"/>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table" w:styleId="MediumList2">
    <w:name w:val="Medium List 2"/>
    <w:basedOn w:val="Table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Char">
    <w:name w:val="Body Text Char"/>
    <w:basedOn w:val="DefaultParagraphFont"/>
    <w:link w:val="BodyText"/>
    <w:rPr>
      <w:sz w:val="24"/>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Pa5">
    <w:name w:val="Pa5"/>
    <w:basedOn w:val="Normal"/>
    <w:next w:val="Normal"/>
    <w:uiPriority w:val="99"/>
    <w:pPr>
      <w:autoSpaceDE w:val="0"/>
      <w:autoSpaceDN w:val="0"/>
      <w:adjustRightInd w:val="0"/>
      <w:spacing w:after="0" w:line="241" w:lineRule="atLeast"/>
      <w:jc w:val="left"/>
    </w:pPr>
    <w:rPr>
      <w:rFonts w:ascii="EC Square Sans Pro Medium" w:eastAsiaTheme="minorHAnsi" w:hAnsi="EC Square Sans Pro Medium" w:cstheme="minorBidi"/>
      <w:szCs w:val="24"/>
    </w:rPr>
  </w:style>
  <w:style w:type="paragraph" w:customStyle="1" w:styleId="Default">
    <w:name w:val="Default"/>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688">
      <w:bodyDiv w:val="1"/>
      <w:marLeft w:val="0"/>
      <w:marRight w:val="0"/>
      <w:marTop w:val="0"/>
      <w:marBottom w:val="0"/>
      <w:divBdr>
        <w:top w:val="none" w:sz="0" w:space="0" w:color="auto"/>
        <w:left w:val="none" w:sz="0" w:space="0" w:color="auto"/>
        <w:bottom w:val="none" w:sz="0" w:space="0" w:color="auto"/>
        <w:right w:val="none" w:sz="0" w:space="0" w:color="auto"/>
      </w:divBdr>
    </w:div>
    <w:div w:id="112865528">
      <w:bodyDiv w:val="1"/>
      <w:marLeft w:val="0"/>
      <w:marRight w:val="0"/>
      <w:marTop w:val="0"/>
      <w:marBottom w:val="0"/>
      <w:divBdr>
        <w:top w:val="none" w:sz="0" w:space="0" w:color="auto"/>
        <w:left w:val="none" w:sz="0" w:space="0" w:color="auto"/>
        <w:bottom w:val="none" w:sz="0" w:space="0" w:color="auto"/>
        <w:right w:val="none" w:sz="0" w:space="0" w:color="auto"/>
      </w:divBdr>
    </w:div>
    <w:div w:id="131291853">
      <w:bodyDiv w:val="1"/>
      <w:marLeft w:val="0"/>
      <w:marRight w:val="0"/>
      <w:marTop w:val="0"/>
      <w:marBottom w:val="0"/>
      <w:divBdr>
        <w:top w:val="none" w:sz="0" w:space="0" w:color="auto"/>
        <w:left w:val="none" w:sz="0" w:space="0" w:color="auto"/>
        <w:bottom w:val="none" w:sz="0" w:space="0" w:color="auto"/>
        <w:right w:val="none" w:sz="0" w:space="0" w:color="auto"/>
      </w:divBdr>
    </w:div>
    <w:div w:id="147408584">
      <w:bodyDiv w:val="1"/>
      <w:marLeft w:val="0"/>
      <w:marRight w:val="0"/>
      <w:marTop w:val="0"/>
      <w:marBottom w:val="0"/>
      <w:divBdr>
        <w:top w:val="none" w:sz="0" w:space="0" w:color="auto"/>
        <w:left w:val="none" w:sz="0" w:space="0" w:color="auto"/>
        <w:bottom w:val="none" w:sz="0" w:space="0" w:color="auto"/>
        <w:right w:val="none" w:sz="0" w:space="0" w:color="auto"/>
      </w:divBdr>
    </w:div>
    <w:div w:id="210270521">
      <w:bodyDiv w:val="1"/>
      <w:marLeft w:val="0"/>
      <w:marRight w:val="0"/>
      <w:marTop w:val="0"/>
      <w:marBottom w:val="0"/>
      <w:divBdr>
        <w:top w:val="none" w:sz="0" w:space="0" w:color="auto"/>
        <w:left w:val="none" w:sz="0" w:space="0" w:color="auto"/>
        <w:bottom w:val="none" w:sz="0" w:space="0" w:color="auto"/>
        <w:right w:val="none" w:sz="0" w:space="0" w:color="auto"/>
      </w:divBdr>
    </w:div>
    <w:div w:id="270282399">
      <w:bodyDiv w:val="1"/>
      <w:marLeft w:val="0"/>
      <w:marRight w:val="0"/>
      <w:marTop w:val="0"/>
      <w:marBottom w:val="0"/>
      <w:divBdr>
        <w:top w:val="none" w:sz="0" w:space="0" w:color="auto"/>
        <w:left w:val="none" w:sz="0" w:space="0" w:color="auto"/>
        <w:bottom w:val="none" w:sz="0" w:space="0" w:color="auto"/>
        <w:right w:val="none" w:sz="0" w:space="0" w:color="auto"/>
      </w:divBdr>
    </w:div>
    <w:div w:id="435751345">
      <w:bodyDiv w:val="1"/>
      <w:marLeft w:val="0"/>
      <w:marRight w:val="0"/>
      <w:marTop w:val="0"/>
      <w:marBottom w:val="0"/>
      <w:divBdr>
        <w:top w:val="none" w:sz="0" w:space="0" w:color="auto"/>
        <w:left w:val="none" w:sz="0" w:space="0" w:color="auto"/>
        <w:bottom w:val="none" w:sz="0" w:space="0" w:color="auto"/>
        <w:right w:val="none" w:sz="0" w:space="0" w:color="auto"/>
      </w:divBdr>
    </w:div>
    <w:div w:id="507906645">
      <w:bodyDiv w:val="1"/>
      <w:marLeft w:val="0"/>
      <w:marRight w:val="0"/>
      <w:marTop w:val="0"/>
      <w:marBottom w:val="0"/>
      <w:divBdr>
        <w:top w:val="none" w:sz="0" w:space="0" w:color="auto"/>
        <w:left w:val="none" w:sz="0" w:space="0" w:color="auto"/>
        <w:bottom w:val="none" w:sz="0" w:space="0" w:color="auto"/>
        <w:right w:val="none" w:sz="0" w:space="0" w:color="auto"/>
      </w:divBdr>
    </w:div>
    <w:div w:id="612253390">
      <w:bodyDiv w:val="1"/>
      <w:marLeft w:val="0"/>
      <w:marRight w:val="0"/>
      <w:marTop w:val="0"/>
      <w:marBottom w:val="0"/>
      <w:divBdr>
        <w:top w:val="none" w:sz="0" w:space="0" w:color="auto"/>
        <w:left w:val="none" w:sz="0" w:space="0" w:color="auto"/>
        <w:bottom w:val="none" w:sz="0" w:space="0" w:color="auto"/>
        <w:right w:val="none" w:sz="0" w:space="0" w:color="auto"/>
      </w:divBdr>
    </w:div>
    <w:div w:id="681861311">
      <w:bodyDiv w:val="1"/>
      <w:marLeft w:val="0"/>
      <w:marRight w:val="0"/>
      <w:marTop w:val="0"/>
      <w:marBottom w:val="0"/>
      <w:divBdr>
        <w:top w:val="none" w:sz="0" w:space="0" w:color="auto"/>
        <w:left w:val="none" w:sz="0" w:space="0" w:color="auto"/>
        <w:bottom w:val="none" w:sz="0" w:space="0" w:color="auto"/>
        <w:right w:val="none" w:sz="0" w:space="0" w:color="auto"/>
      </w:divBdr>
    </w:div>
    <w:div w:id="764497307">
      <w:bodyDiv w:val="1"/>
      <w:marLeft w:val="0"/>
      <w:marRight w:val="0"/>
      <w:marTop w:val="0"/>
      <w:marBottom w:val="0"/>
      <w:divBdr>
        <w:top w:val="none" w:sz="0" w:space="0" w:color="auto"/>
        <w:left w:val="none" w:sz="0" w:space="0" w:color="auto"/>
        <w:bottom w:val="none" w:sz="0" w:space="0" w:color="auto"/>
        <w:right w:val="none" w:sz="0" w:space="0" w:color="auto"/>
      </w:divBdr>
    </w:div>
    <w:div w:id="926881725">
      <w:bodyDiv w:val="1"/>
      <w:marLeft w:val="0"/>
      <w:marRight w:val="0"/>
      <w:marTop w:val="0"/>
      <w:marBottom w:val="0"/>
      <w:divBdr>
        <w:top w:val="none" w:sz="0" w:space="0" w:color="auto"/>
        <w:left w:val="none" w:sz="0" w:space="0" w:color="auto"/>
        <w:bottom w:val="none" w:sz="0" w:space="0" w:color="auto"/>
        <w:right w:val="none" w:sz="0" w:space="0" w:color="auto"/>
      </w:divBdr>
    </w:div>
    <w:div w:id="956524612">
      <w:bodyDiv w:val="1"/>
      <w:marLeft w:val="0"/>
      <w:marRight w:val="0"/>
      <w:marTop w:val="0"/>
      <w:marBottom w:val="0"/>
      <w:divBdr>
        <w:top w:val="none" w:sz="0" w:space="0" w:color="auto"/>
        <w:left w:val="none" w:sz="0" w:space="0" w:color="auto"/>
        <w:bottom w:val="none" w:sz="0" w:space="0" w:color="auto"/>
        <w:right w:val="none" w:sz="0" w:space="0" w:color="auto"/>
      </w:divBdr>
    </w:div>
    <w:div w:id="1060130701">
      <w:bodyDiv w:val="1"/>
      <w:marLeft w:val="0"/>
      <w:marRight w:val="0"/>
      <w:marTop w:val="0"/>
      <w:marBottom w:val="0"/>
      <w:divBdr>
        <w:top w:val="none" w:sz="0" w:space="0" w:color="auto"/>
        <w:left w:val="none" w:sz="0" w:space="0" w:color="auto"/>
        <w:bottom w:val="none" w:sz="0" w:space="0" w:color="auto"/>
        <w:right w:val="none" w:sz="0" w:space="0" w:color="auto"/>
      </w:divBdr>
    </w:div>
    <w:div w:id="1093208620">
      <w:bodyDiv w:val="1"/>
      <w:marLeft w:val="0"/>
      <w:marRight w:val="0"/>
      <w:marTop w:val="0"/>
      <w:marBottom w:val="0"/>
      <w:divBdr>
        <w:top w:val="none" w:sz="0" w:space="0" w:color="auto"/>
        <w:left w:val="none" w:sz="0" w:space="0" w:color="auto"/>
        <w:bottom w:val="none" w:sz="0" w:space="0" w:color="auto"/>
        <w:right w:val="none" w:sz="0" w:space="0" w:color="auto"/>
      </w:divBdr>
    </w:div>
    <w:div w:id="1161434184">
      <w:bodyDiv w:val="1"/>
      <w:marLeft w:val="0"/>
      <w:marRight w:val="0"/>
      <w:marTop w:val="0"/>
      <w:marBottom w:val="0"/>
      <w:divBdr>
        <w:top w:val="none" w:sz="0" w:space="0" w:color="auto"/>
        <w:left w:val="none" w:sz="0" w:space="0" w:color="auto"/>
        <w:bottom w:val="none" w:sz="0" w:space="0" w:color="auto"/>
        <w:right w:val="none" w:sz="0" w:space="0" w:color="auto"/>
      </w:divBdr>
    </w:div>
    <w:div w:id="1466897882">
      <w:bodyDiv w:val="1"/>
      <w:marLeft w:val="0"/>
      <w:marRight w:val="0"/>
      <w:marTop w:val="0"/>
      <w:marBottom w:val="0"/>
      <w:divBdr>
        <w:top w:val="none" w:sz="0" w:space="0" w:color="auto"/>
        <w:left w:val="none" w:sz="0" w:space="0" w:color="auto"/>
        <w:bottom w:val="none" w:sz="0" w:space="0" w:color="auto"/>
        <w:right w:val="none" w:sz="0" w:space="0" w:color="auto"/>
      </w:divBdr>
    </w:div>
    <w:div w:id="1724480193">
      <w:bodyDiv w:val="1"/>
      <w:marLeft w:val="0"/>
      <w:marRight w:val="0"/>
      <w:marTop w:val="0"/>
      <w:marBottom w:val="0"/>
      <w:divBdr>
        <w:top w:val="none" w:sz="0" w:space="0" w:color="auto"/>
        <w:left w:val="none" w:sz="0" w:space="0" w:color="auto"/>
        <w:bottom w:val="none" w:sz="0" w:space="0" w:color="auto"/>
        <w:right w:val="none" w:sz="0" w:space="0" w:color="auto"/>
      </w:divBdr>
    </w:div>
    <w:div w:id="1739553856">
      <w:bodyDiv w:val="1"/>
      <w:marLeft w:val="0"/>
      <w:marRight w:val="0"/>
      <w:marTop w:val="0"/>
      <w:marBottom w:val="0"/>
      <w:divBdr>
        <w:top w:val="none" w:sz="0" w:space="0" w:color="auto"/>
        <w:left w:val="none" w:sz="0" w:space="0" w:color="auto"/>
        <w:bottom w:val="none" w:sz="0" w:space="0" w:color="auto"/>
        <w:right w:val="none" w:sz="0" w:space="0" w:color="auto"/>
      </w:divBdr>
    </w:div>
    <w:div w:id="195732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header" Target="head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4.6</Version>
    <Date>2018-10-23T09:12:34</Date>
    <Language>EN</Language>
  </Created>
  <Edited>
    <Version>10.0.37613.0</Version>
    <Date>2018-12-11T13:30:33</Date>
  </Edited>
  <DocumentModel>
    <Id>6cbda13a-4db2-46c6-876a-ef72275827ef</Id>
    <Name>Report</Name>
  </DocumentModel>
  <DocumentDate/>
  <DocumentVersion/>
  <CompatibilityMode>Eurolook4x</CompatibilityMode>
  <Address/>
</EurolookProperties>
</file>

<file path=customXml/item3.xml><?xml version="1.0" encoding="utf-8"?>
<Author Role="Creator">
  <Id>dda241cc-5733-459e-901e-767dd293e5d5</Id>
  <Names>
    <Latin>
      <FirstName>Tim</FirstName>
      <LastName>KOELSCH</LastName>
    </Latin>
    <Greek>
      <FirstName/>
      <LastName/>
    </Greek>
    <Cyrillic>
      <FirstName/>
      <LastName/>
    </Cyrillic>
    <DocumentScript>
      <FirstName>Tim</FirstName>
      <LastName>KOELSCH</LastName>
      <FullName>Tim KOELSCH</FullName>
    </DocumentScript>
  </Names>
  <Initials>TK</Initials>
  <Gender>m</Gender>
  <Email>Tim.KOELSCH@ec.europa.eu</Email>
  <Service>FISMA.C.1</Service>
  <Function ShowInSignature="true"/>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bee81f75-72c8-4129-87c7-657bd7e074d9</Id>
    <LogicalLevel>2</LogicalLevel>
    <Name>FISMA.C</Name>
    <HeadLine1>FINANCIAL MARKETS</HeadLine1>
    <HeadLine2/>
    <PrimaryAddressId>f03b5801-04c9-4931-aa17-c6d6c70bc579</PrimaryAddressId>
    <SecondaryAddressId/>
    <WebAddress/>
    <InheritedWebAddress>WebAddress</InheritedWebAddress>
    <ShowInHeader>true</ShowInHeader>
  </OrgaEntity2>
  <OrgaEntity3>
    <Id>17c3611f-9820-4261-9e3e-df1d637756ee</Id>
    <LogicalLevel>3</LogicalLevel>
    <Name>FISMA.C.1</Name>
    <HeadLine1>Capital markets Union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
    <Office/>
  </MainWorkplace>
  <Workplaces>
    <Workplace IsMain="false">
      <AddressId>1264fb81-f6bb-475e-9f9d-a937d3be6ee2</AddressId>
      <Fax/>
      <Phone/>
      <Office/>
    </Workplace>
    <Workplace IsMain="tru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B56B07-17D9-4A3D-8653-EFF4FFEBA6B1}">
  <ds:schemaRefs/>
</ds:datastoreItem>
</file>

<file path=customXml/itemProps2.xml><?xml version="1.0" encoding="utf-8"?>
<ds:datastoreItem xmlns:ds="http://schemas.openxmlformats.org/officeDocument/2006/customXml" ds:itemID="{EFA54432-9DC7-43D3-B51B-2D62C88C84E2}">
  <ds:schemaRefs/>
</ds:datastoreItem>
</file>

<file path=customXml/itemProps3.xml><?xml version="1.0" encoding="utf-8"?>
<ds:datastoreItem xmlns:ds="http://schemas.openxmlformats.org/officeDocument/2006/customXml" ds:itemID="{AF9AD6B9-950E-4944-90CB-B32FB77086BF}">
  <ds:schemaRefs/>
</ds:datastoreItem>
</file>

<file path=customXml/itemProps4.xml><?xml version="1.0" encoding="utf-8"?>
<ds:datastoreItem xmlns:ds="http://schemas.openxmlformats.org/officeDocument/2006/customXml" ds:itemID="{3A02981B-953A-40E8-AD8F-6DD2EC03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11</Pages>
  <Words>3658</Words>
  <Characters>20893</Characters>
  <Application>Microsoft Office Word</Application>
  <DocSecurity>0</DocSecurity>
  <PresentationFormat>Microsoft Word 14.0</PresentationFormat>
  <Lines>379</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2018-11-27T08:14:00Z</dcterms:created>
  <dcterms:modified xsi:type="dcterms:W3CDTF">2018-12-11T12:30:00Z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