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A5B34E85-D9F0-4D01-B917-6777A0A73823" style="width:450.75pt;height:447.7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tbl>
      <w:tblPr>
        <w:tblStyle w:val="MediumList2"/>
        <w:tblW w:w="9322" w:type="dxa"/>
        <w:tblLayout w:type="fixed"/>
        <w:tblLook w:val="04A0" w:firstRow="1" w:lastRow="0" w:firstColumn="1" w:lastColumn="0" w:noHBand="0" w:noVBand="1"/>
      </w:tblPr>
      <w:tblGrid>
        <w:gridCol w:w="441"/>
        <w:gridCol w:w="1227"/>
        <w:gridCol w:w="2551"/>
        <w:gridCol w:w="765"/>
        <w:gridCol w:w="86"/>
        <w:gridCol w:w="1559"/>
        <w:gridCol w:w="1417"/>
        <w:gridCol w:w="142"/>
        <w:gridCol w:w="981"/>
        <w:gridCol w:w="153"/>
      </w:tblGrid>
      <w:tr>
        <w:trPr>
          <w:gridAfter w:val="1"/>
          <w:cnfStyle w:val="100000000000" w:firstRow="1" w:lastRow="0" w:firstColumn="0" w:lastColumn="0" w:oddVBand="0" w:evenVBand="0" w:oddHBand="0" w:evenHBand="0" w:firstRowFirstColumn="0" w:firstRowLastColumn="0" w:lastRowFirstColumn="0" w:lastRowLastColumn="0"/>
          <w:wAfter w:w="153" w:type="dxa"/>
        </w:trPr>
        <w:tc>
          <w:tcPr>
            <w:cnfStyle w:val="001000000100" w:firstRow="0" w:lastRow="0" w:firstColumn="1" w:lastColumn="0" w:oddVBand="0" w:evenVBand="0" w:oddHBand="0" w:evenHBand="0" w:firstRowFirstColumn="1" w:firstRowLastColumn="0" w:lastRowFirstColumn="0" w:lastRowLastColumn="0"/>
            <w:tcW w:w="441" w:type="dxa"/>
          </w:tcPr>
          <w:p>
            <w:pPr>
              <w:autoSpaceDE w:val="0"/>
              <w:autoSpaceDN w:val="0"/>
              <w:adjustRightInd w:val="0"/>
              <w:rPr>
                <w:rFonts w:ascii="Times New Roman" w:eastAsia="Times New Roman" w:hAnsi="Times New Roman" w:cs="Times New Roman"/>
                <w:b/>
                <w:noProof/>
              </w:rPr>
            </w:pPr>
            <w:bookmarkStart w:id="1" w:name="_GoBack"/>
            <w:bookmarkEnd w:id="1"/>
          </w:p>
        </w:tc>
        <w:tc>
          <w:tcPr>
            <w:tcW w:w="1227" w:type="dxa"/>
          </w:tcPr>
          <w:p>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rPr>
            </w:pPr>
          </w:p>
        </w:tc>
        <w:tc>
          <w:tcPr>
            <w:tcW w:w="2551" w:type="dxa"/>
          </w:tcPr>
          <w:p>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sz w:val="22"/>
              </w:rPr>
            </w:pPr>
            <w:r>
              <w:rPr>
                <w:rFonts w:ascii="Times New Roman" w:hAnsi="Times New Roman"/>
                <w:b/>
                <w:noProof/>
                <w:sz w:val="22"/>
              </w:rPr>
              <w:t xml:space="preserve">Законодателни предложения </w:t>
            </w:r>
          </w:p>
        </w:tc>
        <w:tc>
          <w:tcPr>
            <w:tcW w:w="765" w:type="dxa"/>
          </w:tcPr>
          <w:p>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sz w:val="22"/>
              </w:rPr>
            </w:pPr>
            <w:r>
              <w:rPr>
                <w:rFonts w:ascii="Times New Roman" w:hAnsi="Times New Roman"/>
                <w:b/>
                <w:noProof/>
                <w:sz w:val="22"/>
              </w:rPr>
              <w:t>Дата</w:t>
            </w:r>
          </w:p>
          <w:p>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sz w:val="22"/>
              </w:rPr>
            </w:pPr>
          </w:p>
        </w:tc>
        <w:tc>
          <w:tcPr>
            <w:tcW w:w="1645" w:type="dxa"/>
            <w:gridSpan w:val="2"/>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2"/>
              </w:rPr>
            </w:pPr>
            <w:r>
              <w:rPr>
                <w:rFonts w:ascii="Times New Roman" w:hAnsi="Times New Roman"/>
                <w:b/>
                <w:noProof/>
                <w:sz w:val="22"/>
              </w:rPr>
              <w:t>Европейски парламент</w:t>
            </w:r>
          </w:p>
        </w:tc>
        <w:tc>
          <w:tcPr>
            <w:tcW w:w="1417" w:type="dxa"/>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2"/>
              </w:rPr>
            </w:pPr>
            <w:r>
              <w:rPr>
                <w:rFonts w:ascii="Times New Roman" w:hAnsi="Times New Roman"/>
                <w:b/>
                <w:noProof/>
                <w:sz w:val="22"/>
              </w:rPr>
              <w:t>Съвет на Европейския съюз</w:t>
            </w:r>
          </w:p>
        </w:tc>
        <w:tc>
          <w:tcPr>
            <w:tcW w:w="1123" w:type="dxa"/>
            <w:gridSpan w:val="2"/>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2"/>
              </w:rPr>
            </w:pPr>
            <w:r>
              <w:rPr>
                <w:rFonts w:ascii="Times New Roman" w:hAnsi="Times New Roman"/>
                <w:b/>
                <w:noProof/>
                <w:sz w:val="22"/>
              </w:rPr>
              <w:t>Тристранни срещи</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 w:type="dxa"/>
          </w:tcPr>
          <w:p>
            <w:pPr>
              <w:autoSpaceDE w:val="0"/>
              <w:autoSpaceDN w:val="0"/>
              <w:adjustRightInd w:val="0"/>
              <w:rPr>
                <w:rFonts w:ascii="Times New Roman" w:eastAsia="Times New Roman" w:hAnsi="Times New Roman" w:cs="Times New Roman"/>
                <w:b/>
                <w:noProof/>
              </w:rPr>
            </w:pPr>
          </w:p>
        </w:tc>
        <w:tc>
          <w:tcPr>
            <w:tcW w:w="1227" w:type="dxa"/>
          </w:tcPr>
          <w:p>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rPr>
            </w:pPr>
            <w:r>
              <w:rPr>
                <w:rFonts w:ascii="Times New Roman" w:hAnsi="Times New Roman"/>
                <w:b/>
                <w:noProof/>
              </w:rPr>
              <w:t>Приети</w:t>
            </w:r>
          </w:p>
        </w:tc>
        <w:tc>
          <w:tcPr>
            <w:tcW w:w="2551" w:type="dxa"/>
          </w:tcPr>
          <w:p>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765"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645" w:type="dxa"/>
            <w:gridSpan w:val="2"/>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559" w:type="dxa"/>
            <w:gridSpan w:val="2"/>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134" w:type="dxa"/>
            <w:gridSpan w:val="2"/>
            <w:tcBorders>
              <w:top w:val="single" w:sz="24" w:space="0" w:color="auto"/>
            </w:tcBorders>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r>
      <w:tr>
        <w:tc>
          <w:tcPr>
            <w:cnfStyle w:val="001000000000" w:firstRow="0" w:lastRow="0" w:firstColumn="1" w:lastColumn="0" w:oddVBand="0" w:evenVBand="0" w:oddHBand="0" w:evenHBand="0" w:firstRowFirstColumn="0" w:firstRowLastColumn="0" w:lastRowFirstColumn="0" w:lastRowLastColumn="0"/>
            <w:tcW w:w="441" w:type="dxa"/>
          </w:tcPr>
          <w:p>
            <w:pPr>
              <w:autoSpaceDE w:val="0"/>
              <w:autoSpaceDN w:val="0"/>
              <w:adjustRightInd w:val="0"/>
              <w:rPr>
                <w:rFonts w:ascii="Times New Roman" w:eastAsia="Times New Roman" w:hAnsi="Times New Roman" w:cs="Times New Roman"/>
                <w:b/>
                <w:noProof/>
              </w:rPr>
            </w:pPr>
            <w:r>
              <w:rPr>
                <w:rFonts w:ascii="Times New Roman" w:hAnsi="Times New Roman"/>
                <w:b/>
                <w:noProof/>
              </w:rPr>
              <w:t>1</w:t>
            </w:r>
          </w:p>
        </w:tc>
        <w:tc>
          <w:tcPr>
            <w:tcW w:w="1227" w:type="dxa"/>
          </w:tcPr>
          <w:p>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rPr>
            </w:pPr>
          </w:p>
        </w:tc>
        <w:tc>
          <w:tcPr>
            <w:tcW w:w="2551"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Регламент (EС) 2017/1129 на Европейския парламент и на Съвета от 14 юни 2017 г. относно проспекта, който трябва да се публикува при публично предлагане или допускане на ценни книжа до търговия на регулиран пазар</w:t>
            </w:r>
          </w:p>
        </w:tc>
        <w:tc>
          <w:tcPr>
            <w:tcW w:w="765"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Юни 2017 г.</w:t>
            </w:r>
          </w:p>
        </w:tc>
        <w:tc>
          <w:tcPr>
            <w:tcW w:w="1645" w:type="dxa"/>
            <w:gridSpan w:val="2"/>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p>
        </w:tc>
        <w:tc>
          <w:tcPr>
            <w:tcW w:w="1559" w:type="dxa"/>
            <w:gridSpan w:val="2"/>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p>
        </w:tc>
        <w:tc>
          <w:tcPr>
            <w:tcW w:w="1134" w:type="dxa"/>
            <w:gridSpan w:val="2"/>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 w:type="dxa"/>
          </w:tcPr>
          <w:p>
            <w:pPr>
              <w:autoSpaceDE w:val="0"/>
              <w:autoSpaceDN w:val="0"/>
              <w:adjustRightInd w:val="0"/>
              <w:rPr>
                <w:rFonts w:ascii="Times New Roman" w:eastAsia="Times New Roman" w:hAnsi="Times New Roman" w:cs="Times New Roman"/>
                <w:b/>
                <w:noProof/>
              </w:rPr>
            </w:pPr>
            <w:r>
              <w:rPr>
                <w:rFonts w:ascii="Times New Roman" w:hAnsi="Times New Roman"/>
                <w:b/>
                <w:noProof/>
              </w:rPr>
              <w:t>2</w:t>
            </w:r>
          </w:p>
        </w:tc>
        <w:tc>
          <w:tcPr>
            <w:tcW w:w="1227" w:type="dxa"/>
          </w:tcPr>
          <w:p>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rPr>
            </w:pPr>
          </w:p>
        </w:tc>
        <w:tc>
          <w:tcPr>
            <w:tcW w:w="2551"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Регламент (ЕС) 2017/1991 на Европейския парламент и на Съвета от 25 октомври 2017 г. относно европейските фондове за рисков капитал и относно европейските фондове за социално предприемачество</w:t>
            </w:r>
          </w:p>
        </w:tc>
        <w:tc>
          <w:tcPr>
            <w:tcW w:w="765"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Октомври 2017 г.</w:t>
            </w:r>
          </w:p>
        </w:tc>
        <w:tc>
          <w:tcPr>
            <w:tcW w:w="1645" w:type="dxa"/>
            <w:gridSpan w:val="2"/>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p>
        </w:tc>
        <w:tc>
          <w:tcPr>
            <w:tcW w:w="1559" w:type="dxa"/>
            <w:gridSpan w:val="2"/>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p>
        </w:tc>
        <w:tc>
          <w:tcPr>
            <w:tcW w:w="1134" w:type="dxa"/>
            <w:gridSpan w:val="2"/>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p>
        </w:tc>
      </w:tr>
      <w:tr>
        <w:tc>
          <w:tcPr>
            <w:cnfStyle w:val="001000000000" w:firstRow="0" w:lastRow="0" w:firstColumn="1" w:lastColumn="0" w:oddVBand="0" w:evenVBand="0" w:oddHBand="0" w:evenHBand="0" w:firstRowFirstColumn="0" w:firstRowLastColumn="0" w:lastRowFirstColumn="0" w:lastRowLastColumn="0"/>
            <w:tcW w:w="441" w:type="dxa"/>
            <w:tcBorders>
              <w:top w:val="nil"/>
              <w:bottom w:val="single" w:sz="4" w:space="0" w:color="auto"/>
            </w:tcBorders>
          </w:tcPr>
          <w:p>
            <w:pPr>
              <w:jc w:val="both"/>
              <w:rPr>
                <w:rFonts w:ascii="Times New Roman" w:eastAsia="Times New Roman" w:hAnsi="Times New Roman" w:cs="Times New Roman"/>
                <w:b/>
                <w:noProof/>
              </w:rPr>
            </w:pPr>
            <w:r>
              <w:rPr>
                <w:rFonts w:ascii="Times New Roman" w:hAnsi="Times New Roman"/>
                <w:b/>
                <w:noProof/>
              </w:rPr>
              <w:t>3</w:t>
            </w:r>
          </w:p>
        </w:tc>
        <w:tc>
          <w:tcPr>
            <w:tcW w:w="1227" w:type="dxa"/>
            <w:tcBorders>
              <w:top w:val="nil"/>
              <w:bottom w:val="single" w:sz="4" w:space="0" w:color="auto"/>
            </w:tcBorders>
          </w:tcPr>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rPr>
            </w:pPr>
          </w:p>
        </w:tc>
        <w:tc>
          <w:tcPr>
            <w:tcW w:w="2551" w:type="dxa"/>
            <w:tcBorders>
              <w:top w:val="nil"/>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Регламент (ЕС) 2017/2402 на Европейския парламент и на Съвета от 12 декември 2017 г. за определяне на обща рамка за секюритизациите и за създаване на специфична рамка за опростени, прозрачни и стандартизирани секюритизации</w:t>
            </w:r>
          </w:p>
        </w:tc>
        <w:tc>
          <w:tcPr>
            <w:tcW w:w="765" w:type="dxa"/>
            <w:tcBorders>
              <w:top w:val="nil"/>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Декември 2017 г.</w:t>
            </w:r>
          </w:p>
        </w:tc>
        <w:tc>
          <w:tcPr>
            <w:tcW w:w="1645" w:type="dxa"/>
            <w:gridSpan w:val="2"/>
            <w:tcBorders>
              <w:top w:val="nil"/>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p>
        </w:tc>
        <w:tc>
          <w:tcPr>
            <w:tcW w:w="1559" w:type="dxa"/>
            <w:gridSpan w:val="2"/>
            <w:tcBorders>
              <w:top w:val="nil"/>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p>
        </w:tc>
        <w:tc>
          <w:tcPr>
            <w:tcW w:w="1134" w:type="dxa"/>
            <w:gridSpan w:val="2"/>
            <w:tcBorders>
              <w:top w:val="nil"/>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 w:type="dxa"/>
            <w:tcBorders>
              <w:top w:val="single" w:sz="4" w:space="0" w:color="auto"/>
            </w:tcBorders>
          </w:tcPr>
          <w:p>
            <w:pPr>
              <w:jc w:val="both"/>
              <w:rPr>
                <w:rFonts w:ascii="Times New Roman" w:eastAsia="Times New Roman" w:hAnsi="Times New Roman" w:cs="Times New Roman"/>
                <w:b/>
                <w:noProof/>
              </w:rPr>
            </w:pPr>
          </w:p>
        </w:tc>
        <w:tc>
          <w:tcPr>
            <w:tcW w:w="1227" w:type="dxa"/>
            <w:tcBorders>
              <w:top w:val="single" w:sz="4" w:space="0" w:color="auto"/>
            </w:tcBorders>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rPr>
            </w:pPr>
            <w:r>
              <w:rPr>
                <w:rFonts w:ascii="Times New Roman" w:hAnsi="Times New Roman"/>
                <w:b/>
                <w:noProof/>
              </w:rPr>
              <w:t>Предложени</w:t>
            </w:r>
          </w:p>
        </w:tc>
        <w:tc>
          <w:tcPr>
            <w:tcW w:w="2551"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p>
        </w:tc>
        <w:tc>
          <w:tcPr>
            <w:tcW w:w="765"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p>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p>
        </w:tc>
        <w:tc>
          <w:tcPr>
            <w:tcW w:w="1645" w:type="dxa"/>
            <w:gridSpan w:val="2"/>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4"/>
                <w:szCs w:val="24"/>
              </w:rPr>
            </w:pPr>
          </w:p>
        </w:tc>
        <w:tc>
          <w:tcPr>
            <w:tcW w:w="1559" w:type="dxa"/>
            <w:gridSpan w:val="2"/>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4"/>
                <w:szCs w:val="24"/>
              </w:rPr>
            </w:pPr>
          </w:p>
        </w:tc>
        <w:tc>
          <w:tcPr>
            <w:tcW w:w="1134" w:type="dxa"/>
            <w:gridSpan w:val="2"/>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4"/>
                <w:szCs w:val="24"/>
              </w:rPr>
            </w:pPr>
          </w:p>
        </w:tc>
      </w:tr>
      <w:tr>
        <w:tc>
          <w:tcPr>
            <w:cnfStyle w:val="001000000000" w:firstRow="0" w:lastRow="0" w:firstColumn="1" w:lastColumn="0" w:oddVBand="0" w:evenVBand="0" w:oddHBand="0" w:evenHBand="0" w:firstRowFirstColumn="0" w:firstRowLastColumn="0" w:lastRowFirstColumn="0" w:lastRowLastColumn="0"/>
            <w:tcW w:w="441" w:type="dxa"/>
          </w:tcPr>
          <w:p>
            <w:pPr>
              <w:jc w:val="both"/>
              <w:rPr>
                <w:rFonts w:ascii="Times New Roman" w:eastAsia="Times New Roman" w:hAnsi="Times New Roman" w:cs="Times New Roman"/>
                <w:b/>
                <w:noProof/>
              </w:rPr>
            </w:pPr>
            <w:r>
              <w:rPr>
                <w:rFonts w:ascii="Times New Roman" w:hAnsi="Times New Roman"/>
                <w:b/>
                <w:noProof/>
              </w:rPr>
              <w:t>4</w:t>
            </w:r>
          </w:p>
        </w:tc>
        <w:tc>
          <w:tcPr>
            <w:tcW w:w="1227" w:type="dxa"/>
          </w:tcPr>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p>
        </w:tc>
        <w:tc>
          <w:tcPr>
            <w:tcW w:w="2551"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Предложение за Директива на Европейския парламент и на Съвета относно рамки за превантивно преструктуриране, предоставяне на втори шанс и мерки за повишаване на ефективността на процедурите за преструктуриране, несъстоятелност и опрощаване на задължения</w:t>
            </w:r>
          </w:p>
        </w:tc>
        <w:tc>
          <w:tcPr>
            <w:tcW w:w="765"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Ноември 2016 г.</w:t>
            </w:r>
          </w:p>
        </w:tc>
        <w:tc>
          <w:tcPr>
            <w:tcW w:w="1645" w:type="dxa"/>
            <w:gridSpan w:val="2"/>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Мандат за преговори, получен през септември 2018 г.</w:t>
            </w:r>
          </w:p>
        </w:tc>
        <w:tc>
          <w:tcPr>
            <w:tcW w:w="1559" w:type="dxa"/>
            <w:gridSpan w:val="2"/>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Мандат за преговори, получен през октомври 2018 г.</w:t>
            </w:r>
          </w:p>
        </w:tc>
        <w:tc>
          <w:tcPr>
            <w:tcW w:w="1134" w:type="dxa"/>
            <w:gridSpan w:val="2"/>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От октомври 2018 г. се провеждат тристранни срещи</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 w:type="dxa"/>
          </w:tcPr>
          <w:p>
            <w:pPr>
              <w:jc w:val="both"/>
              <w:rPr>
                <w:rFonts w:ascii="Times New Roman" w:eastAsia="Times New Roman" w:hAnsi="Times New Roman" w:cs="Times New Roman"/>
                <w:b/>
                <w:noProof/>
              </w:rPr>
            </w:pPr>
            <w:r>
              <w:rPr>
                <w:rFonts w:ascii="Times New Roman" w:hAnsi="Times New Roman"/>
                <w:b/>
                <w:noProof/>
              </w:rPr>
              <w:t>5</w:t>
            </w:r>
          </w:p>
        </w:tc>
        <w:tc>
          <w:tcPr>
            <w:tcW w:w="1227" w:type="dxa"/>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p>
        </w:tc>
        <w:tc>
          <w:tcPr>
            <w:tcW w:w="2551"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Предложение за Регламент на Европейския парламент и на Съвета относно общоевропейски продукт за лично пенсионно осигуряване (ОЕПЛПО)</w:t>
            </w:r>
          </w:p>
        </w:tc>
        <w:tc>
          <w:tcPr>
            <w:tcW w:w="765"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Юни 2017 г.</w:t>
            </w:r>
          </w:p>
        </w:tc>
        <w:tc>
          <w:tcPr>
            <w:tcW w:w="1645" w:type="dxa"/>
            <w:gridSpan w:val="2"/>
          </w:tcPr>
          <w:p>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Мандат за преговори, получен през септември 2018 г.</w:t>
            </w:r>
          </w:p>
        </w:tc>
        <w:tc>
          <w:tcPr>
            <w:tcW w:w="1559" w:type="dxa"/>
            <w:gridSpan w:val="2"/>
          </w:tcPr>
          <w:p>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Мандат за преговори, получен през юни 2018 г.</w:t>
            </w:r>
          </w:p>
        </w:tc>
        <w:tc>
          <w:tcPr>
            <w:tcW w:w="1134" w:type="dxa"/>
            <w:gridSpan w:val="2"/>
          </w:tcPr>
          <w:p>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От октомври 2018 г. се провеждат тристранни срещи</w:t>
            </w:r>
          </w:p>
        </w:tc>
      </w:tr>
      <w:tr>
        <w:trPr>
          <w:cantSplit/>
        </w:trPr>
        <w:tc>
          <w:tcPr>
            <w:cnfStyle w:val="001000000000" w:firstRow="0" w:lastRow="0" w:firstColumn="1" w:lastColumn="0" w:oddVBand="0" w:evenVBand="0" w:oddHBand="0" w:evenHBand="0" w:firstRowFirstColumn="0" w:firstRowLastColumn="0" w:lastRowFirstColumn="0" w:lastRowLastColumn="0"/>
            <w:tcW w:w="441" w:type="dxa"/>
          </w:tcPr>
          <w:p>
            <w:pPr>
              <w:jc w:val="both"/>
              <w:rPr>
                <w:rFonts w:ascii="Times New Roman" w:eastAsia="Times New Roman" w:hAnsi="Times New Roman" w:cs="Times New Roman"/>
                <w:b/>
                <w:noProof/>
              </w:rPr>
            </w:pPr>
            <w:r>
              <w:rPr>
                <w:rFonts w:ascii="Times New Roman" w:hAnsi="Times New Roman"/>
                <w:b/>
                <w:noProof/>
              </w:rPr>
              <w:t>6</w:t>
            </w:r>
          </w:p>
        </w:tc>
        <w:tc>
          <w:tcPr>
            <w:tcW w:w="1227" w:type="dxa"/>
          </w:tcPr>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p>
        </w:tc>
        <w:tc>
          <w:tcPr>
            <w:tcW w:w="2551"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Предложение за Регламент на Европейския парламент и на Съвета за изменения на Регламента за създаване на Европейски орган за ценни книжа и пазари (ЕОЦКП) и другите европейски надзорни органи, включително засилени правила срещу изпирането на пари, предложени през септември 2018 г., както и на свързаните с него актове</w:t>
            </w:r>
          </w:p>
        </w:tc>
        <w:tc>
          <w:tcPr>
            <w:tcW w:w="765"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 xml:space="preserve">Септември 2017 г. </w:t>
            </w:r>
          </w:p>
        </w:tc>
        <w:tc>
          <w:tcPr>
            <w:tcW w:w="1645" w:type="dxa"/>
            <w:gridSpan w:val="2"/>
          </w:tcPr>
          <w:p>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Все още не е постигнато съгласие</w:t>
            </w:r>
          </w:p>
        </w:tc>
        <w:tc>
          <w:tcPr>
            <w:tcW w:w="1559" w:type="dxa"/>
            <w:gridSpan w:val="2"/>
          </w:tcPr>
          <w:p>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Все още не е постигнато съгласие</w:t>
            </w:r>
          </w:p>
        </w:tc>
        <w:tc>
          <w:tcPr>
            <w:tcW w:w="1134" w:type="dxa"/>
            <w:gridSpan w:val="2"/>
          </w:tcPr>
          <w:p>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Все още не са започнали</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 w:type="dxa"/>
          </w:tcPr>
          <w:p>
            <w:pPr>
              <w:jc w:val="both"/>
              <w:rPr>
                <w:rFonts w:ascii="Times New Roman" w:eastAsia="Times New Roman" w:hAnsi="Times New Roman" w:cs="Times New Roman"/>
                <w:b/>
                <w:noProof/>
              </w:rPr>
            </w:pPr>
            <w:r>
              <w:rPr>
                <w:rFonts w:ascii="Times New Roman" w:hAnsi="Times New Roman"/>
                <w:b/>
                <w:noProof/>
              </w:rPr>
              <w:t>7</w:t>
            </w:r>
          </w:p>
        </w:tc>
        <w:tc>
          <w:tcPr>
            <w:tcW w:w="1227" w:type="dxa"/>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p>
        </w:tc>
        <w:tc>
          <w:tcPr>
            <w:tcW w:w="2551" w:type="dxa"/>
          </w:tcPr>
          <w:p>
            <w:pPr>
              <w:pStyle w:val="Default"/>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2"/>
                <w:szCs w:val="22"/>
              </w:rPr>
            </w:pPr>
            <w:r>
              <w:rPr>
                <w:noProof/>
                <w:color w:val="000000" w:themeColor="text1"/>
                <w:sz w:val="22"/>
              </w:rPr>
              <w:t>Предложение за Регламент на Европейския парламент и на Съвета относно пруденциалните изисквания за инвестиционните посредници и предложение за Директива на Европейския парламент и на Съвета относно пруденциалния надзор върху инвестиционните посредници</w:t>
            </w:r>
          </w:p>
        </w:tc>
        <w:tc>
          <w:tcPr>
            <w:tcW w:w="765"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Декември 2017 г.</w:t>
            </w:r>
          </w:p>
        </w:tc>
        <w:tc>
          <w:tcPr>
            <w:tcW w:w="1645" w:type="dxa"/>
            <w:gridSpan w:val="2"/>
          </w:tcPr>
          <w:p>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Мандат за преговори, получен през септември 2018 г.</w:t>
            </w:r>
          </w:p>
        </w:tc>
        <w:tc>
          <w:tcPr>
            <w:tcW w:w="1559" w:type="dxa"/>
            <w:gridSpan w:val="2"/>
          </w:tcPr>
          <w:p>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Все още не е постигнато съгласие</w:t>
            </w:r>
          </w:p>
        </w:tc>
        <w:tc>
          <w:tcPr>
            <w:tcW w:w="1134" w:type="dxa"/>
            <w:gridSpan w:val="2"/>
          </w:tcPr>
          <w:p>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Все още не са започнали</w:t>
            </w:r>
          </w:p>
        </w:tc>
      </w:tr>
      <w:tr>
        <w:trPr>
          <w:trHeight w:val="231"/>
        </w:trPr>
        <w:tc>
          <w:tcPr>
            <w:cnfStyle w:val="001000000000" w:firstRow="0" w:lastRow="0" w:firstColumn="1" w:lastColumn="0" w:oddVBand="0" w:evenVBand="0" w:oddHBand="0" w:evenHBand="0" w:firstRowFirstColumn="0" w:firstRowLastColumn="0" w:lastRowFirstColumn="0" w:lastRowLastColumn="0"/>
            <w:tcW w:w="441" w:type="dxa"/>
          </w:tcPr>
          <w:p>
            <w:pPr>
              <w:jc w:val="both"/>
              <w:rPr>
                <w:rFonts w:ascii="Times New Roman" w:hAnsi="Times New Roman" w:cs="Times New Roman"/>
                <w:b/>
                <w:bCs/>
                <w:noProof/>
              </w:rPr>
            </w:pPr>
            <w:r>
              <w:rPr>
                <w:rFonts w:ascii="Times New Roman" w:hAnsi="Times New Roman"/>
                <w:b/>
                <w:noProof/>
              </w:rPr>
              <w:t>8</w:t>
            </w:r>
          </w:p>
        </w:tc>
        <w:tc>
          <w:tcPr>
            <w:tcW w:w="1227"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rPr>
            </w:pPr>
          </w:p>
        </w:tc>
        <w:tc>
          <w:tcPr>
            <w:tcW w:w="2551"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rPr>
            </w:pPr>
            <w:r>
              <w:rPr>
                <w:rFonts w:ascii="Times New Roman" w:hAnsi="Times New Roman"/>
                <w:noProof/>
              </w:rPr>
              <w:t>Предложение за Регламент на Европейския парламент и на Съвета относно европейските доставчици на услуги за колективно финансиране (ЕДУКФ) за бизнеса</w:t>
            </w:r>
          </w:p>
        </w:tc>
        <w:tc>
          <w:tcPr>
            <w:tcW w:w="765"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highlight w:val="yellow"/>
              </w:rPr>
            </w:pPr>
            <w:r>
              <w:rPr>
                <w:rFonts w:ascii="Times New Roman" w:hAnsi="Times New Roman"/>
                <w:noProof/>
              </w:rPr>
              <w:t>Март 2018 г.</w:t>
            </w:r>
          </w:p>
        </w:tc>
        <w:tc>
          <w:tcPr>
            <w:tcW w:w="1645" w:type="dxa"/>
            <w:gridSpan w:val="2"/>
          </w:tcPr>
          <w:p>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Мандат за преговори, получен през ноември 2018 г.</w:t>
            </w:r>
          </w:p>
        </w:tc>
        <w:tc>
          <w:tcPr>
            <w:tcW w:w="1559" w:type="dxa"/>
            <w:gridSpan w:val="2"/>
          </w:tcPr>
          <w:p>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Все още не е постигнато съгласие</w:t>
            </w:r>
          </w:p>
        </w:tc>
        <w:tc>
          <w:tcPr>
            <w:tcW w:w="1134" w:type="dxa"/>
            <w:gridSpan w:val="2"/>
          </w:tcPr>
          <w:p>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Все още не са започнали</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 w:type="dxa"/>
          </w:tcPr>
          <w:p>
            <w:pPr>
              <w:pStyle w:val="Default"/>
              <w:jc w:val="both"/>
              <w:rPr>
                <w:b/>
                <w:noProof/>
                <w:sz w:val="22"/>
                <w:szCs w:val="22"/>
              </w:rPr>
            </w:pPr>
            <w:r>
              <w:rPr>
                <w:b/>
                <w:noProof/>
                <w:sz w:val="22"/>
              </w:rPr>
              <w:t>9</w:t>
            </w:r>
          </w:p>
        </w:tc>
        <w:tc>
          <w:tcPr>
            <w:tcW w:w="1227" w:type="dxa"/>
          </w:tcPr>
          <w:p>
            <w:pPr>
              <w:pStyle w:val="Default"/>
              <w:jc w:val="both"/>
              <w:cnfStyle w:val="000000100000" w:firstRow="0" w:lastRow="0" w:firstColumn="0" w:lastColumn="0" w:oddVBand="0" w:evenVBand="0" w:oddHBand="1" w:evenHBand="0" w:firstRowFirstColumn="0" w:firstRowLastColumn="0" w:lastRowFirstColumn="0" w:lastRowLastColumn="0"/>
              <w:rPr>
                <w:noProof/>
                <w:color w:val="000000" w:themeColor="text1"/>
                <w:sz w:val="22"/>
                <w:szCs w:val="22"/>
              </w:rPr>
            </w:pPr>
          </w:p>
        </w:tc>
        <w:tc>
          <w:tcPr>
            <w:tcW w:w="2551" w:type="dxa"/>
          </w:tcPr>
          <w:p>
            <w:pPr>
              <w:pStyle w:val="Default"/>
              <w:cnfStyle w:val="000000100000" w:firstRow="0" w:lastRow="0" w:firstColumn="0" w:lastColumn="0" w:oddVBand="0" w:evenVBand="0" w:oddHBand="1" w:evenHBand="0" w:firstRowFirstColumn="0" w:firstRowLastColumn="0" w:lastRowFirstColumn="0" w:lastRowLastColumn="0"/>
              <w:rPr>
                <w:noProof/>
                <w:color w:val="000000" w:themeColor="text1"/>
                <w:sz w:val="22"/>
                <w:szCs w:val="22"/>
              </w:rPr>
            </w:pPr>
            <w:r>
              <w:rPr>
                <w:noProof/>
                <w:color w:val="000000" w:themeColor="text1"/>
                <w:sz w:val="22"/>
              </w:rPr>
              <w:t>Предложение за Директива на Европейския парламент и на Съвета относно емитирането на покрити облигации и публичния надзор върху покритите облигации и предложение за Регламент на Европейския парламент и на Съвета относно експозициите под формата на покрити облигации</w:t>
            </w:r>
          </w:p>
        </w:tc>
        <w:tc>
          <w:tcPr>
            <w:tcW w:w="765"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highlight w:val="lightGray"/>
              </w:rPr>
            </w:pPr>
            <w:r>
              <w:rPr>
                <w:rFonts w:ascii="Times New Roman" w:hAnsi="Times New Roman"/>
                <w:noProof/>
              </w:rPr>
              <w:t>Март 2018 г.</w:t>
            </w:r>
          </w:p>
        </w:tc>
        <w:tc>
          <w:tcPr>
            <w:tcW w:w="1645" w:type="dxa"/>
            <w:gridSpan w:val="2"/>
          </w:tcPr>
          <w:p>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Мандат за преговори, получен през ноември 2018 г.</w:t>
            </w:r>
          </w:p>
        </w:tc>
        <w:tc>
          <w:tcPr>
            <w:tcW w:w="1559" w:type="dxa"/>
            <w:gridSpan w:val="2"/>
          </w:tcPr>
          <w:p>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Мандатът за преговори се очаква скоро</w:t>
            </w:r>
          </w:p>
        </w:tc>
        <w:tc>
          <w:tcPr>
            <w:tcW w:w="1134" w:type="dxa"/>
            <w:gridSpan w:val="2"/>
          </w:tcPr>
          <w:p>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Все още не са започнали</w:t>
            </w:r>
          </w:p>
        </w:tc>
      </w:tr>
      <w:tr>
        <w:tc>
          <w:tcPr>
            <w:cnfStyle w:val="001000000000" w:firstRow="0" w:lastRow="0" w:firstColumn="1" w:lastColumn="0" w:oddVBand="0" w:evenVBand="0" w:oddHBand="0" w:evenHBand="0" w:firstRowFirstColumn="0" w:firstRowLastColumn="0" w:lastRowFirstColumn="0" w:lastRowLastColumn="0"/>
            <w:tcW w:w="441" w:type="dxa"/>
          </w:tcPr>
          <w:p>
            <w:pPr>
              <w:pStyle w:val="Default"/>
              <w:jc w:val="both"/>
              <w:rPr>
                <w:b/>
                <w:noProof/>
                <w:sz w:val="22"/>
                <w:szCs w:val="22"/>
              </w:rPr>
            </w:pPr>
            <w:r>
              <w:rPr>
                <w:b/>
                <w:noProof/>
                <w:sz w:val="22"/>
              </w:rPr>
              <w:t>10</w:t>
            </w:r>
          </w:p>
        </w:tc>
        <w:tc>
          <w:tcPr>
            <w:tcW w:w="1227" w:type="dxa"/>
            <w:tcBorders>
              <w:top w:val="nil"/>
              <w:bottom w:val="nil"/>
            </w:tcBorders>
          </w:tcPr>
          <w:p>
            <w:pPr>
              <w:pStyle w:val="Default"/>
              <w:jc w:val="both"/>
              <w:cnfStyle w:val="000000000000" w:firstRow="0" w:lastRow="0" w:firstColumn="0" w:lastColumn="0" w:oddVBand="0" w:evenVBand="0" w:oddHBand="0" w:evenHBand="0" w:firstRowFirstColumn="0" w:firstRowLastColumn="0" w:lastRowFirstColumn="0" w:lastRowLastColumn="0"/>
              <w:rPr>
                <w:noProof/>
                <w:color w:val="000000" w:themeColor="text1"/>
                <w:sz w:val="22"/>
                <w:szCs w:val="22"/>
              </w:rPr>
            </w:pPr>
          </w:p>
        </w:tc>
        <w:tc>
          <w:tcPr>
            <w:tcW w:w="2551" w:type="dxa"/>
            <w:tcBorders>
              <w:top w:val="nil"/>
              <w:bottom w:val="nil"/>
            </w:tcBorders>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highlight w:val="lightGray"/>
              </w:rPr>
            </w:pPr>
            <w:r>
              <w:rPr>
                <w:rFonts w:ascii="Times New Roman" w:hAnsi="Times New Roman"/>
                <w:noProof/>
              </w:rPr>
              <w:t>Предложение за Директива на Европейския парламент и на Съвета относно трансграничното разпространение на колективни инвестиционни фондове и предложение за Регламент на Европейския парламент и на Съвета за улесняване на трансграничното разпространение на колективни инвестиционни фондове</w:t>
            </w:r>
          </w:p>
        </w:tc>
        <w:tc>
          <w:tcPr>
            <w:tcW w:w="765" w:type="dxa"/>
            <w:tcBorders>
              <w:top w:val="nil"/>
              <w:bottom w:val="nil"/>
            </w:tcBorders>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highlight w:val="lightGray"/>
              </w:rPr>
            </w:pPr>
            <w:r>
              <w:rPr>
                <w:rFonts w:ascii="Times New Roman" w:hAnsi="Times New Roman"/>
                <w:noProof/>
              </w:rPr>
              <w:t>Март 2018 г.</w:t>
            </w:r>
          </w:p>
        </w:tc>
        <w:tc>
          <w:tcPr>
            <w:tcW w:w="1645" w:type="dxa"/>
            <w:gridSpan w:val="2"/>
            <w:tcBorders>
              <w:top w:val="nil"/>
              <w:bottom w:val="nil"/>
            </w:tcBorders>
          </w:tcPr>
          <w:p>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Мандатът за преговори се очаква скоро</w:t>
            </w:r>
          </w:p>
        </w:tc>
        <w:tc>
          <w:tcPr>
            <w:tcW w:w="1559" w:type="dxa"/>
            <w:gridSpan w:val="2"/>
            <w:tcBorders>
              <w:top w:val="nil"/>
              <w:bottom w:val="nil"/>
            </w:tcBorders>
          </w:tcPr>
          <w:p>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Мандат за преговори, получен през юни 2018 г.</w:t>
            </w:r>
          </w:p>
        </w:tc>
        <w:tc>
          <w:tcPr>
            <w:tcW w:w="1134" w:type="dxa"/>
            <w:gridSpan w:val="2"/>
            <w:tcBorders>
              <w:top w:val="nil"/>
              <w:bottom w:val="nil"/>
            </w:tcBorders>
          </w:tcPr>
          <w:p>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Все още не са започнали</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1" w:type="dxa"/>
          </w:tcPr>
          <w:p>
            <w:pPr>
              <w:jc w:val="both"/>
              <w:rPr>
                <w:rFonts w:ascii="Times New Roman" w:eastAsia="Times New Roman" w:hAnsi="Times New Roman" w:cs="Times New Roman"/>
                <w:b/>
                <w:noProof/>
              </w:rPr>
            </w:pPr>
            <w:r>
              <w:rPr>
                <w:rFonts w:ascii="Times New Roman" w:hAnsi="Times New Roman"/>
                <w:b/>
                <w:noProof/>
              </w:rPr>
              <w:t>11</w:t>
            </w:r>
          </w:p>
        </w:tc>
        <w:tc>
          <w:tcPr>
            <w:tcW w:w="1227" w:type="dxa"/>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p>
        </w:tc>
        <w:tc>
          <w:tcPr>
            <w:tcW w:w="2551" w:type="dxa"/>
          </w:tcPr>
          <w:p>
            <w:pPr>
              <w:pStyle w:val="Default"/>
              <w:cnfStyle w:val="000000100000" w:firstRow="0" w:lastRow="0" w:firstColumn="0" w:lastColumn="0" w:oddVBand="0" w:evenVBand="0" w:oddHBand="1" w:evenHBand="0" w:firstRowFirstColumn="0" w:firstRowLastColumn="0" w:lastRowFirstColumn="0" w:lastRowLastColumn="0"/>
              <w:rPr>
                <w:noProof/>
                <w:color w:val="000000" w:themeColor="text1"/>
                <w:sz w:val="22"/>
                <w:szCs w:val="22"/>
              </w:rPr>
            </w:pPr>
            <w:r>
              <w:rPr>
                <w:noProof/>
                <w:color w:val="000000" w:themeColor="text1"/>
                <w:sz w:val="22"/>
              </w:rPr>
              <w:t>Предложение за Регламент на Европейския парламент и на Съвета относно приложимото право към действието на прехвърлянето на вземания спрямо трети лица</w:t>
            </w:r>
          </w:p>
        </w:tc>
        <w:tc>
          <w:tcPr>
            <w:tcW w:w="765" w:type="dxa"/>
          </w:tcPr>
          <w:p>
            <w:pPr>
              <w:pStyle w:val="Default"/>
              <w:cnfStyle w:val="000000100000" w:firstRow="0" w:lastRow="0" w:firstColumn="0" w:lastColumn="0" w:oddVBand="0" w:evenVBand="0" w:oddHBand="1" w:evenHBand="0" w:firstRowFirstColumn="0" w:firstRowLastColumn="0" w:lastRowFirstColumn="0" w:lastRowLastColumn="0"/>
              <w:rPr>
                <w:noProof/>
                <w:color w:val="000000" w:themeColor="text1"/>
                <w:sz w:val="22"/>
                <w:szCs w:val="22"/>
              </w:rPr>
            </w:pPr>
            <w:r>
              <w:rPr>
                <w:noProof/>
                <w:color w:val="000000" w:themeColor="text1"/>
                <w:sz w:val="22"/>
              </w:rPr>
              <w:t>Март 2018 г.</w:t>
            </w:r>
          </w:p>
        </w:tc>
        <w:tc>
          <w:tcPr>
            <w:tcW w:w="1645" w:type="dxa"/>
            <w:gridSpan w:val="2"/>
          </w:tcPr>
          <w:p>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Все още не е постигнато съгласие</w:t>
            </w:r>
          </w:p>
        </w:tc>
        <w:tc>
          <w:tcPr>
            <w:tcW w:w="1559" w:type="dxa"/>
            <w:gridSpan w:val="2"/>
          </w:tcPr>
          <w:p>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 xml:space="preserve">Все още не е постигнато съгласие </w:t>
            </w:r>
          </w:p>
        </w:tc>
        <w:tc>
          <w:tcPr>
            <w:tcW w:w="1134" w:type="dxa"/>
            <w:gridSpan w:val="2"/>
          </w:tcPr>
          <w:p>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Все още не са започнали</w:t>
            </w:r>
          </w:p>
        </w:tc>
      </w:tr>
      <w:tr>
        <w:trPr>
          <w:cantSplit/>
        </w:trPr>
        <w:tc>
          <w:tcPr>
            <w:cnfStyle w:val="001000000000" w:firstRow="0" w:lastRow="0" w:firstColumn="1" w:lastColumn="0" w:oddVBand="0" w:evenVBand="0" w:oddHBand="0" w:evenHBand="0" w:firstRowFirstColumn="0" w:firstRowLastColumn="0" w:lastRowFirstColumn="0" w:lastRowLastColumn="0"/>
            <w:tcW w:w="441" w:type="dxa"/>
          </w:tcPr>
          <w:p>
            <w:pPr>
              <w:pStyle w:val="Default"/>
              <w:jc w:val="both"/>
              <w:rPr>
                <w:b/>
                <w:noProof/>
                <w:color w:val="auto"/>
                <w:sz w:val="22"/>
                <w:szCs w:val="22"/>
              </w:rPr>
            </w:pPr>
            <w:r>
              <w:rPr>
                <w:b/>
                <w:noProof/>
                <w:color w:val="auto"/>
                <w:sz w:val="22"/>
              </w:rPr>
              <w:t>12</w:t>
            </w:r>
          </w:p>
        </w:tc>
        <w:tc>
          <w:tcPr>
            <w:tcW w:w="1227" w:type="dxa"/>
            <w:tcBorders>
              <w:bottom w:val="nil"/>
            </w:tcBorders>
          </w:tcPr>
          <w:p>
            <w:pPr>
              <w:pStyle w:val="Default"/>
              <w:jc w:val="both"/>
              <w:cnfStyle w:val="000000000000" w:firstRow="0" w:lastRow="0" w:firstColumn="0" w:lastColumn="0" w:oddVBand="0" w:evenVBand="0" w:oddHBand="0" w:evenHBand="0" w:firstRowFirstColumn="0" w:firstRowLastColumn="0" w:lastRowFirstColumn="0" w:lastRowLastColumn="0"/>
              <w:rPr>
                <w:noProof/>
                <w:color w:val="000000" w:themeColor="text1"/>
                <w:sz w:val="22"/>
                <w:szCs w:val="22"/>
              </w:rPr>
            </w:pPr>
          </w:p>
        </w:tc>
        <w:tc>
          <w:tcPr>
            <w:tcW w:w="2551" w:type="dxa"/>
            <w:tcBorders>
              <w:bottom w:val="nil"/>
            </w:tcBorders>
          </w:tcPr>
          <w:p>
            <w:pPr>
              <w:pStyle w:val="Default"/>
              <w:tabs>
                <w:tab w:val="left" w:pos="2565"/>
              </w:tabs>
              <w:cnfStyle w:val="000000000000" w:firstRow="0" w:lastRow="0" w:firstColumn="0" w:lastColumn="0" w:oddVBand="0" w:evenVBand="0" w:oddHBand="0" w:evenHBand="0" w:firstRowFirstColumn="0" w:firstRowLastColumn="0" w:lastRowFirstColumn="0" w:lastRowLastColumn="0"/>
              <w:rPr>
                <w:noProof/>
                <w:color w:val="000000" w:themeColor="text1"/>
                <w:sz w:val="22"/>
                <w:szCs w:val="22"/>
              </w:rPr>
            </w:pPr>
            <w:r>
              <w:rPr>
                <w:noProof/>
                <w:color w:val="000000" w:themeColor="text1"/>
                <w:sz w:val="22"/>
              </w:rPr>
              <w:t>Предложение за Регламент на Европейския парламент и на Съвета относно насърчаването на използването на пазарите за растеж на МСП</w:t>
            </w:r>
          </w:p>
        </w:tc>
        <w:tc>
          <w:tcPr>
            <w:tcW w:w="765" w:type="dxa"/>
            <w:tcBorders>
              <w:bottom w:val="nil"/>
            </w:tcBorders>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Май 2018 г.</w:t>
            </w:r>
          </w:p>
        </w:tc>
        <w:tc>
          <w:tcPr>
            <w:tcW w:w="1645" w:type="dxa"/>
            <w:gridSpan w:val="2"/>
            <w:tcBorders>
              <w:bottom w:val="nil"/>
            </w:tcBorders>
          </w:tcPr>
          <w:p>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Все още не е постигнато съгласие</w:t>
            </w:r>
          </w:p>
        </w:tc>
        <w:tc>
          <w:tcPr>
            <w:tcW w:w="1559" w:type="dxa"/>
            <w:gridSpan w:val="2"/>
            <w:tcBorders>
              <w:bottom w:val="nil"/>
            </w:tcBorders>
          </w:tcPr>
          <w:p>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Все още не е постигнато съгласие</w:t>
            </w:r>
          </w:p>
        </w:tc>
        <w:tc>
          <w:tcPr>
            <w:tcW w:w="1134" w:type="dxa"/>
            <w:gridSpan w:val="2"/>
            <w:tcBorders>
              <w:bottom w:val="nil"/>
            </w:tcBorders>
          </w:tcPr>
          <w:p>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Все още не са започнали</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1" w:type="dxa"/>
          </w:tcPr>
          <w:p>
            <w:pPr>
              <w:pStyle w:val="Default"/>
              <w:jc w:val="both"/>
              <w:rPr>
                <w:b/>
                <w:noProof/>
                <w:color w:val="auto"/>
                <w:sz w:val="22"/>
                <w:szCs w:val="22"/>
              </w:rPr>
            </w:pPr>
            <w:r>
              <w:rPr>
                <w:b/>
                <w:noProof/>
                <w:color w:val="auto"/>
                <w:sz w:val="22"/>
              </w:rPr>
              <w:t>13</w:t>
            </w:r>
          </w:p>
        </w:tc>
        <w:tc>
          <w:tcPr>
            <w:tcW w:w="1227" w:type="dxa"/>
          </w:tcPr>
          <w:p>
            <w:pPr>
              <w:pStyle w:val="Default"/>
              <w:jc w:val="both"/>
              <w:cnfStyle w:val="000000100000" w:firstRow="0" w:lastRow="0" w:firstColumn="0" w:lastColumn="0" w:oddVBand="0" w:evenVBand="0" w:oddHBand="1" w:evenHBand="0" w:firstRowFirstColumn="0" w:firstRowLastColumn="0" w:lastRowFirstColumn="0" w:lastRowLastColumn="0"/>
              <w:rPr>
                <w:noProof/>
                <w:color w:val="000000" w:themeColor="text1"/>
                <w:sz w:val="22"/>
                <w:szCs w:val="22"/>
              </w:rPr>
            </w:pPr>
          </w:p>
        </w:tc>
        <w:tc>
          <w:tcPr>
            <w:tcW w:w="2551"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Cs w:val="24"/>
              </w:rPr>
            </w:pPr>
            <w:r>
              <w:rPr>
                <w:rFonts w:ascii="Times New Roman" w:hAnsi="Times New Roman"/>
                <w:noProof/>
              </w:rPr>
              <w:t>Предложение за Регламент за изменение на Регламента за европейската пазарна инфраструктура по отношение на процедурите и участващите органи при лицензирането на ЦК, както и на изискванията за признаване на ЦК от трети държави</w:t>
            </w:r>
          </w:p>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Cs w:val="24"/>
              </w:rPr>
            </w:pPr>
            <w:r>
              <w:rPr>
                <w:rFonts w:ascii="Times New Roman" w:hAnsi="Times New Roman"/>
                <w:noProof/>
              </w:rPr>
              <w:t>(Регламент за европейската пазарна инфраструктура — надзор над ЦК)</w:t>
            </w:r>
          </w:p>
        </w:tc>
        <w:tc>
          <w:tcPr>
            <w:tcW w:w="765"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Cs w:val="24"/>
              </w:rPr>
            </w:pPr>
            <w:r>
              <w:rPr>
                <w:rFonts w:ascii="Times New Roman" w:hAnsi="Times New Roman"/>
                <w:noProof/>
              </w:rPr>
              <w:t>Юни 2017 г.</w:t>
            </w:r>
          </w:p>
        </w:tc>
        <w:tc>
          <w:tcPr>
            <w:tcW w:w="1645" w:type="dxa"/>
            <w:gridSpan w:val="2"/>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noProof/>
              </w:rPr>
              <w:t>Мандат за преговори, получен през май 2018 г.</w:t>
            </w:r>
          </w:p>
        </w:tc>
        <w:tc>
          <w:tcPr>
            <w:tcW w:w="1559" w:type="dxa"/>
            <w:gridSpan w:val="2"/>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noProof/>
              </w:rPr>
              <w:t>Все още не е постигнато съгласие</w:t>
            </w:r>
          </w:p>
        </w:tc>
        <w:tc>
          <w:tcPr>
            <w:tcW w:w="1134" w:type="dxa"/>
            <w:gridSpan w:val="2"/>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noProof/>
              </w:rPr>
              <w:t>Все още не са започнали</w:t>
            </w:r>
          </w:p>
        </w:tc>
      </w:tr>
      <w:tr>
        <w:tc>
          <w:tcPr>
            <w:cnfStyle w:val="001000000000" w:firstRow="0" w:lastRow="0" w:firstColumn="1" w:lastColumn="0" w:oddVBand="0" w:evenVBand="0" w:oddHBand="0" w:evenHBand="0" w:firstRowFirstColumn="0" w:firstRowLastColumn="0" w:lastRowFirstColumn="0" w:lastRowLastColumn="0"/>
            <w:tcW w:w="441" w:type="dxa"/>
            <w:tcBorders>
              <w:top w:val="single" w:sz="24" w:space="0" w:color="auto"/>
              <w:right w:val="single" w:sz="4" w:space="0" w:color="auto"/>
            </w:tcBorders>
          </w:tcPr>
          <w:p>
            <w:pPr>
              <w:jc w:val="both"/>
              <w:rPr>
                <w:rFonts w:ascii="Times New Roman" w:eastAsia="Times New Roman" w:hAnsi="Times New Roman" w:cs="Times New Roman"/>
                <w:b/>
                <w:noProof/>
              </w:rPr>
            </w:pPr>
          </w:p>
        </w:tc>
        <w:tc>
          <w:tcPr>
            <w:tcW w:w="3778" w:type="dxa"/>
            <w:gridSpan w:val="2"/>
            <w:tcBorders>
              <w:top w:val="single" w:sz="24" w:space="0" w:color="auto"/>
              <w:left w:val="single" w:sz="4" w:space="0" w:color="auto"/>
            </w:tcBorders>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b/>
                <w:noProof/>
              </w:rPr>
              <w:t>Финансиране за устойчиво развитие</w:t>
            </w:r>
          </w:p>
        </w:tc>
        <w:tc>
          <w:tcPr>
            <w:tcW w:w="851" w:type="dxa"/>
            <w:gridSpan w:val="2"/>
            <w:tcBorders>
              <w:top w:val="single" w:sz="24" w:space="0" w:color="auto"/>
            </w:tcBorders>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p>
        </w:tc>
        <w:tc>
          <w:tcPr>
            <w:tcW w:w="1559" w:type="dxa"/>
            <w:tcBorders>
              <w:top w:val="single" w:sz="24" w:space="0" w:color="auto"/>
            </w:tcBorders>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auto"/>
                <w:sz w:val="24"/>
                <w:szCs w:val="24"/>
              </w:rPr>
            </w:pPr>
          </w:p>
        </w:tc>
        <w:tc>
          <w:tcPr>
            <w:tcW w:w="1559" w:type="dxa"/>
            <w:gridSpan w:val="2"/>
            <w:tcBorders>
              <w:top w:val="single" w:sz="24" w:space="0" w:color="auto"/>
            </w:tcBorders>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auto"/>
                <w:sz w:val="24"/>
                <w:szCs w:val="24"/>
              </w:rPr>
            </w:pPr>
          </w:p>
        </w:tc>
        <w:tc>
          <w:tcPr>
            <w:tcW w:w="1134" w:type="dxa"/>
            <w:gridSpan w:val="2"/>
            <w:tcBorders>
              <w:top w:val="single" w:sz="24" w:space="0" w:color="auto"/>
              <w:right w:val="single" w:sz="4" w:space="0" w:color="auto"/>
            </w:tcBorders>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auto"/>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 w:type="dxa"/>
            <w:tcBorders>
              <w:right w:val="single" w:sz="4" w:space="0" w:color="auto"/>
            </w:tcBorders>
          </w:tcPr>
          <w:p>
            <w:pPr>
              <w:jc w:val="both"/>
              <w:rPr>
                <w:rFonts w:ascii="Times New Roman" w:eastAsia="Times New Roman" w:hAnsi="Times New Roman" w:cs="Times New Roman"/>
                <w:b/>
                <w:noProof/>
              </w:rPr>
            </w:pPr>
            <w:r>
              <w:rPr>
                <w:rFonts w:ascii="Times New Roman" w:hAnsi="Times New Roman"/>
                <w:b/>
                <w:noProof/>
              </w:rPr>
              <w:t>14</w:t>
            </w:r>
          </w:p>
        </w:tc>
        <w:tc>
          <w:tcPr>
            <w:tcW w:w="1227" w:type="dxa"/>
            <w:tcBorders>
              <w:left w:val="single" w:sz="4" w:space="0" w:color="auto"/>
            </w:tcBorders>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rPr>
            </w:pPr>
          </w:p>
        </w:tc>
        <w:tc>
          <w:tcPr>
            <w:tcW w:w="2551"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Предложение за Регламент на Европейския парламент и на Съвета за създаване на рамка за насърчаване на инвестициите в устойчиво развитие (таксономия)</w:t>
            </w:r>
          </w:p>
        </w:tc>
        <w:tc>
          <w:tcPr>
            <w:tcW w:w="765"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Май 2018 г.</w:t>
            </w:r>
          </w:p>
        </w:tc>
        <w:tc>
          <w:tcPr>
            <w:tcW w:w="1645" w:type="dxa"/>
            <w:gridSpan w:val="2"/>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rPr>
            </w:pPr>
            <w:r>
              <w:rPr>
                <w:rFonts w:ascii="Times New Roman" w:hAnsi="Times New Roman"/>
                <w:noProof/>
              </w:rPr>
              <w:t>Все още не е постигнато съгласие</w:t>
            </w:r>
          </w:p>
        </w:tc>
        <w:tc>
          <w:tcPr>
            <w:tcW w:w="1559" w:type="dxa"/>
            <w:gridSpan w:val="2"/>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rPr>
            </w:pPr>
            <w:r>
              <w:rPr>
                <w:rFonts w:ascii="Times New Roman" w:hAnsi="Times New Roman"/>
                <w:noProof/>
                <w:color w:val="auto"/>
              </w:rPr>
              <w:t>Все още не е постигнато съгласие</w:t>
            </w:r>
          </w:p>
        </w:tc>
        <w:tc>
          <w:tcPr>
            <w:tcW w:w="1134" w:type="dxa"/>
            <w:gridSpan w:val="2"/>
            <w:tcBorders>
              <w:right w:val="single" w:sz="4" w:space="0" w:color="auto"/>
            </w:tcBorders>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rPr>
            </w:pPr>
            <w:r>
              <w:rPr>
                <w:rFonts w:ascii="Times New Roman" w:hAnsi="Times New Roman"/>
                <w:noProof/>
                <w:color w:val="auto"/>
              </w:rPr>
              <w:t>Все още не са започнали</w:t>
            </w:r>
          </w:p>
        </w:tc>
      </w:tr>
      <w:tr>
        <w:tc>
          <w:tcPr>
            <w:cnfStyle w:val="001000000000" w:firstRow="0" w:lastRow="0" w:firstColumn="1" w:lastColumn="0" w:oddVBand="0" w:evenVBand="0" w:oddHBand="0" w:evenHBand="0" w:firstRowFirstColumn="0" w:firstRowLastColumn="0" w:lastRowFirstColumn="0" w:lastRowLastColumn="0"/>
            <w:tcW w:w="441" w:type="dxa"/>
            <w:tcBorders>
              <w:right w:val="single" w:sz="4" w:space="0" w:color="auto"/>
            </w:tcBorders>
          </w:tcPr>
          <w:p>
            <w:pPr>
              <w:jc w:val="both"/>
              <w:rPr>
                <w:rFonts w:ascii="Times New Roman" w:eastAsia="Times New Roman" w:hAnsi="Times New Roman" w:cs="Times New Roman"/>
                <w:b/>
                <w:noProof/>
              </w:rPr>
            </w:pPr>
            <w:r>
              <w:rPr>
                <w:rFonts w:ascii="Times New Roman" w:hAnsi="Times New Roman"/>
                <w:b/>
                <w:noProof/>
              </w:rPr>
              <w:t>15</w:t>
            </w:r>
          </w:p>
        </w:tc>
        <w:tc>
          <w:tcPr>
            <w:tcW w:w="1227" w:type="dxa"/>
            <w:tcBorders>
              <w:left w:val="single" w:sz="4" w:space="0" w:color="auto"/>
            </w:tcBorders>
          </w:tcPr>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rPr>
            </w:pPr>
          </w:p>
        </w:tc>
        <w:tc>
          <w:tcPr>
            <w:tcW w:w="2551"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Предложение за Регламент на Европейския парламент и на Съвета относно оповестяванията, свързани с инвестициите в устойчивото развитие и рисковете за устойчивостта</w:t>
            </w:r>
          </w:p>
        </w:tc>
        <w:tc>
          <w:tcPr>
            <w:tcW w:w="765"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Май 2018 г.</w:t>
            </w:r>
          </w:p>
        </w:tc>
        <w:tc>
          <w:tcPr>
            <w:tcW w:w="1645" w:type="dxa"/>
            <w:gridSpan w:val="2"/>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auto"/>
              </w:rPr>
            </w:pPr>
            <w:r>
              <w:rPr>
                <w:rFonts w:ascii="Times New Roman" w:hAnsi="Times New Roman"/>
                <w:noProof/>
              </w:rPr>
              <w:t>Мандат за преговори, получен през ноември 2018 г.</w:t>
            </w:r>
          </w:p>
        </w:tc>
        <w:tc>
          <w:tcPr>
            <w:tcW w:w="1559" w:type="dxa"/>
            <w:gridSpan w:val="2"/>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auto"/>
              </w:rPr>
            </w:pPr>
            <w:r>
              <w:rPr>
                <w:rFonts w:ascii="Times New Roman" w:hAnsi="Times New Roman"/>
                <w:noProof/>
                <w:color w:val="auto"/>
              </w:rPr>
              <w:t>Все още не е постигнато съгласие</w:t>
            </w:r>
          </w:p>
        </w:tc>
        <w:tc>
          <w:tcPr>
            <w:tcW w:w="1134" w:type="dxa"/>
            <w:gridSpan w:val="2"/>
            <w:tcBorders>
              <w:right w:val="single" w:sz="4" w:space="0" w:color="auto"/>
            </w:tcBorders>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auto"/>
              </w:rPr>
            </w:pPr>
            <w:r>
              <w:rPr>
                <w:rFonts w:ascii="Times New Roman" w:hAnsi="Times New Roman"/>
                <w:noProof/>
                <w:color w:val="auto"/>
              </w:rPr>
              <w:t>Все още не са започнали</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 w:type="dxa"/>
            <w:tcBorders>
              <w:right w:val="single" w:sz="4" w:space="0" w:color="auto"/>
            </w:tcBorders>
          </w:tcPr>
          <w:p>
            <w:pPr>
              <w:jc w:val="both"/>
              <w:rPr>
                <w:rFonts w:ascii="Times New Roman" w:eastAsia="Times New Roman" w:hAnsi="Times New Roman" w:cs="Times New Roman"/>
                <w:b/>
                <w:noProof/>
              </w:rPr>
            </w:pPr>
            <w:r>
              <w:rPr>
                <w:rFonts w:ascii="Times New Roman" w:hAnsi="Times New Roman"/>
                <w:b/>
                <w:noProof/>
              </w:rPr>
              <w:t>16</w:t>
            </w:r>
          </w:p>
        </w:tc>
        <w:tc>
          <w:tcPr>
            <w:tcW w:w="1227" w:type="dxa"/>
            <w:tcBorders>
              <w:left w:val="single" w:sz="4" w:space="0" w:color="auto"/>
            </w:tcBorders>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rPr>
            </w:pPr>
          </w:p>
        </w:tc>
        <w:tc>
          <w:tcPr>
            <w:tcW w:w="2551"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Предложение за регламент на Европейския парламент и на Съвета за изменение на Регламент (ЕС) 2016/1011 относно бенчмарковете за ниски въглеродни емисии и бенчмарковете за положително въздействие в областта на въглеродните емисии</w:t>
            </w:r>
          </w:p>
        </w:tc>
        <w:tc>
          <w:tcPr>
            <w:tcW w:w="765"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Май 2018 г.</w:t>
            </w:r>
          </w:p>
        </w:tc>
        <w:tc>
          <w:tcPr>
            <w:tcW w:w="1645" w:type="dxa"/>
            <w:gridSpan w:val="2"/>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rPr>
            </w:pPr>
            <w:r>
              <w:rPr>
                <w:rFonts w:ascii="Times New Roman" w:hAnsi="Times New Roman"/>
                <w:noProof/>
                <w:color w:val="auto"/>
              </w:rPr>
              <w:t>Все още не е постигнато съгласие</w:t>
            </w:r>
          </w:p>
        </w:tc>
        <w:tc>
          <w:tcPr>
            <w:tcW w:w="1559" w:type="dxa"/>
            <w:gridSpan w:val="2"/>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rPr>
            </w:pPr>
            <w:r>
              <w:rPr>
                <w:rFonts w:ascii="Times New Roman" w:hAnsi="Times New Roman"/>
                <w:noProof/>
                <w:color w:val="auto"/>
              </w:rPr>
              <w:t>Все още не е постигнато съгласие</w:t>
            </w:r>
          </w:p>
        </w:tc>
        <w:tc>
          <w:tcPr>
            <w:tcW w:w="1134" w:type="dxa"/>
            <w:gridSpan w:val="2"/>
            <w:tcBorders>
              <w:right w:val="single" w:sz="4" w:space="0" w:color="auto"/>
            </w:tcBorders>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rPr>
            </w:pPr>
            <w:r>
              <w:rPr>
                <w:rFonts w:ascii="Times New Roman" w:hAnsi="Times New Roman"/>
                <w:noProof/>
                <w:color w:val="auto"/>
              </w:rPr>
              <w:t>Все още не са започнали</w:t>
            </w:r>
          </w:p>
        </w:tc>
      </w:tr>
      <w:tr>
        <w:tc>
          <w:tcPr>
            <w:cnfStyle w:val="001000000000" w:firstRow="0" w:lastRow="0" w:firstColumn="1" w:lastColumn="0" w:oddVBand="0" w:evenVBand="0" w:oddHBand="0" w:evenHBand="0" w:firstRowFirstColumn="0" w:firstRowLastColumn="0" w:lastRowFirstColumn="0" w:lastRowLastColumn="0"/>
            <w:tcW w:w="441" w:type="dxa"/>
            <w:tcBorders>
              <w:top w:val="single" w:sz="24" w:space="0" w:color="auto"/>
              <w:right w:val="single" w:sz="4" w:space="0" w:color="auto"/>
            </w:tcBorders>
          </w:tcPr>
          <w:p>
            <w:pPr>
              <w:jc w:val="both"/>
              <w:rPr>
                <w:rFonts w:ascii="Times New Roman" w:eastAsia="Times New Roman" w:hAnsi="Times New Roman" w:cs="Times New Roman"/>
                <w:b/>
                <w:noProof/>
              </w:rPr>
            </w:pPr>
          </w:p>
        </w:tc>
        <w:tc>
          <w:tcPr>
            <w:tcW w:w="4629" w:type="dxa"/>
            <w:gridSpan w:val="4"/>
            <w:tcBorders>
              <w:top w:val="single" w:sz="24" w:space="0" w:color="auto"/>
              <w:left w:val="single" w:sz="4" w:space="0" w:color="auto"/>
            </w:tcBorders>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b/>
                <w:noProof/>
              </w:rPr>
              <w:t>Други важни предложения, свързани със СКП</w:t>
            </w:r>
          </w:p>
        </w:tc>
        <w:tc>
          <w:tcPr>
            <w:tcW w:w="1559" w:type="dxa"/>
            <w:tcBorders>
              <w:top w:val="single" w:sz="24" w:space="0" w:color="auto"/>
            </w:tcBorders>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auto"/>
                <w:sz w:val="24"/>
                <w:szCs w:val="24"/>
              </w:rPr>
            </w:pPr>
          </w:p>
        </w:tc>
        <w:tc>
          <w:tcPr>
            <w:tcW w:w="1559" w:type="dxa"/>
            <w:gridSpan w:val="2"/>
            <w:tcBorders>
              <w:top w:val="single" w:sz="24" w:space="0" w:color="auto"/>
            </w:tcBorders>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auto"/>
                <w:sz w:val="24"/>
                <w:szCs w:val="24"/>
              </w:rPr>
            </w:pPr>
          </w:p>
        </w:tc>
        <w:tc>
          <w:tcPr>
            <w:tcW w:w="1134" w:type="dxa"/>
            <w:gridSpan w:val="2"/>
            <w:tcBorders>
              <w:top w:val="single" w:sz="24" w:space="0" w:color="auto"/>
              <w:right w:val="single" w:sz="4" w:space="0" w:color="auto"/>
            </w:tcBorders>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auto"/>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 w:type="dxa"/>
            <w:tcBorders>
              <w:right w:val="single" w:sz="4" w:space="0" w:color="auto"/>
            </w:tcBorders>
          </w:tcPr>
          <w:p>
            <w:pPr>
              <w:jc w:val="both"/>
              <w:rPr>
                <w:rFonts w:ascii="Times New Roman" w:eastAsia="Times New Roman" w:hAnsi="Times New Roman" w:cs="Times New Roman"/>
                <w:b/>
                <w:noProof/>
              </w:rPr>
            </w:pPr>
          </w:p>
        </w:tc>
        <w:tc>
          <w:tcPr>
            <w:tcW w:w="1227" w:type="dxa"/>
            <w:tcBorders>
              <w:left w:val="single" w:sz="4" w:space="0" w:color="auto"/>
            </w:tcBorders>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rPr>
            </w:pPr>
          </w:p>
        </w:tc>
        <w:tc>
          <w:tcPr>
            <w:tcW w:w="2551"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Предложение за Регламент за изменение на Регламента за европейската пазарна инфраструктура по отношение на задължението за клиринг, изискванията за отчетност, техниките за намаляване на риска за договорите за извънборсови деривати, както и изискванията за регистрите на трансакции</w:t>
            </w:r>
          </w:p>
        </w:tc>
        <w:tc>
          <w:tcPr>
            <w:tcW w:w="765"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Май 2017 г.</w:t>
            </w:r>
          </w:p>
        </w:tc>
        <w:tc>
          <w:tcPr>
            <w:tcW w:w="1645" w:type="dxa"/>
            <w:gridSpan w:val="2"/>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Мандат за преговори, получен през юни 2018 г.</w:t>
            </w:r>
          </w:p>
        </w:tc>
        <w:tc>
          <w:tcPr>
            <w:tcW w:w="1559" w:type="dxa"/>
            <w:gridSpan w:val="2"/>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 xml:space="preserve">Мандат за преговори, получен през декември 2017 г. </w:t>
            </w:r>
          </w:p>
        </w:tc>
        <w:tc>
          <w:tcPr>
            <w:tcW w:w="1134" w:type="dxa"/>
            <w:gridSpan w:val="2"/>
            <w:tcBorders>
              <w:right w:val="single" w:sz="4" w:space="0" w:color="auto"/>
            </w:tcBorders>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От юли 2018 г. се провеждат тристранни срещи</w:t>
            </w:r>
          </w:p>
        </w:tc>
      </w:tr>
      <w:tr>
        <w:tc>
          <w:tcPr>
            <w:cnfStyle w:val="001000000000" w:firstRow="0" w:lastRow="0" w:firstColumn="1" w:lastColumn="0" w:oddVBand="0" w:evenVBand="0" w:oddHBand="0" w:evenHBand="0" w:firstRowFirstColumn="0" w:firstRowLastColumn="0" w:lastRowFirstColumn="0" w:lastRowLastColumn="0"/>
            <w:tcW w:w="441" w:type="dxa"/>
            <w:tcBorders>
              <w:right w:val="single" w:sz="4" w:space="0" w:color="auto"/>
            </w:tcBorders>
          </w:tcPr>
          <w:p>
            <w:pPr>
              <w:jc w:val="both"/>
              <w:rPr>
                <w:rFonts w:ascii="Times New Roman" w:eastAsia="Times New Roman" w:hAnsi="Times New Roman" w:cs="Times New Roman"/>
                <w:b/>
                <w:noProof/>
              </w:rPr>
            </w:pPr>
          </w:p>
        </w:tc>
        <w:tc>
          <w:tcPr>
            <w:tcW w:w="1227" w:type="dxa"/>
            <w:tcBorders>
              <w:left w:val="single" w:sz="4" w:space="0" w:color="auto"/>
              <w:bottom w:val="nil"/>
            </w:tcBorders>
          </w:tcPr>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rPr>
            </w:pPr>
          </w:p>
        </w:tc>
        <w:tc>
          <w:tcPr>
            <w:tcW w:w="2551" w:type="dxa"/>
            <w:tcBorders>
              <w:bottom w:val="nil"/>
            </w:tcBorders>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Cs w:val="24"/>
              </w:rPr>
            </w:pPr>
            <w:r>
              <w:rPr>
                <w:rFonts w:ascii="Times New Roman" w:hAnsi="Times New Roman"/>
                <w:noProof/>
              </w:rPr>
              <w:t>Предложение за Регламент на Европейския парламент и на Съвета относно рамка за възстановяване и преструктуриране на централни контрагенти</w:t>
            </w:r>
          </w:p>
        </w:tc>
        <w:tc>
          <w:tcPr>
            <w:tcW w:w="765" w:type="dxa"/>
            <w:tcBorders>
              <w:bottom w:val="nil"/>
            </w:tcBorders>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Cs w:val="24"/>
              </w:rPr>
            </w:pPr>
            <w:r>
              <w:rPr>
                <w:rFonts w:ascii="Times New Roman" w:hAnsi="Times New Roman"/>
                <w:noProof/>
              </w:rPr>
              <w:t>Ноември 2016 г.</w:t>
            </w:r>
          </w:p>
        </w:tc>
        <w:tc>
          <w:tcPr>
            <w:tcW w:w="1645" w:type="dxa"/>
            <w:gridSpan w:val="2"/>
            <w:tcBorders>
              <w:bottom w:val="nil"/>
            </w:tcBorders>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noProof/>
              </w:rPr>
              <w:t>Мандат за преговори, получен през януари 2018 г.</w:t>
            </w:r>
          </w:p>
        </w:tc>
        <w:tc>
          <w:tcPr>
            <w:tcW w:w="1559" w:type="dxa"/>
            <w:gridSpan w:val="2"/>
            <w:tcBorders>
              <w:bottom w:val="nil"/>
            </w:tcBorders>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noProof/>
              </w:rPr>
              <w:t>Все още не е постигнато съгласие</w:t>
            </w:r>
          </w:p>
        </w:tc>
        <w:tc>
          <w:tcPr>
            <w:tcW w:w="1134" w:type="dxa"/>
            <w:gridSpan w:val="2"/>
            <w:tcBorders>
              <w:bottom w:val="nil"/>
              <w:right w:val="single" w:sz="4" w:space="0" w:color="auto"/>
            </w:tcBorders>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noProof/>
              </w:rPr>
              <w:t>Все още не са започнали</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 w:type="dxa"/>
            <w:tcBorders>
              <w:right w:val="single" w:sz="4" w:space="0" w:color="auto"/>
            </w:tcBorders>
          </w:tcPr>
          <w:p>
            <w:pPr>
              <w:jc w:val="both"/>
              <w:rPr>
                <w:rFonts w:ascii="Times New Roman" w:eastAsia="Times New Roman" w:hAnsi="Times New Roman" w:cs="Times New Roman"/>
                <w:b/>
                <w:noProof/>
              </w:rPr>
            </w:pPr>
          </w:p>
        </w:tc>
        <w:tc>
          <w:tcPr>
            <w:tcW w:w="1227" w:type="dxa"/>
            <w:tcBorders>
              <w:left w:val="single" w:sz="4" w:space="0" w:color="auto"/>
              <w:bottom w:val="single" w:sz="4" w:space="0" w:color="auto"/>
            </w:tcBorders>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rPr>
            </w:pPr>
          </w:p>
        </w:tc>
        <w:tc>
          <w:tcPr>
            <w:tcW w:w="2551" w:type="dxa"/>
            <w:tcBorders>
              <w:bottom w:val="single" w:sz="4" w:space="0" w:color="auto"/>
            </w:tcBorders>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Предложение за Директива на Съвета относно обща консолидирана основа за облагане с корпоративен данък (ОКООКД)</w:t>
            </w:r>
          </w:p>
        </w:tc>
        <w:tc>
          <w:tcPr>
            <w:tcW w:w="765" w:type="dxa"/>
            <w:tcBorders>
              <w:bottom w:val="single" w:sz="4" w:space="0" w:color="auto"/>
            </w:tcBorders>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Октомври 2016 г.</w:t>
            </w:r>
          </w:p>
        </w:tc>
        <w:tc>
          <w:tcPr>
            <w:tcW w:w="1645" w:type="dxa"/>
            <w:gridSpan w:val="2"/>
            <w:tcBorders>
              <w:bottom w:val="single" w:sz="4" w:space="0" w:color="auto"/>
            </w:tcBorders>
          </w:tcPr>
          <w:p>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Одобрено в изменената му версия през март 2018 г.</w:t>
            </w:r>
          </w:p>
        </w:tc>
        <w:tc>
          <w:tcPr>
            <w:tcW w:w="1559" w:type="dxa"/>
            <w:gridSpan w:val="2"/>
            <w:tcBorders>
              <w:bottom w:val="single" w:sz="4" w:space="0" w:color="auto"/>
            </w:tcBorders>
          </w:tcPr>
          <w:p>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Все още не е постигнато съгласие</w:t>
            </w:r>
          </w:p>
        </w:tc>
        <w:tc>
          <w:tcPr>
            <w:tcW w:w="1134" w:type="dxa"/>
            <w:gridSpan w:val="2"/>
            <w:tcBorders>
              <w:bottom w:val="single" w:sz="4" w:space="0" w:color="auto"/>
              <w:right w:val="single" w:sz="4" w:space="0" w:color="auto"/>
            </w:tcBorders>
          </w:tcPr>
          <w:p>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Не е приложимо</w:t>
            </w:r>
          </w:p>
        </w:tc>
      </w:tr>
    </w:tbl>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C Square Sans Pro Medium">
    <w:panose1 w:val="020B050000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005913"/>
      <w:docPartObj>
        <w:docPartGallery w:val="Page Numbers (Bottom of Page)"/>
        <w:docPartUnique/>
      </w:docPartObj>
    </w:sdtPr>
    <w:sdtEndPr>
      <w:rPr>
        <w:rFonts w:ascii="Times New Roman" w:hAnsi="Times New Roman" w:cs="Times New Roman"/>
        <w:noProof/>
        <w:sz w:val="16"/>
        <w:szCs w:val="16"/>
      </w:rPr>
    </w:sdtEndPr>
    <w:sdtContent>
      <w:p>
        <w:pPr>
          <w:pStyle w:val="Footer"/>
          <w:jc w:val="cente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 MERGEFORMAT </w:instrText>
        </w:r>
        <w:r>
          <w:rPr>
            <w:rFonts w:ascii="Times New Roman" w:hAnsi="Times New Roman" w:cs="Times New Roman"/>
            <w:sz w:val="16"/>
            <w:szCs w:val="16"/>
          </w:rPr>
          <w:fldChar w:fldCharType="separate"/>
        </w:r>
        <w:r>
          <w:rPr>
            <w:rFonts w:ascii="Times New Roman" w:hAnsi="Times New Roman" w:cs="Times New Roman"/>
            <w:noProof/>
            <w:sz w:val="16"/>
            <w:szCs w:val="16"/>
          </w:rPr>
          <w:t>1</w:t>
        </w:r>
        <w:r>
          <w:rPr>
            <w:rFonts w:ascii="Times New Roman" w:hAnsi="Times New Roman" w:cs="Times New Roman"/>
            <w:noProof/>
            <w:sz w:val="16"/>
            <w:szCs w:val="16"/>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1"/>
    <w:docVar w:name="LW_ANNEX_UNIQUE" w:val="0"/>
    <w:docVar w:name="LW_CORRIGENDUM" w:val="&lt;UNUSED&gt;"/>
    <w:docVar w:name="LW_COVERPAGE_EXISTS" w:val="True"/>
    <w:docVar w:name="LW_COVERPAGE_GUID" w:val="A5B34E85-D9F0-4D01-B917-6777A0A73823"/>
    <w:docVar w:name="LW_COVERPAGE_TYPE" w:val="1"/>
    <w:docVar w:name="LW_CROSSREFERENCE" w:val="&lt;UNUSED&gt;"/>
    <w:docVar w:name="LW_DocType" w:val="NORMAL"/>
    <w:docVar w:name="LW_EMISSION" w:val="28.11.2018"/>
    <w:docVar w:name="LW_EMISSION_ISODATE" w:val="2018-11-28"/>
    <w:docVar w:name="LW_EMISSION_LOCATION" w:val="BRX"/>
    <w:docVar w:name="LW_EMISSION_PREFIX" w:val="Брюксел,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57?\u1098?\u1102?\u1079? \u1085?\u1072? \u1082?\u1072?\u1087?\u1080?\u1090?\u1072?\u1083?\u1086?\u1074?\u1080?\u1090?\u1077? \u1087?\u1072?\u1079?\u1072?\u1088?\u1080?: \u1074?\u1088?\u1077?\u1084?\u1077? \u1077? \u1076?\u1072? \u1087?\u1086?\u1076?\u1085?\u1086?\u1074?\u1080?\u1084? \u1091?\u1089?\u1080?\u1083?\u1080?\u1103?\u1090?\u1072? \u1079?\u1072? \u1087?\u1086?\u1089?\u1090?\u1080?\u1075?\u1072?\u1085?\u1077? \u1085?\u1072? \u1080?\u1085?\u1074?\u1077?\u1089?\u1090?\u1080?\u1094?\u1080?\u1080?, \u1088?\u1072?\u1089?\u1090?\u1077?\u1078? \u1080? \u1080? \u1087?\u1086?-\u1079?\u1085?\u1072?\u1095?\u1080?\u1084?\u1072? \u1088?\u1086?\u1083?\u1103? \u1085?\u1072? \u1077?\u1074?\u1088?\u1086?\u1090?\u1086?_x000b_"/>
    <w:docVar w:name="LW_PART_NBR" w:val="1"/>
    <w:docVar w:name="LW_PART_NBR_TOTAL" w:val="1"/>
    <w:docVar w:name="LW_REF.INST.NEW" w:val="COM"/>
    <w:docVar w:name="LW_REF.INST.NEW_ADOPTED" w:val="final"/>
    <w:docVar w:name="LW_REF.INST.NEW_TEXT" w:val="(2018) 7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45?\u1042?\u1056?\u1054?\u1055?\u1045?\u1049?\u1057?\u1050?\u1048?\u1071? \u1057?\u1066?\u1042?\u1045?\u1058?, \u1057?\u1066?\u1042?\u1045?\u1058?\u1040?, \u1045?\u1042?\u1056?\u1054?\u1055?\u1045?\u1049?\u1057?\u1050?\u1040?\u1058?\u1040? \u1062?\u1045?\u1053?\u1058?\u1056?\u1040?\u1051?\u1053?\u1040? \u1041?\u1040?\u1053?\u1050?\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Pa5">
    <w:name w:val="Pa5"/>
    <w:basedOn w:val="Normal"/>
    <w:next w:val="Normal"/>
    <w:uiPriority w:val="99"/>
    <w:pPr>
      <w:autoSpaceDE w:val="0"/>
      <w:autoSpaceDN w:val="0"/>
      <w:adjustRightInd w:val="0"/>
      <w:spacing w:after="0" w:line="241" w:lineRule="atLeast"/>
    </w:pPr>
    <w:rPr>
      <w:rFonts w:ascii="EC Square Sans Pro Medium" w:hAnsi="EC Square Sans Pro Medium"/>
      <w:sz w:val="24"/>
      <w:szCs w:val="24"/>
    </w:rPr>
  </w:style>
  <w:style w:type="table" w:customStyle="1" w:styleId="GridTable5Dark-Accent11">
    <w:name w:val="Grid Table 5 Dark - Accent 1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Pa5">
    <w:name w:val="Pa5"/>
    <w:basedOn w:val="Normal"/>
    <w:next w:val="Normal"/>
    <w:uiPriority w:val="99"/>
    <w:pPr>
      <w:autoSpaceDE w:val="0"/>
      <w:autoSpaceDN w:val="0"/>
      <w:adjustRightInd w:val="0"/>
      <w:spacing w:after="0" w:line="241" w:lineRule="atLeast"/>
    </w:pPr>
    <w:rPr>
      <w:rFonts w:ascii="EC Square Sans Pro Medium" w:hAnsi="EC Square Sans Pro Medium"/>
      <w:sz w:val="24"/>
      <w:szCs w:val="24"/>
    </w:rPr>
  </w:style>
  <w:style w:type="table" w:customStyle="1" w:styleId="GridTable5Dark-Accent11">
    <w:name w:val="Grid Table 5 Dark - Accent 1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957</Words>
  <Characters>5297</Characters>
  <Application>Microsoft Office Word</Application>
  <DocSecurity>0</DocSecurity>
  <Lines>588</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2018-11-27T10:43:00Z</dcterms:created>
  <dcterms:modified xsi:type="dcterms:W3CDTF">2018-12-11T12:06:00Z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First annex">
    <vt:lpwstr>1</vt:lpwstr>
  </property>
  <property fmtid="{D5CDD505-2E9C-101B-9397-08002B2CF9AE}" pid="5" name="Last annex">
    <vt:lpwstr>1</vt:lpwstr>
  </property>
  <property fmtid="{D5CDD505-2E9C-101B-9397-08002B2CF9AE}" pid="6" name="Unique annex">
    <vt:lpwstr>0</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reated using">
    <vt:lpwstr>LW 6.0.1, Build 20180503</vt:lpwstr>
  </property>
</Properties>
</file>