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00DFC10-64DD-4DF0-A749-BA1845065E6D"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ПРИТУРКА 1</w:t>
      </w:r>
    </w:p>
    <w:p>
      <w:pPr>
        <w:jc w:val="center"/>
        <w:rPr>
          <w:b/>
          <w:noProof/>
        </w:rPr>
      </w:pPr>
      <w:r>
        <w:rPr>
          <w:b/>
          <w:noProof/>
        </w:rPr>
        <w:t>Проект на</w:t>
      </w:r>
    </w:p>
    <w:p>
      <w:pPr>
        <w:pStyle w:val="NormalCentered"/>
        <w:rPr>
          <w:b/>
          <w:noProof/>
        </w:rPr>
      </w:pPr>
      <w:r>
        <w:rPr>
          <w:b/>
          <w:noProof/>
        </w:rPr>
        <w:t>РЕШЕНИЕ № 1/[дата] на Съвместния комитет от [дата]</w:t>
      </w:r>
      <w:r>
        <w:rPr>
          <w:b/>
          <w:noProof/>
        </w:rPr>
        <w:br/>
        <w:t>за приемане на правилника за дейността на Съвместния комитет</w:t>
      </w:r>
    </w:p>
    <w:p>
      <w:pPr>
        <w:rPr>
          <w:noProof/>
        </w:rPr>
      </w:pPr>
      <w:r>
        <w:rPr>
          <w:noProof/>
        </w:rPr>
        <w:t xml:space="preserve">СЪВМЕСТНИЯТ КОМИТЕТ, </w:t>
      </w:r>
    </w:p>
    <w:p>
      <w:pPr>
        <w:rPr>
          <w:noProof/>
        </w:rPr>
      </w:pPr>
      <w:r>
        <w:rPr>
          <w:noProof/>
        </w:rPr>
        <w:t>като взе предвид Споразумението между Европейския съюз и Кралство Норвегия за административното сътрудничество, борбата с измамите и събирането на вземания в областта на данъка върху добавената стойност (наричано по-долу „Споразумението“), и по-специално член 41, параграф 1 от него,</w:t>
      </w:r>
    </w:p>
    <w:p>
      <w:pPr>
        <w:rPr>
          <w:noProof/>
        </w:rPr>
      </w:pPr>
      <w:r>
        <w:rPr>
          <w:noProof/>
        </w:rPr>
        <w:t>като има предвид, че:</w:t>
      </w:r>
    </w:p>
    <w:p>
      <w:pPr>
        <w:pStyle w:val="Point0"/>
        <w:rPr>
          <w:noProof/>
        </w:rPr>
      </w:pPr>
      <w:r>
        <w:rPr>
          <w:noProof/>
        </w:rPr>
        <w:t>а)</w:t>
      </w:r>
      <w:r>
        <w:rPr>
          <w:noProof/>
        </w:rPr>
        <w:tab/>
        <w:t>Необходимо е да се установят правилата относно състава и председателството, наблюдателите и експертите, свикването на заседания, дневния ред, секретариата, съставянето и приемането на протоколи, процедурата за приемане на решения и препоръки, както и разходите.</w:t>
      </w:r>
    </w:p>
    <w:p>
      <w:pPr>
        <w:pStyle w:val="Point0"/>
        <w:rPr>
          <w:noProof/>
        </w:rPr>
      </w:pPr>
      <w:r>
        <w:rPr>
          <w:noProof/>
        </w:rPr>
        <w:t>б)</w:t>
      </w:r>
      <w:r>
        <w:rPr>
          <w:noProof/>
        </w:rPr>
        <w:tab/>
        <w:t>Необходимо е да се одобрят практическите ред и условия за изпълнението на член 41, параграф 3 от Споразумението,</w:t>
      </w:r>
    </w:p>
    <w:p>
      <w:pPr>
        <w:pStyle w:val="Formuledadoption"/>
        <w:rPr>
          <w:noProof/>
        </w:rPr>
      </w:pPr>
      <w:r>
        <w:rPr>
          <w:noProof/>
        </w:rPr>
        <w:t>ПРИЕ СЛЕДНИЯ ПРАВИЛНИК ЗА ДЕЙНОСТТА:</w:t>
      </w:r>
    </w:p>
    <w:p>
      <w:pPr>
        <w:pStyle w:val="Titrearticle"/>
        <w:rPr>
          <w:noProof/>
        </w:rPr>
      </w:pPr>
      <w:r>
        <w:rPr>
          <w:noProof/>
        </w:rPr>
        <w:t>Член 1</w:t>
      </w:r>
    </w:p>
    <w:p>
      <w:pPr>
        <w:pStyle w:val="Titrearticle"/>
        <w:rPr>
          <w:b/>
          <w:i w:val="0"/>
          <w:noProof/>
        </w:rPr>
      </w:pPr>
      <w:r>
        <w:rPr>
          <w:b/>
          <w:i w:val="0"/>
          <w:noProof/>
        </w:rPr>
        <w:t>Състав и председателство</w:t>
      </w:r>
    </w:p>
    <w:p>
      <w:pPr>
        <w:pStyle w:val="Point0number"/>
        <w:numPr>
          <w:ilvl w:val="0"/>
          <w:numId w:val="21"/>
        </w:numPr>
        <w:rPr>
          <w:noProof/>
          <w:szCs w:val="24"/>
        </w:rPr>
      </w:pPr>
      <w:r>
        <w:rPr>
          <w:noProof/>
        </w:rPr>
        <w:t xml:space="preserve">Съвместният комитет се състои от представители на Европейския съюз и от представители на Кралство Норвегия („страните по Споразумението“). </w:t>
      </w:r>
    </w:p>
    <w:p>
      <w:pPr>
        <w:pStyle w:val="Point0number"/>
        <w:rPr>
          <w:noProof/>
        </w:rPr>
      </w:pPr>
      <w:r>
        <w:rPr>
          <w:noProof/>
        </w:rPr>
        <w:t>Европейският съюз се представлява от Европейската комисия. Кралство Норвегия се представлява от [……].</w:t>
      </w:r>
    </w:p>
    <w:p>
      <w:pPr>
        <w:pStyle w:val="Point0number"/>
        <w:rPr>
          <w:noProof/>
        </w:rPr>
      </w:pPr>
      <w:r>
        <w:rPr>
          <w:noProof/>
        </w:rPr>
        <w:t>Съвместният комитет се председателства от всяка от страните по Споразумението в продължение на две календарни години с редуване. Първият период на председателство приключва на 31 декември в годината след годината на влизане в сила на Споразумението.  Първият председател ще бъде Европейският съюз.</w:t>
      </w:r>
    </w:p>
    <w:p>
      <w:pPr>
        <w:pStyle w:val="Titrearticle"/>
        <w:rPr>
          <w:noProof/>
        </w:rPr>
      </w:pPr>
      <w:r>
        <w:rPr>
          <w:noProof/>
        </w:rPr>
        <w:t>Член 2</w:t>
      </w:r>
    </w:p>
    <w:p>
      <w:pPr>
        <w:pStyle w:val="Titrearticle"/>
        <w:rPr>
          <w:b/>
          <w:i w:val="0"/>
          <w:noProof/>
        </w:rPr>
      </w:pPr>
      <w:r>
        <w:rPr>
          <w:b/>
          <w:i w:val="0"/>
          <w:noProof/>
        </w:rPr>
        <w:t>Наблюдатели и експерти</w:t>
      </w:r>
    </w:p>
    <w:p>
      <w:pPr>
        <w:pStyle w:val="Point0number"/>
        <w:numPr>
          <w:ilvl w:val="0"/>
          <w:numId w:val="22"/>
        </w:numPr>
        <w:rPr>
          <w:noProof/>
          <w:szCs w:val="24"/>
        </w:rPr>
      </w:pPr>
      <w:r>
        <w:rPr>
          <w:noProof/>
        </w:rPr>
        <w:t xml:space="preserve">Представители на държавите — членки на Европейския съюз, могат да участват в заседанията в качеството на наблюдатели. </w:t>
      </w:r>
    </w:p>
    <w:p>
      <w:pPr>
        <w:pStyle w:val="Point0number"/>
        <w:rPr>
          <w:noProof/>
        </w:rPr>
      </w:pPr>
      <w:r>
        <w:rPr>
          <w:noProof/>
        </w:rPr>
        <w:t>Съвместният комитет може да допуска на заседанията си и други лица в качеството на наблюдатели.</w:t>
      </w:r>
    </w:p>
    <w:p>
      <w:pPr>
        <w:pStyle w:val="Point0number"/>
        <w:rPr>
          <w:noProof/>
        </w:rPr>
      </w:pPr>
      <w:r>
        <w:rPr>
          <w:noProof/>
        </w:rPr>
        <w:t>Председателят може да разреши на наблюдателите да участват в разискванията и да предоставят експертен опит и знания. Те обаче нямат право на глас и не участват в изготвянето на решенията и препоръките на Съвместния комитет.</w:t>
      </w:r>
    </w:p>
    <w:p>
      <w:pPr>
        <w:pStyle w:val="Point0number"/>
        <w:rPr>
          <w:noProof/>
        </w:rPr>
      </w:pPr>
      <w:r>
        <w:rPr>
          <w:noProof/>
        </w:rPr>
        <w:t>Във връзка с конкретни точки от дневния ред може да бъдат канени и експерти със специални опит и знания.</w:t>
      </w:r>
    </w:p>
    <w:p>
      <w:pPr>
        <w:pStyle w:val="Titrearticle"/>
        <w:rPr>
          <w:noProof/>
        </w:rPr>
      </w:pPr>
      <w:r>
        <w:rPr>
          <w:noProof/>
        </w:rPr>
        <w:t>Член 3</w:t>
      </w:r>
    </w:p>
    <w:p>
      <w:pPr>
        <w:pStyle w:val="Titrearticle"/>
        <w:rPr>
          <w:b/>
          <w:i w:val="0"/>
          <w:noProof/>
        </w:rPr>
      </w:pPr>
      <w:r>
        <w:rPr>
          <w:b/>
          <w:i w:val="0"/>
          <w:noProof/>
        </w:rPr>
        <w:t>Свикване на заседание</w:t>
      </w:r>
    </w:p>
    <w:p>
      <w:pPr>
        <w:pStyle w:val="Point0number"/>
        <w:numPr>
          <w:ilvl w:val="0"/>
          <w:numId w:val="23"/>
        </w:numPr>
        <w:rPr>
          <w:noProof/>
          <w:szCs w:val="24"/>
        </w:rPr>
      </w:pPr>
      <w:r>
        <w:rPr>
          <w:noProof/>
        </w:rPr>
        <w:t xml:space="preserve">Заседанията на Съвместния комитет се свикват от председателя най-малко веднъж на две години. Всяка страна по Споразумението може да поиска свикване на заседание. </w:t>
      </w:r>
    </w:p>
    <w:p>
      <w:pPr>
        <w:pStyle w:val="Point0number"/>
        <w:rPr>
          <w:noProof/>
        </w:rPr>
      </w:pPr>
      <w:r>
        <w:rPr>
          <w:noProof/>
        </w:rPr>
        <w:t>Датата и мястото на всяко заседание се определят и договарят между страните по Споразумението.</w:t>
      </w:r>
    </w:p>
    <w:p>
      <w:pPr>
        <w:pStyle w:val="Point0number"/>
        <w:rPr>
          <w:noProof/>
        </w:rPr>
      </w:pPr>
      <w:r>
        <w:rPr>
          <w:noProof/>
        </w:rPr>
        <w:t xml:space="preserve">Заседанията може да се провеждат също чрез телеконферентна/видеоконферентна връзка. </w:t>
      </w:r>
    </w:p>
    <w:p>
      <w:pPr>
        <w:pStyle w:val="Point0number"/>
        <w:rPr>
          <w:noProof/>
        </w:rPr>
      </w:pPr>
      <w:r>
        <w:rPr>
          <w:noProof/>
        </w:rPr>
        <w:t>Председателят отправя поканата за заседанието до другата страна по Споразумението, до наблюдателите съгласно член 2, параграф 2 и до експертите най-малко 15 работни дни преди провеждането му. Европейската комисия кани представителите на държавите — членки на Европейския съюз, съгласно член 2, параграф 1.</w:t>
      </w:r>
    </w:p>
    <w:p>
      <w:pPr>
        <w:pStyle w:val="Point0number"/>
        <w:rPr>
          <w:noProof/>
        </w:rPr>
      </w:pPr>
      <w:r>
        <w:rPr>
          <w:noProof/>
        </w:rPr>
        <w:t xml:space="preserve">Заседанията не са публични, освен ако е уговорено друго. Разискванията на Съвместния комитет са поверителни. </w:t>
      </w:r>
    </w:p>
    <w:p>
      <w:pPr>
        <w:pStyle w:val="Titrearticle"/>
        <w:rPr>
          <w:noProof/>
        </w:rPr>
      </w:pPr>
      <w:r>
        <w:rPr>
          <w:noProof/>
        </w:rPr>
        <w:t>Член 4</w:t>
      </w:r>
    </w:p>
    <w:p>
      <w:pPr>
        <w:pStyle w:val="Titrearticle"/>
        <w:rPr>
          <w:b/>
          <w:i w:val="0"/>
          <w:noProof/>
        </w:rPr>
      </w:pPr>
      <w:r>
        <w:rPr>
          <w:b/>
          <w:i w:val="0"/>
          <w:noProof/>
        </w:rPr>
        <w:t>Дневен ред</w:t>
      </w:r>
    </w:p>
    <w:p>
      <w:pPr>
        <w:pStyle w:val="Point0number"/>
        <w:numPr>
          <w:ilvl w:val="0"/>
          <w:numId w:val="24"/>
        </w:numPr>
        <w:rPr>
          <w:noProof/>
        </w:rPr>
      </w:pPr>
      <w:r>
        <w:rPr>
          <w:noProof/>
        </w:rPr>
        <w:t>Председателят изготвя предварителния дневен ред за всяко заседание и го представя на страните по Споразумението най-малко 6 месеца преди заседанието. Окончателният дневен ред се съгласува между страните по Споразумението най-късно 15 работни дни преди заседанието и се разпространява от председателя.</w:t>
      </w:r>
    </w:p>
    <w:p>
      <w:pPr>
        <w:pStyle w:val="Point0number"/>
        <w:rPr>
          <w:noProof/>
        </w:rPr>
      </w:pPr>
      <w:r>
        <w:rPr>
          <w:noProof/>
        </w:rPr>
        <w:t>Справочните материали и придружаващите документи се изпращат на страните по Споразумението най-късно на датата на изпращане на предварителния дневен ред.</w:t>
      </w:r>
    </w:p>
    <w:p>
      <w:pPr>
        <w:pStyle w:val="Point0number"/>
        <w:rPr>
          <w:noProof/>
        </w:rPr>
      </w:pPr>
      <w:r>
        <w:rPr>
          <w:noProof/>
        </w:rPr>
        <w:t>За точките от дневния ред, свързани с решения на Съвместния комитет, искането за включване в дневния ред и всички свързани документи се изпращат на Съвместния комитет най-малко 7 месеца преди заседанието.</w:t>
      </w:r>
    </w:p>
    <w:p>
      <w:pPr>
        <w:pStyle w:val="Titrearticle"/>
        <w:rPr>
          <w:noProof/>
        </w:rPr>
      </w:pPr>
      <w:r>
        <w:rPr>
          <w:noProof/>
        </w:rPr>
        <w:t>Член 5</w:t>
      </w:r>
    </w:p>
    <w:p>
      <w:pPr>
        <w:pStyle w:val="Titrearticle"/>
        <w:rPr>
          <w:b/>
          <w:i w:val="0"/>
          <w:noProof/>
        </w:rPr>
      </w:pPr>
      <w:r>
        <w:rPr>
          <w:b/>
          <w:i w:val="0"/>
          <w:noProof/>
        </w:rPr>
        <w:t>Секретариат</w:t>
      </w:r>
    </w:p>
    <w:p>
      <w:pPr>
        <w:pStyle w:val="Point0number"/>
        <w:numPr>
          <w:ilvl w:val="0"/>
          <w:numId w:val="25"/>
        </w:numPr>
        <w:rPr>
          <w:noProof/>
          <w:szCs w:val="24"/>
        </w:rPr>
      </w:pPr>
      <w:r>
        <w:rPr>
          <w:noProof/>
        </w:rPr>
        <w:t>Задачите на секретариат на Съвместния комитет се изпълняват от председателството. Цялата кореспонденция до Съвместния комитет, включително исканията за включване на точки в дневния ред или премахването им от същия, трябва да се изпраща до председателя.</w:t>
      </w:r>
    </w:p>
    <w:p>
      <w:pPr>
        <w:pStyle w:val="Point0number"/>
        <w:rPr>
          <w:noProof/>
        </w:rPr>
      </w:pPr>
      <w:r>
        <w:rPr>
          <w:noProof/>
        </w:rPr>
        <w:t>Без оглед на горното Комисията изпълнява функциите на секретариат за целите на предаването на статистически данни, предвидено в член 20 и член 39 от Споразумението.</w:t>
      </w:r>
    </w:p>
    <w:p>
      <w:pPr>
        <w:pStyle w:val="Titrearticle"/>
        <w:rPr>
          <w:noProof/>
        </w:rPr>
      </w:pPr>
      <w:r>
        <w:rPr>
          <w:noProof/>
        </w:rPr>
        <w:t>Член 6</w:t>
      </w:r>
    </w:p>
    <w:p>
      <w:pPr>
        <w:pStyle w:val="Titrearticle"/>
        <w:rPr>
          <w:b/>
          <w:i w:val="0"/>
          <w:noProof/>
        </w:rPr>
      </w:pPr>
      <w:r>
        <w:rPr>
          <w:b/>
          <w:i w:val="0"/>
          <w:noProof/>
        </w:rPr>
        <w:t>Протоколи от заседанията</w:t>
      </w:r>
    </w:p>
    <w:p>
      <w:pPr>
        <w:pStyle w:val="Point0number"/>
        <w:numPr>
          <w:ilvl w:val="0"/>
          <w:numId w:val="27"/>
        </w:numPr>
        <w:rPr>
          <w:noProof/>
        </w:rPr>
      </w:pPr>
      <w:r>
        <w:rPr>
          <w:noProof/>
        </w:rPr>
        <w:t>Протоколът от всяко заседание се изготвя от председателя. Председателят разпространява протокола своевременно, но във всеки случай не по-късно от един месец след заседанието. Протоколът подлежи на взаимно одобрение от страните по Споразумението.</w:t>
      </w:r>
    </w:p>
    <w:p>
      <w:pPr>
        <w:pStyle w:val="Point0number"/>
        <w:rPr>
          <w:noProof/>
        </w:rPr>
      </w:pPr>
      <w:r>
        <w:rPr>
          <w:noProof/>
        </w:rPr>
        <w:t>Председателят изпраща приетия протокол на страните по Споразумението.</w:t>
      </w:r>
    </w:p>
    <w:p>
      <w:pPr>
        <w:pStyle w:val="Titrearticle"/>
        <w:rPr>
          <w:noProof/>
        </w:rPr>
      </w:pPr>
      <w:r>
        <w:rPr>
          <w:noProof/>
        </w:rPr>
        <w:t>Член 7</w:t>
      </w:r>
    </w:p>
    <w:p>
      <w:pPr>
        <w:pStyle w:val="Titrearticle"/>
        <w:rPr>
          <w:b/>
          <w:i w:val="0"/>
          <w:noProof/>
        </w:rPr>
      </w:pPr>
      <w:r>
        <w:rPr>
          <w:b/>
          <w:i w:val="0"/>
          <w:noProof/>
        </w:rPr>
        <w:t>Приемане на решения и препоръки</w:t>
      </w:r>
    </w:p>
    <w:p>
      <w:pPr>
        <w:pStyle w:val="Point0number"/>
        <w:numPr>
          <w:ilvl w:val="0"/>
          <w:numId w:val="26"/>
        </w:numPr>
        <w:rPr>
          <w:noProof/>
          <w:szCs w:val="24"/>
        </w:rPr>
      </w:pPr>
      <w:r>
        <w:rPr>
          <w:noProof/>
        </w:rPr>
        <w:t xml:space="preserve">Всички решения и препоръки на Съвместния комитет подлежат на предварително обсъждане между страните по Споразумението. </w:t>
      </w:r>
    </w:p>
    <w:p>
      <w:pPr>
        <w:pStyle w:val="Point0number"/>
        <w:rPr>
          <w:noProof/>
        </w:rPr>
      </w:pPr>
      <w:r>
        <w:rPr>
          <w:noProof/>
        </w:rPr>
        <w:t>Решенията и препоръките на Съвместния комитет се приемат по време на неговите заседания с единодушие.</w:t>
      </w:r>
    </w:p>
    <w:p>
      <w:pPr>
        <w:pStyle w:val="Point0number"/>
        <w:rPr>
          <w:noProof/>
        </w:rPr>
      </w:pPr>
      <w:r>
        <w:rPr>
          <w:noProof/>
        </w:rPr>
        <w:t xml:space="preserve">Решения и препоръки могат да се приемат с писмена процедура, ако и двете страни по Споразумението са съгласни. </w:t>
      </w:r>
    </w:p>
    <w:p>
      <w:pPr>
        <w:pStyle w:val="Point0number"/>
        <w:rPr>
          <w:noProof/>
        </w:rPr>
      </w:pPr>
      <w:r>
        <w:rPr>
          <w:noProof/>
        </w:rPr>
        <w:t>При писмената процедура председателят изпраща проектите на решения и препоръки до страните по Споразумението и определя срок за изразяване на становищата им. Ако някоя страна по Споразумението не възрази срещу проектите на актове преди изтичането на този срок, се приема, че тя мълчаливо ги е одобрила.</w:t>
      </w:r>
    </w:p>
    <w:p>
      <w:pPr>
        <w:pStyle w:val="Point0number"/>
        <w:rPr>
          <w:noProof/>
        </w:rPr>
      </w:pPr>
      <w:r>
        <w:rPr>
          <w:noProof/>
        </w:rPr>
        <w:t xml:space="preserve">Председателят информира своевременно страните по Споразумението за резултата от писмената процедура, но във всеки случай не по-късно от 14 календарни дни след изтичането на срока. </w:t>
      </w:r>
    </w:p>
    <w:p>
      <w:pPr>
        <w:pStyle w:val="Titrearticle"/>
        <w:rPr>
          <w:noProof/>
        </w:rPr>
      </w:pPr>
      <w:r>
        <w:rPr>
          <w:noProof/>
        </w:rPr>
        <w:t>Член 8</w:t>
      </w:r>
    </w:p>
    <w:p>
      <w:pPr>
        <w:pStyle w:val="Titrearticle"/>
        <w:rPr>
          <w:b/>
          <w:i w:val="0"/>
          <w:noProof/>
        </w:rPr>
      </w:pPr>
      <w:r>
        <w:rPr>
          <w:b/>
          <w:i w:val="0"/>
          <w:noProof/>
        </w:rPr>
        <w:t>Разходи</w:t>
      </w:r>
    </w:p>
    <w:p>
      <w:pPr>
        <w:rPr>
          <w:noProof/>
        </w:rPr>
      </w:pPr>
      <w:r>
        <w:rPr>
          <w:noProof/>
        </w:rPr>
        <w:t>Всяка от страните по Споразумението, а ако е приложимо — и всеки наблюдател, покрива собствените си разходи за участието си в заседанията на Съвместния комитет.</w:t>
      </w:r>
    </w:p>
    <w:p>
      <w:pPr>
        <w:rPr>
          <w:noProof/>
        </w:rPr>
      </w:pPr>
      <w:r>
        <w:rPr>
          <w:i/>
          <w:noProof/>
        </w:rPr>
        <w:t>Дата</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ПРИТУРКА 2</w:t>
      </w:r>
    </w:p>
    <w:p>
      <w:pPr>
        <w:pStyle w:val="NormalCentered"/>
        <w:rPr>
          <w:b/>
          <w:noProof/>
        </w:rPr>
      </w:pPr>
      <w:r>
        <w:rPr>
          <w:b/>
          <w:noProof/>
        </w:rPr>
        <w:t>Проект на</w:t>
      </w:r>
    </w:p>
    <w:p>
      <w:pPr>
        <w:pStyle w:val="NormalCentered"/>
        <w:rPr>
          <w:b/>
          <w:noProof/>
        </w:rPr>
      </w:pPr>
      <w:r>
        <w:rPr>
          <w:b/>
          <w:noProof/>
        </w:rPr>
        <w:t>РЕШЕНИЕ № 2/[дата] на Съвместния комитет от [дата]</w:t>
      </w:r>
      <w:r>
        <w:rPr>
          <w:b/>
          <w:noProof/>
        </w:rPr>
        <w:br/>
        <w:t>за приемане на стандартните формуляри, предаването на съобщения и практическите ред и условия за организацията на връзките между централните звена за връзка</w:t>
      </w:r>
    </w:p>
    <w:p>
      <w:pPr>
        <w:pStyle w:val="Titrearticle"/>
        <w:jc w:val="both"/>
        <w:rPr>
          <w:i w:val="0"/>
          <w:noProof/>
        </w:rPr>
      </w:pPr>
      <w:r>
        <w:rPr>
          <w:i w:val="0"/>
          <w:noProof/>
        </w:rPr>
        <w:t>СЪВМЕСТНИЯТ КОМИТЕТ, създаден в съответствие с член 41, параграф 1 от Споразумението между Европейския съюз и Кралство Норвегия за административното сътрудничество, борбата с измамите и събирането на вземания в областта на данъка върху добавената стойност, наричано по-долу „Споразумението“,</w:t>
      </w:r>
    </w:p>
    <w:p>
      <w:pPr>
        <w:rPr>
          <w:noProof/>
        </w:rPr>
      </w:pPr>
      <w:r>
        <w:rPr>
          <w:noProof/>
        </w:rPr>
        <w:t>като има предвид, че:</w:t>
      </w:r>
    </w:p>
    <w:p>
      <w:pPr>
        <w:pStyle w:val="Point0number"/>
        <w:numPr>
          <w:ilvl w:val="0"/>
          <w:numId w:val="33"/>
        </w:numPr>
        <w:rPr>
          <w:noProof/>
        </w:rPr>
      </w:pPr>
      <w:r>
        <w:rPr>
          <w:noProof/>
        </w:rPr>
        <w:t>а)</w:t>
      </w:r>
      <w:r>
        <w:rPr>
          <w:noProof/>
        </w:rPr>
        <w:tab/>
        <w:t>В контекста на Регламент (ЕС) № 904/2010 на Съвета относно административното сътрудничество и борбата с измамите в областта на данъка върху добавената стойност</w:t>
      </w:r>
      <w:r>
        <w:rPr>
          <w:rStyle w:val="FootnoteReference"/>
          <w:noProof/>
        </w:rPr>
        <w:footnoteReference w:id="1"/>
      </w:r>
      <w:r>
        <w:rPr>
          <w:noProof/>
        </w:rPr>
        <w:t xml:space="preserve"> и Директива 2010/24/ЕС на Съвета относно взаимната помощ при събиране на вземания, свързани с данъци, такси и други мерки</w:t>
      </w:r>
      <w:r>
        <w:rPr>
          <w:rStyle w:val="FootnoteReference"/>
          <w:noProof/>
        </w:rPr>
        <w:footnoteReference w:id="2"/>
      </w:r>
      <w:r>
        <w:rPr>
          <w:noProof/>
        </w:rPr>
        <w:t xml:space="preserve"> вече са въведени инструменти за предаване на съобщения, като например стандартни формуляри и системи за електронна комуникация, които са напълно съвместими с рамката за административно сътрудничество съгласно Споразумението.</w:t>
      </w:r>
    </w:p>
    <w:p>
      <w:pPr>
        <w:pStyle w:val="Point0number"/>
        <w:rPr>
          <w:noProof/>
        </w:rPr>
      </w:pPr>
      <w:r>
        <w:rPr>
          <w:noProof/>
        </w:rPr>
        <w:t>б)</w:t>
      </w:r>
      <w:r>
        <w:rPr>
          <w:noProof/>
        </w:rPr>
        <w:tab/>
        <w:t>Необходимо е да се приемат практическите ред и условия за изпълнението на член 41, параграф 2, букви г), д), ж) и з) от Споразумението,</w:t>
      </w:r>
    </w:p>
    <w:p>
      <w:pPr>
        <w:pStyle w:val="Formuledadoption"/>
        <w:rPr>
          <w:noProof/>
        </w:rPr>
      </w:pPr>
      <w:r>
        <w:rPr>
          <w:noProof/>
        </w:rPr>
        <w:t xml:space="preserve">ПРИЕ НАСТОЯЩОТО РЕШЕНИЕ:  </w:t>
      </w:r>
    </w:p>
    <w:p>
      <w:pPr>
        <w:pStyle w:val="Titrearticle"/>
        <w:rPr>
          <w:noProof/>
        </w:rPr>
      </w:pPr>
      <w:r>
        <w:rPr>
          <w:noProof/>
        </w:rPr>
        <w:t>Член 1</w:t>
      </w:r>
    </w:p>
    <w:p>
      <w:pPr>
        <w:pStyle w:val="Titrearticle"/>
        <w:rPr>
          <w:b/>
          <w:i w:val="0"/>
          <w:noProof/>
        </w:rPr>
      </w:pPr>
      <w:r>
        <w:rPr>
          <w:b/>
          <w:i w:val="0"/>
          <w:noProof/>
        </w:rPr>
        <w:t xml:space="preserve">Стандартни формуляри </w:t>
      </w:r>
    </w:p>
    <w:p>
      <w:pPr>
        <w:rPr>
          <w:noProof/>
        </w:rPr>
      </w:pPr>
      <w:r>
        <w:rPr>
          <w:noProof/>
        </w:rPr>
        <w:t>Съгласно член 21, параграф 1 и член 40, параграф 1 от Споразумението, за целите на предаването на информация по дял II и дял III от Споразумението компетентните органи използват стандартните формуляри, приети за изпълнението на Регламент (ЕС) № 904/2010 на Съвета и Директива 2010/24/ЕС на Съвета.</w:t>
      </w:r>
    </w:p>
    <w:p>
      <w:pPr>
        <w:rPr>
          <w:noProof/>
        </w:rPr>
      </w:pPr>
      <w:r>
        <w:rPr>
          <w:noProof/>
        </w:rPr>
        <w:t>Структурата и оформлението на стандартните формуляри могат да се приспособяват към евентуални нови изисквания и възможности на системите за комуникация и обмен на информация, при условие съдържащите се в тях данни и информация да не се променят съществено.</w:t>
      </w:r>
    </w:p>
    <w:p>
      <w:pPr>
        <w:pStyle w:val="Titrearticle"/>
        <w:rPr>
          <w:noProof/>
        </w:rPr>
      </w:pPr>
      <w:r>
        <w:rPr>
          <w:noProof/>
        </w:rPr>
        <w:t>Член 2</w:t>
      </w:r>
    </w:p>
    <w:p>
      <w:pPr>
        <w:pStyle w:val="Titrearticle"/>
        <w:rPr>
          <w:b/>
          <w:i w:val="0"/>
          <w:noProof/>
        </w:rPr>
      </w:pPr>
      <w:r>
        <w:rPr>
          <w:b/>
          <w:i w:val="0"/>
          <w:noProof/>
        </w:rPr>
        <w:t xml:space="preserve">Предаване на съобщения </w:t>
      </w:r>
    </w:p>
    <w:p>
      <w:pPr>
        <w:rPr>
          <w:noProof/>
        </w:rPr>
      </w:pPr>
      <w:r>
        <w:rPr>
          <w:noProof/>
        </w:rPr>
        <w:t xml:space="preserve">Цялата информация, предавана съгласно дял II и дял III от Споразумението, се изпраща само по електронен път чрез мрежата CCN/CSI, освен ако това е неприложимо по технически причини. </w:t>
      </w:r>
    </w:p>
    <w:p>
      <w:pPr>
        <w:pStyle w:val="Titrearticle"/>
        <w:rPr>
          <w:noProof/>
        </w:rPr>
      </w:pPr>
      <w:r>
        <w:rPr>
          <w:noProof/>
        </w:rPr>
        <w:t>Член 3</w:t>
      </w:r>
    </w:p>
    <w:p>
      <w:pPr>
        <w:pStyle w:val="Titrearticle"/>
        <w:rPr>
          <w:b/>
          <w:i w:val="0"/>
          <w:noProof/>
        </w:rPr>
      </w:pPr>
      <w:r>
        <w:rPr>
          <w:b/>
          <w:i w:val="0"/>
          <w:noProof/>
        </w:rPr>
        <w:t xml:space="preserve">Организация на връзките </w:t>
      </w:r>
    </w:p>
    <w:p>
      <w:pPr>
        <w:pStyle w:val="Point0number"/>
        <w:numPr>
          <w:ilvl w:val="0"/>
          <w:numId w:val="34"/>
        </w:numPr>
        <w:rPr>
          <w:noProof/>
        </w:rPr>
      </w:pPr>
      <w:r>
        <w:rPr>
          <w:noProof/>
        </w:rPr>
        <w:t>За да организират връзките между централните звена за връзка и отделите за връзка, посочени в член 4, параграф 2, буква б) и член 4, параграф 3, буква б) от Споразумението, компетентните органи прилагат правилата, приети за изпълнението на Директива 2010/24/ЕС на Съвета.</w:t>
      </w:r>
    </w:p>
    <w:p>
      <w:pPr>
        <w:pStyle w:val="Point0number"/>
        <w:numPr>
          <w:ilvl w:val="0"/>
          <w:numId w:val="26"/>
        </w:numPr>
        <w:rPr>
          <w:noProof/>
          <w:szCs w:val="24"/>
        </w:rPr>
      </w:pPr>
      <w:r>
        <w:rPr>
          <w:noProof/>
        </w:rPr>
        <w:t>Централните звена за връзка, определени съгласно член 4, параграф 2 от Споразумението, редовно обновяват списъка с отдели за връзка и компетентни длъжностни лица, определени съгласно член 4, параграф 3 и член 4, параграф 4, и го предоставят на останалите централни звена за връзка по електронен път.</w:t>
      </w:r>
    </w:p>
    <w:p>
      <w:pPr>
        <w:pStyle w:val="Date"/>
        <w:rPr>
          <w:i/>
          <w:noProof/>
        </w:rPr>
      </w:pPr>
      <w:r>
        <w:rPr>
          <w:i/>
          <w:noProof/>
        </w:rPr>
        <w:t>Дата</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ПРИТУРКА 3</w:t>
      </w:r>
    </w:p>
    <w:p>
      <w:pPr>
        <w:pStyle w:val="NormalCentered"/>
        <w:rPr>
          <w:b/>
          <w:noProof/>
        </w:rPr>
      </w:pPr>
      <w:r>
        <w:rPr>
          <w:b/>
          <w:noProof/>
        </w:rPr>
        <w:t>Проект на</w:t>
      </w:r>
    </w:p>
    <w:p>
      <w:pPr>
        <w:pStyle w:val="NormalCentered"/>
        <w:rPr>
          <w:b/>
          <w:noProof/>
        </w:rPr>
      </w:pPr>
      <w:r>
        <w:rPr>
          <w:b/>
          <w:noProof/>
        </w:rPr>
        <w:t>РЕШЕНИЕ № 3/[дата] на Съвместния комитет от [дата]</w:t>
      </w:r>
      <w:r>
        <w:rPr>
          <w:b/>
          <w:noProof/>
        </w:rPr>
        <w:br/>
        <w:t>за приемане на процедурата за сключване на споразумението за нивото на услугите</w:t>
      </w:r>
    </w:p>
    <w:p>
      <w:pPr>
        <w:pStyle w:val="Titrearticle"/>
        <w:jc w:val="both"/>
        <w:rPr>
          <w:i w:val="0"/>
          <w:noProof/>
        </w:rPr>
      </w:pPr>
      <w:r>
        <w:rPr>
          <w:i w:val="0"/>
          <w:noProof/>
        </w:rPr>
        <w:t>СЪВМЕСТНИЯТ КОМИТЕТ, създаден в съответствие с член 41, параграф 1 от Споразумението между Европейския съюз и Кралство Норвегия за административното сътрудничество, борбата с измамите и събирането на вземания в областта на данъка върху добавената стойност, наричано по-долу „Споразумението“,</w:t>
      </w:r>
    </w:p>
    <w:p>
      <w:pPr>
        <w:rPr>
          <w:noProof/>
        </w:rPr>
      </w:pPr>
      <w:r>
        <w:rPr>
          <w:noProof/>
        </w:rPr>
        <w:t>като има предвид, че:</w:t>
      </w:r>
    </w:p>
    <w:p>
      <w:pPr>
        <w:pStyle w:val="Point0number"/>
        <w:rPr>
          <w:noProof/>
        </w:rPr>
      </w:pPr>
      <w:r>
        <w:rPr>
          <w:noProof/>
        </w:rPr>
        <w:t>а)</w:t>
      </w:r>
      <w:r>
        <w:rPr>
          <w:noProof/>
        </w:rPr>
        <w:tab/>
        <w:t>По процедурата, установена от Съвместния комитет, се сключва споразумение за нивото на услугите, с което се осигурява техническото качество и количество на услугите за работата на системите за комуникация и обмен на информация.</w:t>
      </w:r>
    </w:p>
    <w:p>
      <w:pPr>
        <w:pStyle w:val="Point0number"/>
        <w:rPr>
          <w:noProof/>
        </w:rPr>
      </w:pPr>
      <w:r>
        <w:rPr>
          <w:noProof/>
        </w:rPr>
        <w:t>б)</w:t>
      </w:r>
      <w:r>
        <w:rPr>
          <w:noProof/>
        </w:rPr>
        <w:tab/>
        <w:t>Необходимо е да се приемат практическите ред и условия за изпълнението на член 5 от Споразумението,</w:t>
      </w:r>
    </w:p>
    <w:p>
      <w:pPr>
        <w:pStyle w:val="Formuledadoption"/>
        <w:rPr>
          <w:noProof/>
        </w:rPr>
      </w:pPr>
      <w:r>
        <w:rPr>
          <w:noProof/>
        </w:rPr>
        <w:t xml:space="preserve">ПРИЕ НАСТОЯЩОТО РЕШЕНИЕ:  </w:t>
      </w:r>
    </w:p>
    <w:p>
      <w:pPr>
        <w:pStyle w:val="Titrearticle"/>
        <w:rPr>
          <w:noProof/>
        </w:rPr>
      </w:pPr>
      <w:r>
        <w:rPr>
          <w:noProof/>
        </w:rPr>
        <w:t xml:space="preserve">Член единствен </w:t>
      </w:r>
    </w:p>
    <w:p>
      <w:pPr>
        <w:pStyle w:val="Point0number"/>
        <w:numPr>
          <w:ilvl w:val="0"/>
          <w:numId w:val="32"/>
        </w:numPr>
        <w:rPr>
          <w:noProof/>
        </w:rPr>
      </w:pPr>
      <w:r>
        <w:rPr>
          <w:noProof/>
        </w:rPr>
        <w:t>Споразумението за нивото на услугите, посочено в член 5 от Споразумението, се сключва от Съвместния комитет и е обвързващо за страните по Споразумението от деня след одобрението му от Съвместния комитет.</w:t>
      </w:r>
    </w:p>
    <w:p>
      <w:pPr>
        <w:pStyle w:val="Point0number"/>
        <w:rPr>
          <w:noProof/>
        </w:rPr>
      </w:pPr>
      <w:r>
        <w:rPr>
          <w:noProof/>
        </w:rPr>
        <w:t>Всяка от страните по Споразумението може да поиска преразглеждане на споразумението за нивото на услугите, като отправи искане до председателя на Съвместния комитет. Докато Съвместният комитет не вземе решение относно предложените промени, остават в сила разпоредбите на последното сключено споразумение за нивото на услугите.</w:t>
      </w:r>
    </w:p>
    <w:p>
      <w:pPr>
        <w:pStyle w:val="Date"/>
        <w:rPr>
          <w:i/>
          <w:noProof/>
        </w:rPr>
      </w:pPr>
      <w:r>
        <w:rPr>
          <w:i/>
          <w:noProof/>
        </w:rPr>
        <w:t xml:space="preserve">Дата </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ПРИТУРКА 4</w:t>
      </w:r>
    </w:p>
    <w:p>
      <w:pPr>
        <w:pStyle w:val="NormalCentered"/>
        <w:rPr>
          <w:b/>
          <w:noProof/>
        </w:rPr>
      </w:pPr>
      <w:r>
        <w:rPr>
          <w:b/>
          <w:noProof/>
        </w:rPr>
        <w:t>Проект на</w:t>
      </w:r>
    </w:p>
    <w:p>
      <w:pPr>
        <w:pStyle w:val="NormalCentered"/>
        <w:rPr>
          <w:b/>
          <w:noProof/>
        </w:rPr>
      </w:pPr>
      <w:r>
        <w:rPr>
          <w:b/>
          <w:noProof/>
        </w:rPr>
        <w:t>РЕШЕНИЕ № 4/[дата] на Съвместния комитет от [дата]</w:t>
      </w:r>
      <w:r>
        <w:rPr>
          <w:b/>
          <w:noProof/>
        </w:rPr>
        <w:br/>
        <w:t>за приемане на споразумението за нивото на услугите за системите и приложенията за административно сътрудничество и събиране на вземания в областта на ДДС</w:t>
      </w:r>
    </w:p>
    <w:p>
      <w:pPr>
        <w:pStyle w:val="ManualHeading1"/>
        <w:rPr>
          <w:noProof/>
        </w:rPr>
      </w:pPr>
      <w:r>
        <w:rPr>
          <w:noProof/>
        </w:rPr>
        <w:t>1.</w:t>
      </w:r>
      <w:r>
        <w:rPr>
          <w:noProof/>
        </w:rPr>
        <w:tab/>
      </w:r>
      <w:r>
        <w:rPr>
          <w:noProof/>
          <w:u w:val="single"/>
        </w:rPr>
        <w:t>СПРАВОЧНИ ДОКУМЕНТИ И ПРИЛОЖИМИ ДОКУМЕНТИ</w:t>
      </w:r>
    </w:p>
    <w:p>
      <w:pPr>
        <w:pStyle w:val="ManualHeading2"/>
        <w:rPr>
          <w:caps/>
          <w:noProof/>
        </w:rPr>
      </w:pPr>
      <w:bookmarkStart w:id="1" w:name="_Toc486594995"/>
      <w:r>
        <w:rPr>
          <w:noProof/>
        </w:rPr>
        <w:t>1.1.</w:t>
      </w:r>
      <w:r>
        <w:rPr>
          <w:noProof/>
        </w:rPr>
        <w:tab/>
        <w:t xml:space="preserve">ПРИЛОЖИМИ </w:t>
      </w:r>
      <w:bookmarkEnd w:id="1"/>
      <w:r>
        <w:rPr>
          <w:noProof/>
        </w:rPr>
        <w:t>АКТОВЕ</w:t>
      </w:r>
    </w:p>
    <w:p>
      <w:pPr>
        <w:pStyle w:val="Text1"/>
        <w:rPr>
          <w:noProof/>
        </w:rPr>
      </w:pPr>
      <w:r>
        <w:rPr>
          <w:noProof/>
        </w:rPr>
        <w:t>Настоящото споразумение за нивото на услугите (наричано „СНУ“) взема предвид списъка със споразумения и приложими решения по-долу.</w:t>
      </w:r>
      <w:r>
        <w:rPr>
          <w:noProof/>
          <w:highlight w:val="yellow"/>
        </w:rPr>
        <w:t xml:space="preserve"> </w:t>
      </w:r>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432"/>
      </w:tblGrid>
      <w:tr>
        <w:tc>
          <w:tcPr>
            <w:tcW w:w="1800" w:type="dxa"/>
          </w:tcPr>
          <w:p>
            <w:pPr>
              <w:rPr>
                <w:noProof/>
              </w:rPr>
            </w:pPr>
            <w:bookmarkStart w:id="2" w:name="_Ref313971168"/>
            <w:r>
              <w:rPr>
                <w:noProof/>
              </w:rPr>
              <w:t>[AD.1.]</w:t>
            </w:r>
          </w:p>
        </w:tc>
        <w:bookmarkEnd w:id="2"/>
        <w:tc>
          <w:tcPr>
            <w:tcW w:w="6432" w:type="dxa"/>
          </w:tcPr>
          <w:p>
            <w:pPr>
              <w:rPr>
                <w:noProof/>
              </w:rPr>
            </w:pPr>
            <w:r>
              <w:rPr>
                <w:noProof/>
              </w:rPr>
              <w:t>Споразумение между Европейския съюз и Кралство Норвегия за административното сътрудничество, борбата с измамите и събирането на вземания в областта на данъка върху добавената стойност („Споразумението“) (ОВ L 195, 1.8.2018 г., стр. 3).</w:t>
            </w:r>
          </w:p>
        </w:tc>
      </w:tr>
      <w:tr>
        <w:tc>
          <w:tcPr>
            <w:tcW w:w="1800" w:type="dxa"/>
          </w:tcPr>
          <w:p>
            <w:pPr>
              <w:rPr>
                <w:noProof/>
              </w:rPr>
            </w:pPr>
            <w:r>
              <w:rPr>
                <w:noProof/>
              </w:rPr>
              <w:t>[AD.2.]</w:t>
            </w:r>
          </w:p>
        </w:tc>
        <w:tc>
          <w:tcPr>
            <w:tcW w:w="6432" w:type="dxa"/>
          </w:tcPr>
          <w:p>
            <w:pPr>
              <w:rPr>
                <w:rFonts w:eastAsia="Times New Roman"/>
                <w:noProof/>
                <w:szCs w:val="24"/>
              </w:rPr>
            </w:pPr>
            <w:r>
              <w:rPr>
                <w:noProof/>
              </w:rPr>
              <w:t xml:space="preserve">Решение XX на Съвместния комитет за изпълнение на член 41, параграф 2, букви г), д), ж) и з) от Споразумението във връзка със стандартните формуляри, предаването на съобщения и организацията на връзките от </w:t>
            </w:r>
            <w:r>
              <w:rPr>
                <w:i/>
                <w:noProof/>
                <w:highlight w:val="yellow"/>
              </w:rPr>
              <w:t>[дата]</w:t>
            </w:r>
          </w:p>
        </w:tc>
      </w:tr>
    </w:tbl>
    <w:p>
      <w:pPr>
        <w:spacing w:before="60" w:after="0"/>
        <w:jc w:val="center"/>
        <w:rPr>
          <w:rFonts w:eastAsia="Times New Roman"/>
          <w:noProof/>
          <w:sz w:val="20"/>
          <w:szCs w:val="20"/>
        </w:rPr>
      </w:pPr>
      <w:bookmarkStart w:id="3" w:name="_Toc485826129"/>
      <w:r>
        <w:rPr>
          <w:noProof/>
          <w:sz w:val="20"/>
        </w:rPr>
        <w:t xml:space="preserve">Таблица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1</w:t>
      </w:r>
      <w:r>
        <w:rPr>
          <w:rFonts w:eastAsia="Times New Roman"/>
          <w:noProof/>
          <w:sz w:val="20"/>
          <w:szCs w:val="20"/>
        </w:rPr>
        <w:fldChar w:fldCharType="end"/>
      </w:r>
      <w:r>
        <w:rPr>
          <w:noProof/>
          <w:sz w:val="20"/>
        </w:rPr>
        <w:t xml:space="preserve">: Приложими </w:t>
      </w:r>
      <w:bookmarkEnd w:id="3"/>
      <w:r>
        <w:rPr>
          <w:noProof/>
          <w:sz w:val="20"/>
        </w:rPr>
        <w:t>актове</w:t>
      </w:r>
    </w:p>
    <w:p>
      <w:pPr>
        <w:pStyle w:val="ManualHeading2"/>
        <w:rPr>
          <w:noProof/>
        </w:rPr>
      </w:pPr>
      <w:bookmarkStart w:id="4" w:name="_Toc486594996"/>
      <w:r>
        <w:rPr>
          <w:noProof/>
        </w:rPr>
        <w:t>1.2.</w:t>
      </w:r>
      <w:r>
        <w:rPr>
          <w:noProof/>
        </w:rPr>
        <w:tab/>
        <w:t>СПРАВОЧНИ ДОКУМЕНТИ</w:t>
      </w:r>
      <w:bookmarkEnd w:id="4"/>
    </w:p>
    <w:p>
      <w:pPr>
        <w:pStyle w:val="Text1"/>
        <w:rPr>
          <w:noProof/>
        </w:rPr>
      </w:pPr>
      <w:r>
        <w:rPr>
          <w:noProof/>
        </w:rPr>
        <w:t xml:space="preserve">Настоящото СНУ взема предвид информацията, представена в следните справочни документи. Действащите версии на документите са публикувани в платформата CIRCABC или интернет портала ITSM. </w:t>
      </w:r>
    </w:p>
    <w:p>
      <w:pPr>
        <w:spacing w:before="60" w:after="0"/>
        <w:jc w:val="left"/>
        <w:rPr>
          <w:rFonts w:eastAsia="Times New Roman"/>
          <w:noProof/>
          <w:szCs w:val="24"/>
        </w:rPr>
      </w:pPr>
    </w:p>
    <w:tbl>
      <w:tblPr>
        <w:tblW w:w="816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360"/>
      </w:tblGrid>
      <w:tr>
        <w:tc>
          <w:tcPr>
            <w:tcW w:w="1800" w:type="dxa"/>
          </w:tcPr>
          <w:p>
            <w:pPr>
              <w:numPr>
                <w:ilvl w:val="0"/>
                <w:numId w:val="7"/>
              </w:numPr>
              <w:spacing w:before="60" w:after="60" w:line="276" w:lineRule="auto"/>
              <w:jc w:val="left"/>
              <w:rPr>
                <w:rFonts w:eastAsia="Times New Roman"/>
                <w:noProof/>
                <w:szCs w:val="24"/>
              </w:rPr>
            </w:pPr>
            <w:bookmarkStart w:id="5" w:name="_Ref371673659"/>
          </w:p>
        </w:tc>
        <w:bookmarkEnd w:id="5"/>
        <w:tc>
          <w:tcPr>
            <w:tcW w:w="6360" w:type="dxa"/>
          </w:tcPr>
          <w:p>
            <w:pPr>
              <w:spacing w:before="60" w:after="60"/>
              <w:jc w:val="left"/>
              <w:rPr>
                <w:rFonts w:eastAsia="Times New Roman"/>
                <w:noProof/>
                <w:szCs w:val="24"/>
              </w:rPr>
            </w:pPr>
            <w:r>
              <w:rPr>
                <w:noProof/>
              </w:rPr>
              <w:t xml:space="preserve">Ръководство на потребителя за CCN Mail III за национални администрации </w:t>
            </w:r>
            <w:r>
              <w:rPr>
                <w:i/>
                <w:noProof/>
              </w:rPr>
              <w:t>(уебпортал ITSM)</w:t>
            </w:r>
          </w:p>
        </w:tc>
      </w:tr>
      <w:tr>
        <w:tc>
          <w:tcPr>
            <w:tcW w:w="1800" w:type="dxa"/>
          </w:tcPr>
          <w:p>
            <w:pPr>
              <w:numPr>
                <w:ilvl w:val="0"/>
                <w:numId w:val="7"/>
              </w:numPr>
              <w:spacing w:before="60" w:after="60" w:line="276" w:lineRule="auto"/>
              <w:jc w:val="left"/>
              <w:rPr>
                <w:rFonts w:eastAsia="Times New Roman"/>
                <w:noProof/>
                <w:szCs w:val="24"/>
              </w:rPr>
            </w:pPr>
          </w:p>
        </w:tc>
        <w:tc>
          <w:tcPr>
            <w:tcW w:w="6360" w:type="dxa"/>
          </w:tcPr>
          <w:p>
            <w:pPr>
              <w:spacing w:before="60" w:after="60"/>
              <w:jc w:val="left"/>
              <w:rPr>
                <w:rFonts w:eastAsia="Times New Roman"/>
                <w:noProof/>
                <w:szCs w:val="24"/>
              </w:rPr>
            </w:pPr>
            <w:r>
              <w:rPr>
                <w:noProof/>
              </w:rPr>
              <w:t xml:space="preserve">CCN Intranet — ръководство за администратори на локална мрежа </w:t>
            </w:r>
            <w:r>
              <w:rPr>
                <w:i/>
                <w:noProof/>
              </w:rPr>
              <w:t>(уебпортал ITSM)</w:t>
            </w:r>
          </w:p>
        </w:tc>
      </w:tr>
      <w:tr>
        <w:tc>
          <w:tcPr>
            <w:tcW w:w="1800" w:type="dxa"/>
          </w:tcPr>
          <w:p>
            <w:pPr>
              <w:numPr>
                <w:ilvl w:val="0"/>
                <w:numId w:val="7"/>
              </w:numPr>
              <w:spacing w:before="60" w:after="60" w:line="276" w:lineRule="auto"/>
              <w:jc w:val="left"/>
              <w:rPr>
                <w:rFonts w:eastAsia="Times New Roman"/>
                <w:noProof/>
                <w:szCs w:val="24"/>
              </w:rPr>
            </w:pPr>
            <w:bookmarkStart w:id="6" w:name="_Ref371673619"/>
          </w:p>
        </w:tc>
        <w:bookmarkEnd w:id="6"/>
        <w:tc>
          <w:tcPr>
            <w:tcW w:w="6360" w:type="dxa"/>
          </w:tcPr>
          <w:p>
            <w:pPr>
              <w:keepNext/>
              <w:spacing w:before="60" w:after="60"/>
              <w:jc w:val="left"/>
              <w:rPr>
                <w:rFonts w:eastAsia="Times New Roman"/>
                <w:noProof/>
                <w:szCs w:val="24"/>
              </w:rPr>
            </w:pPr>
            <w:r>
              <w:rPr>
                <w:noProof/>
              </w:rPr>
              <w:t>Статистика — насоки и указания (версия 1 на ПРИЛОЖЕНИЕ) към SCAC № 560</w:t>
            </w:r>
          </w:p>
        </w:tc>
      </w:tr>
      <w:tr>
        <w:tc>
          <w:tcPr>
            <w:tcW w:w="1800" w:type="dxa"/>
          </w:tcPr>
          <w:p>
            <w:pPr>
              <w:numPr>
                <w:ilvl w:val="0"/>
                <w:numId w:val="7"/>
              </w:numPr>
              <w:spacing w:before="60" w:after="60" w:line="276" w:lineRule="auto"/>
              <w:jc w:val="left"/>
              <w:rPr>
                <w:rFonts w:eastAsia="Times New Roman"/>
                <w:noProof/>
                <w:szCs w:val="24"/>
              </w:rPr>
            </w:pPr>
            <w:bookmarkStart w:id="7" w:name="_Toc131473829"/>
            <w:bookmarkStart w:id="8" w:name="_Toc131560458"/>
            <w:bookmarkStart w:id="9" w:name="_Toc132079338"/>
          </w:p>
        </w:tc>
        <w:tc>
          <w:tcPr>
            <w:tcW w:w="6360" w:type="dxa"/>
          </w:tcPr>
          <w:p>
            <w:pPr>
              <w:keepNext/>
              <w:spacing w:before="60" w:after="60"/>
              <w:jc w:val="left"/>
              <w:rPr>
                <w:rFonts w:eastAsia="Times New Roman"/>
                <w:noProof/>
                <w:szCs w:val="24"/>
              </w:rPr>
            </w:pPr>
            <w:r>
              <w:rPr>
                <w:noProof/>
              </w:rPr>
              <w:t xml:space="preserve">Електронни формуляри за ДДС — функционални спецификации </w:t>
            </w:r>
          </w:p>
        </w:tc>
      </w:tr>
      <w:tr>
        <w:tc>
          <w:tcPr>
            <w:tcW w:w="1800" w:type="dxa"/>
          </w:tcPr>
          <w:p>
            <w:pPr>
              <w:numPr>
                <w:ilvl w:val="0"/>
                <w:numId w:val="7"/>
              </w:numPr>
              <w:spacing w:before="60" w:after="60" w:line="276" w:lineRule="auto"/>
              <w:jc w:val="left"/>
              <w:rPr>
                <w:rFonts w:eastAsia="Times New Roman"/>
                <w:noProof/>
                <w:szCs w:val="24"/>
              </w:rPr>
            </w:pPr>
          </w:p>
        </w:tc>
        <w:tc>
          <w:tcPr>
            <w:tcW w:w="6360" w:type="dxa"/>
          </w:tcPr>
          <w:p>
            <w:pPr>
              <w:keepNext/>
              <w:spacing w:before="60" w:after="60"/>
              <w:jc w:val="left"/>
              <w:rPr>
                <w:rFonts w:eastAsia="Times New Roman"/>
                <w:noProof/>
                <w:szCs w:val="24"/>
              </w:rPr>
            </w:pPr>
            <w:r>
              <w:rPr>
                <w:noProof/>
              </w:rPr>
              <w:t xml:space="preserve">Електронни формуляри за ДДС — технически спецификации </w:t>
            </w:r>
          </w:p>
        </w:tc>
      </w:tr>
      <w:tr>
        <w:tc>
          <w:tcPr>
            <w:tcW w:w="1800" w:type="dxa"/>
          </w:tcPr>
          <w:p>
            <w:pPr>
              <w:numPr>
                <w:ilvl w:val="0"/>
                <w:numId w:val="7"/>
              </w:numPr>
              <w:spacing w:before="60" w:after="60" w:line="276" w:lineRule="auto"/>
              <w:jc w:val="left"/>
              <w:rPr>
                <w:rFonts w:eastAsia="Times New Roman"/>
                <w:noProof/>
                <w:szCs w:val="24"/>
              </w:rPr>
            </w:pPr>
          </w:p>
        </w:tc>
        <w:tc>
          <w:tcPr>
            <w:tcW w:w="6360" w:type="dxa"/>
          </w:tcPr>
          <w:p>
            <w:pPr>
              <w:keepNext/>
              <w:spacing w:before="60" w:after="60"/>
              <w:jc w:val="left"/>
              <w:rPr>
                <w:rFonts w:eastAsia="Times New Roman"/>
                <w:noProof/>
                <w:szCs w:val="24"/>
              </w:rPr>
            </w:pPr>
            <w:r>
              <w:rPr>
                <w:noProof/>
              </w:rPr>
              <w:t xml:space="preserve">Електронни формуляри за събиране на вземания — функционални спецификации </w:t>
            </w:r>
          </w:p>
        </w:tc>
      </w:tr>
      <w:tr>
        <w:tc>
          <w:tcPr>
            <w:tcW w:w="1800" w:type="dxa"/>
          </w:tcPr>
          <w:p>
            <w:pPr>
              <w:numPr>
                <w:ilvl w:val="0"/>
                <w:numId w:val="7"/>
              </w:numPr>
              <w:spacing w:before="60" w:after="60" w:line="276" w:lineRule="auto"/>
              <w:jc w:val="left"/>
              <w:rPr>
                <w:rFonts w:eastAsia="Times New Roman"/>
                <w:noProof/>
                <w:szCs w:val="24"/>
              </w:rPr>
            </w:pPr>
          </w:p>
        </w:tc>
        <w:tc>
          <w:tcPr>
            <w:tcW w:w="6360" w:type="dxa"/>
          </w:tcPr>
          <w:p>
            <w:pPr>
              <w:keepNext/>
              <w:spacing w:before="60" w:after="60"/>
              <w:jc w:val="left"/>
              <w:rPr>
                <w:rFonts w:eastAsia="Times New Roman"/>
                <w:noProof/>
                <w:szCs w:val="24"/>
              </w:rPr>
            </w:pPr>
            <w:r>
              <w:rPr>
                <w:noProof/>
              </w:rPr>
              <w:t xml:space="preserve">Електронни формуляри за събиране на вземания — технически спецификации </w:t>
            </w:r>
          </w:p>
        </w:tc>
      </w:tr>
      <w:tr>
        <w:tc>
          <w:tcPr>
            <w:tcW w:w="1800" w:type="dxa"/>
          </w:tcPr>
          <w:p>
            <w:pPr>
              <w:numPr>
                <w:ilvl w:val="0"/>
                <w:numId w:val="7"/>
              </w:numPr>
              <w:spacing w:before="60" w:after="60" w:line="276" w:lineRule="auto"/>
              <w:jc w:val="left"/>
              <w:rPr>
                <w:rFonts w:eastAsia="Times New Roman"/>
                <w:noProof/>
                <w:szCs w:val="24"/>
              </w:rPr>
            </w:pPr>
          </w:p>
        </w:tc>
        <w:tc>
          <w:tcPr>
            <w:tcW w:w="6360" w:type="dxa"/>
          </w:tcPr>
          <w:p>
            <w:pPr>
              <w:keepNext/>
              <w:spacing w:before="60" w:after="60"/>
              <w:jc w:val="left"/>
              <w:rPr>
                <w:rFonts w:eastAsia="Times New Roman"/>
                <w:noProof/>
                <w:szCs w:val="24"/>
              </w:rPr>
            </w:pPr>
            <w:r>
              <w:rPr>
                <w:noProof/>
              </w:rPr>
              <w:t>Обща политика за сигурност на CCN/CSI (уебпортал ITSM)</w:t>
            </w:r>
          </w:p>
        </w:tc>
      </w:tr>
      <w:tr>
        <w:tc>
          <w:tcPr>
            <w:tcW w:w="1800" w:type="dxa"/>
          </w:tcPr>
          <w:p>
            <w:pPr>
              <w:numPr>
                <w:ilvl w:val="0"/>
                <w:numId w:val="7"/>
              </w:numPr>
              <w:spacing w:before="60" w:after="60" w:line="276" w:lineRule="auto"/>
              <w:jc w:val="left"/>
              <w:rPr>
                <w:rFonts w:eastAsia="Times New Roman"/>
                <w:noProof/>
                <w:szCs w:val="24"/>
              </w:rPr>
            </w:pPr>
          </w:p>
        </w:tc>
        <w:tc>
          <w:tcPr>
            <w:tcW w:w="6360" w:type="dxa"/>
          </w:tcPr>
          <w:p>
            <w:pPr>
              <w:keepNext/>
              <w:spacing w:before="60" w:after="60"/>
              <w:jc w:val="left"/>
              <w:rPr>
                <w:rFonts w:eastAsia="Times New Roman"/>
                <w:noProof/>
                <w:szCs w:val="24"/>
              </w:rPr>
            </w:pPr>
            <w:r>
              <w:rPr>
                <w:noProof/>
              </w:rPr>
              <w:t>Процедури за управление на CCN Gateway (уебпортал ITSM)</w:t>
            </w:r>
          </w:p>
        </w:tc>
      </w:tr>
      <w:tr>
        <w:tc>
          <w:tcPr>
            <w:tcW w:w="1800" w:type="dxa"/>
          </w:tcPr>
          <w:p>
            <w:pPr>
              <w:numPr>
                <w:ilvl w:val="0"/>
                <w:numId w:val="7"/>
              </w:numPr>
              <w:spacing w:before="60" w:after="60" w:line="276" w:lineRule="auto"/>
              <w:jc w:val="left"/>
              <w:rPr>
                <w:rFonts w:eastAsia="Times New Roman"/>
                <w:noProof/>
                <w:szCs w:val="24"/>
              </w:rPr>
            </w:pPr>
          </w:p>
        </w:tc>
        <w:tc>
          <w:tcPr>
            <w:tcW w:w="6360" w:type="dxa"/>
          </w:tcPr>
          <w:p>
            <w:pPr>
              <w:keepNext/>
              <w:spacing w:before="60" w:after="60"/>
              <w:jc w:val="left"/>
              <w:rPr>
                <w:rFonts w:eastAsia="Times New Roman"/>
                <w:noProof/>
                <w:szCs w:val="24"/>
              </w:rPr>
            </w:pPr>
            <w:r>
              <w:rPr>
                <w:noProof/>
              </w:rPr>
              <w:t>Основен контролен списък за сигурност на CCN/CSI (уебпортал ITSM)</w:t>
            </w:r>
          </w:p>
        </w:tc>
      </w:tr>
    </w:tbl>
    <w:p>
      <w:pPr>
        <w:spacing w:before="60"/>
        <w:jc w:val="center"/>
        <w:rPr>
          <w:rFonts w:eastAsia="Times New Roman"/>
          <w:noProof/>
          <w:sz w:val="20"/>
          <w:szCs w:val="20"/>
        </w:rPr>
      </w:pPr>
      <w:bookmarkStart w:id="10" w:name="_Toc273103660"/>
      <w:bookmarkStart w:id="11" w:name="_Toc485826130"/>
      <w:bookmarkEnd w:id="7"/>
      <w:bookmarkEnd w:id="8"/>
      <w:bookmarkEnd w:id="9"/>
      <w:r>
        <w:rPr>
          <w:noProof/>
          <w:sz w:val="20"/>
        </w:rPr>
        <w:t xml:space="preserve">Таблица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2</w:t>
      </w:r>
      <w:r>
        <w:rPr>
          <w:rFonts w:eastAsia="Times New Roman"/>
          <w:noProof/>
          <w:sz w:val="20"/>
          <w:szCs w:val="20"/>
        </w:rPr>
        <w:fldChar w:fldCharType="end"/>
      </w:r>
      <w:r>
        <w:rPr>
          <w:noProof/>
          <w:sz w:val="20"/>
        </w:rPr>
        <w:t>: Справочни документи</w:t>
      </w:r>
      <w:bookmarkEnd w:id="10"/>
      <w:bookmarkEnd w:id="11"/>
    </w:p>
    <w:p>
      <w:pPr>
        <w:pStyle w:val="ManualHeading1"/>
        <w:rPr>
          <w:noProof/>
        </w:rPr>
      </w:pPr>
      <w:bookmarkStart w:id="12" w:name="_Toc150588472"/>
      <w:bookmarkStart w:id="13" w:name="_Toc273104854"/>
      <w:bookmarkStart w:id="14" w:name="_Toc486594997"/>
      <w:r>
        <w:rPr>
          <w:noProof/>
        </w:rPr>
        <w:t>2.</w:t>
      </w:r>
      <w:r>
        <w:rPr>
          <w:noProof/>
        </w:rPr>
        <w:tab/>
      </w:r>
      <w:r>
        <w:rPr>
          <w:noProof/>
          <w:u w:val="single"/>
        </w:rPr>
        <w:t>ТЕРМИНОЛОГИЯ</w:t>
      </w:r>
      <w:bookmarkStart w:id="15" w:name="_Toc150588473"/>
      <w:bookmarkStart w:id="16" w:name="_Toc273104855"/>
      <w:bookmarkStart w:id="17" w:name="_Toc486594998"/>
      <w:bookmarkEnd w:id="12"/>
      <w:bookmarkEnd w:id="13"/>
      <w:bookmarkEnd w:id="14"/>
    </w:p>
    <w:p>
      <w:pPr>
        <w:pStyle w:val="ManualHeading2"/>
        <w:rPr>
          <w:noProof/>
        </w:rPr>
      </w:pPr>
      <w:r>
        <w:rPr>
          <w:noProof/>
        </w:rPr>
        <w:t>2.1.</w:t>
      </w:r>
      <w:r>
        <w:rPr>
          <w:noProof/>
        </w:rPr>
        <w:tab/>
        <w:t>СЪКРАЩЕНИЯ</w:t>
      </w:r>
      <w:bookmarkEnd w:id="15"/>
      <w:bookmarkEnd w:id="16"/>
      <w:bookmarkEnd w:id="17"/>
      <w:r>
        <w:rPr>
          <w:noProof/>
        </w:rPr>
        <w:t xml:space="preserve"> </w:t>
      </w:r>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432"/>
      </w:tblGrid>
      <w:tr>
        <w:trPr>
          <w:tblHeader/>
        </w:trPr>
        <w:tc>
          <w:tcPr>
            <w:tcW w:w="1800" w:type="dxa"/>
            <w:shd w:val="clear" w:color="auto" w:fill="E0E0E0"/>
          </w:tcPr>
          <w:p>
            <w:pPr>
              <w:spacing w:before="0" w:after="0"/>
              <w:jc w:val="center"/>
              <w:rPr>
                <w:rFonts w:eastAsia="Times New Roman"/>
                <w:b/>
                <w:noProof/>
                <w:szCs w:val="24"/>
              </w:rPr>
            </w:pPr>
            <w:r>
              <w:rPr>
                <w:b/>
                <w:noProof/>
              </w:rPr>
              <w:t>СЪКРАЩЕНИЕ</w:t>
            </w:r>
          </w:p>
        </w:tc>
        <w:tc>
          <w:tcPr>
            <w:tcW w:w="6432" w:type="dxa"/>
            <w:shd w:val="clear" w:color="auto" w:fill="E0E0E0"/>
          </w:tcPr>
          <w:p>
            <w:pPr>
              <w:spacing w:before="0" w:after="0"/>
              <w:jc w:val="center"/>
              <w:rPr>
                <w:rFonts w:eastAsia="Times New Roman"/>
                <w:b/>
                <w:noProof/>
                <w:szCs w:val="24"/>
              </w:rPr>
            </w:pPr>
            <w:r>
              <w:rPr>
                <w:b/>
                <w:noProof/>
              </w:rPr>
              <w:t>ОПРЕДЕЛЕНИЕ</w:t>
            </w:r>
          </w:p>
        </w:tc>
      </w:tr>
      <w:tr>
        <w:trPr>
          <w:trHeight w:val="297"/>
          <w:tblHeader/>
        </w:trPr>
        <w:tc>
          <w:tcPr>
            <w:tcW w:w="1800" w:type="dxa"/>
          </w:tcPr>
          <w:p>
            <w:pPr>
              <w:spacing w:before="0" w:after="0"/>
              <w:jc w:val="left"/>
              <w:rPr>
                <w:rFonts w:eastAsia="Times New Roman"/>
                <w:b/>
                <w:noProof/>
                <w:szCs w:val="24"/>
              </w:rPr>
            </w:pPr>
            <w:r>
              <w:rPr>
                <w:noProof/>
              </w:rPr>
              <w:t>CCN/CSI</w:t>
            </w:r>
          </w:p>
        </w:tc>
        <w:tc>
          <w:tcPr>
            <w:tcW w:w="6432" w:type="dxa"/>
          </w:tcPr>
          <w:p>
            <w:pPr>
              <w:spacing w:before="0" w:after="0"/>
              <w:jc w:val="left"/>
              <w:rPr>
                <w:rFonts w:eastAsia="Times New Roman"/>
                <w:b/>
                <w:noProof/>
                <w:szCs w:val="24"/>
              </w:rPr>
            </w:pPr>
            <w:r>
              <w:rPr>
                <w:noProof/>
              </w:rPr>
              <w:t>Обща комуникационна мрежа/общ системен интерфейс</w:t>
            </w:r>
          </w:p>
        </w:tc>
      </w:tr>
      <w:tr>
        <w:trPr>
          <w:trHeight w:val="297"/>
          <w:tblHeader/>
        </w:trPr>
        <w:tc>
          <w:tcPr>
            <w:tcW w:w="1800" w:type="dxa"/>
          </w:tcPr>
          <w:p>
            <w:pPr>
              <w:spacing w:before="0" w:after="0"/>
              <w:jc w:val="left"/>
              <w:rPr>
                <w:rFonts w:eastAsia="Times New Roman"/>
                <w:noProof/>
                <w:szCs w:val="24"/>
              </w:rPr>
            </w:pPr>
            <w:r>
              <w:rPr>
                <w:noProof/>
              </w:rPr>
              <w:t>ЦЕВ</w:t>
            </w:r>
          </w:p>
        </w:tc>
        <w:tc>
          <w:tcPr>
            <w:tcW w:w="6432" w:type="dxa"/>
          </w:tcPr>
          <w:p>
            <w:pPr>
              <w:spacing w:before="0" w:after="0"/>
              <w:jc w:val="left"/>
              <w:rPr>
                <w:rFonts w:eastAsia="Times New Roman"/>
                <w:noProof/>
                <w:szCs w:val="24"/>
              </w:rPr>
            </w:pPr>
            <w:r>
              <w:rPr>
                <w:noProof/>
              </w:rPr>
              <w:t>Централноевропейско време</w:t>
            </w:r>
          </w:p>
        </w:tc>
      </w:tr>
      <w:tr>
        <w:trPr>
          <w:trHeight w:val="297"/>
          <w:tblHeader/>
        </w:trPr>
        <w:tc>
          <w:tcPr>
            <w:tcW w:w="1800" w:type="dxa"/>
          </w:tcPr>
          <w:p>
            <w:pPr>
              <w:spacing w:before="0" w:after="0"/>
              <w:jc w:val="left"/>
              <w:rPr>
                <w:rFonts w:eastAsia="Times New Roman"/>
                <w:noProof/>
                <w:szCs w:val="24"/>
              </w:rPr>
            </w:pPr>
            <w:r>
              <w:rPr>
                <w:noProof/>
              </w:rPr>
              <w:t>CIRCABC</w:t>
            </w:r>
          </w:p>
        </w:tc>
        <w:tc>
          <w:tcPr>
            <w:tcW w:w="6432" w:type="dxa"/>
          </w:tcPr>
          <w:p>
            <w:pPr>
              <w:spacing w:before="0" w:after="0"/>
              <w:jc w:val="left"/>
              <w:rPr>
                <w:rFonts w:eastAsia="Times New Roman"/>
                <w:noProof/>
                <w:szCs w:val="24"/>
              </w:rPr>
            </w:pPr>
            <w:r>
              <w:rPr>
                <w:noProof/>
              </w:rPr>
              <w:t>Комуникационен и информационен ресурсен център за администрации, предприятия и граждани</w:t>
            </w:r>
          </w:p>
        </w:tc>
      </w:tr>
      <w:tr>
        <w:trPr>
          <w:trHeight w:val="297"/>
        </w:trPr>
        <w:tc>
          <w:tcPr>
            <w:tcW w:w="1800" w:type="dxa"/>
          </w:tcPr>
          <w:p>
            <w:pPr>
              <w:spacing w:before="0" w:after="0"/>
              <w:jc w:val="left"/>
              <w:rPr>
                <w:rFonts w:eastAsia="Times New Roman"/>
                <w:noProof/>
                <w:szCs w:val="24"/>
              </w:rPr>
            </w:pPr>
            <w:r>
              <w:rPr>
                <w:noProof/>
              </w:rPr>
              <w:t>ЦЗВ</w:t>
            </w:r>
          </w:p>
        </w:tc>
        <w:tc>
          <w:tcPr>
            <w:tcW w:w="6432" w:type="dxa"/>
          </w:tcPr>
          <w:p>
            <w:pPr>
              <w:spacing w:before="0" w:after="0"/>
              <w:jc w:val="left"/>
              <w:rPr>
                <w:rFonts w:eastAsia="Times New Roman"/>
                <w:noProof/>
                <w:szCs w:val="24"/>
              </w:rPr>
            </w:pPr>
            <w:r>
              <w:rPr>
                <w:noProof/>
              </w:rPr>
              <w:t>Централно звено за връзка</w:t>
            </w:r>
          </w:p>
        </w:tc>
      </w:tr>
      <w:tr>
        <w:trPr>
          <w:trHeight w:val="297"/>
        </w:trPr>
        <w:tc>
          <w:tcPr>
            <w:tcW w:w="1800" w:type="dxa"/>
          </w:tcPr>
          <w:p>
            <w:pPr>
              <w:spacing w:before="0" w:after="0"/>
              <w:jc w:val="left"/>
              <w:rPr>
                <w:rFonts w:eastAsia="Times New Roman"/>
                <w:noProof/>
                <w:szCs w:val="24"/>
              </w:rPr>
            </w:pPr>
            <w:r>
              <w:rPr>
                <w:noProof/>
              </w:rPr>
              <w:t>ИС</w:t>
            </w:r>
          </w:p>
        </w:tc>
        <w:tc>
          <w:tcPr>
            <w:tcW w:w="6432" w:type="dxa"/>
          </w:tcPr>
          <w:p>
            <w:pPr>
              <w:spacing w:before="0" w:after="0"/>
              <w:jc w:val="left"/>
              <w:rPr>
                <w:rFonts w:eastAsia="Times New Roman"/>
                <w:noProof/>
                <w:szCs w:val="24"/>
              </w:rPr>
            </w:pPr>
            <w:r>
              <w:rPr>
                <w:noProof/>
              </w:rPr>
              <w:t>Изпитване за съответствие</w:t>
            </w:r>
          </w:p>
        </w:tc>
      </w:tr>
      <w:tr>
        <w:trPr>
          <w:trHeight w:val="297"/>
        </w:trPr>
        <w:tc>
          <w:tcPr>
            <w:tcW w:w="1800" w:type="dxa"/>
          </w:tcPr>
          <w:p>
            <w:pPr>
              <w:spacing w:before="0" w:after="0"/>
              <w:jc w:val="left"/>
              <w:rPr>
                <w:rFonts w:eastAsia="Times New Roman"/>
                <w:noProof/>
                <w:szCs w:val="24"/>
              </w:rPr>
            </w:pPr>
            <w:r>
              <w:rPr>
                <w:noProof/>
              </w:rPr>
              <w:t>ГД</w:t>
            </w:r>
          </w:p>
        </w:tc>
        <w:tc>
          <w:tcPr>
            <w:tcW w:w="6432" w:type="dxa"/>
          </w:tcPr>
          <w:p>
            <w:pPr>
              <w:spacing w:before="0" w:after="0"/>
              <w:jc w:val="left"/>
              <w:rPr>
                <w:rFonts w:eastAsia="Times New Roman"/>
                <w:noProof/>
                <w:szCs w:val="24"/>
              </w:rPr>
            </w:pPr>
            <w:r>
              <w:rPr>
                <w:noProof/>
              </w:rPr>
              <w:t>Генерална дирекция</w:t>
            </w:r>
          </w:p>
        </w:tc>
      </w:tr>
      <w:tr>
        <w:trPr>
          <w:trHeight w:val="297"/>
        </w:trPr>
        <w:tc>
          <w:tcPr>
            <w:tcW w:w="1800" w:type="dxa"/>
          </w:tcPr>
          <w:p>
            <w:pPr>
              <w:spacing w:before="0" w:after="0"/>
              <w:jc w:val="left"/>
              <w:rPr>
                <w:rFonts w:eastAsia="Times New Roman"/>
                <w:noProof/>
                <w:szCs w:val="24"/>
              </w:rPr>
            </w:pPr>
            <w:r>
              <w:rPr>
                <w:noProof/>
              </w:rPr>
              <w:t>ОФ</w:t>
            </w:r>
          </w:p>
        </w:tc>
        <w:tc>
          <w:tcPr>
            <w:tcW w:w="6432" w:type="dxa"/>
          </w:tcPr>
          <w:p>
            <w:pPr>
              <w:spacing w:before="0" w:after="0"/>
              <w:jc w:val="left"/>
              <w:rPr>
                <w:rFonts w:eastAsia="Times New Roman"/>
                <w:noProof/>
                <w:szCs w:val="24"/>
              </w:rPr>
            </w:pPr>
            <w:r>
              <w:rPr>
                <w:noProof/>
              </w:rPr>
              <w:t>Обмен на формуляри</w:t>
            </w:r>
          </w:p>
        </w:tc>
      </w:tr>
      <w:tr>
        <w:trPr>
          <w:trHeight w:val="298"/>
        </w:trPr>
        <w:tc>
          <w:tcPr>
            <w:tcW w:w="1800" w:type="dxa"/>
          </w:tcPr>
          <w:p>
            <w:pPr>
              <w:spacing w:before="0" w:after="0"/>
              <w:jc w:val="left"/>
              <w:rPr>
                <w:rFonts w:eastAsia="Times New Roman"/>
                <w:noProof/>
                <w:szCs w:val="24"/>
              </w:rPr>
            </w:pPr>
            <w:r>
              <w:rPr>
                <w:noProof/>
              </w:rPr>
              <w:t>ФИ</w:t>
            </w:r>
          </w:p>
        </w:tc>
        <w:tc>
          <w:tcPr>
            <w:tcW w:w="6432" w:type="dxa"/>
          </w:tcPr>
          <w:p>
            <w:pPr>
              <w:spacing w:before="0" w:after="0"/>
              <w:jc w:val="left"/>
              <w:rPr>
                <w:rFonts w:eastAsia="Times New Roman"/>
                <w:noProof/>
                <w:szCs w:val="24"/>
              </w:rPr>
            </w:pPr>
            <w:r>
              <w:rPr>
                <w:noProof/>
              </w:rPr>
              <w:t>Фабрични изпитвания</w:t>
            </w:r>
          </w:p>
        </w:tc>
      </w:tr>
      <w:tr>
        <w:trPr>
          <w:trHeight w:val="298"/>
        </w:trPr>
        <w:tc>
          <w:tcPr>
            <w:tcW w:w="1800" w:type="dxa"/>
          </w:tcPr>
          <w:p>
            <w:pPr>
              <w:spacing w:before="0" w:after="0"/>
              <w:jc w:val="left"/>
              <w:rPr>
                <w:rFonts w:eastAsia="Times New Roman"/>
                <w:noProof/>
                <w:szCs w:val="24"/>
              </w:rPr>
            </w:pPr>
            <w:r>
              <w:rPr>
                <w:noProof/>
              </w:rPr>
              <w:t>HTTP</w:t>
            </w:r>
          </w:p>
        </w:tc>
        <w:tc>
          <w:tcPr>
            <w:tcW w:w="6432" w:type="dxa"/>
          </w:tcPr>
          <w:p>
            <w:pPr>
              <w:spacing w:before="0" w:after="0"/>
              <w:jc w:val="left"/>
              <w:rPr>
                <w:rFonts w:eastAsia="Times New Roman"/>
                <w:noProof/>
                <w:szCs w:val="24"/>
              </w:rPr>
            </w:pPr>
            <w:r>
              <w:rPr>
                <w:noProof/>
              </w:rPr>
              <w:t>Протокол за пренос на хипертекст</w:t>
            </w:r>
          </w:p>
        </w:tc>
      </w:tr>
      <w:tr>
        <w:trPr>
          <w:trHeight w:val="297"/>
        </w:trPr>
        <w:tc>
          <w:tcPr>
            <w:tcW w:w="1800" w:type="dxa"/>
          </w:tcPr>
          <w:p>
            <w:pPr>
              <w:spacing w:before="0" w:after="0"/>
              <w:jc w:val="left"/>
              <w:rPr>
                <w:rFonts w:eastAsia="Times New Roman"/>
                <w:noProof/>
                <w:szCs w:val="24"/>
              </w:rPr>
            </w:pPr>
            <w:r>
              <w:rPr>
                <w:noProof/>
              </w:rPr>
              <w:t>ITIL</w:t>
            </w:r>
            <w:r>
              <w:rPr>
                <w:rStyle w:val="FootnoteReference"/>
                <w:noProof/>
              </w:rPr>
              <w:footnoteReference w:id="3"/>
            </w:r>
          </w:p>
        </w:tc>
        <w:tc>
          <w:tcPr>
            <w:tcW w:w="6432" w:type="dxa"/>
          </w:tcPr>
          <w:p>
            <w:pPr>
              <w:spacing w:before="0" w:after="0"/>
              <w:jc w:val="left"/>
              <w:rPr>
                <w:rFonts w:eastAsia="Times New Roman"/>
                <w:noProof/>
                <w:szCs w:val="24"/>
              </w:rPr>
            </w:pPr>
            <w:r>
              <w:rPr>
                <w:noProof/>
              </w:rPr>
              <w:t>Библиотека за инфраструктурата на информационните технологии</w:t>
            </w:r>
          </w:p>
        </w:tc>
      </w:tr>
      <w:tr>
        <w:trPr>
          <w:trHeight w:val="297"/>
        </w:trPr>
        <w:tc>
          <w:tcPr>
            <w:tcW w:w="1800" w:type="dxa"/>
          </w:tcPr>
          <w:p>
            <w:pPr>
              <w:spacing w:before="0" w:after="0"/>
              <w:jc w:val="left"/>
              <w:rPr>
                <w:rFonts w:eastAsia="Times New Roman"/>
                <w:noProof/>
                <w:szCs w:val="24"/>
              </w:rPr>
            </w:pPr>
            <w:r>
              <w:rPr>
                <w:noProof/>
              </w:rPr>
              <w:t>ITSM</w:t>
            </w:r>
          </w:p>
        </w:tc>
        <w:tc>
          <w:tcPr>
            <w:tcW w:w="6432" w:type="dxa"/>
          </w:tcPr>
          <w:p>
            <w:pPr>
              <w:spacing w:before="0" w:after="0"/>
              <w:jc w:val="left"/>
              <w:rPr>
                <w:rFonts w:eastAsia="Times New Roman"/>
                <w:noProof/>
                <w:szCs w:val="24"/>
              </w:rPr>
            </w:pPr>
            <w:r>
              <w:rPr>
                <w:noProof/>
              </w:rPr>
              <w:t>Управление на услугите в областта на информационните технологии</w:t>
            </w:r>
          </w:p>
        </w:tc>
      </w:tr>
      <w:tr>
        <w:trPr>
          <w:trHeight w:val="297"/>
        </w:trPr>
        <w:tc>
          <w:tcPr>
            <w:tcW w:w="1800" w:type="dxa"/>
          </w:tcPr>
          <w:p>
            <w:pPr>
              <w:spacing w:before="0" w:after="0"/>
              <w:jc w:val="left"/>
              <w:rPr>
                <w:rFonts w:eastAsia="Times New Roman"/>
                <w:noProof/>
                <w:szCs w:val="24"/>
              </w:rPr>
            </w:pPr>
            <w:r>
              <w:rPr>
                <w:noProof/>
              </w:rPr>
              <w:t>Страна</w:t>
            </w:r>
          </w:p>
        </w:tc>
        <w:tc>
          <w:tcPr>
            <w:tcW w:w="6432" w:type="dxa"/>
          </w:tcPr>
          <w:p>
            <w:pPr>
              <w:spacing w:before="0" w:after="0"/>
              <w:rPr>
                <w:rFonts w:eastAsia="Times New Roman"/>
                <w:noProof/>
                <w:szCs w:val="24"/>
              </w:rPr>
            </w:pPr>
            <w:r>
              <w:rPr>
                <w:noProof/>
              </w:rPr>
              <w:t>По смисъла на настоящото СНУ „страна“ означава Норвегия или Комисията.</w:t>
            </w:r>
          </w:p>
        </w:tc>
      </w:tr>
      <w:tr>
        <w:trPr>
          <w:trHeight w:val="298"/>
        </w:trPr>
        <w:tc>
          <w:tcPr>
            <w:tcW w:w="1800" w:type="dxa"/>
          </w:tcPr>
          <w:p>
            <w:pPr>
              <w:spacing w:before="0" w:after="0"/>
              <w:jc w:val="left"/>
              <w:rPr>
                <w:rFonts w:eastAsia="Times New Roman"/>
                <w:noProof/>
                <w:szCs w:val="24"/>
              </w:rPr>
            </w:pPr>
            <w:r>
              <w:rPr>
                <w:noProof/>
              </w:rPr>
              <w:t>ДДС</w:t>
            </w:r>
          </w:p>
        </w:tc>
        <w:tc>
          <w:tcPr>
            <w:tcW w:w="6432" w:type="dxa"/>
          </w:tcPr>
          <w:p>
            <w:pPr>
              <w:keepNext/>
              <w:spacing w:before="0" w:after="0"/>
              <w:jc w:val="left"/>
              <w:rPr>
                <w:rFonts w:eastAsia="Times New Roman"/>
                <w:noProof/>
                <w:szCs w:val="24"/>
              </w:rPr>
            </w:pPr>
            <w:r>
              <w:rPr>
                <w:noProof/>
              </w:rPr>
              <w:t>Данък върху добавената стойност</w:t>
            </w:r>
          </w:p>
        </w:tc>
      </w:tr>
    </w:tbl>
    <w:p>
      <w:pPr>
        <w:spacing w:before="60"/>
        <w:jc w:val="center"/>
        <w:rPr>
          <w:rFonts w:eastAsia="Times New Roman"/>
          <w:noProof/>
          <w:sz w:val="20"/>
          <w:szCs w:val="20"/>
        </w:rPr>
      </w:pPr>
      <w:bookmarkStart w:id="18" w:name="_Toc131473830"/>
      <w:bookmarkStart w:id="19" w:name="_Toc131560459"/>
      <w:bookmarkStart w:id="20" w:name="_Toc132079339"/>
      <w:bookmarkStart w:id="21" w:name="_Toc273103661"/>
      <w:bookmarkStart w:id="22" w:name="_Toc485826131"/>
      <w:r>
        <w:rPr>
          <w:noProof/>
          <w:sz w:val="20"/>
        </w:rPr>
        <w:t xml:space="preserve">Таблица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3</w:t>
      </w:r>
      <w:bookmarkEnd w:id="18"/>
      <w:r>
        <w:rPr>
          <w:rFonts w:eastAsia="Times New Roman"/>
          <w:noProof/>
          <w:sz w:val="20"/>
          <w:szCs w:val="20"/>
        </w:rPr>
        <w:fldChar w:fldCharType="end"/>
      </w:r>
      <w:r>
        <w:rPr>
          <w:noProof/>
          <w:sz w:val="20"/>
        </w:rPr>
        <w:t>: Съкращения</w:t>
      </w:r>
      <w:bookmarkEnd w:id="19"/>
      <w:bookmarkEnd w:id="20"/>
      <w:bookmarkEnd w:id="21"/>
      <w:bookmarkEnd w:id="22"/>
      <w:r>
        <w:rPr>
          <w:noProof/>
          <w:sz w:val="20"/>
        </w:rPr>
        <w:t xml:space="preserve"> </w:t>
      </w:r>
    </w:p>
    <w:p>
      <w:pPr>
        <w:pStyle w:val="ManualHeading2"/>
        <w:rPr>
          <w:noProof/>
        </w:rPr>
      </w:pPr>
      <w:bookmarkStart w:id="23" w:name="_Toc150588474"/>
      <w:bookmarkStart w:id="24" w:name="_Ref313892566"/>
      <w:bookmarkStart w:id="25" w:name="_Toc273104856"/>
      <w:bookmarkStart w:id="26" w:name="_Toc486594999"/>
      <w:r>
        <w:rPr>
          <w:noProof/>
        </w:rPr>
        <w:t>2.2.</w:t>
      </w:r>
      <w:r>
        <w:rPr>
          <w:noProof/>
        </w:rPr>
        <w:tab/>
        <w:t>ОПРЕДЕЛЕНИЯ</w:t>
      </w:r>
      <w:bookmarkEnd w:id="23"/>
      <w:bookmarkEnd w:id="24"/>
      <w:bookmarkEnd w:id="25"/>
      <w:bookmarkEnd w:id="26"/>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432"/>
      </w:tblGrid>
      <w:tr>
        <w:trPr>
          <w:tblHeader/>
        </w:trPr>
        <w:tc>
          <w:tcPr>
            <w:tcW w:w="1800" w:type="dxa"/>
            <w:shd w:val="clear" w:color="auto" w:fill="E0E0E0"/>
          </w:tcPr>
          <w:p>
            <w:pPr>
              <w:spacing w:before="0" w:after="0"/>
              <w:jc w:val="center"/>
              <w:rPr>
                <w:rFonts w:eastAsia="Times New Roman"/>
                <w:b/>
                <w:noProof/>
                <w:szCs w:val="24"/>
              </w:rPr>
            </w:pPr>
            <w:r>
              <w:rPr>
                <w:b/>
                <w:noProof/>
              </w:rPr>
              <w:t>ИЗРАЗ</w:t>
            </w:r>
          </w:p>
        </w:tc>
        <w:tc>
          <w:tcPr>
            <w:tcW w:w="6432" w:type="dxa"/>
            <w:shd w:val="clear" w:color="auto" w:fill="E0E0E0"/>
          </w:tcPr>
          <w:p>
            <w:pPr>
              <w:spacing w:before="0" w:after="0"/>
              <w:jc w:val="center"/>
              <w:rPr>
                <w:rFonts w:eastAsia="Times New Roman"/>
                <w:b/>
                <w:noProof/>
                <w:szCs w:val="24"/>
              </w:rPr>
            </w:pPr>
            <w:r>
              <w:rPr>
                <w:b/>
                <w:noProof/>
              </w:rPr>
              <w:t>ОПРЕДЕЛЕНИЕ</w:t>
            </w:r>
          </w:p>
        </w:tc>
      </w:tr>
      <w:tr>
        <w:tc>
          <w:tcPr>
            <w:tcW w:w="1800" w:type="dxa"/>
          </w:tcPr>
          <w:p>
            <w:pPr>
              <w:spacing w:before="60" w:after="0"/>
              <w:jc w:val="left"/>
              <w:rPr>
                <w:rFonts w:eastAsia="Times New Roman"/>
                <w:noProof/>
                <w:szCs w:val="24"/>
              </w:rPr>
            </w:pPr>
            <w:r>
              <w:rPr>
                <w:noProof/>
              </w:rPr>
              <w:t>ЦЕВ</w:t>
            </w:r>
          </w:p>
        </w:tc>
        <w:tc>
          <w:tcPr>
            <w:tcW w:w="6432" w:type="dxa"/>
          </w:tcPr>
          <w:p>
            <w:pPr>
              <w:keepNext/>
              <w:spacing w:before="60" w:after="0"/>
              <w:jc w:val="left"/>
              <w:rPr>
                <w:rFonts w:eastAsia="Times New Roman"/>
                <w:noProof/>
                <w:szCs w:val="24"/>
              </w:rPr>
            </w:pPr>
            <w:r>
              <w:rPr>
                <w:noProof/>
              </w:rPr>
              <w:t>Централноевропейско време, т.е. GMT+1 час, а при лятно часово време — GMT+2 часа.</w:t>
            </w:r>
          </w:p>
        </w:tc>
      </w:tr>
      <w:tr>
        <w:tc>
          <w:tcPr>
            <w:tcW w:w="1800" w:type="dxa"/>
          </w:tcPr>
          <w:p>
            <w:pPr>
              <w:spacing w:before="60" w:after="0"/>
              <w:jc w:val="left"/>
              <w:rPr>
                <w:rFonts w:eastAsia="Times New Roman"/>
                <w:noProof/>
                <w:szCs w:val="24"/>
              </w:rPr>
            </w:pPr>
            <w:r>
              <w:rPr>
                <w:noProof/>
              </w:rPr>
              <w:t>Работни дни и работно време (бюро за обслужване на ITSM)</w:t>
            </w:r>
          </w:p>
        </w:tc>
        <w:tc>
          <w:tcPr>
            <w:tcW w:w="6432" w:type="dxa"/>
          </w:tcPr>
          <w:p>
            <w:pPr>
              <w:keepNext/>
              <w:spacing w:before="60" w:after="0"/>
              <w:jc w:val="left"/>
              <w:rPr>
                <w:rFonts w:eastAsia="Times New Roman"/>
                <w:noProof/>
                <w:szCs w:val="24"/>
              </w:rPr>
            </w:pPr>
            <w:r>
              <w:rPr>
                <w:noProof/>
              </w:rPr>
              <w:t>от 7:00 до 20:00 ч. (ЦЕВ), 5 дни в седмицата (от понеделник до петък, включително по празници)</w:t>
            </w:r>
          </w:p>
        </w:tc>
      </w:tr>
    </w:tbl>
    <w:p>
      <w:pPr>
        <w:spacing w:before="60"/>
        <w:jc w:val="center"/>
        <w:rPr>
          <w:rFonts w:eastAsia="Times New Roman"/>
          <w:noProof/>
          <w:sz w:val="20"/>
          <w:szCs w:val="20"/>
        </w:rPr>
      </w:pPr>
      <w:bookmarkStart w:id="27" w:name="_Toc131473831"/>
      <w:bookmarkStart w:id="28" w:name="_Ref486337901"/>
      <w:bookmarkStart w:id="29" w:name="_Toc131560460"/>
      <w:bookmarkStart w:id="30" w:name="_Toc132079340"/>
      <w:bookmarkStart w:id="31" w:name="_Toc273103662"/>
      <w:bookmarkStart w:id="32" w:name="_Toc485826132"/>
      <w:r>
        <w:rPr>
          <w:noProof/>
          <w:sz w:val="20"/>
        </w:rPr>
        <w:t xml:space="preserve">Таблица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4</w:t>
      </w:r>
      <w:bookmarkEnd w:id="27"/>
      <w:r>
        <w:rPr>
          <w:rFonts w:eastAsia="Times New Roman"/>
          <w:noProof/>
          <w:sz w:val="20"/>
          <w:szCs w:val="20"/>
        </w:rPr>
        <w:fldChar w:fldCharType="end"/>
      </w:r>
      <w:bookmarkEnd w:id="28"/>
      <w:r>
        <w:rPr>
          <w:noProof/>
          <w:sz w:val="20"/>
        </w:rPr>
        <w:t>: Определения</w:t>
      </w:r>
      <w:bookmarkEnd w:id="29"/>
      <w:bookmarkEnd w:id="30"/>
      <w:bookmarkEnd w:id="31"/>
      <w:bookmarkEnd w:id="32"/>
    </w:p>
    <w:p>
      <w:pPr>
        <w:pStyle w:val="ManualHeading1"/>
        <w:rPr>
          <w:noProof/>
        </w:rPr>
      </w:pPr>
      <w:bookmarkStart w:id="33" w:name="_Toc150588475"/>
      <w:bookmarkStart w:id="34" w:name="_Ref313971935"/>
      <w:bookmarkStart w:id="35" w:name="_Toc273104857"/>
      <w:bookmarkStart w:id="36" w:name="_Toc486595000"/>
      <w:r>
        <w:rPr>
          <w:noProof/>
        </w:rPr>
        <w:t>3.</w:t>
      </w:r>
      <w:r>
        <w:rPr>
          <w:noProof/>
        </w:rPr>
        <w:tab/>
      </w:r>
      <w:r>
        <w:rPr>
          <w:noProof/>
          <w:u w:val="single"/>
        </w:rPr>
        <w:t>ВЪВЕДЕНИЕ</w:t>
      </w:r>
      <w:bookmarkEnd w:id="33"/>
      <w:bookmarkEnd w:id="34"/>
      <w:bookmarkEnd w:id="35"/>
      <w:bookmarkEnd w:id="36"/>
    </w:p>
    <w:p>
      <w:pPr>
        <w:pStyle w:val="Text1"/>
        <w:rPr>
          <w:noProof/>
        </w:rPr>
      </w:pPr>
      <w:r>
        <w:rPr>
          <w:noProof/>
        </w:rPr>
        <w:t>Настоящият документ се състои от СНУ между Кралство Норвегия („Норвегия“) и Европейската комисия („Комисията“), наричани заедно „страните по СНУ“.</w:t>
      </w:r>
    </w:p>
    <w:p>
      <w:pPr>
        <w:pStyle w:val="ManualHeading2"/>
        <w:rPr>
          <w:noProof/>
        </w:rPr>
      </w:pPr>
      <w:bookmarkStart w:id="37" w:name="_Toc150588476"/>
      <w:bookmarkStart w:id="38" w:name="_Toc273104858"/>
      <w:bookmarkStart w:id="39" w:name="_Toc486595001"/>
      <w:r>
        <w:rPr>
          <w:noProof/>
        </w:rPr>
        <w:t>3.1.</w:t>
      </w:r>
      <w:r>
        <w:rPr>
          <w:noProof/>
        </w:rPr>
        <w:tab/>
        <w:t>ПРИЛОЖНО ПОЛЕ НА СНУ</w:t>
      </w:r>
      <w:bookmarkEnd w:id="37"/>
      <w:bookmarkEnd w:id="38"/>
      <w:bookmarkEnd w:id="39"/>
    </w:p>
    <w:p>
      <w:pPr>
        <w:pStyle w:val="Text1"/>
        <w:rPr>
          <w:noProof/>
        </w:rPr>
      </w:pPr>
      <w:r>
        <w:rPr>
          <w:noProof/>
        </w:rPr>
        <w:t>В член 5 от Споразумението се посочва, че „се сключва споразумение за нивото на услугите, с което се осигурява техническото качество и количество на услугите за работата на системите за комуникация и обмен на информация.“</w:t>
      </w:r>
    </w:p>
    <w:p>
      <w:pPr>
        <w:pStyle w:val="Text1"/>
        <w:rPr>
          <w:noProof/>
        </w:rPr>
      </w:pPr>
      <w:r>
        <w:rPr>
          <w:noProof/>
        </w:rPr>
        <w:t>С настоящото СНУ се уреждат отношенията между Кралство Норвегия и Комисията във връзка с използването на системите и приложенията за административно сътрудничество и събиране на вземания в областта на ДДС, и между Кралство Норвегия и държавите членки във връзка с обмена на формуляри.</w:t>
      </w:r>
    </w:p>
    <w:p>
      <w:pPr>
        <w:pStyle w:val="Text1"/>
        <w:rPr>
          <w:noProof/>
        </w:rPr>
      </w:pPr>
      <w:r>
        <w:rPr>
          <w:noProof/>
        </w:rPr>
        <w:t>Функционират следните системи, които са предмет на разпоредбите на СНУ:</w:t>
      </w:r>
    </w:p>
    <w:p>
      <w:pPr>
        <w:pStyle w:val="Bullet1"/>
        <w:numPr>
          <w:ilvl w:val="0"/>
          <w:numId w:val="28"/>
        </w:numPr>
        <w:rPr>
          <w:noProof/>
        </w:rPr>
      </w:pPr>
      <w:r>
        <w:rPr>
          <w:noProof/>
        </w:rPr>
        <w:t>Обмен на формуляри (</w:t>
      </w:r>
      <w:r>
        <w:rPr>
          <w:noProof/>
          <w:lang w:val="en-US"/>
        </w:rPr>
        <w:t>O</w:t>
      </w:r>
      <w:r>
        <w:rPr>
          <w:noProof/>
        </w:rPr>
        <w:t>Ф);</w:t>
      </w:r>
    </w:p>
    <w:p>
      <w:pPr>
        <w:pStyle w:val="Bullet1"/>
        <w:rPr>
          <w:noProof/>
        </w:rPr>
      </w:pPr>
      <w:r>
        <w:rPr>
          <w:noProof/>
        </w:rPr>
        <w:t>Наблюдение, статистика и изпитване.</w:t>
      </w:r>
    </w:p>
    <w:p>
      <w:pPr>
        <w:pStyle w:val="Text1"/>
        <w:rPr>
          <w:noProof/>
        </w:rPr>
      </w:pPr>
      <w:r>
        <w:rPr>
          <w:noProof/>
        </w:rPr>
        <w:t>Комисията определя процеса за постигане на споразумение за административно сътрудничество чрез информационни технологии. Това включва стандарти, процедури, инструменти, технологии и инфраструктура. На Норвегия се предоставя съдействие с цел осигуряване на експлоатационната готовност и правилното прилагане на системите за обмен на данни. Наблюдението, надзорът и оценката на цялостната система се осигуряват от Комисията. Освен това Комисията предоставя на Норвегия насоки, които да се спазват във връзка с този обмен на информация.</w:t>
      </w:r>
    </w:p>
    <w:p>
      <w:pPr>
        <w:pStyle w:val="Text1"/>
        <w:rPr>
          <w:noProof/>
        </w:rPr>
      </w:pPr>
      <w:r>
        <w:rPr>
          <w:noProof/>
        </w:rPr>
        <w:t>Всички посочени в СНУ целеви стойности са приложими единствено при нормални работни условия.</w:t>
      </w:r>
    </w:p>
    <w:p>
      <w:pPr>
        <w:pStyle w:val="Text1"/>
        <w:rPr>
          <w:noProof/>
        </w:rPr>
      </w:pPr>
      <w:r>
        <w:rPr>
          <w:noProof/>
        </w:rPr>
        <w:t>В случай на непреодолима сила СНУ за Норвегия спира да се прилага, докато са налице съответните форсмажорни обстоятелства.</w:t>
      </w:r>
    </w:p>
    <w:p>
      <w:pPr>
        <w:pStyle w:val="Text1"/>
        <w:rPr>
          <w:noProof/>
        </w:rPr>
      </w:pPr>
      <w:r>
        <w:rPr>
          <w:noProof/>
        </w:rPr>
        <w:t>Непреодолимата сила представлява непредвидимо събитие или явление, над което Норвегия и Комисията нямат контрол и което не може да се отдаде на действие или бездействие на отговорната страна. Тези събития или явления включват правителствени действия, война, пожар, взрив, наводнение, налагане на правила или ембарго за внос или износ, както и трудови спорове.</w:t>
      </w:r>
    </w:p>
    <w:p>
      <w:pPr>
        <w:pStyle w:val="Text1"/>
        <w:rPr>
          <w:noProof/>
        </w:rPr>
      </w:pPr>
      <w:r>
        <w:rPr>
          <w:noProof/>
        </w:rPr>
        <w:t>Страната, която се позовава на непреодолима сила, незабавно уведомява другата страна за невъзможността да предоставя услуги или да изпълнява целевите стойности по СНУ поради инциденти в резултат на непреодолима сила, като в уведомлението си посочва засегнатите услуги и целеви стойности. Когато обстоятелствата с естество на непреодолима сила изчезнат, засегнатата страна също уведомява другата страна незабавно.</w:t>
      </w:r>
    </w:p>
    <w:p>
      <w:pPr>
        <w:pStyle w:val="ManualHeading2"/>
        <w:rPr>
          <w:noProof/>
        </w:rPr>
      </w:pPr>
      <w:bookmarkStart w:id="40" w:name="_Toc150588477"/>
      <w:bookmarkStart w:id="41" w:name="_Toc273104859"/>
      <w:bookmarkStart w:id="42" w:name="_Toc488821711"/>
      <w:r>
        <w:rPr>
          <w:noProof/>
        </w:rPr>
        <w:t>3.2.</w:t>
      </w:r>
      <w:r>
        <w:rPr>
          <w:noProof/>
        </w:rPr>
        <w:tab/>
        <w:t>СРОК НА СПОРАЗУМЕНИЕТО</w:t>
      </w:r>
      <w:bookmarkEnd w:id="40"/>
      <w:bookmarkEnd w:id="41"/>
      <w:bookmarkEnd w:id="42"/>
    </w:p>
    <w:p>
      <w:pPr>
        <w:pStyle w:val="Text1"/>
        <w:rPr>
          <w:noProof/>
        </w:rPr>
      </w:pPr>
      <w:r>
        <w:rPr>
          <w:noProof/>
        </w:rPr>
        <w:t>СНУ е обвързващо за страните от деня след одобрението му от Съвместния комитет, създаден съгласно член 41 от Споразумението („Съвместния комитет“).</w:t>
      </w:r>
    </w:p>
    <w:p>
      <w:pPr>
        <w:pStyle w:val="ManualHeading1"/>
        <w:rPr>
          <w:noProof/>
        </w:rPr>
      </w:pPr>
      <w:bookmarkStart w:id="43" w:name="_Toc150588479"/>
      <w:bookmarkStart w:id="44" w:name="_Toc273104861"/>
      <w:bookmarkStart w:id="45" w:name="_Toc486595003"/>
      <w:r>
        <w:rPr>
          <w:noProof/>
        </w:rPr>
        <w:t>4.</w:t>
      </w:r>
      <w:r>
        <w:rPr>
          <w:noProof/>
        </w:rPr>
        <w:tab/>
      </w:r>
      <w:r>
        <w:rPr>
          <w:noProof/>
          <w:u w:val="single"/>
        </w:rPr>
        <w:t>ОТГОВОРНОСТИ</w:t>
      </w:r>
      <w:bookmarkEnd w:id="43"/>
      <w:bookmarkEnd w:id="44"/>
      <w:bookmarkEnd w:id="45"/>
    </w:p>
    <w:p>
      <w:pPr>
        <w:pStyle w:val="Text1"/>
        <w:rPr>
          <w:noProof/>
        </w:rPr>
      </w:pPr>
      <w:r>
        <w:rPr>
          <w:noProof/>
        </w:rPr>
        <w:t xml:space="preserve">Целта на настоящото СНУ е да се осигури качеството и количеството на услугите, които да се предоставят от Комисията и от Норвегия с цел посочените системи и приложения за административно сътрудничество и събиране на вземания в областта на ДДС да бъдат на разположение на Норвегия и на Комисията. </w:t>
      </w:r>
    </w:p>
    <w:p>
      <w:pPr>
        <w:pStyle w:val="ManualHeading2"/>
        <w:rPr>
          <w:noProof/>
        </w:rPr>
      </w:pPr>
      <w:bookmarkStart w:id="46" w:name="_Toc486595004"/>
      <w:r>
        <w:rPr>
          <w:noProof/>
        </w:rPr>
        <w:t>4.1.</w:t>
      </w:r>
      <w:r>
        <w:rPr>
          <w:noProof/>
        </w:rPr>
        <w:tab/>
        <w:t xml:space="preserve">УСЛУГИ, ПРЕДОСТАВЯНИ ОТ КОМИСИЯТА НА НОРВЕГИЯ </w:t>
      </w:r>
      <w:bookmarkEnd w:id="46"/>
    </w:p>
    <w:p>
      <w:pPr>
        <w:pStyle w:val="Text1"/>
        <w:rPr>
          <w:noProof/>
        </w:rPr>
      </w:pPr>
      <w:r>
        <w:rPr>
          <w:b/>
          <w:noProof/>
        </w:rPr>
        <w:t>Комисията</w:t>
      </w:r>
      <w:r>
        <w:rPr>
          <w:noProof/>
        </w:rPr>
        <w:t xml:space="preserve"> предоставя следните услуги:</w:t>
      </w:r>
    </w:p>
    <w:p>
      <w:pPr>
        <w:pStyle w:val="Bullet1"/>
        <w:rPr>
          <w:noProof/>
        </w:rPr>
      </w:pPr>
      <w:r>
        <w:rPr>
          <w:noProof/>
        </w:rPr>
        <w:t>Оперативни услуги, както следва:</w:t>
      </w:r>
    </w:p>
    <w:p>
      <w:pPr>
        <w:pStyle w:val="Tiret2"/>
        <w:numPr>
          <w:ilvl w:val="0"/>
          <w:numId w:val="30"/>
        </w:numPr>
        <w:rPr>
          <w:noProof/>
        </w:rPr>
      </w:pPr>
      <w:r>
        <w:rPr>
          <w:noProof/>
        </w:rPr>
        <w:t>Бюро за помощ и оперативна дейност:</w:t>
      </w:r>
    </w:p>
    <w:p>
      <w:pPr>
        <w:pStyle w:val="Point3"/>
        <w:rPr>
          <w:noProof/>
        </w:rPr>
      </w:pPr>
      <w:r>
        <w:rPr>
          <w:noProof/>
        </w:rPr>
        <w:t>а)</w:t>
      </w:r>
      <w:r>
        <w:rPr>
          <w:noProof/>
        </w:rPr>
        <w:tab/>
        <w:t>поддръжка от бюро за помощ;</w:t>
      </w:r>
    </w:p>
    <w:p>
      <w:pPr>
        <w:pStyle w:val="Point3"/>
        <w:rPr>
          <w:noProof/>
        </w:rPr>
      </w:pPr>
      <w:r>
        <w:rPr>
          <w:noProof/>
        </w:rPr>
        <w:t>б)</w:t>
      </w:r>
      <w:r>
        <w:rPr>
          <w:noProof/>
        </w:rPr>
        <w:tab/>
        <w:t>справяне с инциденти;</w:t>
      </w:r>
    </w:p>
    <w:p>
      <w:pPr>
        <w:pStyle w:val="Point3"/>
        <w:rPr>
          <w:noProof/>
        </w:rPr>
      </w:pPr>
      <w:r>
        <w:rPr>
          <w:noProof/>
        </w:rPr>
        <w:t>в)</w:t>
      </w:r>
      <w:r>
        <w:rPr>
          <w:noProof/>
        </w:rPr>
        <w:tab/>
        <w:t>наблюдение и уведомяване;</w:t>
      </w:r>
    </w:p>
    <w:p>
      <w:pPr>
        <w:pStyle w:val="Point3"/>
        <w:rPr>
          <w:noProof/>
        </w:rPr>
      </w:pPr>
      <w:r>
        <w:rPr>
          <w:noProof/>
        </w:rPr>
        <w:t>г)</w:t>
      </w:r>
      <w:r>
        <w:rPr>
          <w:noProof/>
        </w:rPr>
        <w:tab/>
        <w:t>обучение;</w:t>
      </w:r>
    </w:p>
    <w:p>
      <w:pPr>
        <w:pStyle w:val="Point3"/>
        <w:rPr>
          <w:noProof/>
        </w:rPr>
      </w:pPr>
      <w:r>
        <w:rPr>
          <w:noProof/>
        </w:rPr>
        <w:t>д)</w:t>
      </w:r>
      <w:r>
        <w:rPr>
          <w:noProof/>
        </w:rPr>
        <w:tab/>
        <w:t>управление на сигурността;</w:t>
      </w:r>
    </w:p>
    <w:p>
      <w:pPr>
        <w:pStyle w:val="Point3"/>
        <w:rPr>
          <w:noProof/>
        </w:rPr>
      </w:pPr>
      <w:r>
        <w:rPr>
          <w:noProof/>
        </w:rPr>
        <w:t>е)</w:t>
      </w:r>
      <w:r>
        <w:rPr>
          <w:noProof/>
        </w:rPr>
        <w:tab/>
        <w:t>докладване и статистика;</w:t>
      </w:r>
    </w:p>
    <w:p>
      <w:pPr>
        <w:pStyle w:val="Point3"/>
        <w:rPr>
          <w:noProof/>
        </w:rPr>
      </w:pPr>
      <w:r>
        <w:rPr>
          <w:noProof/>
        </w:rPr>
        <w:t>ж)</w:t>
      </w:r>
      <w:r>
        <w:rPr>
          <w:noProof/>
        </w:rPr>
        <w:tab/>
        <w:t>консултиране.</w:t>
      </w:r>
    </w:p>
    <w:p>
      <w:pPr>
        <w:pStyle w:val="Tiret2"/>
        <w:rPr>
          <w:noProof/>
        </w:rPr>
      </w:pPr>
      <w:r>
        <w:rPr>
          <w:noProof/>
        </w:rPr>
        <w:t>Справочен център:</w:t>
      </w:r>
    </w:p>
    <w:p>
      <w:pPr>
        <w:pStyle w:val="Point3"/>
        <w:rPr>
          <w:noProof/>
        </w:rPr>
      </w:pPr>
      <w:r>
        <w:rPr>
          <w:noProof/>
        </w:rPr>
        <w:t>а)</w:t>
      </w:r>
      <w:r>
        <w:rPr>
          <w:noProof/>
        </w:rPr>
        <w:tab/>
        <w:t>управление на информацията;</w:t>
      </w:r>
    </w:p>
    <w:p>
      <w:pPr>
        <w:pStyle w:val="Point3"/>
        <w:rPr>
          <w:noProof/>
        </w:rPr>
      </w:pPr>
      <w:r>
        <w:rPr>
          <w:noProof/>
        </w:rPr>
        <w:t>б)</w:t>
      </w:r>
      <w:r>
        <w:rPr>
          <w:noProof/>
        </w:rPr>
        <w:tab/>
        <w:t>център за документация (CIRCABC).</w:t>
      </w:r>
    </w:p>
    <w:p>
      <w:pPr>
        <w:pStyle w:val="Text1"/>
        <w:rPr>
          <w:noProof/>
        </w:rPr>
      </w:pPr>
      <w:r>
        <w:rPr>
          <w:noProof/>
        </w:rPr>
        <w:t>С оглед на предоставянето на тези услуги Комисията поддържа следните приложения:</w:t>
      </w:r>
    </w:p>
    <w:p>
      <w:pPr>
        <w:pStyle w:val="Bullet1"/>
        <w:rPr>
          <w:noProof/>
        </w:rPr>
      </w:pPr>
      <w:r>
        <w:rPr>
          <w:noProof/>
        </w:rPr>
        <w:t>статистически приложения;</w:t>
      </w:r>
    </w:p>
    <w:p>
      <w:pPr>
        <w:pStyle w:val="Bullet1"/>
        <w:rPr>
          <w:noProof/>
        </w:rPr>
      </w:pPr>
      <w:r>
        <w:rPr>
          <w:noProof/>
        </w:rPr>
        <w:t>CIRCABC;</w:t>
      </w:r>
    </w:p>
    <w:p>
      <w:pPr>
        <w:pStyle w:val="Bullet1"/>
        <w:rPr>
          <w:noProof/>
        </w:rPr>
      </w:pPr>
      <w:r>
        <w:rPr>
          <w:noProof/>
        </w:rPr>
        <w:t>инструмент — бюро за обслужване.</w:t>
      </w:r>
    </w:p>
    <w:p>
      <w:pPr>
        <w:pStyle w:val="ManualHeading2"/>
        <w:rPr>
          <w:noProof/>
        </w:rPr>
      </w:pPr>
      <w:bookmarkStart w:id="47" w:name="_Toc486595007"/>
      <w:r>
        <w:rPr>
          <w:noProof/>
        </w:rPr>
        <w:t>4.2.</w:t>
      </w:r>
      <w:r>
        <w:rPr>
          <w:noProof/>
        </w:rPr>
        <w:tab/>
        <w:t>УСЛУГИ, ПРЕДОСТАВЯНИ ОТ НОРВЕГИЯ НА КОМИСИЯТА</w:t>
      </w:r>
      <w:bookmarkEnd w:id="47"/>
    </w:p>
    <w:p>
      <w:pPr>
        <w:pStyle w:val="Text1"/>
        <w:rPr>
          <w:noProof/>
        </w:rPr>
      </w:pPr>
      <w:r>
        <w:rPr>
          <w:b/>
          <w:noProof/>
        </w:rPr>
        <w:t xml:space="preserve">Норвегия </w:t>
      </w:r>
      <w:r>
        <w:rPr>
          <w:noProof/>
        </w:rPr>
        <w:t>предоставя следните услуги:</w:t>
      </w:r>
    </w:p>
    <w:p>
      <w:pPr>
        <w:pStyle w:val="Bullet1"/>
        <w:rPr>
          <w:noProof/>
        </w:rPr>
      </w:pPr>
      <w:r>
        <w:rPr>
          <w:noProof/>
        </w:rPr>
        <w:t>Норвегия предава на Комисията всяка налична информация, отнасяща се до прилагането на Споразумението;</w:t>
      </w:r>
    </w:p>
    <w:p>
      <w:pPr>
        <w:pStyle w:val="Bullet1"/>
        <w:rPr>
          <w:noProof/>
        </w:rPr>
      </w:pPr>
      <w:r>
        <w:rPr>
          <w:noProof/>
        </w:rPr>
        <w:t>Норвегия</w:t>
      </w:r>
      <w:r>
        <w:rPr>
          <w:b/>
          <w:smallCaps/>
          <w:noProof/>
        </w:rPr>
        <w:t xml:space="preserve"> </w:t>
      </w:r>
      <w:r>
        <w:rPr>
          <w:noProof/>
        </w:rPr>
        <w:t>съобщава на Комисията за всички извънредни обстоятелства;</w:t>
      </w:r>
    </w:p>
    <w:p>
      <w:pPr>
        <w:pStyle w:val="Bullet1"/>
        <w:rPr>
          <w:b/>
          <w:noProof/>
        </w:rPr>
      </w:pPr>
      <w:r>
        <w:rPr>
          <w:noProof/>
        </w:rPr>
        <w:t>Норвегия ежегодно предоставя статистическите данни, свързани с предаването на информация съгласно член 20 от Споразумението.</w:t>
      </w:r>
      <w:bookmarkStart w:id="48" w:name="_Toc150588480"/>
      <w:bookmarkStart w:id="49" w:name="_Toc273104862"/>
      <w:r>
        <w:rPr>
          <w:noProof/>
        </w:rPr>
        <w:tab/>
      </w:r>
      <w:bookmarkStart w:id="50" w:name="_Toc486595008"/>
    </w:p>
    <w:p>
      <w:pPr>
        <w:pStyle w:val="ManualHeading1"/>
        <w:rPr>
          <w:noProof/>
        </w:rPr>
      </w:pPr>
      <w:r>
        <w:rPr>
          <w:noProof/>
        </w:rPr>
        <w:t>5.</w:t>
      </w:r>
      <w:r>
        <w:rPr>
          <w:noProof/>
        </w:rPr>
        <w:tab/>
      </w:r>
      <w:r>
        <w:rPr>
          <w:noProof/>
          <w:u w:val="single"/>
        </w:rPr>
        <w:t>ОБЗОР НА НИВОТО НА УСЛУГИТЕ</w:t>
      </w:r>
      <w:bookmarkEnd w:id="48"/>
      <w:bookmarkEnd w:id="49"/>
      <w:bookmarkEnd w:id="50"/>
    </w:p>
    <w:p>
      <w:pPr>
        <w:pStyle w:val="Text1"/>
        <w:rPr>
          <w:noProof/>
        </w:rPr>
      </w:pPr>
      <w:r>
        <w:rPr>
          <w:noProof/>
        </w:rPr>
        <w:t>В настоящата глава се съдържа подробно описание на количествените и качествените аспекти на услугите, които да се предоставят от Комисията и от Норвегия</w:t>
      </w:r>
      <w:r>
        <w:rPr>
          <w:b/>
          <w:smallCaps/>
          <w:noProof/>
        </w:rPr>
        <w:t xml:space="preserve"> </w:t>
      </w:r>
      <w:r>
        <w:rPr>
          <w:noProof/>
        </w:rPr>
        <w:t>съгласно описаното по-горе.</w:t>
      </w:r>
    </w:p>
    <w:p>
      <w:pPr>
        <w:pStyle w:val="ManualHeading2"/>
        <w:rPr>
          <w:noProof/>
        </w:rPr>
      </w:pPr>
      <w:bookmarkStart w:id="51" w:name="_Toc150588481"/>
      <w:bookmarkStart w:id="52" w:name="_Toc273104863"/>
      <w:bookmarkStart w:id="53" w:name="_Toc486595009"/>
      <w:r>
        <w:rPr>
          <w:noProof/>
        </w:rPr>
        <w:t>5.1.</w:t>
      </w:r>
      <w:r>
        <w:rPr>
          <w:noProof/>
        </w:rPr>
        <w:tab/>
        <w:t>НИВА НА УСЛУГИТЕ НА КОМИСИЯТА</w:t>
      </w:r>
      <w:bookmarkEnd w:id="51"/>
      <w:bookmarkEnd w:id="52"/>
      <w:bookmarkEnd w:id="53"/>
      <w:r>
        <w:rPr>
          <w:noProof/>
        </w:rPr>
        <w:t xml:space="preserve"> </w:t>
      </w:r>
    </w:p>
    <w:p>
      <w:pPr>
        <w:pStyle w:val="ManualHeading3"/>
        <w:rPr>
          <w:b/>
          <w:noProof/>
        </w:rPr>
      </w:pPr>
      <w:bookmarkStart w:id="54" w:name="_Toc150588495"/>
      <w:bookmarkStart w:id="55" w:name="_Toc273104870"/>
      <w:bookmarkStart w:id="56" w:name="_Toc486595026"/>
      <w:r>
        <w:rPr>
          <w:b/>
          <w:noProof/>
        </w:rPr>
        <w:t>5.1.1.</w:t>
      </w:r>
      <w:r>
        <w:rPr>
          <w:noProof/>
        </w:rPr>
        <w:tab/>
      </w:r>
      <w:r>
        <w:rPr>
          <w:b/>
          <w:noProof/>
          <w:u w:val="single"/>
        </w:rPr>
        <w:t>Бюро за обслужване</w:t>
      </w:r>
      <w:bookmarkEnd w:id="54"/>
      <w:bookmarkEnd w:id="55"/>
      <w:bookmarkEnd w:id="56"/>
    </w:p>
    <w:p>
      <w:pPr>
        <w:pStyle w:val="ManualHeading4"/>
        <w:rPr>
          <w:noProof/>
          <w:w w:val="122"/>
        </w:rPr>
      </w:pPr>
      <w:bookmarkStart w:id="57" w:name="_Toc150588496"/>
      <w:bookmarkStart w:id="58" w:name="_Toc486595027"/>
      <w:r>
        <w:rPr>
          <w:noProof/>
        </w:rPr>
        <w:t>5.1.1.1.</w:t>
      </w:r>
      <w:r>
        <w:rPr>
          <w:noProof/>
        </w:rPr>
        <w:tab/>
      </w:r>
      <w:r>
        <w:rPr>
          <w:i/>
          <w:noProof/>
        </w:rPr>
        <w:t>Споразумение</w:t>
      </w:r>
      <w:bookmarkEnd w:id="57"/>
      <w:bookmarkEnd w:id="58"/>
    </w:p>
    <w:p>
      <w:pPr>
        <w:pStyle w:val="Text1"/>
        <w:rPr>
          <w:noProof/>
        </w:rPr>
      </w:pPr>
      <w:r>
        <w:rPr>
          <w:noProof/>
        </w:rPr>
        <w:t>Комисията предоставя бюро за обслужване с цел отговаряне на евентуалните въпроси и сигнализиране на евентуалните проблеми, които среща Норвегия</w:t>
      </w:r>
      <w:r>
        <w:rPr>
          <w:b/>
          <w:smallCaps/>
          <w:noProof/>
        </w:rPr>
        <w:t xml:space="preserve"> </w:t>
      </w:r>
      <w:r>
        <w:rPr>
          <w:noProof/>
        </w:rPr>
        <w:t>със системите и приложенията за административно сътрудничество и събиране на вземания в областта на ДДС или с който и да е компонент, който би могъл да ги засяга. Работата на бюрото за обслужване се осигурява от ITSM и работното му време е същото като това на ITSM.</w:t>
      </w:r>
    </w:p>
    <w:p>
      <w:pPr>
        <w:pStyle w:val="Text1"/>
        <w:rPr>
          <w:noProof/>
        </w:rPr>
      </w:pPr>
      <w:r>
        <w:rPr>
          <w:noProof/>
        </w:rPr>
        <w:t xml:space="preserve">Гарантира се бюрото за обслужване на ITSM да е на разположение през най-малко 95 % от работното време. В рамките на работното време на ITSM всички въпроси и сигнали за проблеми могат да се отправят към бюрото за обслужване по телефон, по факс и по електронна поща, а извън работното време — по електронна поща и по факс. Ако въпросите и сигналите за проблеми са изпратени извън работното време на </w:t>
      </w:r>
      <w:r>
        <w:rPr>
          <w:noProof/>
          <w:color w:val="000000"/>
        </w:rPr>
        <w:t>ITSM, те автоматично се считат за получени в 8:00 ч. ЦЕВ на следващия работен ден.</w:t>
      </w:r>
    </w:p>
    <w:p>
      <w:pPr>
        <w:pStyle w:val="Text1"/>
        <w:rPr>
          <w:noProof/>
        </w:rPr>
      </w:pPr>
      <w:r>
        <w:rPr>
          <w:noProof/>
        </w:rPr>
        <w:t>Бюрото за обслужване вписва и класифицира исканията за обслужване в инструмент за управление на услугите и уведомява подалата сигнала страна за всяка промяна в статуса на нейното искане за обслужване.</w:t>
      </w:r>
    </w:p>
    <w:p>
      <w:pPr>
        <w:pStyle w:val="Text1"/>
        <w:rPr>
          <w:noProof/>
        </w:rPr>
      </w:pPr>
      <w:r>
        <w:rPr>
          <w:noProof/>
        </w:rPr>
        <w:t>ITSM предоставя първа линия на поддръжка на потребителите и съответно препраща всяко искане за обслужване, което е отговорност на друго лице (напр. екипа от разработчици, ангажираните от ITSM изпълнители), в определения срок. ITSM осигурява спазване на сроковете за регистриране в най-малко 95 % от случаите, възникнали в рамките на един отчетен месец.</w:t>
      </w:r>
    </w:p>
    <w:p>
      <w:pPr>
        <w:pStyle w:val="Text1"/>
        <w:rPr>
          <w:noProof/>
        </w:rPr>
      </w:pPr>
      <w:r>
        <w:rPr>
          <w:noProof/>
        </w:rPr>
        <w:t>ITSM следи процедурата по разрешаване на всички искания за обслужване и дава начало на процедура по ескалация, като уведомява Комисията, ако е надхвърлен срокът за разрешаване, предварително определен за съответния вид проблем.</w:t>
      </w:r>
    </w:p>
    <w:p>
      <w:pPr>
        <w:pStyle w:val="Text1"/>
        <w:rPr>
          <w:noProof/>
        </w:rPr>
      </w:pPr>
      <w:r>
        <w:rPr>
          <w:noProof/>
        </w:rPr>
        <w:t>Приоритетният ред определя както срока за реакция, така и срока за разрешаване. Той се посочва от ITSM, но държавите членки или Комисията могат да поискат конкретен приоритетен ред.</w:t>
      </w:r>
    </w:p>
    <w:p>
      <w:pPr>
        <w:pStyle w:val="Text1"/>
        <w:rPr>
          <w:noProof/>
        </w:rPr>
      </w:pPr>
      <w:r>
        <w:rPr>
          <w:i/>
          <w:noProof/>
        </w:rPr>
        <w:t>Срокът за регистриране</w:t>
      </w:r>
      <w:r>
        <w:rPr>
          <w:noProof/>
        </w:rPr>
        <w:t xml:space="preserve"> е максималният промеждутък от време, който се допуска между момента на получаване на съобщението по електронна поща и момента на изпращане на потвърждаващото получаването съобщение по електронна поща.</w:t>
      </w:r>
    </w:p>
    <w:p>
      <w:pPr>
        <w:pStyle w:val="Text1"/>
        <w:rPr>
          <w:noProof/>
        </w:rPr>
      </w:pPr>
      <w:r>
        <w:rPr>
          <w:i/>
          <w:noProof/>
        </w:rPr>
        <w:t xml:space="preserve">Срокът за разрешаване </w:t>
      </w:r>
      <w:r>
        <w:rPr>
          <w:noProof/>
        </w:rPr>
        <w:t>е промеждутъкът от време между регистрирането на инцидента и изпращането на информация за разрешаването до отправилото сигнала лице. Това включва и времето за приключване на инцидента.</w:t>
      </w:r>
    </w:p>
    <w:p>
      <w:pPr>
        <w:pStyle w:val="Text1"/>
        <w:rPr>
          <w:noProof/>
        </w:rPr>
      </w:pPr>
      <w:r>
        <w:rPr>
          <w:noProof/>
        </w:rPr>
        <w:t>Тези срокове не са абсолютни, тъй като те отчитат единствено времето, през което ITSM работи по искането за обслужване</w:t>
      </w:r>
      <w:r>
        <w:rPr>
          <w:i/>
          <w:noProof/>
        </w:rPr>
        <w:t>.</w:t>
      </w:r>
      <w:r>
        <w:rPr>
          <w:noProof/>
        </w:rPr>
        <w:t xml:space="preserve"> Когато някое искане за обслужване бъде препратено до Норвегия, Комисията или друго лице (напр. екипа от разработчици, ангажираните от ITSM изпълнители), това време не представлява част от времето за разрешаване на ITSM.</w:t>
      </w:r>
    </w:p>
    <w:p>
      <w:pPr>
        <w:pStyle w:val="Text1"/>
        <w:rPr>
          <w:noProof/>
        </w:rPr>
      </w:pPr>
      <w:r>
        <w:rPr>
          <w:noProof/>
        </w:rPr>
        <w:t>ITSM осигурява спазването на сроковете за регистриране и разрешаване в най-малко 95 % от случаите, възникнали в рамките на един отчетен месец.</w:t>
      </w:r>
    </w:p>
    <w:tbl>
      <w:tblPr>
        <w:tblW w:w="8280" w:type="dxa"/>
        <w:tblInd w:w="9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1680"/>
        <w:gridCol w:w="3380"/>
        <w:gridCol w:w="3220"/>
      </w:tblGrid>
      <w:tr>
        <w:tc>
          <w:tcPr>
            <w:tcW w:w="1680" w:type="dxa"/>
            <w:shd w:val="clear" w:color="auto" w:fill="BFBFBF"/>
            <w:tcMar>
              <w:top w:w="0" w:type="dxa"/>
              <w:left w:w="108" w:type="dxa"/>
              <w:bottom w:w="0" w:type="dxa"/>
              <w:right w:w="108" w:type="dxa"/>
            </w:tcMar>
          </w:tcPr>
          <w:p>
            <w:pPr>
              <w:pStyle w:val="Text2"/>
              <w:ind w:left="12" w:right="-7916"/>
              <w:jc w:val="left"/>
              <w:rPr>
                <w:noProof/>
              </w:rPr>
            </w:pPr>
            <w:r>
              <w:rPr>
                <w:noProof/>
              </w:rPr>
              <w:t>ПРИОРИТЕТ</w:t>
            </w:r>
          </w:p>
        </w:tc>
        <w:tc>
          <w:tcPr>
            <w:tcW w:w="3380" w:type="dxa"/>
            <w:tcMar>
              <w:top w:w="0" w:type="dxa"/>
              <w:left w:w="108" w:type="dxa"/>
              <w:bottom w:w="0" w:type="dxa"/>
              <w:right w:w="108" w:type="dxa"/>
            </w:tcMar>
          </w:tcPr>
          <w:p>
            <w:pPr>
              <w:pStyle w:val="Text2"/>
              <w:ind w:left="132"/>
              <w:rPr>
                <w:noProof/>
              </w:rPr>
            </w:pPr>
            <w:r>
              <w:rPr>
                <w:noProof/>
              </w:rPr>
              <w:t>СРОК ЗА РЕГИСТРИРАНЕ</w:t>
            </w:r>
          </w:p>
        </w:tc>
        <w:tc>
          <w:tcPr>
            <w:tcW w:w="3220" w:type="dxa"/>
            <w:tcMar>
              <w:top w:w="0" w:type="dxa"/>
              <w:left w:w="108" w:type="dxa"/>
              <w:bottom w:w="0" w:type="dxa"/>
              <w:right w:w="108" w:type="dxa"/>
            </w:tcMar>
          </w:tcPr>
          <w:p>
            <w:pPr>
              <w:pStyle w:val="Text2"/>
              <w:ind w:left="112"/>
              <w:rPr>
                <w:noProof/>
              </w:rPr>
            </w:pPr>
            <w:r>
              <w:rPr>
                <w:noProof/>
              </w:rPr>
              <w:t>СРОК ЗА РАЗРЕШАВАНЕ</w:t>
            </w:r>
          </w:p>
        </w:tc>
      </w:tr>
      <w:tr>
        <w:tc>
          <w:tcPr>
            <w:tcW w:w="1680" w:type="dxa"/>
            <w:shd w:val="clear" w:color="auto" w:fill="C00000"/>
            <w:tcMar>
              <w:top w:w="0" w:type="dxa"/>
              <w:left w:w="108" w:type="dxa"/>
              <w:bottom w:w="0" w:type="dxa"/>
              <w:right w:w="108" w:type="dxa"/>
            </w:tcMar>
          </w:tcPr>
          <w:p>
            <w:pPr>
              <w:pStyle w:val="Text2"/>
              <w:ind w:left="12" w:right="-7916"/>
              <w:jc w:val="left"/>
              <w:rPr>
                <w:noProof/>
              </w:rPr>
            </w:pPr>
            <w:r>
              <w:rPr>
                <w:noProof/>
              </w:rPr>
              <w:t>П1: Критичен</w:t>
            </w:r>
          </w:p>
        </w:tc>
        <w:tc>
          <w:tcPr>
            <w:tcW w:w="3380" w:type="dxa"/>
            <w:tcMar>
              <w:top w:w="0" w:type="dxa"/>
              <w:left w:w="108" w:type="dxa"/>
              <w:bottom w:w="0" w:type="dxa"/>
              <w:right w:w="108" w:type="dxa"/>
            </w:tcMar>
          </w:tcPr>
          <w:p>
            <w:pPr>
              <w:pStyle w:val="Text2"/>
              <w:ind w:left="132"/>
              <w:rPr>
                <w:noProof/>
              </w:rPr>
            </w:pPr>
            <w:r>
              <w:rPr>
                <w:noProof/>
              </w:rPr>
              <w:t>0,5 ч.</w:t>
            </w:r>
          </w:p>
        </w:tc>
        <w:tc>
          <w:tcPr>
            <w:tcW w:w="3220" w:type="dxa"/>
            <w:tcMar>
              <w:top w:w="0" w:type="dxa"/>
              <w:left w:w="108" w:type="dxa"/>
              <w:bottom w:w="0" w:type="dxa"/>
              <w:right w:w="108" w:type="dxa"/>
            </w:tcMar>
          </w:tcPr>
          <w:p>
            <w:pPr>
              <w:pStyle w:val="Text2"/>
              <w:ind w:left="112"/>
              <w:rPr>
                <w:noProof/>
              </w:rPr>
            </w:pPr>
            <w:r>
              <w:rPr>
                <w:noProof/>
              </w:rPr>
              <w:t>4 ч.</w:t>
            </w:r>
          </w:p>
        </w:tc>
      </w:tr>
      <w:tr>
        <w:tc>
          <w:tcPr>
            <w:tcW w:w="1680" w:type="dxa"/>
            <w:shd w:val="clear" w:color="auto" w:fill="FF0000"/>
            <w:tcMar>
              <w:top w:w="0" w:type="dxa"/>
              <w:left w:w="108" w:type="dxa"/>
              <w:bottom w:w="0" w:type="dxa"/>
              <w:right w:w="108" w:type="dxa"/>
            </w:tcMar>
          </w:tcPr>
          <w:p>
            <w:pPr>
              <w:pStyle w:val="Text2"/>
              <w:ind w:left="12" w:right="-7916"/>
              <w:jc w:val="left"/>
              <w:rPr>
                <w:noProof/>
              </w:rPr>
            </w:pPr>
            <w:r>
              <w:rPr>
                <w:noProof/>
              </w:rPr>
              <w:t>П2: Висок</w:t>
            </w:r>
          </w:p>
        </w:tc>
        <w:tc>
          <w:tcPr>
            <w:tcW w:w="3380" w:type="dxa"/>
            <w:tcMar>
              <w:top w:w="0" w:type="dxa"/>
              <w:left w:w="108" w:type="dxa"/>
              <w:bottom w:w="0" w:type="dxa"/>
              <w:right w:w="108" w:type="dxa"/>
            </w:tcMar>
          </w:tcPr>
          <w:p>
            <w:pPr>
              <w:pStyle w:val="Text2"/>
              <w:ind w:left="132"/>
              <w:rPr>
                <w:noProof/>
              </w:rPr>
            </w:pPr>
            <w:r>
              <w:rPr>
                <w:noProof/>
              </w:rPr>
              <w:t>0,5 ч.</w:t>
            </w:r>
          </w:p>
        </w:tc>
        <w:tc>
          <w:tcPr>
            <w:tcW w:w="3220" w:type="dxa"/>
            <w:tcMar>
              <w:top w:w="0" w:type="dxa"/>
              <w:left w:w="108" w:type="dxa"/>
              <w:bottom w:w="0" w:type="dxa"/>
              <w:right w:w="108" w:type="dxa"/>
            </w:tcMar>
          </w:tcPr>
          <w:p>
            <w:pPr>
              <w:pStyle w:val="Text2"/>
              <w:ind w:left="112"/>
              <w:rPr>
                <w:noProof/>
              </w:rPr>
            </w:pPr>
            <w:r>
              <w:rPr>
                <w:noProof/>
              </w:rPr>
              <w:t>13 ч. (1 ден)</w:t>
            </w:r>
          </w:p>
        </w:tc>
      </w:tr>
      <w:tr>
        <w:tc>
          <w:tcPr>
            <w:tcW w:w="1680" w:type="dxa"/>
            <w:shd w:val="clear" w:color="auto" w:fill="FFC000"/>
            <w:tcMar>
              <w:top w:w="0" w:type="dxa"/>
              <w:left w:w="108" w:type="dxa"/>
              <w:bottom w:w="0" w:type="dxa"/>
              <w:right w:w="108" w:type="dxa"/>
            </w:tcMar>
          </w:tcPr>
          <w:p>
            <w:pPr>
              <w:pStyle w:val="Text2"/>
              <w:ind w:left="12" w:right="-7916"/>
              <w:jc w:val="left"/>
              <w:rPr>
                <w:noProof/>
              </w:rPr>
            </w:pPr>
            <w:r>
              <w:rPr>
                <w:noProof/>
              </w:rPr>
              <w:t>П3: Среден</w:t>
            </w:r>
          </w:p>
        </w:tc>
        <w:tc>
          <w:tcPr>
            <w:tcW w:w="3380" w:type="dxa"/>
            <w:tcMar>
              <w:top w:w="0" w:type="dxa"/>
              <w:left w:w="108" w:type="dxa"/>
              <w:bottom w:w="0" w:type="dxa"/>
              <w:right w:w="108" w:type="dxa"/>
            </w:tcMar>
          </w:tcPr>
          <w:p>
            <w:pPr>
              <w:pStyle w:val="Text2"/>
              <w:ind w:left="132"/>
              <w:rPr>
                <w:noProof/>
              </w:rPr>
            </w:pPr>
            <w:r>
              <w:rPr>
                <w:noProof/>
              </w:rPr>
              <w:t>0,5 ч.</w:t>
            </w:r>
          </w:p>
        </w:tc>
        <w:tc>
          <w:tcPr>
            <w:tcW w:w="3220" w:type="dxa"/>
            <w:tcMar>
              <w:top w:w="0" w:type="dxa"/>
              <w:left w:w="108" w:type="dxa"/>
              <w:bottom w:w="0" w:type="dxa"/>
              <w:right w:w="108" w:type="dxa"/>
            </w:tcMar>
          </w:tcPr>
          <w:p>
            <w:pPr>
              <w:pStyle w:val="Text2"/>
              <w:ind w:left="112"/>
              <w:rPr>
                <w:noProof/>
              </w:rPr>
            </w:pPr>
            <w:r>
              <w:rPr>
                <w:noProof/>
              </w:rPr>
              <w:t>39 ч. (3 дни)</w:t>
            </w:r>
          </w:p>
        </w:tc>
      </w:tr>
      <w:tr>
        <w:tc>
          <w:tcPr>
            <w:tcW w:w="1680" w:type="dxa"/>
            <w:shd w:val="clear" w:color="auto" w:fill="00B050"/>
            <w:tcMar>
              <w:top w:w="0" w:type="dxa"/>
              <w:left w:w="108" w:type="dxa"/>
              <w:bottom w:w="0" w:type="dxa"/>
              <w:right w:w="108" w:type="dxa"/>
            </w:tcMar>
          </w:tcPr>
          <w:p>
            <w:pPr>
              <w:pStyle w:val="Text2"/>
              <w:ind w:left="12" w:right="-7916"/>
              <w:jc w:val="left"/>
              <w:rPr>
                <w:noProof/>
              </w:rPr>
            </w:pPr>
            <w:r>
              <w:rPr>
                <w:noProof/>
              </w:rPr>
              <w:t>П4: Нисък</w:t>
            </w:r>
          </w:p>
        </w:tc>
        <w:tc>
          <w:tcPr>
            <w:tcW w:w="3380" w:type="dxa"/>
            <w:tcMar>
              <w:top w:w="0" w:type="dxa"/>
              <w:left w:w="108" w:type="dxa"/>
              <w:bottom w:w="0" w:type="dxa"/>
              <w:right w:w="108" w:type="dxa"/>
            </w:tcMar>
          </w:tcPr>
          <w:p>
            <w:pPr>
              <w:pStyle w:val="Text2"/>
              <w:ind w:left="132"/>
              <w:rPr>
                <w:noProof/>
              </w:rPr>
            </w:pPr>
            <w:r>
              <w:rPr>
                <w:noProof/>
              </w:rPr>
              <w:t>0,5 ч.</w:t>
            </w:r>
          </w:p>
        </w:tc>
        <w:tc>
          <w:tcPr>
            <w:tcW w:w="3220" w:type="dxa"/>
            <w:tcMar>
              <w:top w:w="0" w:type="dxa"/>
              <w:left w:w="108" w:type="dxa"/>
              <w:bottom w:w="0" w:type="dxa"/>
              <w:right w:w="108" w:type="dxa"/>
            </w:tcMar>
          </w:tcPr>
          <w:p>
            <w:pPr>
              <w:pStyle w:val="Text1"/>
              <w:ind w:left="112"/>
              <w:rPr>
                <w:noProof/>
              </w:rPr>
            </w:pPr>
            <w:r>
              <w:rPr>
                <w:noProof/>
              </w:rPr>
              <w:t>65 ч. (5 дни)</w:t>
            </w:r>
          </w:p>
        </w:tc>
      </w:tr>
    </w:tbl>
    <w:p>
      <w:pPr>
        <w:spacing w:before="60"/>
        <w:jc w:val="center"/>
        <w:rPr>
          <w:rFonts w:eastAsia="Calibri"/>
          <w:noProof/>
          <w:sz w:val="20"/>
          <w:szCs w:val="20"/>
        </w:rPr>
      </w:pPr>
      <w:bookmarkStart w:id="59" w:name="_Toc273103663"/>
      <w:bookmarkStart w:id="60" w:name="_Toc485826133"/>
      <w:r>
        <w:rPr>
          <w:noProof/>
          <w:sz w:val="20"/>
        </w:rPr>
        <w:t xml:space="preserve">Таблица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5</w:t>
      </w:r>
      <w:r>
        <w:rPr>
          <w:rFonts w:eastAsia="Times New Roman"/>
          <w:noProof/>
          <w:sz w:val="20"/>
          <w:szCs w:val="20"/>
        </w:rPr>
        <w:fldChar w:fldCharType="end"/>
      </w:r>
      <w:r>
        <w:rPr>
          <w:noProof/>
          <w:sz w:val="20"/>
        </w:rPr>
        <w:t>: Срокове за регистриране и разрешаване</w:t>
      </w:r>
      <w:bookmarkEnd w:id="59"/>
      <w:bookmarkEnd w:id="60"/>
      <w:r>
        <w:rPr>
          <w:noProof/>
          <w:sz w:val="20"/>
        </w:rPr>
        <w:t xml:space="preserve"> (работни часове/дни)</w:t>
      </w:r>
    </w:p>
    <w:p>
      <w:pPr>
        <w:pStyle w:val="ManualHeading4"/>
        <w:rPr>
          <w:noProof/>
        </w:rPr>
      </w:pPr>
      <w:bookmarkStart w:id="61" w:name="_Toc150588497"/>
      <w:bookmarkStart w:id="62" w:name="_Toc486595028"/>
      <w:r>
        <w:rPr>
          <w:noProof/>
        </w:rPr>
        <w:t>5.1.1.2.</w:t>
      </w:r>
      <w:r>
        <w:rPr>
          <w:noProof/>
        </w:rPr>
        <w:tab/>
      </w:r>
      <w:r>
        <w:rPr>
          <w:i/>
          <w:noProof/>
        </w:rPr>
        <w:t>Докладване</w:t>
      </w:r>
      <w:bookmarkEnd w:id="61"/>
      <w:bookmarkEnd w:id="62"/>
    </w:p>
    <w:p>
      <w:pPr>
        <w:pStyle w:val="Text1"/>
        <w:rPr>
          <w:noProof/>
        </w:rPr>
      </w:pPr>
      <w:r>
        <w:rPr>
          <w:noProof/>
        </w:rPr>
        <w:t>Комисията докладва по всички искания за обслужване, свързани със системите и приложенията за административно сътрудничество и събиране на вземания в областта на ДДС, както следва:</w:t>
      </w:r>
    </w:p>
    <w:p>
      <w:pPr>
        <w:pStyle w:val="Bullet1"/>
        <w:rPr>
          <w:noProof/>
        </w:rPr>
      </w:pPr>
      <w:r>
        <w:rPr>
          <w:noProof/>
        </w:rPr>
        <w:t>всички приключени през месеца искания за обслужване за Норвегия;</w:t>
      </w:r>
    </w:p>
    <w:p>
      <w:pPr>
        <w:pStyle w:val="Bullet1"/>
        <w:rPr>
          <w:noProof/>
        </w:rPr>
      </w:pPr>
      <w:r>
        <w:rPr>
          <w:noProof/>
        </w:rPr>
        <w:t>всички създадени през месеца искания за обслужване за Норвегия;</w:t>
      </w:r>
    </w:p>
    <w:p>
      <w:pPr>
        <w:pStyle w:val="Bullet1"/>
        <w:rPr>
          <w:noProof/>
        </w:rPr>
      </w:pPr>
      <w:r>
        <w:rPr>
          <w:noProof/>
        </w:rPr>
        <w:t>всички искания за обслужване за Норвегия, неприключени към датата и часа на докладване.</w:t>
      </w:r>
    </w:p>
    <w:p>
      <w:pPr>
        <w:pStyle w:val="ManualHeading3"/>
        <w:rPr>
          <w:b/>
          <w:noProof/>
        </w:rPr>
      </w:pPr>
      <w:bookmarkStart w:id="63" w:name="_Toc150588498"/>
      <w:bookmarkStart w:id="64" w:name="_Ref265075246"/>
      <w:bookmarkStart w:id="65" w:name="_Ref265075253"/>
      <w:bookmarkStart w:id="66" w:name="_Toc273104871"/>
      <w:bookmarkStart w:id="67" w:name="_Toc486595029"/>
      <w:r>
        <w:rPr>
          <w:b/>
          <w:noProof/>
        </w:rPr>
        <w:t>5.1.2.</w:t>
      </w:r>
      <w:r>
        <w:rPr>
          <w:noProof/>
        </w:rPr>
        <w:tab/>
      </w:r>
      <w:r>
        <w:rPr>
          <w:b/>
          <w:noProof/>
          <w:u w:val="single"/>
        </w:rPr>
        <w:t>Статистически услуги</w:t>
      </w:r>
      <w:bookmarkEnd w:id="63"/>
      <w:bookmarkEnd w:id="64"/>
      <w:bookmarkEnd w:id="65"/>
      <w:bookmarkEnd w:id="66"/>
      <w:bookmarkEnd w:id="67"/>
    </w:p>
    <w:p>
      <w:pPr>
        <w:pStyle w:val="ManualHeading4"/>
        <w:rPr>
          <w:noProof/>
        </w:rPr>
      </w:pPr>
      <w:bookmarkStart w:id="68" w:name="_Toc150588499"/>
      <w:bookmarkStart w:id="69" w:name="_Ref265097545"/>
      <w:bookmarkStart w:id="70" w:name="_Toc486595030"/>
      <w:r>
        <w:rPr>
          <w:noProof/>
        </w:rPr>
        <w:t>5.1.2.1.</w:t>
      </w:r>
      <w:r>
        <w:rPr>
          <w:noProof/>
        </w:rPr>
        <w:tab/>
      </w:r>
      <w:r>
        <w:rPr>
          <w:i/>
          <w:noProof/>
        </w:rPr>
        <w:t>Споразумение</w:t>
      </w:r>
      <w:bookmarkEnd w:id="68"/>
      <w:bookmarkEnd w:id="69"/>
      <w:bookmarkEnd w:id="70"/>
    </w:p>
    <w:p>
      <w:pPr>
        <w:pStyle w:val="Text1"/>
        <w:rPr>
          <w:noProof/>
        </w:rPr>
      </w:pPr>
      <w:r>
        <w:rPr>
          <w:noProof/>
        </w:rPr>
        <w:t>Комисията генерира статистически данни за броя обменени формуляри в областта на ДДС и събирането на вземания чрез CCN/Mail, които са достъпни в уебпортала ITSM.</w:t>
      </w:r>
    </w:p>
    <w:p>
      <w:pPr>
        <w:pStyle w:val="ManualHeading4"/>
        <w:rPr>
          <w:noProof/>
        </w:rPr>
      </w:pPr>
      <w:bookmarkStart w:id="71" w:name="_Toc150588500"/>
      <w:bookmarkStart w:id="72" w:name="_Ref323218048"/>
      <w:bookmarkStart w:id="73" w:name="_Toc486595031"/>
      <w:r>
        <w:rPr>
          <w:noProof/>
        </w:rPr>
        <w:t>5.1.2.2.</w:t>
      </w:r>
      <w:r>
        <w:rPr>
          <w:noProof/>
        </w:rPr>
        <w:tab/>
      </w:r>
      <w:r>
        <w:rPr>
          <w:i/>
          <w:noProof/>
        </w:rPr>
        <w:t>Докладване</w:t>
      </w:r>
      <w:bookmarkEnd w:id="71"/>
      <w:bookmarkEnd w:id="72"/>
      <w:bookmarkEnd w:id="73"/>
    </w:p>
    <w:p>
      <w:pPr>
        <w:pStyle w:val="Text1"/>
        <w:rPr>
          <w:noProof/>
        </w:rPr>
      </w:pPr>
      <w:r>
        <w:rPr>
          <w:noProof/>
        </w:rPr>
        <w:t xml:space="preserve">Комисията изготвя доклад за изпитванията за съответствие, ако е приложимо, и го предоставя на Норвегия. </w:t>
      </w:r>
    </w:p>
    <w:p>
      <w:pPr>
        <w:pStyle w:val="ManualHeading3"/>
        <w:rPr>
          <w:b/>
          <w:noProof/>
        </w:rPr>
      </w:pPr>
      <w:bookmarkStart w:id="74" w:name="_Toc486595050"/>
      <w:r>
        <w:rPr>
          <w:b/>
          <w:noProof/>
        </w:rPr>
        <w:t>5.1.3.</w:t>
      </w:r>
      <w:r>
        <w:rPr>
          <w:noProof/>
        </w:rPr>
        <w:tab/>
      </w:r>
      <w:r>
        <w:rPr>
          <w:b/>
          <w:noProof/>
          <w:u w:val="single"/>
        </w:rPr>
        <w:t>Обмен на формуляри</w:t>
      </w:r>
      <w:r>
        <w:rPr>
          <w:b/>
          <w:noProof/>
        </w:rPr>
        <w:t xml:space="preserve"> </w:t>
      </w:r>
    </w:p>
    <w:p>
      <w:pPr>
        <w:pStyle w:val="ManualHeading4"/>
        <w:rPr>
          <w:noProof/>
        </w:rPr>
      </w:pPr>
      <w:r>
        <w:rPr>
          <w:noProof/>
        </w:rPr>
        <w:t>5.1.3.1.</w:t>
      </w:r>
      <w:r>
        <w:rPr>
          <w:noProof/>
        </w:rPr>
        <w:tab/>
      </w:r>
      <w:bookmarkEnd w:id="74"/>
      <w:r>
        <w:rPr>
          <w:i/>
          <w:noProof/>
        </w:rPr>
        <w:t>Споразумение</w:t>
      </w:r>
    </w:p>
    <w:p>
      <w:pPr>
        <w:pStyle w:val="Text1"/>
        <w:rPr>
          <w:noProof/>
        </w:rPr>
      </w:pPr>
      <w:r>
        <w:rPr>
          <w:noProof/>
        </w:rPr>
        <w:t>В таблицата по-долу е показан максималният срок за предаване или отговор за обмена на формуляри съгласно определеното в законодателството.</w:t>
      </w:r>
    </w:p>
    <w:tbl>
      <w:tblPr>
        <w:tblW w:w="8232"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2163"/>
        <w:gridCol w:w="3995"/>
      </w:tblGrid>
      <w:tr>
        <w:trPr>
          <w:cantSplit/>
          <w:tblHeader/>
        </w:trPr>
        <w:tc>
          <w:tcPr>
            <w:tcW w:w="2074" w:type="dxa"/>
            <w:shd w:val="clear" w:color="auto" w:fill="E0E0E0"/>
            <w:vAlign w:val="center"/>
          </w:tcPr>
          <w:p>
            <w:pPr>
              <w:spacing w:before="0" w:after="200" w:line="276" w:lineRule="auto"/>
              <w:ind w:left="383"/>
              <w:jc w:val="center"/>
              <w:rPr>
                <w:rFonts w:eastAsia="Calibri"/>
                <w:b/>
                <w:i/>
                <w:noProof/>
                <w:szCs w:val="24"/>
              </w:rPr>
            </w:pPr>
            <w:r>
              <w:rPr>
                <w:b/>
                <w:i/>
                <w:noProof/>
              </w:rPr>
              <w:t>Пощенска кутия в CCN/Mail</w:t>
            </w:r>
          </w:p>
        </w:tc>
        <w:tc>
          <w:tcPr>
            <w:tcW w:w="2163" w:type="dxa"/>
            <w:shd w:val="clear" w:color="auto" w:fill="E0E0E0"/>
            <w:vAlign w:val="center"/>
          </w:tcPr>
          <w:p>
            <w:pPr>
              <w:spacing w:before="0" w:after="200" w:line="276" w:lineRule="auto"/>
              <w:jc w:val="left"/>
              <w:rPr>
                <w:rFonts w:eastAsia="Calibri"/>
                <w:b/>
                <w:i/>
                <w:noProof/>
                <w:szCs w:val="24"/>
              </w:rPr>
            </w:pPr>
            <w:r>
              <w:rPr>
                <w:b/>
                <w:i/>
                <w:noProof/>
              </w:rPr>
              <w:t>Формуляр</w:t>
            </w:r>
          </w:p>
        </w:tc>
        <w:tc>
          <w:tcPr>
            <w:tcW w:w="3995" w:type="dxa"/>
            <w:shd w:val="clear" w:color="auto" w:fill="E0E0E0"/>
            <w:vAlign w:val="center"/>
          </w:tcPr>
          <w:p>
            <w:pPr>
              <w:spacing w:before="0" w:after="200" w:line="276" w:lineRule="auto"/>
              <w:jc w:val="left"/>
              <w:rPr>
                <w:rFonts w:eastAsia="Calibri"/>
                <w:b/>
                <w:i/>
                <w:noProof/>
                <w:szCs w:val="24"/>
              </w:rPr>
            </w:pPr>
            <w:r>
              <w:rPr>
                <w:b/>
                <w:i/>
                <w:noProof/>
              </w:rPr>
              <w:t>Краен срок</w:t>
            </w:r>
          </w:p>
        </w:tc>
      </w:tr>
      <w:tr>
        <w:tc>
          <w:tcPr>
            <w:tcW w:w="2074" w:type="dxa"/>
          </w:tcPr>
          <w:p>
            <w:pPr>
              <w:spacing w:before="0" w:after="200"/>
              <w:ind w:left="143"/>
              <w:jc w:val="left"/>
              <w:rPr>
                <w:rFonts w:eastAsia="Calibri"/>
                <w:iCs/>
                <w:noProof/>
                <w:szCs w:val="24"/>
              </w:rPr>
            </w:pPr>
            <w:r>
              <w:rPr>
                <w:noProof/>
              </w:rPr>
              <w:t>VIESCLO</w:t>
            </w:r>
          </w:p>
        </w:tc>
        <w:tc>
          <w:tcPr>
            <w:tcW w:w="2163" w:type="dxa"/>
          </w:tcPr>
          <w:p>
            <w:pPr>
              <w:spacing w:before="0" w:after="200"/>
              <w:jc w:val="left"/>
              <w:rPr>
                <w:rFonts w:eastAsia="Calibri"/>
                <w:iCs/>
                <w:noProof/>
                <w:szCs w:val="24"/>
              </w:rPr>
            </w:pPr>
            <w:r>
              <w:rPr>
                <w:noProof/>
              </w:rPr>
              <w:t>Обмен на информация съгласно членове 7, 10, 12 и 18 от Споразумението</w:t>
            </w:r>
          </w:p>
          <w:p>
            <w:pPr>
              <w:spacing w:before="0" w:after="200"/>
              <w:jc w:val="left"/>
              <w:rPr>
                <w:rFonts w:eastAsia="Calibri"/>
                <w:iCs/>
                <w:noProof/>
                <w:szCs w:val="24"/>
              </w:rPr>
            </w:pPr>
            <w:r>
              <w:rPr>
                <w:noProof/>
              </w:rPr>
              <w:t>Общ обмен</w:t>
            </w:r>
          </w:p>
        </w:tc>
        <w:tc>
          <w:tcPr>
            <w:tcW w:w="3995" w:type="dxa"/>
          </w:tcPr>
          <w:p>
            <w:pPr>
              <w:autoSpaceDE w:val="0"/>
              <w:autoSpaceDN w:val="0"/>
              <w:adjustRightInd w:val="0"/>
              <w:spacing w:before="0" w:after="200"/>
              <w:jc w:val="left"/>
              <w:rPr>
                <w:rFonts w:eastAsia="Calibri"/>
                <w:iCs/>
                <w:noProof/>
                <w:szCs w:val="24"/>
              </w:rPr>
            </w:pPr>
            <w:r>
              <w:rPr>
                <w:noProof/>
              </w:rPr>
              <w:t xml:space="preserve">Срокът за предоставяне на информация е възможно най-кратък, но във всеки случай не по-дълъг от </w:t>
            </w:r>
            <w:r>
              <w:rPr>
                <w:noProof/>
                <w:u w:val="single"/>
              </w:rPr>
              <w:t>3 месеца след датата на искането</w:t>
            </w:r>
            <w:r>
              <w:rPr>
                <w:noProof/>
              </w:rPr>
              <w:t xml:space="preserve"> </w:t>
            </w:r>
            <w:r>
              <w:rPr>
                <w:b/>
                <w:noProof/>
              </w:rPr>
              <w:t>(</w:t>
            </w:r>
            <w:r>
              <w:rPr>
                <w:b/>
                <w:i/>
                <w:noProof/>
              </w:rPr>
              <w:t>член 8 от Споразумението</w:t>
            </w:r>
            <w:r>
              <w:rPr>
                <w:b/>
                <w:noProof/>
              </w:rPr>
              <w:t>).</w:t>
            </w:r>
          </w:p>
          <w:p>
            <w:pPr>
              <w:autoSpaceDE w:val="0"/>
              <w:autoSpaceDN w:val="0"/>
              <w:adjustRightInd w:val="0"/>
              <w:spacing w:before="0" w:after="60"/>
              <w:jc w:val="left"/>
              <w:rPr>
                <w:rFonts w:eastAsia="Calibri"/>
                <w:iCs/>
                <w:noProof/>
                <w:szCs w:val="24"/>
              </w:rPr>
            </w:pPr>
            <w:r>
              <w:rPr>
                <w:noProof/>
              </w:rPr>
              <w:t xml:space="preserve">Ако обаче запитаният орган вече разполага със съответната информация, максималният срок е </w:t>
            </w:r>
            <w:r>
              <w:rPr>
                <w:noProof/>
                <w:u w:val="single"/>
              </w:rPr>
              <w:t>един месец</w:t>
            </w:r>
            <w:r>
              <w:rPr>
                <w:b/>
                <w:noProof/>
              </w:rPr>
              <w:t xml:space="preserve"> (</w:t>
            </w:r>
            <w:r>
              <w:rPr>
                <w:b/>
                <w:i/>
                <w:noProof/>
              </w:rPr>
              <w:t>член 8 от Споразумението</w:t>
            </w:r>
            <w:r>
              <w:rPr>
                <w:b/>
                <w:noProof/>
              </w:rPr>
              <w:t>).</w:t>
            </w:r>
          </w:p>
        </w:tc>
      </w:tr>
      <w:tr>
        <w:tc>
          <w:tcPr>
            <w:tcW w:w="2074" w:type="dxa"/>
            <w:tcBorders>
              <w:bottom w:val="single" w:sz="4" w:space="0" w:color="auto"/>
            </w:tcBorders>
          </w:tcPr>
          <w:p>
            <w:pPr>
              <w:spacing w:before="0" w:after="200"/>
              <w:ind w:left="143"/>
              <w:jc w:val="left"/>
              <w:rPr>
                <w:rFonts w:eastAsia="Calibri"/>
                <w:iCs/>
                <w:noProof/>
                <w:szCs w:val="24"/>
              </w:rPr>
            </w:pPr>
            <w:r>
              <w:rPr>
                <w:noProof/>
              </w:rPr>
              <w:t>VIESCLO</w:t>
            </w:r>
          </w:p>
        </w:tc>
        <w:tc>
          <w:tcPr>
            <w:tcW w:w="2163" w:type="dxa"/>
          </w:tcPr>
          <w:p>
            <w:pPr>
              <w:spacing w:before="0" w:after="200"/>
              <w:jc w:val="left"/>
              <w:rPr>
                <w:rFonts w:eastAsia="Calibri"/>
                <w:iCs/>
                <w:noProof/>
                <w:szCs w:val="24"/>
              </w:rPr>
            </w:pPr>
            <w:r>
              <w:rPr>
                <w:noProof/>
              </w:rPr>
              <w:t>Обмен на информация съгласно членове 7, 10, 12 и 18 от Споразумението</w:t>
            </w:r>
          </w:p>
          <w:p>
            <w:pPr>
              <w:spacing w:before="0" w:after="200"/>
              <w:jc w:val="left"/>
              <w:rPr>
                <w:rFonts w:eastAsia="Calibri"/>
                <w:iCs/>
                <w:noProof/>
                <w:szCs w:val="24"/>
              </w:rPr>
            </w:pPr>
            <w:r>
              <w:rPr>
                <w:noProof/>
              </w:rPr>
              <w:t>Искане за уведомяване</w:t>
            </w:r>
          </w:p>
        </w:tc>
        <w:tc>
          <w:tcPr>
            <w:tcW w:w="3995" w:type="dxa"/>
            <w:tcBorders>
              <w:top w:val="single" w:sz="4" w:space="0" w:color="auto"/>
              <w:bottom w:val="single" w:sz="4" w:space="0" w:color="auto"/>
              <w:right w:val="single" w:sz="4" w:space="0" w:color="auto"/>
            </w:tcBorders>
          </w:tcPr>
          <w:p>
            <w:pPr>
              <w:autoSpaceDE w:val="0"/>
              <w:autoSpaceDN w:val="0"/>
              <w:adjustRightInd w:val="0"/>
              <w:spacing w:before="0" w:after="60"/>
              <w:jc w:val="left"/>
              <w:rPr>
                <w:rFonts w:eastAsia="Calibri"/>
                <w:iCs/>
                <w:noProof/>
                <w:szCs w:val="24"/>
              </w:rPr>
            </w:pPr>
            <w:r>
              <w:rPr>
                <w:noProof/>
              </w:rPr>
              <w:t>Искане за уведомяване с незабавен отговор (</w:t>
            </w:r>
            <w:r>
              <w:rPr>
                <w:b/>
                <w:i/>
                <w:noProof/>
              </w:rPr>
              <w:t>член 12</w:t>
            </w:r>
            <w:r>
              <w:rPr>
                <w:b/>
                <w:noProof/>
              </w:rPr>
              <w:t xml:space="preserve"> от Споразумението</w:t>
            </w:r>
            <w:r>
              <w:rPr>
                <w:noProof/>
              </w:rPr>
              <w:t>).</w:t>
            </w:r>
          </w:p>
        </w:tc>
      </w:tr>
      <w:tr>
        <w:tc>
          <w:tcPr>
            <w:tcW w:w="2074" w:type="dxa"/>
          </w:tcPr>
          <w:p>
            <w:pPr>
              <w:spacing w:before="0" w:after="200"/>
              <w:ind w:left="143"/>
              <w:jc w:val="left"/>
              <w:rPr>
                <w:rFonts w:eastAsia="Calibri"/>
                <w:iCs/>
                <w:noProof/>
                <w:szCs w:val="24"/>
              </w:rPr>
            </w:pPr>
            <w:r>
              <w:rPr>
                <w:noProof/>
              </w:rPr>
              <w:t>TAXFRAUD</w:t>
            </w:r>
          </w:p>
        </w:tc>
        <w:tc>
          <w:tcPr>
            <w:tcW w:w="2163" w:type="dxa"/>
          </w:tcPr>
          <w:p>
            <w:pPr>
              <w:spacing w:before="0" w:after="200"/>
              <w:jc w:val="left"/>
              <w:rPr>
                <w:rFonts w:eastAsia="Calibri"/>
                <w:iCs/>
                <w:noProof/>
                <w:szCs w:val="24"/>
              </w:rPr>
            </w:pPr>
            <w:r>
              <w:rPr>
                <w:noProof/>
              </w:rPr>
              <w:t xml:space="preserve">Обмен на информация съгласно </w:t>
            </w:r>
            <w:r>
              <w:rPr>
                <w:noProof/>
              </w:rPr>
              <w:br/>
              <w:t>членове 7, 10, 12 и 18 от Споразумението</w:t>
            </w:r>
          </w:p>
          <w:p>
            <w:pPr>
              <w:spacing w:before="0" w:after="200"/>
              <w:jc w:val="left"/>
              <w:rPr>
                <w:rFonts w:eastAsia="Calibri"/>
                <w:iCs/>
                <w:noProof/>
                <w:szCs w:val="24"/>
              </w:rPr>
            </w:pPr>
            <w:r>
              <w:rPr>
                <w:noProof/>
              </w:rPr>
              <w:t>Обмен в областта на борбата с измамите</w:t>
            </w:r>
          </w:p>
        </w:tc>
        <w:tc>
          <w:tcPr>
            <w:tcW w:w="3995" w:type="dxa"/>
          </w:tcPr>
          <w:p>
            <w:pPr>
              <w:autoSpaceDE w:val="0"/>
              <w:autoSpaceDN w:val="0"/>
              <w:adjustRightInd w:val="0"/>
              <w:spacing w:before="0" w:after="60"/>
              <w:jc w:val="left"/>
              <w:rPr>
                <w:rFonts w:eastAsia="Calibri"/>
                <w:iCs/>
                <w:noProof/>
                <w:szCs w:val="24"/>
              </w:rPr>
            </w:pPr>
            <w:r>
              <w:rPr>
                <w:noProof/>
              </w:rPr>
              <w:t xml:space="preserve">Липсващата информация за търговци се изпраща </w:t>
            </w:r>
            <w:r>
              <w:rPr>
                <w:noProof/>
                <w:u w:val="single"/>
              </w:rPr>
              <w:t>веднага щом стане налична.</w:t>
            </w:r>
          </w:p>
        </w:tc>
      </w:tr>
      <w:tr>
        <w:tc>
          <w:tcPr>
            <w:tcW w:w="2074" w:type="dxa"/>
          </w:tcPr>
          <w:p>
            <w:pPr>
              <w:spacing w:before="0" w:after="200"/>
              <w:ind w:left="143"/>
              <w:jc w:val="left"/>
              <w:rPr>
                <w:rFonts w:eastAsia="Calibri"/>
                <w:iCs/>
                <w:noProof/>
                <w:szCs w:val="24"/>
              </w:rPr>
            </w:pPr>
            <w:r>
              <w:rPr>
                <w:noProof/>
              </w:rPr>
              <w:t>TAXAUTO</w:t>
            </w:r>
          </w:p>
        </w:tc>
        <w:tc>
          <w:tcPr>
            <w:tcW w:w="2163" w:type="dxa"/>
          </w:tcPr>
          <w:p>
            <w:pPr>
              <w:spacing w:before="0" w:after="200"/>
              <w:jc w:val="left"/>
              <w:rPr>
                <w:rFonts w:eastAsia="Calibri"/>
                <w:iCs/>
                <w:noProof/>
                <w:szCs w:val="24"/>
              </w:rPr>
            </w:pPr>
            <w:r>
              <w:rPr>
                <w:noProof/>
              </w:rPr>
              <w:t>Автоматичен обмен</w:t>
            </w:r>
          </w:p>
        </w:tc>
        <w:tc>
          <w:tcPr>
            <w:tcW w:w="3995" w:type="dxa"/>
          </w:tcPr>
          <w:p>
            <w:pPr>
              <w:autoSpaceDE w:val="0"/>
              <w:autoSpaceDN w:val="0"/>
              <w:adjustRightInd w:val="0"/>
              <w:spacing w:before="0" w:after="200"/>
              <w:jc w:val="left"/>
              <w:rPr>
                <w:rFonts w:eastAsia="Calibri"/>
                <w:iCs/>
                <w:noProof/>
                <w:szCs w:val="24"/>
              </w:rPr>
            </w:pPr>
            <w:r>
              <w:rPr>
                <w:noProof/>
              </w:rPr>
              <w:t xml:space="preserve">Категориите информация, подлежаща на автоматичен обмен в съответствие с член 11 от Споразумението, се определят от Съвместния комитет. </w:t>
            </w:r>
          </w:p>
        </w:tc>
      </w:tr>
      <w:tr>
        <w:tc>
          <w:tcPr>
            <w:tcW w:w="2074" w:type="dxa"/>
          </w:tcPr>
          <w:p>
            <w:pPr>
              <w:spacing w:before="0" w:after="200"/>
              <w:ind w:left="143"/>
              <w:jc w:val="left"/>
              <w:rPr>
                <w:rFonts w:eastAsia="Calibri"/>
                <w:iCs/>
                <w:noProof/>
                <w:szCs w:val="24"/>
              </w:rPr>
            </w:pPr>
            <w:r>
              <w:rPr>
                <w:noProof/>
                <w:color w:val="000000"/>
                <w:kern w:val="24"/>
              </w:rPr>
              <w:t xml:space="preserve">REC-A-CUST; REC-B-VAT; REC-C-EXCISE; REC-D-INCOME-CAP; </w:t>
            </w:r>
            <w:r>
              <w:rPr>
                <w:rFonts w:eastAsia="Times New Roman"/>
                <w:noProof/>
                <w:color w:val="000000"/>
                <w:kern w:val="24"/>
                <w:szCs w:val="24"/>
              </w:rPr>
              <w:br/>
            </w:r>
            <w:r>
              <w:rPr>
                <w:noProof/>
                <w:color w:val="000000"/>
                <w:kern w:val="24"/>
              </w:rPr>
              <w:t xml:space="preserve">REC-E-INSUR; REC-F-INHERIT-GIFT; </w:t>
            </w:r>
            <w:r>
              <w:rPr>
                <w:rFonts w:eastAsia="Times New Roman"/>
                <w:noProof/>
                <w:color w:val="000000"/>
                <w:kern w:val="24"/>
                <w:szCs w:val="24"/>
              </w:rPr>
              <w:br/>
            </w:r>
            <w:r>
              <w:rPr>
                <w:noProof/>
                <w:color w:val="000000"/>
                <w:kern w:val="24"/>
              </w:rPr>
              <w:t xml:space="preserve">REC-G-NAT-IMMOV; </w:t>
            </w:r>
            <w:r>
              <w:rPr>
                <w:rFonts w:eastAsia="Times New Roman"/>
                <w:noProof/>
                <w:color w:val="000000"/>
                <w:kern w:val="24"/>
                <w:szCs w:val="24"/>
              </w:rPr>
              <w:br/>
            </w:r>
            <w:r>
              <w:rPr>
                <w:noProof/>
                <w:color w:val="000000"/>
                <w:kern w:val="24"/>
              </w:rPr>
              <w:t xml:space="preserve">REC-H-NAT-TRANSP; </w:t>
            </w:r>
            <w:r>
              <w:rPr>
                <w:rFonts w:eastAsia="Times New Roman"/>
                <w:noProof/>
                <w:color w:val="000000"/>
                <w:kern w:val="24"/>
                <w:szCs w:val="24"/>
              </w:rPr>
              <w:br/>
            </w:r>
            <w:r>
              <w:rPr>
                <w:noProof/>
                <w:color w:val="000000"/>
                <w:kern w:val="24"/>
              </w:rPr>
              <w:t xml:space="preserve">REC-I-NAT-OTHER; </w:t>
            </w:r>
            <w:r>
              <w:rPr>
                <w:rFonts w:eastAsia="Times New Roman"/>
                <w:noProof/>
                <w:color w:val="000000"/>
                <w:kern w:val="24"/>
                <w:szCs w:val="24"/>
              </w:rPr>
              <w:br/>
            </w:r>
            <w:r>
              <w:rPr>
                <w:noProof/>
                <w:color w:val="000000"/>
                <w:kern w:val="24"/>
              </w:rPr>
              <w:t>REC-J-REGIONAL; REC-K-LOCAL; REC-L-OTHER; REC-M-AGRI</w:t>
            </w:r>
          </w:p>
        </w:tc>
        <w:tc>
          <w:tcPr>
            <w:tcW w:w="2163" w:type="dxa"/>
          </w:tcPr>
          <w:p>
            <w:pPr>
              <w:spacing w:before="0" w:after="200"/>
              <w:jc w:val="left"/>
              <w:rPr>
                <w:rFonts w:eastAsia="Calibri"/>
                <w:iCs/>
                <w:noProof/>
                <w:szCs w:val="24"/>
              </w:rPr>
            </w:pPr>
            <w:r>
              <w:rPr>
                <w:noProof/>
              </w:rPr>
              <w:t>Искане за информация съгласно член 22 от Споразумението</w:t>
            </w:r>
          </w:p>
          <w:p>
            <w:pPr>
              <w:spacing w:before="0" w:after="200"/>
              <w:jc w:val="left"/>
              <w:rPr>
                <w:rFonts w:eastAsia="Calibri"/>
                <w:iCs/>
                <w:noProof/>
                <w:szCs w:val="24"/>
              </w:rPr>
            </w:pPr>
            <w:r>
              <w:rPr>
                <w:noProof/>
              </w:rPr>
              <w:t>Искане за уведомяване съгласно член 25 от Споразумението</w:t>
            </w:r>
          </w:p>
          <w:p>
            <w:pPr>
              <w:spacing w:before="0" w:after="200"/>
              <w:jc w:val="left"/>
              <w:rPr>
                <w:rFonts w:eastAsia="Calibri"/>
                <w:iCs/>
                <w:noProof/>
                <w:szCs w:val="24"/>
              </w:rPr>
            </w:pPr>
            <w:r>
              <w:rPr>
                <w:noProof/>
              </w:rPr>
              <w:t>Искане за събиране на вземания съгласно член 27 от Споразумението</w:t>
            </w:r>
          </w:p>
          <w:p>
            <w:pPr>
              <w:spacing w:before="0" w:after="200"/>
              <w:jc w:val="left"/>
              <w:rPr>
                <w:rFonts w:eastAsia="Calibri"/>
                <w:iCs/>
                <w:noProof/>
                <w:szCs w:val="24"/>
              </w:rPr>
            </w:pPr>
            <w:r>
              <w:rPr>
                <w:noProof/>
              </w:rPr>
              <w:t>Искане за обезпечителни мерки съгласно член 33 от Споразумението</w:t>
            </w:r>
          </w:p>
        </w:tc>
        <w:tc>
          <w:tcPr>
            <w:tcW w:w="3995" w:type="dxa"/>
          </w:tcPr>
          <w:p>
            <w:pPr>
              <w:autoSpaceDE w:val="0"/>
              <w:autoSpaceDN w:val="0"/>
              <w:adjustRightInd w:val="0"/>
              <w:spacing w:before="0" w:after="200"/>
              <w:jc w:val="left"/>
              <w:rPr>
                <w:rFonts w:eastAsia="Calibri"/>
                <w:iCs/>
                <w:noProof/>
                <w:szCs w:val="24"/>
              </w:rPr>
            </w:pPr>
            <w:r>
              <w:rPr>
                <w:noProof/>
              </w:rPr>
              <w:t>Искане за информация:</w:t>
            </w:r>
          </w:p>
          <w:p>
            <w:pPr>
              <w:autoSpaceDE w:val="0"/>
              <w:autoSpaceDN w:val="0"/>
              <w:adjustRightInd w:val="0"/>
              <w:spacing w:before="0" w:after="200"/>
              <w:jc w:val="left"/>
              <w:rPr>
                <w:rFonts w:eastAsia="Calibri"/>
                <w:iCs/>
                <w:noProof/>
                <w:szCs w:val="24"/>
              </w:rPr>
            </w:pPr>
            <w:r>
              <w:rPr>
                <w:noProof/>
              </w:rPr>
              <w:t>- потвърждение на получаването в срок до 7 календарни дни;</w:t>
            </w:r>
          </w:p>
          <w:p>
            <w:pPr>
              <w:autoSpaceDE w:val="0"/>
              <w:autoSpaceDN w:val="0"/>
              <w:adjustRightInd w:val="0"/>
              <w:spacing w:before="0" w:after="200"/>
              <w:jc w:val="left"/>
              <w:rPr>
                <w:rFonts w:eastAsia="Calibri"/>
                <w:iCs/>
                <w:noProof/>
                <w:szCs w:val="24"/>
              </w:rPr>
            </w:pPr>
            <w:r>
              <w:rPr>
                <w:noProof/>
              </w:rPr>
              <w:t>- актуализация при изтичането на 6 месеца след датата на потвърждението</w:t>
            </w:r>
          </w:p>
          <w:p>
            <w:pPr>
              <w:autoSpaceDE w:val="0"/>
              <w:autoSpaceDN w:val="0"/>
              <w:adjustRightInd w:val="0"/>
              <w:spacing w:before="0" w:after="200"/>
              <w:jc w:val="left"/>
              <w:rPr>
                <w:rFonts w:eastAsia="Calibri"/>
                <w:iCs/>
                <w:noProof/>
                <w:szCs w:val="24"/>
              </w:rPr>
            </w:pPr>
            <w:r>
              <w:rPr>
                <w:noProof/>
              </w:rPr>
              <w:t>Искане за уведомяване:</w:t>
            </w:r>
          </w:p>
          <w:p>
            <w:pPr>
              <w:autoSpaceDE w:val="0"/>
              <w:autoSpaceDN w:val="0"/>
              <w:adjustRightInd w:val="0"/>
              <w:spacing w:before="0" w:after="200"/>
              <w:jc w:val="left"/>
              <w:rPr>
                <w:rFonts w:eastAsia="Calibri"/>
                <w:iCs/>
                <w:noProof/>
                <w:szCs w:val="24"/>
              </w:rPr>
            </w:pPr>
            <w:r>
              <w:rPr>
                <w:noProof/>
              </w:rPr>
              <w:t>- потвърждение на получаването в срок до 7 календарни дни;</w:t>
            </w:r>
          </w:p>
          <w:p>
            <w:pPr>
              <w:autoSpaceDE w:val="0"/>
              <w:autoSpaceDN w:val="0"/>
              <w:adjustRightInd w:val="0"/>
              <w:spacing w:before="0" w:after="200"/>
              <w:jc w:val="left"/>
              <w:rPr>
                <w:rFonts w:eastAsia="Calibri"/>
                <w:iCs/>
                <w:noProof/>
                <w:szCs w:val="24"/>
              </w:rPr>
            </w:pPr>
            <w:r>
              <w:rPr>
                <w:noProof/>
              </w:rPr>
              <w:t>Искане за събиране на вземания и искане за обезпечителни мерки:</w:t>
            </w:r>
          </w:p>
          <w:p>
            <w:pPr>
              <w:autoSpaceDE w:val="0"/>
              <w:autoSpaceDN w:val="0"/>
              <w:adjustRightInd w:val="0"/>
              <w:spacing w:before="0" w:after="200"/>
              <w:jc w:val="left"/>
              <w:rPr>
                <w:rFonts w:eastAsia="Calibri"/>
                <w:iCs/>
                <w:noProof/>
                <w:szCs w:val="24"/>
              </w:rPr>
            </w:pPr>
            <w:r>
              <w:rPr>
                <w:noProof/>
              </w:rPr>
              <w:t>- потвърждение на получаването в срок до 7 календарни дни;</w:t>
            </w:r>
          </w:p>
          <w:p>
            <w:pPr>
              <w:autoSpaceDE w:val="0"/>
              <w:autoSpaceDN w:val="0"/>
              <w:adjustRightInd w:val="0"/>
              <w:spacing w:before="0" w:after="200"/>
              <w:jc w:val="left"/>
              <w:rPr>
                <w:rFonts w:eastAsia="Calibri"/>
                <w:iCs/>
                <w:noProof/>
                <w:szCs w:val="24"/>
              </w:rPr>
            </w:pPr>
            <w:r>
              <w:rPr>
                <w:noProof/>
              </w:rPr>
              <w:t>- актуализация при изтичането на всеки 6 месеца след датата на потвърждението</w:t>
            </w:r>
          </w:p>
        </w:tc>
      </w:tr>
    </w:tbl>
    <w:p>
      <w:pPr>
        <w:spacing w:before="60"/>
        <w:jc w:val="center"/>
        <w:rPr>
          <w:rFonts w:eastAsia="Times New Roman"/>
          <w:noProof/>
          <w:sz w:val="20"/>
          <w:szCs w:val="20"/>
        </w:rPr>
      </w:pPr>
      <w:bookmarkStart w:id="75" w:name="_Toc131473835"/>
      <w:bookmarkStart w:id="76" w:name="_Toc131560464"/>
      <w:bookmarkStart w:id="77" w:name="_Toc132079344"/>
      <w:bookmarkStart w:id="78" w:name="_Toc273103665"/>
      <w:bookmarkStart w:id="79" w:name="_Toc485826135"/>
      <w:r>
        <w:rPr>
          <w:noProof/>
          <w:sz w:val="20"/>
        </w:rPr>
        <w:t xml:space="preserve">Таблица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6</w:t>
      </w:r>
      <w:bookmarkEnd w:id="75"/>
      <w:r>
        <w:rPr>
          <w:rFonts w:eastAsia="Times New Roman"/>
          <w:noProof/>
          <w:sz w:val="20"/>
          <w:szCs w:val="20"/>
        </w:rPr>
        <w:fldChar w:fldCharType="end"/>
      </w:r>
      <w:r>
        <w:rPr>
          <w:noProof/>
          <w:sz w:val="20"/>
        </w:rPr>
        <w:t>: Е</w:t>
      </w:r>
      <w:r>
        <w:rPr>
          <w:noProof/>
        </w:rPr>
        <w:t>фективност на ОИ</w:t>
      </w:r>
      <w:bookmarkEnd w:id="76"/>
      <w:bookmarkEnd w:id="77"/>
      <w:bookmarkEnd w:id="78"/>
      <w:bookmarkEnd w:id="79"/>
    </w:p>
    <w:p>
      <w:pPr>
        <w:pStyle w:val="ManualHeading4"/>
        <w:rPr>
          <w:noProof/>
        </w:rPr>
      </w:pPr>
      <w:bookmarkStart w:id="80" w:name="_Toc150588519"/>
      <w:bookmarkStart w:id="81" w:name="_Toc486595053"/>
      <w:r>
        <w:rPr>
          <w:noProof/>
        </w:rPr>
        <w:t>5.1.3.2.</w:t>
      </w:r>
      <w:r>
        <w:rPr>
          <w:noProof/>
        </w:rPr>
        <w:tab/>
      </w:r>
      <w:r>
        <w:rPr>
          <w:i/>
          <w:noProof/>
        </w:rPr>
        <w:t>Докладване</w:t>
      </w:r>
      <w:bookmarkEnd w:id="80"/>
      <w:bookmarkEnd w:id="81"/>
    </w:p>
    <w:p>
      <w:pPr>
        <w:pStyle w:val="Text1"/>
        <w:rPr>
          <w:iCs/>
          <w:noProof/>
        </w:rPr>
      </w:pPr>
      <w:r>
        <w:rPr>
          <w:noProof/>
        </w:rPr>
        <w:t xml:space="preserve">Норвегия също предоставя ежегодно на Комисията статистически данни по електронна поща относно предаването на информация съгласно членове 20 и 39 от Споразумението </w:t>
      </w:r>
      <w:r>
        <w:rPr>
          <w:iCs/>
          <w:noProof/>
        </w:rPr>
        <w:fldChar w:fldCharType="begin"/>
      </w:r>
      <w:r>
        <w:rPr>
          <w:iCs/>
          <w:noProof/>
        </w:rPr>
        <w:instrText xml:space="preserve"> REF _Ref371673619 \r \h  \* MERGEFORMAT </w:instrText>
      </w:r>
      <w:r>
        <w:rPr>
          <w:iCs/>
          <w:noProof/>
        </w:rPr>
      </w:r>
      <w:r>
        <w:rPr>
          <w:iCs/>
          <w:noProof/>
        </w:rPr>
        <w:fldChar w:fldCharType="separate"/>
      </w:r>
      <w:r>
        <w:rPr>
          <w:iCs/>
          <w:noProof/>
        </w:rPr>
        <w:t>[RD.3.]</w:t>
      </w:r>
      <w:r>
        <w:rPr>
          <w:iCs/>
          <w:noProof/>
        </w:rPr>
        <w:fldChar w:fldCharType="end"/>
      </w:r>
      <w:r>
        <w:rPr>
          <w:noProof/>
        </w:rPr>
        <w:t>.</w:t>
      </w:r>
      <w:r>
        <w:rPr>
          <w:i/>
          <w:noProof/>
          <w:highlight w:val="yellow"/>
        </w:rPr>
        <w:t xml:space="preserve"> </w:t>
      </w:r>
    </w:p>
    <w:p>
      <w:pPr>
        <w:pStyle w:val="ManualHeading3"/>
        <w:rPr>
          <w:b/>
          <w:noProof/>
        </w:rPr>
      </w:pPr>
      <w:bookmarkStart w:id="82" w:name="_Toc150588523"/>
      <w:bookmarkStart w:id="83" w:name="_Toc273104880"/>
      <w:bookmarkStart w:id="84" w:name="_Toc486595057"/>
      <w:r>
        <w:rPr>
          <w:b/>
          <w:noProof/>
        </w:rPr>
        <w:t>5.1.4.</w:t>
      </w:r>
      <w:r>
        <w:rPr>
          <w:noProof/>
        </w:rPr>
        <w:tab/>
      </w:r>
      <w:r>
        <w:rPr>
          <w:b/>
          <w:noProof/>
          <w:u w:val="single"/>
        </w:rPr>
        <w:t>Управление на проблеми</w:t>
      </w:r>
      <w:bookmarkEnd w:id="82"/>
      <w:bookmarkEnd w:id="83"/>
      <w:bookmarkEnd w:id="84"/>
    </w:p>
    <w:p>
      <w:pPr>
        <w:pStyle w:val="ManualHeading4"/>
        <w:rPr>
          <w:noProof/>
        </w:rPr>
      </w:pPr>
      <w:bookmarkStart w:id="85" w:name="_Toc150588524"/>
      <w:bookmarkStart w:id="86" w:name="_Toc486595058"/>
      <w:r>
        <w:rPr>
          <w:noProof/>
        </w:rPr>
        <w:t>5.1.4.1.</w:t>
      </w:r>
      <w:r>
        <w:rPr>
          <w:noProof/>
        </w:rPr>
        <w:tab/>
      </w:r>
      <w:r>
        <w:rPr>
          <w:i/>
          <w:noProof/>
        </w:rPr>
        <w:t>Споразумение</w:t>
      </w:r>
      <w:bookmarkEnd w:id="85"/>
      <w:bookmarkEnd w:id="86"/>
    </w:p>
    <w:p>
      <w:pPr>
        <w:pStyle w:val="Text1"/>
        <w:rPr>
          <w:noProof/>
        </w:rPr>
      </w:pPr>
      <w:r>
        <w:rPr>
          <w:noProof/>
        </w:rPr>
        <w:t>Норвегия поддържа подходящ механизъм за регистриране</w:t>
      </w:r>
      <w:r>
        <w:rPr>
          <w:rStyle w:val="FootnoteReference"/>
          <w:noProof/>
        </w:rPr>
        <w:footnoteReference w:id="4"/>
      </w:r>
      <w:r>
        <w:rPr>
          <w:noProof/>
        </w:rPr>
        <w:t xml:space="preserve"> и проследяване на всякакви проблеми, засягащи нейните хост приложение, системен софтуер, данни и приложен софтуер.</w:t>
      </w:r>
    </w:p>
    <w:p>
      <w:pPr>
        <w:pStyle w:val="Text1"/>
        <w:rPr>
          <w:noProof/>
        </w:rPr>
      </w:pPr>
      <w:r>
        <w:rPr>
          <w:noProof/>
        </w:rPr>
        <w:t>Евентуалните проблеми с която и да било част от мрежата CCN (портали и/или сървъри Exchange Mail) се докладват на ITSM незабавно.</w:t>
      </w:r>
    </w:p>
    <w:p>
      <w:pPr>
        <w:pStyle w:val="ManualHeading4"/>
        <w:rPr>
          <w:noProof/>
        </w:rPr>
      </w:pPr>
      <w:bookmarkStart w:id="87" w:name="_Toc150588525"/>
      <w:bookmarkStart w:id="88" w:name="_Toc486595059"/>
      <w:r>
        <w:rPr>
          <w:noProof/>
        </w:rPr>
        <w:t>5.1.4.2.</w:t>
      </w:r>
      <w:r>
        <w:rPr>
          <w:noProof/>
        </w:rPr>
        <w:tab/>
      </w:r>
      <w:r>
        <w:rPr>
          <w:i/>
          <w:noProof/>
        </w:rPr>
        <w:t>Докладване</w:t>
      </w:r>
      <w:bookmarkEnd w:id="87"/>
      <w:bookmarkEnd w:id="88"/>
    </w:p>
    <w:p>
      <w:pPr>
        <w:pStyle w:val="Text1"/>
        <w:rPr>
          <w:noProof/>
        </w:rPr>
      </w:pPr>
      <w:r>
        <w:rPr>
          <w:noProof/>
        </w:rPr>
        <w:t>Норвегия уведомява ITSM, ако има вътрешен проблем с техническата инфраструктура, свързана със собствените ѝ системи и приложения за административно сътрудничество и събиране на вземания в областта на ДДС.</w:t>
      </w:r>
    </w:p>
    <w:p>
      <w:pPr>
        <w:pStyle w:val="Text1"/>
        <w:rPr>
          <w:noProof/>
        </w:rPr>
      </w:pPr>
      <w:r>
        <w:rPr>
          <w:noProof/>
        </w:rPr>
        <w:t>Ако Норвегия смята, че не се предприемат действия за разрешаване на докладван до ITSM проблем или предприетите действия или решението не са удовлетворителни, тя докладва на Комисията възможно най-скоро.</w:t>
      </w:r>
    </w:p>
    <w:p>
      <w:pPr>
        <w:pStyle w:val="ManualHeading3"/>
        <w:rPr>
          <w:b/>
          <w:noProof/>
        </w:rPr>
      </w:pPr>
      <w:bookmarkStart w:id="89" w:name="_Toc150588526"/>
      <w:bookmarkStart w:id="90" w:name="_Toc273104881"/>
      <w:bookmarkStart w:id="91" w:name="_Toc486595060"/>
      <w:r>
        <w:rPr>
          <w:b/>
          <w:noProof/>
        </w:rPr>
        <w:t>5.1.5.</w:t>
      </w:r>
      <w:r>
        <w:rPr>
          <w:noProof/>
        </w:rPr>
        <w:tab/>
      </w:r>
      <w:r>
        <w:rPr>
          <w:b/>
          <w:noProof/>
          <w:u w:val="single"/>
        </w:rPr>
        <w:t>Управление на</w:t>
      </w:r>
      <w:bookmarkEnd w:id="89"/>
      <w:r>
        <w:rPr>
          <w:b/>
          <w:noProof/>
          <w:u w:val="single"/>
        </w:rPr>
        <w:t xml:space="preserve"> сигурността</w:t>
      </w:r>
      <w:bookmarkEnd w:id="90"/>
      <w:bookmarkEnd w:id="91"/>
    </w:p>
    <w:p>
      <w:pPr>
        <w:pStyle w:val="ManualHeading4"/>
        <w:rPr>
          <w:noProof/>
        </w:rPr>
      </w:pPr>
      <w:bookmarkStart w:id="92" w:name="_Toc150588527"/>
      <w:bookmarkStart w:id="93" w:name="_Toc486595061"/>
      <w:r>
        <w:rPr>
          <w:noProof/>
        </w:rPr>
        <w:t>5.1.5.1.</w:t>
      </w:r>
      <w:r>
        <w:rPr>
          <w:noProof/>
        </w:rPr>
        <w:tab/>
      </w:r>
      <w:r>
        <w:rPr>
          <w:i/>
          <w:noProof/>
        </w:rPr>
        <w:t>Споразумение</w:t>
      </w:r>
      <w:bookmarkEnd w:id="92"/>
      <w:r>
        <w:rPr>
          <w:rStyle w:val="FootnoteReference"/>
          <w:noProof/>
        </w:rPr>
        <w:footnoteReference w:id="5"/>
      </w:r>
      <w:bookmarkEnd w:id="93"/>
    </w:p>
    <w:p>
      <w:pPr>
        <w:pStyle w:val="Text1"/>
        <w:rPr>
          <w:noProof/>
        </w:rPr>
      </w:pPr>
      <w:r>
        <w:rPr>
          <w:noProof/>
        </w:rPr>
        <w:t>Норвегия осигурява защита на своите системи и приложения за административно сътрудничество и събиране на вземания в областта на ДДС срещу нарушения на сигурността и води регистър на всички нарушения на сигурността и на всички направени подобрения на сигурността.</w:t>
      </w:r>
    </w:p>
    <w:p>
      <w:pPr>
        <w:pStyle w:val="Text1"/>
        <w:rPr>
          <w:noProof/>
        </w:rPr>
      </w:pPr>
      <w:r>
        <w:rPr>
          <w:noProof/>
        </w:rPr>
        <w:t>Норвегия прилага препоръките и/или изискванията за сигурност, посочени в следните документи:</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9"/>
        <w:gridCol w:w="1134"/>
        <w:gridCol w:w="1559"/>
      </w:tblGrid>
      <w:tr>
        <w:tc>
          <w:tcPr>
            <w:tcW w:w="5539" w:type="dxa"/>
            <w:shd w:val="clear" w:color="auto" w:fill="BFBFBF"/>
          </w:tcPr>
          <w:p>
            <w:pPr>
              <w:spacing w:before="60"/>
              <w:jc w:val="center"/>
              <w:rPr>
                <w:rFonts w:eastAsia="Times New Roman"/>
                <w:b/>
                <w:noProof/>
                <w:szCs w:val="24"/>
              </w:rPr>
            </w:pPr>
            <w:r>
              <w:rPr>
                <w:b/>
                <w:noProof/>
              </w:rPr>
              <w:t>Наименование</w:t>
            </w:r>
          </w:p>
        </w:tc>
        <w:tc>
          <w:tcPr>
            <w:tcW w:w="1134" w:type="dxa"/>
            <w:shd w:val="clear" w:color="auto" w:fill="BFBFBF"/>
          </w:tcPr>
          <w:p>
            <w:pPr>
              <w:spacing w:before="60"/>
              <w:jc w:val="center"/>
              <w:rPr>
                <w:rFonts w:eastAsia="Times New Roman"/>
                <w:b/>
                <w:noProof/>
                <w:szCs w:val="24"/>
              </w:rPr>
            </w:pPr>
            <w:r>
              <w:rPr>
                <w:b/>
                <w:noProof/>
              </w:rPr>
              <w:t>Версия</w:t>
            </w:r>
          </w:p>
        </w:tc>
        <w:tc>
          <w:tcPr>
            <w:tcW w:w="1559" w:type="dxa"/>
            <w:shd w:val="clear" w:color="auto" w:fill="BFBFBF"/>
          </w:tcPr>
          <w:p>
            <w:pPr>
              <w:spacing w:before="60"/>
              <w:jc w:val="center"/>
              <w:rPr>
                <w:rFonts w:eastAsia="Times New Roman"/>
                <w:b/>
                <w:noProof/>
                <w:szCs w:val="24"/>
              </w:rPr>
            </w:pPr>
            <w:r>
              <w:rPr>
                <w:b/>
                <w:noProof/>
              </w:rPr>
              <w:t>Дата</w:t>
            </w:r>
          </w:p>
        </w:tc>
      </w:tr>
      <w:tr>
        <w:tc>
          <w:tcPr>
            <w:tcW w:w="5539" w:type="dxa"/>
            <w:shd w:val="clear" w:color="auto" w:fill="auto"/>
          </w:tcPr>
          <w:p>
            <w:pPr>
              <w:spacing w:before="60"/>
              <w:rPr>
                <w:rFonts w:eastAsia="Times New Roman"/>
                <w:noProof/>
                <w:szCs w:val="24"/>
              </w:rPr>
            </w:pPr>
            <w:r>
              <w:rPr>
                <w:noProof/>
              </w:rPr>
              <w:t>Препоръки за сигурност на достъпа до CCN/Mail III Webmail чрез https — вж. Ръководство на потребителя за CCN Mail III за национални администрации</w:t>
            </w:r>
          </w:p>
        </w:tc>
        <w:tc>
          <w:tcPr>
            <w:tcW w:w="1134" w:type="dxa"/>
            <w:shd w:val="clear" w:color="auto" w:fill="auto"/>
          </w:tcPr>
          <w:p>
            <w:pPr>
              <w:spacing w:before="60"/>
              <w:jc w:val="center"/>
              <w:rPr>
                <w:rFonts w:eastAsia="Times New Roman"/>
                <w:noProof/>
                <w:szCs w:val="24"/>
              </w:rPr>
            </w:pPr>
            <w:r>
              <w:rPr>
                <w:noProof/>
              </w:rPr>
              <w:t>3.0</w:t>
            </w:r>
          </w:p>
        </w:tc>
        <w:tc>
          <w:tcPr>
            <w:tcW w:w="1559" w:type="dxa"/>
            <w:shd w:val="clear" w:color="auto" w:fill="auto"/>
          </w:tcPr>
          <w:p>
            <w:pPr>
              <w:spacing w:before="60"/>
              <w:rPr>
                <w:rFonts w:eastAsia="Times New Roman"/>
                <w:noProof/>
                <w:szCs w:val="24"/>
              </w:rPr>
            </w:pPr>
            <w:r>
              <w:rPr>
                <w:noProof/>
              </w:rPr>
              <w:t>15.6.2012 г.</w:t>
            </w:r>
          </w:p>
        </w:tc>
      </w:tr>
      <w:tr>
        <w:tc>
          <w:tcPr>
            <w:tcW w:w="5539" w:type="dxa"/>
            <w:shd w:val="clear" w:color="auto" w:fill="auto"/>
          </w:tcPr>
          <w:p>
            <w:pPr>
              <w:spacing w:before="60"/>
              <w:rPr>
                <w:rFonts w:eastAsia="Times New Roman"/>
                <w:noProof/>
                <w:szCs w:val="24"/>
              </w:rPr>
            </w:pPr>
            <w:r>
              <w:rPr>
                <w:noProof/>
              </w:rPr>
              <w:t>Препоръки за сигурност на достъпа до CCN/Mail III Webmail — вж. CCN Intranet — ръководство за администратори на локална мрежа</w:t>
            </w:r>
          </w:p>
        </w:tc>
        <w:tc>
          <w:tcPr>
            <w:tcW w:w="1134" w:type="dxa"/>
            <w:shd w:val="clear" w:color="auto" w:fill="auto"/>
          </w:tcPr>
          <w:p>
            <w:pPr>
              <w:spacing w:before="60"/>
              <w:jc w:val="center"/>
              <w:rPr>
                <w:rFonts w:eastAsia="Times New Roman"/>
                <w:noProof/>
                <w:szCs w:val="24"/>
              </w:rPr>
            </w:pPr>
            <w:r>
              <w:rPr>
                <w:noProof/>
              </w:rPr>
              <w:t>4.0</w:t>
            </w:r>
          </w:p>
        </w:tc>
        <w:tc>
          <w:tcPr>
            <w:tcW w:w="1559" w:type="dxa"/>
            <w:shd w:val="clear" w:color="auto" w:fill="auto"/>
          </w:tcPr>
          <w:p>
            <w:pPr>
              <w:spacing w:before="60"/>
              <w:rPr>
                <w:rFonts w:eastAsia="Times New Roman"/>
                <w:noProof/>
                <w:szCs w:val="24"/>
              </w:rPr>
            </w:pPr>
            <w:r>
              <w:rPr>
                <w:noProof/>
              </w:rPr>
              <w:t>11.9.2008 г.</w:t>
            </w:r>
          </w:p>
        </w:tc>
      </w:tr>
    </w:tbl>
    <w:p>
      <w:pPr>
        <w:pStyle w:val="ManualHeading4"/>
        <w:rPr>
          <w:noProof/>
        </w:rPr>
      </w:pPr>
      <w:bookmarkStart w:id="94" w:name="_Toc150588528"/>
      <w:bookmarkStart w:id="95" w:name="_Toc486595062"/>
      <w:r>
        <w:rPr>
          <w:noProof/>
        </w:rPr>
        <w:t>5.1.5.2.</w:t>
      </w:r>
      <w:r>
        <w:rPr>
          <w:noProof/>
        </w:rPr>
        <w:tab/>
      </w:r>
      <w:r>
        <w:rPr>
          <w:i/>
          <w:noProof/>
        </w:rPr>
        <w:t>Докладване</w:t>
      </w:r>
      <w:bookmarkEnd w:id="94"/>
      <w:bookmarkEnd w:id="95"/>
    </w:p>
    <w:p>
      <w:pPr>
        <w:pStyle w:val="Text1"/>
        <w:rPr>
          <w:noProof/>
        </w:rPr>
      </w:pPr>
      <w:r>
        <w:rPr>
          <w:noProof/>
        </w:rPr>
        <w:t>При необходимост Норвегия докладва до Комисията относно всички нарушения на сигурността и предприети мерки.</w:t>
      </w:r>
    </w:p>
    <w:p>
      <w:pPr>
        <w:pStyle w:val="ManualHeading2"/>
        <w:rPr>
          <w:noProof/>
        </w:rPr>
      </w:pPr>
      <w:bookmarkStart w:id="96" w:name="_Toc150588529"/>
      <w:bookmarkStart w:id="97" w:name="_Toc273104882"/>
      <w:bookmarkStart w:id="98" w:name="_Toc486595063"/>
      <w:r>
        <w:rPr>
          <w:noProof/>
        </w:rPr>
        <w:t>5.2.</w:t>
      </w:r>
      <w:r>
        <w:rPr>
          <w:noProof/>
        </w:rPr>
        <w:tab/>
        <w:t xml:space="preserve">НИВА НА УСЛУГИТЕ </w:t>
      </w:r>
      <w:bookmarkEnd w:id="96"/>
      <w:bookmarkEnd w:id="97"/>
      <w:r>
        <w:rPr>
          <w:noProof/>
        </w:rPr>
        <w:t>НА НОРВЕГИЯ</w:t>
      </w:r>
      <w:bookmarkEnd w:id="98"/>
    </w:p>
    <w:p>
      <w:pPr>
        <w:pStyle w:val="ManualHeading3"/>
        <w:rPr>
          <w:b/>
          <w:noProof/>
        </w:rPr>
      </w:pPr>
      <w:bookmarkStart w:id="99" w:name="_Toc117251820"/>
      <w:bookmarkStart w:id="100" w:name="_Toc150588530"/>
      <w:bookmarkStart w:id="101" w:name="_Toc273104883"/>
      <w:bookmarkStart w:id="102" w:name="_Toc486595064"/>
      <w:r>
        <w:rPr>
          <w:b/>
          <w:noProof/>
        </w:rPr>
        <w:t>5.2.1.</w:t>
      </w:r>
      <w:r>
        <w:rPr>
          <w:noProof/>
        </w:rPr>
        <w:tab/>
      </w:r>
      <w:r>
        <w:rPr>
          <w:b/>
          <w:noProof/>
          <w:u w:val="single"/>
        </w:rPr>
        <w:t>Всички области на управление на услугите</w:t>
      </w:r>
      <w:bookmarkEnd w:id="99"/>
      <w:bookmarkEnd w:id="100"/>
      <w:bookmarkEnd w:id="101"/>
      <w:bookmarkEnd w:id="102"/>
    </w:p>
    <w:p>
      <w:pPr>
        <w:pStyle w:val="ManualHeading4"/>
        <w:rPr>
          <w:noProof/>
        </w:rPr>
      </w:pPr>
      <w:bookmarkStart w:id="103" w:name="_Toc150588531"/>
      <w:bookmarkStart w:id="104" w:name="_Toc486595065"/>
      <w:r>
        <w:rPr>
          <w:noProof/>
        </w:rPr>
        <w:t>5.2.1.1.</w:t>
      </w:r>
      <w:r>
        <w:rPr>
          <w:noProof/>
        </w:rPr>
        <w:tab/>
      </w:r>
      <w:r>
        <w:rPr>
          <w:i/>
          <w:noProof/>
        </w:rPr>
        <w:t>Споразумение</w:t>
      </w:r>
      <w:bookmarkEnd w:id="103"/>
      <w:bookmarkEnd w:id="104"/>
    </w:p>
    <w:p>
      <w:pPr>
        <w:pStyle w:val="Text1"/>
        <w:rPr>
          <w:noProof/>
        </w:rPr>
      </w:pPr>
      <w:r>
        <w:rPr>
          <w:noProof/>
        </w:rPr>
        <w:t>Норвегия регистрира всички проблеми и промени, свързани с липса на техническа, функционална и организационна готовност</w:t>
      </w:r>
      <w:r>
        <w:rPr>
          <w:rStyle w:val="FootnoteReference"/>
          <w:noProof/>
        </w:rPr>
        <w:footnoteReference w:id="6"/>
      </w:r>
      <w:r>
        <w:rPr>
          <w:noProof/>
        </w:rPr>
        <w:t xml:space="preserve"> на системите и приложенията на Норвегия за административно сътрудничество и събиране на вземания в областта на ДДС.</w:t>
      </w:r>
    </w:p>
    <w:p>
      <w:pPr>
        <w:pStyle w:val="ManualHeading4"/>
        <w:rPr>
          <w:noProof/>
        </w:rPr>
      </w:pPr>
      <w:bookmarkStart w:id="105" w:name="_Toc150588532"/>
      <w:bookmarkStart w:id="106" w:name="_Toc486595066"/>
      <w:r>
        <w:rPr>
          <w:noProof/>
        </w:rPr>
        <w:t>5.2.1.2.</w:t>
      </w:r>
      <w:r>
        <w:rPr>
          <w:noProof/>
        </w:rPr>
        <w:tab/>
      </w:r>
      <w:r>
        <w:rPr>
          <w:i/>
          <w:noProof/>
        </w:rPr>
        <w:t>Докладване</w:t>
      </w:r>
      <w:bookmarkEnd w:id="105"/>
      <w:bookmarkEnd w:id="106"/>
    </w:p>
    <w:p>
      <w:pPr>
        <w:pStyle w:val="Text1"/>
        <w:rPr>
          <w:noProof/>
        </w:rPr>
      </w:pPr>
      <w:r>
        <w:rPr>
          <w:noProof/>
        </w:rPr>
        <w:t>При необходимост Норвегия уведомява ITSM за всички проблеми и промени, свързани с липса на техническа, функционална и организационна готовност на системата ѝ. ITSM следва винаги да получава информация за всички промени, свързани с обслужващия системата персонал (оператори, системни администратори).</w:t>
      </w:r>
    </w:p>
    <w:p>
      <w:pPr>
        <w:pStyle w:val="ManualHeading3"/>
        <w:rPr>
          <w:b/>
          <w:noProof/>
        </w:rPr>
      </w:pPr>
      <w:bookmarkStart w:id="107" w:name="_Toc150588533"/>
      <w:bookmarkStart w:id="108" w:name="_Toc273104884"/>
      <w:bookmarkStart w:id="109" w:name="_Toc486595067"/>
      <w:r>
        <w:rPr>
          <w:b/>
          <w:noProof/>
        </w:rPr>
        <w:t>5.2.2.</w:t>
      </w:r>
      <w:r>
        <w:rPr>
          <w:noProof/>
        </w:rPr>
        <w:tab/>
      </w:r>
      <w:r>
        <w:rPr>
          <w:b/>
          <w:noProof/>
          <w:u w:val="single"/>
        </w:rPr>
        <w:t>Бюро за обслужване</w:t>
      </w:r>
      <w:bookmarkEnd w:id="107"/>
      <w:bookmarkEnd w:id="108"/>
      <w:bookmarkEnd w:id="109"/>
    </w:p>
    <w:p>
      <w:pPr>
        <w:pStyle w:val="ManualHeading4"/>
        <w:rPr>
          <w:noProof/>
        </w:rPr>
      </w:pPr>
      <w:bookmarkStart w:id="110" w:name="_Toc150588534"/>
      <w:bookmarkStart w:id="111" w:name="_Toc486595068"/>
      <w:r>
        <w:rPr>
          <w:noProof/>
        </w:rPr>
        <w:t>5.2.2.1.</w:t>
      </w:r>
      <w:r>
        <w:rPr>
          <w:noProof/>
        </w:rPr>
        <w:tab/>
      </w:r>
      <w:r>
        <w:rPr>
          <w:i/>
          <w:noProof/>
        </w:rPr>
        <w:t>Споразумение</w:t>
      </w:r>
      <w:bookmarkEnd w:id="110"/>
      <w:bookmarkEnd w:id="111"/>
    </w:p>
    <w:p>
      <w:pPr>
        <w:pStyle w:val="Text1"/>
        <w:rPr>
          <w:noProof/>
        </w:rPr>
      </w:pPr>
      <w:r>
        <w:rPr>
          <w:noProof/>
        </w:rPr>
        <w:t>Норвегия предоставя бюро за обслужване, което да реагира на възложени на Норвегия инциденти, да оказва помощ и да извършва изпитвания. Работното време на това бюро за обслужване трябва да е същото като работното време на бюрото за обслужване към ITSM в работните дни на ITSM. Бюрото за обслужване на Норвегия работи най-малко между 10:00 и 16:00 ЦЕВ в работни дни, с изключение на националния празник. Препоръчва се бюрото за обслужване на Норвегия да следва насоките за поддръжка на услугите на ITIL при обработването на въпросите и инцидентите.</w:t>
      </w:r>
    </w:p>
    <w:p>
      <w:pPr>
        <w:pStyle w:val="ManualHeading4"/>
        <w:rPr>
          <w:noProof/>
        </w:rPr>
      </w:pPr>
      <w:bookmarkStart w:id="112" w:name="_Toc150588535"/>
      <w:bookmarkStart w:id="113" w:name="_Toc486595069"/>
      <w:r>
        <w:rPr>
          <w:noProof/>
        </w:rPr>
        <w:t>5.2.2.2.</w:t>
      </w:r>
      <w:r>
        <w:rPr>
          <w:noProof/>
        </w:rPr>
        <w:tab/>
      </w:r>
      <w:r>
        <w:rPr>
          <w:i/>
          <w:noProof/>
        </w:rPr>
        <w:t>Докладване</w:t>
      </w:r>
      <w:bookmarkEnd w:id="112"/>
      <w:bookmarkEnd w:id="113"/>
    </w:p>
    <w:p>
      <w:pPr>
        <w:pStyle w:val="Text1"/>
        <w:rPr>
          <w:noProof/>
        </w:rPr>
      </w:pPr>
      <w:r>
        <w:rPr>
          <w:noProof/>
        </w:rPr>
        <w:t>При необходимост Норвегия уведомява ITSM във връзка с евентуални проблеми с експлоатационната готовност, засягащи нейното бюро за обслужване.</w:t>
      </w:r>
    </w:p>
    <w:p>
      <w:pPr>
        <w:pStyle w:val="ManualHeading1"/>
        <w:rPr>
          <w:noProof/>
        </w:rPr>
      </w:pPr>
      <w:bookmarkStart w:id="114" w:name="_Toc150588536"/>
      <w:bookmarkStart w:id="115" w:name="_Toc273104885"/>
      <w:bookmarkStart w:id="116" w:name="_Toc486595070"/>
      <w:r>
        <w:rPr>
          <w:noProof/>
        </w:rPr>
        <w:t>6.</w:t>
      </w:r>
      <w:r>
        <w:rPr>
          <w:noProof/>
        </w:rPr>
        <w:tab/>
      </w:r>
      <w:r>
        <w:rPr>
          <w:noProof/>
          <w:u w:val="single"/>
        </w:rPr>
        <w:t>ИЗМЕРВАНЕ НА КАЧЕСТВОТО</w:t>
      </w:r>
      <w:bookmarkEnd w:id="114"/>
      <w:bookmarkEnd w:id="115"/>
      <w:bookmarkEnd w:id="116"/>
    </w:p>
    <w:p>
      <w:pPr>
        <w:pStyle w:val="ManualHeading2"/>
        <w:rPr>
          <w:noProof/>
        </w:rPr>
      </w:pPr>
      <w:bookmarkStart w:id="117" w:name="_Toc150588537"/>
      <w:bookmarkStart w:id="118" w:name="_Toc273104886"/>
      <w:bookmarkStart w:id="119" w:name="_Toc486595071"/>
      <w:r>
        <w:rPr>
          <w:noProof/>
        </w:rPr>
        <w:t>6.1.</w:t>
      </w:r>
      <w:r>
        <w:rPr>
          <w:noProof/>
        </w:rPr>
        <w:tab/>
        <w:t>СПОРАЗУМЕНИЕ</w:t>
      </w:r>
      <w:bookmarkEnd w:id="117"/>
      <w:bookmarkEnd w:id="118"/>
      <w:bookmarkEnd w:id="119"/>
    </w:p>
    <w:p>
      <w:pPr>
        <w:pStyle w:val="Text1"/>
        <w:rPr>
          <w:noProof/>
        </w:rPr>
      </w:pPr>
      <w:r>
        <w:rPr>
          <w:noProof/>
        </w:rPr>
        <w:t>Комисията оценява докладите (доклади за дейности, генерирани от ITSM, уведомления, статистически данни, друга информация), получени от ITSM и Норвегия, определя степените на спазване на настоящото СНУ и в случай на проблеми се обръща към Норвегия за разрешаването им и за осигуряване съответствието на качеството на услугите с настоящото споразумение.</w:t>
      </w:r>
    </w:p>
    <w:p>
      <w:pPr>
        <w:pStyle w:val="ManualHeading2"/>
        <w:rPr>
          <w:noProof/>
        </w:rPr>
      </w:pPr>
      <w:bookmarkStart w:id="120" w:name="_Toc150588538"/>
      <w:bookmarkStart w:id="121" w:name="_Toc273104887"/>
      <w:bookmarkStart w:id="122" w:name="_Toc486595072"/>
      <w:r>
        <w:rPr>
          <w:noProof/>
        </w:rPr>
        <w:t>6.2.</w:t>
      </w:r>
      <w:r>
        <w:rPr>
          <w:noProof/>
        </w:rPr>
        <w:tab/>
        <w:t>ДОКЛАДВАНЕ</w:t>
      </w:r>
      <w:bookmarkEnd w:id="120"/>
      <w:bookmarkEnd w:id="121"/>
      <w:bookmarkEnd w:id="122"/>
    </w:p>
    <w:p>
      <w:pPr>
        <w:pStyle w:val="Text1"/>
        <w:rPr>
          <w:noProof/>
        </w:rPr>
      </w:pPr>
      <w:r>
        <w:rPr>
          <w:noProof/>
        </w:rPr>
        <w:t>Комисията ежемесечно докладва на Норвегия нивото на услугите съгласно точка 5.1.2.</w:t>
      </w:r>
    </w:p>
    <w:p>
      <w:pPr>
        <w:pStyle w:val="ManualHeading1"/>
        <w:rPr>
          <w:noProof/>
        </w:rPr>
      </w:pPr>
      <w:bookmarkStart w:id="123" w:name="_Toc150588539"/>
      <w:bookmarkStart w:id="124" w:name="_Toc273104888"/>
      <w:bookmarkStart w:id="125" w:name="_Toc488821743"/>
      <w:r>
        <w:rPr>
          <w:noProof/>
        </w:rPr>
        <w:t>7.</w:t>
      </w:r>
      <w:r>
        <w:rPr>
          <w:noProof/>
        </w:rPr>
        <w:tab/>
      </w:r>
      <w:r>
        <w:rPr>
          <w:noProof/>
          <w:u w:val="single"/>
        </w:rPr>
        <w:t>ОДОБРЕНИЕ НА СНУ</w:t>
      </w:r>
      <w:bookmarkEnd w:id="123"/>
      <w:bookmarkEnd w:id="124"/>
      <w:bookmarkEnd w:id="125"/>
    </w:p>
    <w:p>
      <w:pPr>
        <w:pStyle w:val="Text1"/>
        <w:rPr>
          <w:noProof/>
        </w:rPr>
      </w:pPr>
      <w:r>
        <w:rPr>
          <w:noProof/>
        </w:rPr>
        <w:t>За да бъде приложимо, споразумението за нивото на услугите трябва да бъде одобрено от Съвместния комитет.</w:t>
      </w:r>
    </w:p>
    <w:p>
      <w:pPr>
        <w:pStyle w:val="ManualHeading1"/>
        <w:rPr>
          <w:noProof/>
        </w:rPr>
      </w:pPr>
      <w:bookmarkStart w:id="126" w:name="_Toc150588540"/>
      <w:bookmarkStart w:id="127" w:name="_Ref160267046"/>
      <w:bookmarkStart w:id="128" w:name="_Toc273104889"/>
      <w:bookmarkStart w:id="129" w:name="_Toc488821744"/>
      <w:r>
        <w:rPr>
          <w:noProof/>
        </w:rPr>
        <w:t>8.</w:t>
      </w:r>
      <w:r>
        <w:rPr>
          <w:noProof/>
        </w:rPr>
        <w:tab/>
      </w:r>
      <w:r>
        <w:rPr>
          <w:noProof/>
          <w:u w:val="single"/>
        </w:rPr>
        <w:t>ПРОМЕНИ В СНУ</w:t>
      </w:r>
      <w:bookmarkEnd w:id="126"/>
      <w:bookmarkEnd w:id="127"/>
      <w:bookmarkEnd w:id="128"/>
      <w:bookmarkEnd w:id="129"/>
    </w:p>
    <w:p>
      <w:pPr>
        <w:pStyle w:val="Text1"/>
        <w:rPr>
          <w:noProof/>
        </w:rPr>
      </w:pPr>
      <w:r>
        <w:rPr>
          <w:noProof/>
        </w:rPr>
        <w:t xml:space="preserve">Споразумението за нивото на услугите се преразглежда по писмено искане, отправено от Комисията или Норвегия до Съвместния комитет. </w:t>
      </w:r>
    </w:p>
    <w:p>
      <w:pPr>
        <w:pStyle w:val="Text1"/>
        <w:rPr>
          <w:noProof/>
        </w:rPr>
      </w:pPr>
      <w:r>
        <w:rPr>
          <w:noProof/>
        </w:rPr>
        <w:t>Докато Съвместният комитет не вземе решение относно предложените изменения, остават в сила разпоредбите на последното СНУ. Съвместният комитет изпълнява функциите на орган, вземащ решенията по отношение на настоящото споразумение.</w:t>
      </w:r>
    </w:p>
    <w:p>
      <w:pPr>
        <w:pStyle w:val="ManualHeading1"/>
        <w:rPr>
          <w:noProof/>
        </w:rPr>
      </w:pPr>
      <w:r>
        <w:rPr>
          <w:noProof/>
        </w:rPr>
        <w:t>9.</w:t>
      </w:r>
      <w:r>
        <w:rPr>
          <w:noProof/>
        </w:rPr>
        <w:tab/>
      </w:r>
      <w:r>
        <w:rPr>
          <w:noProof/>
          <w:u w:val="single"/>
        </w:rPr>
        <w:t>ЗВЕНО ЗА ВРЪЗКА</w:t>
      </w:r>
    </w:p>
    <w:p>
      <w:pPr>
        <w:pStyle w:val="Text1"/>
        <w:rPr>
          <w:noProof/>
        </w:rPr>
      </w:pPr>
      <w:r>
        <w:rPr>
          <w:noProof/>
        </w:rPr>
        <w:t>При въпроси и забележки относно този документ можете да се свържете с:</w:t>
      </w:r>
    </w:p>
    <w:p>
      <w:pPr>
        <w:pStyle w:val="Text1"/>
        <w:rPr>
          <w:noProof/>
        </w:rPr>
      </w:pPr>
      <w:r>
        <w:rPr>
          <w:noProof/>
        </w:rPr>
        <w:t>ДОСТАВЧИК НА УСЛУГИТЕ — БЮРО ЗА ОБСЛУЖВАНЕ</w:t>
      </w:r>
    </w:p>
    <w:p>
      <w:pPr>
        <w:pStyle w:val="Text1"/>
        <w:rPr>
          <w:noProof/>
        </w:rPr>
      </w:pPr>
      <w:hyperlink r:id="rId18">
        <w:r>
          <w:rPr>
            <w:rStyle w:val="Hyperlink"/>
            <w:noProof/>
          </w:rPr>
          <w:t>support@itsmtaxud.europa.eu</w:t>
        </w:r>
      </w:hyperlink>
    </w:p>
    <w:p>
      <w:pPr>
        <w:spacing w:before="360" w:after="60"/>
        <w:jc w:val="left"/>
        <w:rPr>
          <w:noProof/>
        </w:rPr>
      </w:pPr>
      <w:r>
        <w:rPr>
          <w:i/>
          <w:noProof/>
        </w:rPr>
        <w:t>Дата</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ПРИТУРКА 5</w:t>
      </w:r>
    </w:p>
    <w:p>
      <w:pPr>
        <w:pStyle w:val="NormalCentered"/>
        <w:rPr>
          <w:b/>
          <w:noProof/>
        </w:rPr>
      </w:pPr>
      <w:r>
        <w:rPr>
          <w:b/>
          <w:noProof/>
        </w:rPr>
        <w:t>Проект на</w:t>
      </w:r>
      <w:r>
        <w:rPr>
          <w:b/>
          <w:noProof/>
        </w:rPr>
        <w:br/>
        <w:t>РЕШЕНИЕ № 5/[дата] на Съвместния комитет от [дата]</w:t>
      </w:r>
      <w:r>
        <w:rPr>
          <w:b/>
          <w:noProof/>
        </w:rPr>
        <w:br/>
        <w:t>за приемане на споразумението за нивото на услугите за общата комуникационна мрежа/общия системен интерфейс („СНУ за CCN/CSI“)</w:t>
      </w:r>
    </w:p>
    <w:p>
      <w:pPr>
        <w:pStyle w:val="ManualHeading1"/>
        <w:rPr>
          <w:noProof/>
        </w:rPr>
      </w:pPr>
      <w:r>
        <w:rPr>
          <w:noProof/>
        </w:rPr>
        <w:t>1.</w:t>
      </w:r>
      <w:r>
        <w:rPr>
          <w:noProof/>
        </w:rPr>
        <w:tab/>
      </w:r>
      <w:r>
        <w:rPr>
          <w:noProof/>
          <w:u w:val="single"/>
        </w:rPr>
        <w:t>СПРАВОЧНИ ДОКУМЕНТИ И ПРИЛОЖИМИ ДОКУМЕНТИ</w:t>
      </w:r>
    </w:p>
    <w:p>
      <w:pPr>
        <w:pStyle w:val="ManualHeading2"/>
        <w:rPr>
          <w:noProof/>
        </w:rPr>
      </w:pPr>
      <w:r>
        <w:rPr>
          <w:noProof/>
        </w:rPr>
        <w:t>1.1.</w:t>
      </w:r>
      <w:r>
        <w:rPr>
          <w:noProof/>
        </w:rPr>
        <w:tab/>
        <w:t>ПРИЛОЖИМИ АКТОВЕ</w:t>
      </w:r>
    </w:p>
    <w:p>
      <w:pPr>
        <w:pStyle w:val="Text1"/>
        <w:rPr>
          <w:noProof/>
        </w:rPr>
      </w:pPr>
      <w:r>
        <w:rPr>
          <w:noProof/>
        </w:rPr>
        <w:t>Настоящото СНУ ЗА CCN/CSI взема предвид списъка със споразумения и приложими решения по-долу.</w:t>
      </w:r>
      <w:r>
        <w:rPr>
          <w:noProof/>
          <w:highlight w:val="yellow"/>
        </w:rPr>
        <w:t xml:space="preserve"> </w:t>
      </w:r>
    </w:p>
    <w:tbl>
      <w:tblPr>
        <w:tblW w:w="828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840"/>
      </w:tblGrid>
      <w:tr>
        <w:tc>
          <w:tcPr>
            <w:tcW w:w="1440" w:type="dxa"/>
          </w:tcPr>
          <w:p>
            <w:pPr>
              <w:numPr>
                <w:ilvl w:val="0"/>
                <w:numId w:val="31"/>
              </w:numPr>
              <w:spacing w:before="60" w:after="60" w:line="276" w:lineRule="auto"/>
              <w:jc w:val="right"/>
              <w:rPr>
                <w:rFonts w:eastAsia="Times New Roman"/>
                <w:noProof/>
                <w:szCs w:val="24"/>
              </w:rPr>
            </w:pPr>
          </w:p>
        </w:tc>
        <w:tc>
          <w:tcPr>
            <w:tcW w:w="6840" w:type="dxa"/>
          </w:tcPr>
          <w:p>
            <w:pPr>
              <w:spacing w:before="60" w:after="60"/>
              <w:rPr>
                <w:rFonts w:eastAsia="Times New Roman"/>
                <w:noProof/>
                <w:szCs w:val="24"/>
              </w:rPr>
            </w:pPr>
            <w:r>
              <w:rPr>
                <w:noProof/>
              </w:rPr>
              <w:t>Споразумение между Европейския съюз и Кралство Норвегия за административното сътрудничество, борбата с измамите и събирането на вземания в областта на данъка върху добавената стойност (ОВ L 195, 1.8.2018 г., стр. 3).</w:t>
            </w:r>
          </w:p>
          <w:p>
            <w:pPr>
              <w:spacing w:before="60" w:after="60"/>
              <w:rPr>
                <w:rFonts w:eastAsia="Times New Roman"/>
                <w:b/>
                <w:noProof/>
                <w:szCs w:val="24"/>
              </w:rPr>
            </w:pPr>
          </w:p>
        </w:tc>
      </w:tr>
      <w:tr>
        <w:tc>
          <w:tcPr>
            <w:tcW w:w="1440" w:type="dxa"/>
          </w:tcPr>
          <w:p>
            <w:pPr>
              <w:numPr>
                <w:ilvl w:val="0"/>
                <w:numId w:val="31"/>
              </w:numPr>
              <w:spacing w:before="60" w:after="60" w:line="276" w:lineRule="auto"/>
              <w:jc w:val="right"/>
              <w:rPr>
                <w:rFonts w:eastAsia="Times New Roman"/>
                <w:noProof/>
                <w:szCs w:val="24"/>
              </w:rPr>
            </w:pPr>
          </w:p>
        </w:tc>
        <w:tc>
          <w:tcPr>
            <w:tcW w:w="6840" w:type="dxa"/>
          </w:tcPr>
          <w:p>
            <w:pPr>
              <w:spacing w:before="60" w:after="60"/>
              <w:rPr>
                <w:rFonts w:eastAsia="Times New Roman"/>
                <w:i/>
                <w:noProof/>
                <w:szCs w:val="24"/>
              </w:rPr>
            </w:pPr>
            <w:r>
              <w:rPr>
                <w:noProof/>
              </w:rPr>
              <w:t xml:space="preserve">Решение XX на Съвместния комитет за изпълнение на член 41, параграф 2, букви г), д), ж) и з) от Споразумението във връзка със стандартните формуляри, предаването на съобщения и организацията на връзките от </w:t>
            </w:r>
            <w:r>
              <w:rPr>
                <w:i/>
                <w:noProof/>
              </w:rPr>
              <w:t>[дата]</w:t>
            </w:r>
          </w:p>
          <w:p>
            <w:pPr>
              <w:spacing w:before="60" w:after="60"/>
              <w:rPr>
                <w:rFonts w:eastAsia="Times New Roman"/>
                <w:noProof/>
                <w:szCs w:val="24"/>
              </w:rPr>
            </w:pPr>
          </w:p>
        </w:tc>
      </w:tr>
    </w:tbl>
    <w:p>
      <w:pPr>
        <w:spacing w:before="60" w:after="0"/>
        <w:jc w:val="center"/>
        <w:rPr>
          <w:rFonts w:eastAsia="Times New Roman"/>
          <w:noProof/>
          <w:sz w:val="20"/>
          <w:szCs w:val="20"/>
        </w:rPr>
      </w:pPr>
      <w:r>
        <w:rPr>
          <w:noProof/>
          <w:sz w:val="20"/>
        </w:rPr>
        <w:t xml:space="preserve">Таблица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7</w:t>
      </w:r>
      <w:r>
        <w:rPr>
          <w:rFonts w:eastAsia="Times New Roman"/>
          <w:noProof/>
          <w:sz w:val="20"/>
          <w:szCs w:val="20"/>
        </w:rPr>
        <w:fldChar w:fldCharType="end"/>
      </w:r>
      <w:r>
        <w:rPr>
          <w:noProof/>
          <w:sz w:val="20"/>
        </w:rPr>
        <w:t>: Приложими актове</w:t>
      </w:r>
    </w:p>
    <w:p>
      <w:pPr>
        <w:pStyle w:val="ManualHeading2"/>
        <w:rPr>
          <w:noProof/>
        </w:rPr>
      </w:pPr>
      <w:r>
        <w:rPr>
          <w:noProof/>
        </w:rPr>
        <w:t>1.2.</w:t>
      </w:r>
      <w:r>
        <w:rPr>
          <w:noProof/>
        </w:rPr>
        <w:tab/>
        <w:t>СПРАВОЧНИ ДОКУМЕНТИ</w:t>
      </w:r>
    </w:p>
    <w:p>
      <w:pPr>
        <w:pStyle w:val="Text1"/>
        <w:rPr>
          <w:noProof/>
        </w:rPr>
      </w:pPr>
      <w:r>
        <w:rPr>
          <w:noProof/>
        </w:rPr>
        <w:t xml:space="preserve">Настоящото СНУ ЗА CCN/CSI взема предвид информацията, представена в следните справочни документи. Приложими са версиите на документите, налични към момента на подписване на настоящото споразумение. </w:t>
      </w:r>
    </w:p>
    <w:tbl>
      <w:tblPr>
        <w:tblStyle w:val="TableGrid2"/>
        <w:tblW w:w="0" w:type="auto"/>
        <w:tblInd w:w="948" w:type="dxa"/>
        <w:tblLook w:val="04A0" w:firstRow="1" w:lastRow="0" w:firstColumn="1" w:lastColumn="0" w:noHBand="0" w:noVBand="1"/>
      </w:tblPr>
      <w:tblGrid>
        <w:gridCol w:w="2495"/>
        <w:gridCol w:w="2116"/>
        <w:gridCol w:w="2054"/>
        <w:gridCol w:w="1676"/>
      </w:tblGrid>
      <w:tr>
        <w:tc>
          <w:tcPr>
            <w:tcW w:w="948" w:type="dxa"/>
            <w:shd w:val="clear" w:color="auto" w:fill="D9D9D9"/>
          </w:tcPr>
          <w:p>
            <w:pPr>
              <w:spacing w:before="0" w:after="0"/>
              <w:rPr>
                <w:rFonts w:eastAsia="Calibri"/>
                <w:b/>
                <w:noProof/>
              </w:rPr>
            </w:pPr>
            <w:r>
              <w:rPr>
                <w:b/>
                <w:noProof/>
              </w:rPr>
              <w:t>ИДЕНТИФИКАТОР</w:t>
            </w:r>
          </w:p>
        </w:tc>
        <w:tc>
          <w:tcPr>
            <w:tcW w:w="2760" w:type="dxa"/>
            <w:shd w:val="clear" w:color="auto" w:fill="D9D9D9"/>
          </w:tcPr>
          <w:p>
            <w:pPr>
              <w:spacing w:before="0" w:after="0"/>
              <w:ind w:right="132"/>
              <w:jc w:val="left"/>
              <w:rPr>
                <w:rFonts w:eastAsia="Calibri"/>
                <w:b/>
                <w:noProof/>
              </w:rPr>
            </w:pPr>
            <w:r>
              <w:rPr>
                <w:b/>
                <w:noProof/>
              </w:rPr>
              <w:t>РЕФ. КОД</w:t>
            </w:r>
          </w:p>
        </w:tc>
        <w:tc>
          <w:tcPr>
            <w:tcW w:w="2503" w:type="dxa"/>
            <w:shd w:val="clear" w:color="auto" w:fill="D9D9D9"/>
          </w:tcPr>
          <w:p>
            <w:pPr>
              <w:spacing w:before="0" w:after="0"/>
              <w:rPr>
                <w:rFonts w:eastAsia="Calibri"/>
                <w:b/>
                <w:noProof/>
              </w:rPr>
            </w:pPr>
            <w:r>
              <w:rPr>
                <w:b/>
                <w:noProof/>
              </w:rPr>
              <w:t>ЗАГЛАВИЕ</w:t>
            </w:r>
          </w:p>
        </w:tc>
        <w:tc>
          <w:tcPr>
            <w:tcW w:w="2069" w:type="dxa"/>
            <w:shd w:val="clear" w:color="auto" w:fill="D9D9D9"/>
          </w:tcPr>
          <w:p>
            <w:pPr>
              <w:spacing w:before="0" w:after="0"/>
              <w:rPr>
                <w:rFonts w:eastAsia="Calibri"/>
                <w:b/>
                <w:noProof/>
              </w:rPr>
            </w:pPr>
            <w:r>
              <w:rPr>
                <w:b/>
                <w:noProof/>
              </w:rPr>
              <w:t>ВЕРСИЯ</w:t>
            </w:r>
          </w:p>
        </w:tc>
      </w:tr>
      <w:tr>
        <w:tc>
          <w:tcPr>
            <w:tcW w:w="948" w:type="dxa"/>
            <w:vAlign w:val="bottom"/>
          </w:tcPr>
          <w:p>
            <w:pPr>
              <w:spacing w:before="0" w:after="0"/>
              <w:jc w:val="left"/>
              <w:rPr>
                <w:rFonts w:eastAsia="Calibri"/>
                <w:noProof/>
                <w:szCs w:val="24"/>
              </w:rPr>
            </w:pPr>
            <w:hyperlink r:id="rId19">
              <w:r>
                <w:rPr>
                  <w:noProof/>
                  <w:color w:val="0000FF"/>
                  <w:u w:val="single"/>
                </w:rPr>
                <w:t>RD1</w:t>
              </w:r>
            </w:hyperlink>
          </w:p>
        </w:tc>
        <w:tc>
          <w:tcPr>
            <w:tcW w:w="2760" w:type="dxa"/>
            <w:vAlign w:val="bottom"/>
          </w:tcPr>
          <w:p>
            <w:pPr>
              <w:spacing w:before="0" w:after="0"/>
              <w:ind w:right="132"/>
              <w:jc w:val="left"/>
              <w:rPr>
                <w:rFonts w:eastAsia="Calibri"/>
                <w:noProof/>
                <w:szCs w:val="24"/>
              </w:rPr>
            </w:pPr>
            <w:r>
              <w:rPr>
                <w:noProof/>
              </w:rPr>
              <w:t>CCN-COVW-GEN</w:t>
            </w:r>
          </w:p>
        </w:tc>
        <w:tc>
          <w:tcPr>
            <w:tcW w:w="2503" w:type="dxa"/>
            <w:vAlign w:val="bottom"/>
          </w:tcPr>
          <w:p>
            <w:pPr>
              <w:spacing w:before="0" w:after="0"/>
              <w:ind w:left="84" w:right="-747"/>
              <w:jc w:val="left"/>
              <w:rPr>
                <w:rFonts w:eastAsia="Calibri"/>
                <w:noProof/>
                <w:szCs w:val="24"/>
              </w:rPr>
            </w:pPr>
            <w:r>
              <w:rPr>
                <w:noProof/>
              </w:rPr>
              <w:t>Обзор на системите CCN/CSI &amp; SPEED2</w:t>
            </w:r>
          </w:p>
        </w:tc>
        <w:tc>
          <w:tcPr>
            <w:tcW w:w="2069" w:type="dxa"/>
            <w:vAlign w:val="bottom"/>
          </w:tcPr>
          <w:p>
            <w:pPr>
              <w:spacing w:before="0" w:after="0"/>
              <w:ind w:left="84" w:right="-747"/>
              <w:jc w:val="left"/>
              <w:rPr>
                <w:rFonts w:eastAsia="Calibri"/>
                <w:noProof/>
                <w:szCs w:val="24"/>
              </w:rPr>
            </w:pPr>
            <w:r>
              <w:rPr>
                <w:noProof/>
              </w:rPr>
              <w:t>EN18.01</w:t>
            </w:r>
          </w:p>
        </w:tc>
      </w:tr>
      <w:tr>
        <w:tc>
          <w:tcPr>
            <w:tcW w:w="948" w:type="dxa"/>
            <w:vAlign w:val="bottom"/>
          </w:tcPr>
          <w:p>
            <w:pPr>
              <w:spacing w:before="0" w:after="0"/>
              <w:jc w:val="left"/>
              <w:rPr>
                <w:rFonts w:eastAsia="Calibri"/>
                <w:noProof/>
                <w:szCs w:val="24"/>
              </w:rPr>
            </w:pPr>
            <w:hyperlink r:id="rId20">
              <w:r>
                <w:rPr>
                  <w:noProof/>
                  <w:color w:val="0000FF"/>
                  <w:u w:val="single"/>
                </w:rPr>
                <w:t>RD2</w:t>
              </w:r>
            </w:hyperlink>
          </w:p>
        </w:tc>
        <w:tc>
          <w:tcPr>
            <w:tcW w:w="2760" w:type="dxa"/>
            <w:vAlign w:val="bottom"/>
          </w:tcPr>
          <w:p>
            <w:pPr>
              <w:spacing w:before="0" w:after="0"/>
              <w:ind w:right="132"/>
              <w:jc w:val="left"/>
              <w:rPr>
                <w:rFonts w:eastAsia="Calibri"/>
                <w:noProof/>
                <w:szCs w:val="24"/>
              </w:rPr>
            </w:pPr>
            <w:r>
              <w:rPr>
                <w:noProof/>
              </w:rPr>
              <w:t>CCN-CMPR-GW</w:t>
            </w:r>
          </w:p>
        </w:tc>
        <w:tc>
          <w:tcPr>
            <w:tcW w:w="2503" w:type="dxa"/>
            <w:vAlign w:val="bottom"/>
          </w:tcPr>
          <w:p>
            <w:pPr>
              <w:spacing w:before="0" w:after="0"/>
              <w:ind w:left="84" w:right="-747"/>
              <w:jc w:val="left"/>
              <w:rPr>
                <w:rFonts w:eastAsia="Calibri"/>
                <w:noProof/>
                <w:szCs w:val="24"/>
              </w:rPr>
            </w:pPr>
            <w:r>
              <w:rPr>
                <w:noProof/>
              </w:rPr>
              <w:t>Процедури за управление на порталите на CCN</w:t>
            </w:r>
          </w:p>
        </w:tc>
        <w:tc>
          <w:tcPr>
            <w:tcW w:w="2069" w:type="dxa"/>
            <w:vAlign w:val="bottom"/>
          </w:tcPr>
          <w:p>
            <w:pPr>
              <w:spacing w:before="0" w:after="0"/>
              <w:ind w:left="84" w:right="-747"/>
              <w:jc w:val="left"/>
              <w:rPr>
                <w:rFonts w:eastAsia="Calibri"/>
                <w:noProof/>
                <w:szCs w:val="24"/>
              </w:rPr>
            </w:pPr>
            <w:r>
              <w:rPr>
                <w:noProof/>
              </w:rPr>
              <w:t>EN19.20</w:t>
            </w:r>
          </w:p>
        </w:tc>
      </w:tr>
      <w:tr>
        <w:tc>
          <w:tcPr>
            <w:tcW w:w="948" w:type="dxa"/>
            <w:vAlign w:val="bottom"/>
          </w:tcPr>
          <w:p>
            <w:pPr>
              <w:spacing w:before="0" w:after="0"/>
              <w:jc w:val="left"/>
              <w:rPr>
                <w:rFonts w:eastAsia="Calibri"/>
                <w:noProof/>
                <w:szCs w:val="24"/>
              </w:rPr>
            </w:pPr>
            <w:hyperlink r:id="rId21">
              <w:r>
                <w:rPr>
                  <w:noProof/>
                  <w:color w:val="0000FF"/>
                  <w:u w:val="single"/>
                </w:rPr>
                <w:t>RD3</w:t>
              </w:r>
            </w:hyperlink>
          </w:p>
        </w:tc>
        <w:tc>
          <w:tcPr>
            <w:tcW w:w="2760" w:type="dxa"/>
            <w:vAlign w:val="bottom"/>
          </w:tcPr>
          <w:p>
            <w:pPr>
              <w:spacing w:before="0" w:after="0"/>
              <w:ind w:right="132"/>
              <w:jc w:val="left"/>
              <w:rPr>
                <w:rFonts w:eastAsia="Calibri"/>
                <w:noProof/>
                <w:szCs w:val="24"/>
              </w:rPr>
            </w:pPr>
            <w:r>
              <w:rPr>
                <w:noProof/>
              </w:rPr>
              <w:t>CCN-CSEC-POL</w:t>
            </w:r>
          </w:p>
        </w:tc>
        <w:tc>
          <w:tcPr>
            <w:tcW w:w="2503" w:type="dxa"/>
            <w:vAlign w:val="bottom"/>
          </w:tcPr>
          <w:p>
            <w:pPr>
              <w:spacing w:before="0" w:after="0"/>
              <w:ind w:left="84" w:right="-747"/>
              <w:jc w:val="left"/>
              <w:rPr>
                <w:rFonts w:eastAsia="Calibri"/>
                <w:noProof/>
                <w:szCs w:val="24"/>
              </w:rPr>
            </w:pPr>
            <w:r>
              <w:rPr>
                <w:noProof/>
              </w:rPr>
              <w:t>Обща политика за сигурност на CCN/CSI</w:t>
            </w:r>
          </w:p>
        </w:tc>
        <w:tc>
          <w:tcPr>
            <w:tcW w:w="2069" w:type="dxa"/>
            <w:vAlign w:val="bottom"/>
          </w:tcPr>
          <w:p>
            <w:pPr>
              <w:spacing w:before="0" w:after="0"/>
              <w:ind w:left="84" w:right="-747"/>
              <w:jc w:val="left"/>
              <w:rPr>
                <w:rFonts w:eastAsia="Calibri"/>
                <w:noProof/>
                <w:szCs w:val="24"/>
              </w:rPr>
            </w:pPr>
            <w:r>
              <w:rPr>
                <w:noProof/>
              </w:rPr>
              <w:t>EN05.00</w:t>
            </w:r>
          </w:p>
        </w:tc>
      </w:tr>
      <w:tr>
        <w:tc>
          <w:tcPr>
            <w:tcW w:w="948" w:type="dxa"/>
            <w:vAlign w:val="bottom"/>
          </w:tcPr>
          <w:p>
            <w:pPr>
              <w:spacing w:before="0" w:after="0"/>
              <w:jc w:val="left"/>
              <w:rPr>
                <w:rFonts w:eastAsia="Calibri"/>
                <w:noProof/>
                <w:szCs w:val="24"/>
              </w:rPr>
            </w:pPr>
            <w:hyperlink r:id="rId22">
              <w:r>
                <w:rPr>
                  <w:noProof/>
                  <w:color w:val="0000FF"/>
                  <w:u w:val="single"/>
                </w:rPr>
                <w:t>RD4</w:t>
              </w:r>
            </w:hyperlink>
          </w:p>
        </w:tc>
        <w:tc>
          <w:tcPr>
            <w:tcW w:w="2760" w:type="dxa"/>
            <w:vAlign w:val="bottom"/>
          </w:tcPr>
          <w:p>
            <w:pPr>
              <w:spacing w:before="0" w:after="0"/>
              <w:ind w:right="132"/>
              <w:jc w:val="left"/>
              <w:rPr>
                <w:rFonts w:eastAsia="Calibri"/>
                <w:noProof/>
                <w:szCs w:val="24"/>
              </w:rPr>
            </w:pPr>
            <w:r>
              <w:rPr>
                <w:noProof/>
              </w:rPr>
              <w:t>CCN-CSEC-BSCK</w:t>
            </w:r>
          </w:p>
        </w:tc>
        <w:tc>
          <w:tcPr>
            <w:tcW w:w="2503" w:type="dxa"/>
            <w:vAlign w:val="bottom"/>
          </w:tcPr>
          <w:p>
            <w:pPr>
              <w:spacing w:before="0" w:after="0"/>
              <w:ind w:left="84" w:right="-747"/>
              <w:jc w:val="left"/>
              <w:rPr>
                <w:rFonts w:eastAsia="Calibri"/>
                <w:noProof/>
                <w:szCs w:val="24"/>
              </w:rPr>
            </w:pPr>
            <w:r>
              <w:rPr>
                <w:noProof/>
              </w:rPr>
              <w:t>Основен контролен списък за сигурност на CCN/CSI</w:t>
            </w:r>
          </w:p>
        </w:tc>
        <w:tc>
          <w:tcPr>
            <w:tcW w:w="2069" w:type="dxa"/>
            <w:vAlign w:val="bottom"/>
          </w:tcPr>
          <w:p>
            <w:pPr>
              <w:spacing w:before="0" w:after="0"/>
              <w:ind w:left="84" w:right="-747"/>
              <w:jc w:val="left"/>
              <w:rPr>
                <w:rFonts w:eastAsia="Calibri"/>
                <w:noProof/>
                <w:szCs w:val="24"/>
              </w:rPr>
            </w:pPr>
            <w:r>
              <w:rPr>
                <w:noProof/>
              </w:rPr>
              <w:t>EN03.00</w:t>
            </w:r>
          </w:p>
        </w:tc>
      </w:tr>
      <w:tr>
        <w:tc>
          <w:tcPr>
            <w:tcW w:w="948" w:type="dxa"/>
            <w:vAlign w:val="bottom"/>
          </w:tcPr>
          <w:p>
            <w:pPr>
              <w:spacing w:before="0" w:after="0"/>
              <w:jc w:val="left"/>
              <w:rPr>
                <w:rFonts w:eastAsia="Calibri"/>
                <w:noProof/>
                <w:szCs w:val="24"/>
              </w:rPr>
            </w:pPr>
            <w:hyperlink r:id="rId23">
              <w:r>
                <w:rPr>
                  <w:noProof/>
                  <w:color w:val="0000FF"/>
                  <w:u w:val="single"/>
                </w:rPr>
                <w:t>RD5</w:t>
              </w:r>
            </w:hyperlink>
          </w:p>
        </w:tc>
        <w:tc>
          <w:tcPr>
            <w:tcW w:w="2760" w:type="dxa"/>
            <w:vAlign w:val="bottom"/>
          </w:tcPr>
          <w:p>
            <w:pPr>
              <w:spacing w:before="0" w:after="0"/>
              <w:ind w:right="132"/>
              <w:jc w:val="left"/>
              <w:rPr>
                <w:rFonts w:eastAsia="Calibri"/>
                <w:noProof/>
                <w:szCs w:val="24"/>
              </w:rPr>
            </w:pPr>
            <w:r>
              <w:rPr>
                <w:noProof/>
              </w:rPr>
              <w:t>CCN-CLST-ROL</w:t>
            </w:r>
          </w:p>
        </w:tc>
        <w:tc>
          <w:tcPr>
            <w:tcW w:w="2503" w:type="dxa"/>
            <w:vAlign w:val="bottom"/>
          </w:tcPr>
          <w:p>
            <w:pPr>
              <w:spacing w:before="0" w:after="0"/>
              <w:ind w:left="84" w:right="-747"/>
              <w:jc w:val="left"/>
              <w:rPr>
                <w:rFonts w:eastAsia="Calibri"/>
                <w:noProof/>
                <w:szCs w:val="24"/>
              </w:rPr>
            </w:pPr>
            <w:r>
              <w:rPr>
                <w:noProof/>
              </w:rPr>
              <w:t>Описание на ролите в CCN/CSI</w:t>
            </w:r>
          </w:p>
        </w:tc>
        <w:tc>
          <w:tcPr>
            <w:tcW w:w="2069" w:type="dxa"/>
            <w:vAlign w:val="bottom"/>
          </w:tcPr>
          <w:p>
            <w:pPr>
              <w:spacing w:before="0" w:after="0"/>
              <w:ind w:left="84" w:right="-747"/>
              <w:jc w:val="left"/>
              <w:rPr>
                <w:rFonts w:eastAsia="Calibri"/>
                <w:noProof/>
                <w:szCs w:val="24"/>
              </w:rPr>
            </w:pPr>
            <w:r>
              <w:rPr>
                <w:noProof/>
              </w:rPr>
              <w:t>EN02.10</w:t>
            </w:r>
          </w:p>
        </w:tc>
      </w:tr>
      <w:tr>
        <w:tc>
          <w:tcPr>
            <w:tcW w:w="948" w:type="dxa"/>
            <w:vAlign w:val="bottom"/>
          </w:tcPr>
          <w:p>
            <w:pPr>
              <w:spacing w:before="0" w:after="0"/>
              <w:jc w:val="left"/>
              <w:rPr>
                <w:rFonts w:eastAsia="Calibri"/>
                <w:noProof/>
                <w:szCs w:val="24"/>
              </w:rPr>
            </w:pPr>
            <w:hyperlink r:id="rId24">
              <w:r>
                <w:rPr>
                  <w:noProof/>
                  <w:color w:val="0000FF"/>
                  <w:u w:val="single"/>
                </w:rPr>
                <w:t>RD6</w:t>
              </w:r>
            </w:hyperlink>
          </w:p>
        </w:tc>
        <w:tc>
          <w:tcPr>
            <w:tcW w:w="2760" w:type="dxa"/>
            <w:vAlign w:val="bottom"/>
          </w:tcPr>
          <w:p>
            <w:pPr>
              <w:spacing w:before="0" w:after="0"/>
              <w:ind w:right="132"/>
              <w:jc w:val="left"/>
              <w:rPr>
                <w:rFonts w:eastAsia="Calibri"/>
                <w:noProof/>
                <w:szCs w:val="24"/>
              </w:rPr>
            </w:pPr>
            <w:r>
              <w:rPr>
                <w:noProof/>
              </w:rPr>
              <w:t>CCN-CNEX-031</w:t>
            </w:r>
          </w:p>
        </w:tc>
        <w:tc>
          <w:tcPr>
            <w:tcW w:w="2503" w:type="dxa"/>
            <w:vAlign w:val="bottom"/>
          </w:tcPr>
          <w:p>
            <w:pPr>
              <w:spacing w:before="0" w:after="0"/>
              <w:ind w:left="84" w:right="-747"/>
              <w:jc w:val="left"/>
              <w:rPr>
                <w:rFonts w:eastAsia="Calibri"/>
                <w:noProof/>
                <w:szCs w:val="24"/>
              </w:rPr>
            </w:pPr>
            <w:r>
              <w:rPr>
                <w:noProof/>
              </w:rPr>
              <w:t>Външна бележка 031 — процедура за преместване на обект на CCN/CSI</w:t>
            </w:r>
          </w:p>
        </w:tc>
        <w:tc>
          <w:tcPr>
            <w:tcW w:w="2069" w:type="dxa"/>
            <w:vAlign w:val="bottom"/>
          </w:tcPr>
          <w:p>
            <w:pPr>
              <w:spacing w:before="0" w:after="0"/>
              <w:ind w:left="84" w:right="-747"/>
              <w:jc w:val="left"/>
              <w:rPr>
                <w:rFonts w:eastAsia="Calibri"/>
                <w:noProof/>
                <w:szCs w:val="24"/>
              </w:rPr>
            </w:pPr>
            <w:r>
              <w:rPr>
                <w:noProof/>
              </w:rPr>
              <w:t>EN06.20</w:t>
            </w:r>
          </w:p>
        </w:tc>
      </w:tr>
      <w:tr>
        <w:tc>
          <w:tcPr>
            <w:tcW w:w="948" w:type="dxa"/>
            <w:vAlign w:val="bottom"/>
          </w:tcPr>
          <w:p>
            <w:pPr>
              <w:spacing w:before="0" w:after="0"/>
              <w:jc w:val="left"/>
              <w:rPr>
                <w:rFonts w:eastAsia="Calibri"/>
                <w:noProof/>
                <w:szCs w:val="24"/>
              </w:rPr>
            </w:pPr>
            <w:hyperlink r:id="rId25">
              <w:r>
                <w:rPr>
                  <w:noProof/>
                  <w:color w:val="0000FF"/>
                  <w:u w:val="single"/>
                </w:rPr>
                <w:t>RD7</w:t>
              </w:r>
            </w:hyperlink>
          </w:p>
        </w:tc>
        <w:tc>
          <w:tcPr>
            <w:tcW w:w="2760" w:type="dxa"/>
            <w:vAlign w:val="bottom"/>
          </w:tcPr>
          <w:p>
            <w:pPr>
              <w:spacing w:before="0" w:after="0"/>
              <w:ind w:right="132"/>
              <w:jc w:val="left"/>
              <w:rPr>
                <w:rFonts w:eastAsia="Calibri"/>
                <w:noProof/>
                <w:szCs w:val="24"/>
              </w:rPr>
            </w:pPr>
            <w:r>
              <w:rPr>
                <w:noProof/>
              </w:rPr>
              <w:t>CCN-CNEX-060</w:t>
            </w:r>
          </w:p>
        </w:tc>
        <w:tc>
          <w:tcPr>
            <w:tcW w:w="2503" w:type="dxa"/>
            <w:vAlign w:val="bottom"/>
          </w:tcPr>
          <w:p>
            <w:pPr>
              <w:spacing w:before="0" w:after="0"/>
              <w:ind w:left="84" w:right="-747"/>
              <w:jc w:val="left"/>
              <w:rPr>
                <w:rFonts w:eastAsia="Calibri"/>
                <w:noProof/>
                <w:szCs w:val="24"/>
              </w:rPr>
            </w:pPr>
            <w:r>
              <w:rPr>
                <w:noProof/>
              </w:rPr>
              <w:t>Външна бележка 060 — инсталиране на нов обект на CCN</w:t>
            </w:r>
          </w:p>
        </w:tc>
        <w:tc>
          <w:tcPr>
            <w:tcW w:w="2069" w:type="dxa"/>
            <w:vAlign w:val="bottom"/>
          </w:tcPr>
          <w:p>
            <w:pPr>
              <w:spacing w:before="0" w:after="0"/>
              <w:ind w:left="84" w:right="-747"/>
              <w:jc w:val="left"/>
              <w:rPr>
                <w:rFonts w:eastAsia="Calibri"/>
                <w:noProof/>
                <w:szCs w:val="24"/>
              </w:rPr>
            </w:pPr>
            <w:r>
              <w:rPr>
                <w:noProof/>
              </w:rPr>
              <w:t>EN02.20</w:t>
            </w:r>
          </w:p>
        </w:tc>
      </w:tr>
      <w:tr>
        <w:tc>
          <w:tcPr>
            <w:tcW w:w="948" w:type="dxa"/>
            <w:vAlign w:val="bottom"/>
          </w:tcPr>
          <w:p>
            <w:pPr>
              <w:spacing w:before="0" w:after="0"/>
              <w:jc w:val="left"/>
              <w:rPr>
                <w:rFonts w:eastAsia="Calibri"/>
                <w:noProof/>
                <w:szCs w:val="24"/>
              </w:rPr>
            </w:pPr>
            <w:hyperlink r:id="rId26">
              <w:r>
                <w:rPr>
                  <w:noProof/>
                  <w:color w:val="0000FF"/>
                  <w:u w:val="single"/>
                </w:rPr>
                <w:t>RD8</w:t>
              </w:r>
            </w:hyperlink>
          </w:p>
        </w:tc>
        <w:tc>
          <w:tcPr>
            <w:tcW w:w="2760" w:type="dxa"/>
            <w:vAlign w:val="bottom"/>
          </w:tcPr>
          <w:p>
            <w:pPr>
              <w:spacing w:before="0" w:after="0"/>
              <w:ind w:right="132"/>
              <w:jc w:val="left"/>
              <w:rPr>
                <w:rFonts w:eastAsia="Calibri"/>
                <w:noProof/>
                <w:szCs w:val="24"/>
              </w:rPr>
            </w:pPr>
            <w:r>
              <w:rPr>
                <w:noProof/>
              </w:rPr>
              <w:t>CCN/CSI-PRG-AP/C-01-MARB</w:t>
            </w:r>
          </w:p>
        </w:tc>
        <w:tc>
          <w:tcPr>
            <w:tcW w:w="2503" w:type="dxa"/>
            <w:vAlign w:val="bottom"/>
          </w:tcPr>
          <w:p>
            <w:pPr>
              <w:spacing w:before="0" w:after="0"/>
              <w:ind w:left="84" w:right="-747"/>
              <w:jc w:val="left"/>
              <w:rPr>
                <w:rFonts w:eastAsia="Calibri"/>
                <w:noProof/>
                <w:szCs w:val="24"/>
              </w:rPr>
            </w:pPr>
            <w:r>
              <w:rPr>
                <w:noProof/>
                <w:color w:val="000000"/>
              </w:rPr>
              <w:t>Ръководство за приложно програмиране CCN/CSI-PRG-AP/C-01-MARB (език C)</w:t>
            </w:r>
          </w:p>
        </w:tc>
        <w:tc>
          <w:tcPr>
            <w:tcW w:w="2069" w:type="dxa"/>
            <w:vAlign w:val="bottom"/>
          </w:tcPr>
          <w:p>
            <w:pPr>
              <w:spacing w:before="0" w:after="0"/>
              <w:ind w:left="84" w:right="-747"/>
              <w:jc w:val="left"/>
              <w:rPr>
                <w:rFonts w:eastAsia="Calibri"/>
                <w:noProof/>
                <w:szCs w:val="24"/>
              </w:rPr>
            </w:pPr>
            <w:r>
              <w:rPr>
                <w:noProof/>
              </w:rPr>
              <w:t>EN11.00</w:t>
            </w:r>
          </w:p>
        </w:tc>
      </w:tr>
    </w:tbl>
    <w:p>
      <w:pPr>
        <w:spacing w:before="60"/>
        <w:jc w:val="center"/>
        <w:rPr>
          <w:rFonts w:eastAsia="Times New Roman"/>
          <w:noProof/>
          <w:sz w:val="20"/>
          <w:szCs w:val="20"/>
        </w:rPr>
      </w:pPr>
      <w:r>
        <w:rPr>
          <w:noProof/>
          <w:sz w:val="20"/>
        </w:rPr>
        <w:t xml:space="preserve">Таблица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8</w:t>
      </w:r>
      <w:r>
        <w:rPr>
          <w:rFonts w:eastAsia="Times New Roman"/>
          <w:noProof/>
          <w:sz w:val="20"/>
          <w:szCs w:val="20"/>
        </w:rPr>
        <w:fldChar w:fldCharType="end"/>
      </w:r>
      <w:r>
        <w:rPr>
          <w:noProof/>
          <w:sz w:val="20"/>
        </w:rPr>
        <w:t>: Справочни документи</w:t>
      </w:r>
    </w:p>
    <w:p>
      <w:pPr>
        <w:pStyle w:val="ManualHeading1"/>
        <w:rPr>
          <w:noProof/>
        </w:rPr>
      </w:pPr>
      <w:r>
        <w:rPr>
          <w:noProof/>
        </w:rPr>
        <w:t>2.</w:t>
      </w:r>
      <w:r>
        <w:rPr>
          <w:noProof/>
        </w:rPr>
        <w:tab/>
      </w:r>
      <w:r>
        <w:rPr>
          <w:noProof/>
          <w:u w:val="single"/>
        </w:rPr>
        <w:t>ТЕРМИНОЛОГИЯ</w:t>
      </w:r>
    </w:p>
    <w:p>
      <w:pPr>
        <w:pStyle w:val="ManualHeading2"/>
        <w:rPr>
          <w:noProof/>
        </w:rPr>
      </w:pPr>
      <w:r>
        <w:rPr>
          <w:noProof/>
        </w:rPr>
        <w:t>2.1.</w:t>
      </w:r>
      <w:r>
        <w:rPr>
          <w:noProof/>
        </w:rPr>
        <w:tab/>
        <w:t xml:space="preserve">СЪКРАЩЕНИЯ </w:t>
      </w:r>
    </w:p>
    <w:tbl>
      <w:tblPr>
        <w:tblStyle w:val="TableGrid"/>
        <w:tblW w:w="8363" w:type="dxa"/>
        <w:tblInd w:w="959" w:type="dxa"/>
        <w:tblLook w:val="04A0" w:firstRow="1" w:lastRow="0" w:firstColumn="1" w:lastColumn="0" w:noHBand="0" w:noVBand="1"/>
      </w:tblPr>
      <w:tblGrid>
        <w:gridCol w:w="2268"/>
        <w:gridCol w:w="6095"/>
      </w:tblGrid>
      <w:tr>
        <w:tc>
          <w:tcPr>
            <w:tcW w:w="2268" w:type="dxa"/>
            <w:shd w:val="clear" w:color="auto" w:fill="D9D9D9" w:themeFill="background1" w:themeFillShade="D9"/>
          </w:tcPr>
          <w:p>
            <w:pPr>
              <w:pStyle w:val="Text1"/>
              <w:spacing w:before="0" w:after="0"/>
              <w:ind w:left="0"/>
              <w:rPr>
                <w:noProof/>
              </w:rPr>
            </w:pPr>
            <w:r>
              <w:rPr>
                <w:b/>
                <w:caps/>
                <w:noProof/>
              </w:rPr>
              <w:t>Съкращения</w:t>
            </w:r>
          </w:p>
        </w:tc>
        <w:tc>
          <w:tcPr>
            <w:tcW w:w="6095" w:type="dxa"/>
            <w:shd w:val="clear" w:color="auto" w:fill="D9D9D9" w:themeFill="background1" w:themeFillShade="D9"/>
          </w:tcPr>
          <w:p>
            <w:pPr>
              <w:pStyle w:val="Text1"/>
              <w:spacing w:before="0" w:after="0"/>
              <w:ind w:left="0"/>
              <w:rPr>
                <w:b/>
                <w:noProof/>
              </w:rPr>
            </w:pPr>
            <w:r>
              <w:rPr>
                <w:b/>
                <w:noProof/>
              </w:rPr>
              <w:t>ОПРЕДЕЛЕНИЕ</w:t>
            </w:r>
          </w:p>
        </w:tc>
      </w:tr>
      <w:tr>
        <w:tc>
          <w:tcPr>
            <w:tcW w:w="2268" w:type="dxa"/>
            <w:vAlign w:val="bottom"/>
          </w:tcPr>
          <w:p>
            <w:pPr>
              <w:pStyle w:val="Text1"/>
              <w:spacing w:before="0" w:after="0"/>
              <w:ind w:left="0"/>
              <w:rPr>
                <w:noProof/>
              </w:rPr>
            </w:pPr>
            <w:r>
              <w:rPr>
                <w:noProof/>
              </w:rPr>
              <w:t>ACT</w:t>
            </w:r>
          </w:p>
        </w:tc>
        <w:tc>
          <w:tcPr>
            <w:tcW w:w="6095" w:type="dxa"/>
            <w:vAlign w:val="bottom"/>
          </w:tcPr>
          <w:p>
            <w:pPr>
              <w:pStyle w:val="Text1"/>
              <w:spacing w:before="0" w:after="0"/>
              <w:ind w:left="0"/>
              <w:rPr>
                <w:noProof/>
              </w:rPr>
            </w:pPr>
            <w:r>
              <w:rPr>
                <w:noProof/>
              </w:rPr>
              <w:t>Инструмент за конфигуриране на приложения</w:t>
            </w:r>
          </w:p>
        </w:tc>
      </w:tr>
      <w:tr>
        <w:tc>
          <w:tcPr>
            <w:tcW w:w="2268" w:type="dxa"/>
            <w:vAlign w:val="bottom"/>
          </w:tcPr>
          <w:p>
            <w:pPr>
              <w:pStyle w:val="Text1"/>
              <w:spacing w:before="0" w:after="0"/>
              <w:ind w:left="0"/>
              <w:rPr>
                <w:noProof/>
              </w:rPr>
            </w:pPr>
            <w:r>
              <w:rPr>
                <w:noProof/>
              </w:rPr>
              <w:t>AIX</w:t>
            </w:r>
          </w:p>
        </w:tc>
        <w:tc>
          <w:tcPr>
            <w:tcW w:w="6095" w:type="dxa"/>
            <w:vAlign w:val="bottom"/>
          </w:tcPr>
          <w:p>
            <w:pPr>
              <w:pStyle w:val="Text1"/>
              <w:spacing w:before="0" w:after="0"/>
              <w:ind w:left="0"/>
              <w:rPr>
                <w:noProof/>
              </w:rPr>
            </w:pPr>
            <w:r>
              <w:rPr>
                <w:noProof/>
              </w:rPr>
              <w:t>Операционна система IBM Unix</w:t>
            </w:r>
          </w:p>
        </w:tc>
      </w:tr>
      <w:tr>
        <w:tc>
          <w:tcPr>
            <w:tcW w:w="2268" w:type="dxa"/>
            <w:vAlign w:val="bottom"/>
          </w:tcPr>
          <w:p>
            <w:pPr>
              <w:pStyle w:val="Text1"/>
              <w:spacing w:before="0" w:after="0"/>
              <w:ind w:left="0"/>
              <w:rPr>
                <w:noProof/>
              </w:rPr>
            </w:pPr>
            <w:r>
              <w:rPr>
                <w:noProof/>
              </w:rPr>
              <w:t>CBS</w:t>
            </w:r>
          </w:p>
        </w:tc>
        <w:tc>
          <w:tcPr>
            <w:tcW w:w="6095" w:type="dxa"/>
            <w:vAlign w:val="bottom"/>
          </w:tcPr>
          <w:p>
            <w:pPr>
              <w:pStyle w:val="Text1"/>
              <w:spacing w:before="0" w:after="0"/>
              <w:ind w:left="0"/>
              <w:rPr>
                <w:noProof/>
              </w:rPr>
            </w:pPr>
            <w:r>
              <w:rPr>
                <w:noProof/>
              </w:rPr>
              <w:t>Централен обект за резервно обезпечаване</w:t>
            </w:r>
          </w:p>
        </w:tc>
      </w:tr>
      <w:tr>
        <w:tc>
          <w:tcPr>
            <w:tcW w:w="2268" w:type="dxa"/>
            <w:vAlign w:val="bottom"/>
          </w:tcPr>
          <w:p>
            <w:pPr>
              <w:pStyle w:val="Text1"/>
              <w:spacing w:before="0" w:after="0"/>
              <w:ind w:left="0"/>
              <w:rPr>
                <w:noProof/>
              </w:rPr>
            </w:pPr>
            <w:r>
              <w:rPr>
                <w:noProof/>
              </w:rPr>
              <w:t>CCN</w:t>
            </w:r>
          </w:p>
        </w:tc>
        <w:tc>
          <w:tcPr>
            <w:tcW w:w="6095" w:type="dxa"/>
            <w:vAlign w:val="bottom"/>
          </w:tcPr>
          <w:p>
            <w:pPr>
              <w:pStyle w:val="Text1"/>
              <w:spacing w:before="0" w:after="0"/>
              <w:ind w:left="0"/>
              <w:rPr>
                <w:noProof/>
              </w:rPr>
            </w:pPr>
            <w:r>
              <w:rPr>
                <w:noProof/>
              </w:rPr>
              <w:t>Обща комуникационна мрежа</w:t>
            </w:r>
          </w:p>
        </w:tc>
      </w:tr>
      <w:tr>
        <w:tc>
          <w:tcPr>
            <w:tcW w:w="2268" w:type="dxa"/>
            <w:vAlign w:val="bottom"/>
          </w:tcPr>
          <w:p>
            <w:pPr>
              <w:pStyle w:val="Text1"/>
              <w:spacing w:before="0" w:after="0"/>
              <w:ind w:left="0"/>
              <w:rPr>
                <w:noProof/>
              </w:rPr>
            </w:pPr>
            <w:r>
              <w:rPr>
                <w:noProof/>
              </w:rPr>
              <w:t>CCN/CSI</w:t>
            </w:r>
          </w:p>
        </w:tc>
        <w:tc>
          <w:tcPr>
            <w:tcW w:w="6095" w:type="dxa"/>
            <w:vAlign w:val="bottom"/>
          </w:tcPr>
          <w:p>
            <w:pPr>
              <w:pStyle w:val="Text1"/>
              <w:spacing w:before="0" w:after="0"/>
              <w:ind w:left="0"/>
              <w:rPr>
                <w:noProof/>
              </w:rPr>
            </w:pPr>
            <w:r>
              <w:rPr>
                <w:noProof/>
              </w:rPr>
              <w:t>Обща комуникационна мрежа/общ системен интерфейс</w:t>
            </w:r>
          </w:p>
        </w:tc>
      </w:tr>
      <w:tr>
        <w:tc>
          <w:tcPr>
            <w:tcW w:w="2268" w:type="dxa"/>
            <w:vAlign w:val="bottom"/>
          </w:tcPr>
          <w:p>
            <w:pPr>
              <w:pStyle w:val="Text1"/>
              <w:spacing w:before="0" w:after="0"/>
              <w:ind w:left="0"/>
              <w:rPr>
                <w:noProof/>
              </w:rPr>
            </w:pPr>
            <w:r>
              <w:rPr>
                <w:noProof/>
              </w:rPr>
              <w:t>CCN/WAN</w:t>
            </w:r>
          </w:p>
        </w:tc>
        <w:tc>
          <w:tcPr>
            <w:tcW w:w="6095" w:type="dxa"/>
            <w:vAlign w:val="bottom"/>
          </w:tcPr>
          <w:p>
            <w:pPr>
              <w:pStyle w:val="Text1"/>
              <w:spacing w:before="0" w:after="0"/>
              <w:ind w:left="0"/>
              <w:rPr>
                <w:noProof/>
              </w:rPr>
            </w:pPr>
            <w:r>
              <w:rPr>
                <w:noProof/>
              </w:rPr>
              <w:t>Рамкова услуга за предоставяне на мрежови услуги на CCN</w:t>
            </w:r>
          </w:p>
        </w:tc>
      </w:tr>
      <w:tr>
        <w:tc>
          <w:tcPr>
            <w:tcW w:w="2268" w:type="dxa"/>
            <w:vAlign w:val="bottom"/>
          </w:tcPr>
          <w:p>
            <w:pPr>
              <w:pStyle w:val="Text1"/>
              <w:spacing w:before="0" w:after="0"/>
              <w:ind w:left="0"/>
              <w:rPr>
                <w:noProof/>
              </w:rPr>
            </w:pPr>
            <w:r>
              <w:rPr>
                <w:noProof/>
              </w:rPr>
              <w:t>CI</w:t>
            </w:r>
          </w:p>
        </w:tc>
        <w:tc>
          <w:tcPr>
            <w:tcW w:w="6095" w:type="dxa"/>
            <w:vAlign w:val="bottom"/>
          </w:tcPr>
          <w:p>
            <w:pPr>
              <w:pStyle w:val="Text1"/>
              <w:spacing w:before="0" w:after="0"/>
              <w:ind w:left="0"/>
              <w:rPr>
                <w:noProof/>
              </w:rPr>
            </w:pPr>
            <w:r>
              <w:rPr>
                <w:noProof/>
              </w:rPr>
              <w:t>Конфигурационен елемент</w:t>
            </w:r>
          </w:p>
        </w:tc>
      </w:tr>
      <w:tr>
        <w:tc>
          <w:tcPr>
            <w:tcW w:w="2268" w:type="dxa"/>
          </w:tcPr>
          <w:p>
            <w:pPr>
              <w:pStyle w:val="Text1"/>
              <w:spacing w:before="0" w:after="0"/>
              <w:ind w:left="0"/>
              <w:rPr>
                <w:noProof/>
              </w:rPr>
            </w:pPr>
            <w:r>
              <w:rPr>
                <w:noProof/>
              </w:rPr>
              <w:t>CIRCABC</w:t>
            </w:r>
          </w:p>
        </w:tc>
        <w:tc>
          <w:tcPr>
            <w:tcW w:w="6095" w:type="dxa"/>
          </w:tcPr>
          <w:p>
            <w:pPr>
              <w:pStyle w:val="Text1"/>
              <w:spacing w:before="0" w:after="0"/>
              <w:ind w:left="0"/>
              <w:rPr>
                <w:noProof/>
              </w:rPr>
            </w:pPr>
            <w:r>
              <w:rPr>
                <w:noProof/>
              </w:rPr>
              <w:t>Комуникационен и информационен ресурсен център за администрации, предприятия и граждани</w:t>
            </w:r>
          </w:p>
        </w:tc>
      </w:tr>
      <w:tr>
        <w:tc>
          <w:tcPr>
            <w:tcW w:w="2268" w:type="dxa"/>
          </w:tcPr>
          <w:p>
            <w:pPr>
              <w:pStyle w:val="Text1"/>
              <w:spacing w:before="0" w:after="0"/>
              <w:ind w:left="0"/>
              <w:rPr>
                <w:noProof/>
              </w:rPr>
            </w:pPr>
            <w:r>
              <w:rPr>
                <w:noProof/>
              </w:rPr>
              <w:t>COTS</w:t>
            </w:r>
          </w:p>
        </w:tc>
        <w:tc>
          <w:tcPr>
            <w:tcW w:w="6095" w:type="dxa"/>
          </w:tcPr>
          <w:p>
            <w:pPr>
              <w:pStyle w:val="Text1"/>
              <w:spacing w:before="0" w:after="0"/>
              <w:ind w:left="0"/>
              <w:rPr>
                <w:noProof/>
              </w:rPr>
            </w:pPr>
            <w:r>
              <w:rPr>
                <w:noProof/>
              </w:rPr>
              <w:t>Готово решение</w:t>
            </w:r>
          </w:p>
        </w:tc>
      </w:tr>
      <w:tr>
        <w:tc>
          <w:tcPr>
            <w:tcW w:w="2268" w:type="dxa"/>
            <w:vAlign w:val="bottom"/>
          </w:tcPr>
          <w:p>
            <w:pPr>
              <w:pStyle w:val="Text1"/>
              <w:spacing w:before="0" w:after="0"/>
              <w:ind w:left="0"/>
              <w:rPr>
                <w:noProof/>
              </w:rPr>
            </w:pPr>
            <w:r>
              <w:rPr>
                <w:noProof/>
              </w:rPr>
              <w:t>CPR</w:t>
            </w:r>
          </w:p>
        </w:tc>
        <w:tc>
          <w:tcPr>
            <w:tcW w:w="6095" w:type="dxa"/>
            <w:vAlign w:val="bottom"/>
          </w:tcPr>
          <w:p>
            <w:pPr>
              <w:pStyle w:val="Text1"/>
              <w:spacing w:before="0" w:after="0"/>
              <w:ind w:left="0"/>
              <w:rPr>
                <w:noProof/>
              </w:rPr>
            </w:pPr>
            <w:r>
              <w:rPr>
                <w:noProof/>
              </w:rPr>
              <w:t>Рутер в клиентски помещения</w:t>
            </w:r>
          </w:p>
        </w:tc>
      </w:tr>
      <w:tr>
        <w:tc>
          <w:tcPr>
            <w:tcW w:w="2268" w:type="dxa"/>
            <w:vAlign w:val="bottom"/>
          </w:tcPr>
          <w:p>
            <w:pPr>
              <w:pStyle w:val="Text1"/>
              <w:spacing w:before="0" w:after="0"/>
              <w:ind w:left="0"/>
              <w:rPr>
                <w:noProof/>
              </w:rPr>
            </w:pPr>
            <w:r>
              <w:rPr>
                <w:noProof/>
              </w:rPr>
              <w:t>CSA</w:t>
            </w:r>
          </w:p>
        </w:tc>
        <w:tc>
          <w:tcPr>
            <w:tcW w:w="6095" w:type="dxa"/>
            <w:vAlign w:val="bottom"/>
          </w:tcPr>
          <w:p>
            <w:pPr>
              <w:pStyle w:val="Text1"/>
              <w:spacing w:before="0" w:after="0"/>
              <w:ind w:left="0"/>
              <w:rPr>
                <w:noProof/>
              </w:rPr>
            </w:pPr>
            <w:r>
              <w:rPr>
                <w:noProof/>
              </w:rPr>
              <w:t>Администратор за сигурността на CCN</w:t>
            </w:r>
          </w:p>
        </w:tc>
      </w:tr>
      <w:tr>
        <w:tc>
          <w:tcPr>
            <w:tcW w:w="2268" w:type="dxa"/>
            <w:vAlign w:val="bottom"/>
          </w:tcPr>
          <w:p>
            <w:pPr>
              <w:pStyle w:val="Text1"/>
              <w:spacing w:before="0" w:after="0"/>
              <w:ind w:left="0"/>
              <w:rPr>
                <w:noProof/>
              </w:rPr>
            </w:pPr>
            <w:r>
              <w:rPr>
                <w:noProof/>
              </w:rPr>
              <w:t>CSI</w:t>
            </w:r>
          </w:p>
        </w:tc>
        <w:tc>
          <w:tcPr>
            <w:tcW w:w="6095" w:type="dxa"/>
            <w:vAlign w:val="bottom"/>
          </w:tcPr>
          <w:p>
            <w:pPr>
              <w:pStyle w:val="Text1"/>
              <w:spacing w:before="0" w:after="0"/>
              <w:ind w:left="0"/>
              <w:rPr>
                <w:noProof/>
              </w:rPr>
            </w:pPr>
            <w:r>
              <w:rPr>
                <w:noProof/>
              </w:rPr>
              <w:t>Общ системен интерфейс</w:t>
            </w:r>
          </w:p>
        </w:tc>
      </w:tr>
      <w:tr>
        <w:tc>
          <w:tcPr>
            <w:tcW w:w="2268" w:type="dxa"/>
            <w:vAlign w:val="bottom"/>
          </w:tcPr>
          <w:p>
            <w:pPr>
              <w:pStyle w:val="Text1"/>
              <w:spacing w:before="0" w:after="0"/>
              <w:ind w:left="0"/>
              <w:rPr>
                <w:noProof/>
              </w:rPr>
            </w:pPr>
            <w:r>
              <w:rPr>
                <w:noProof/>
              </w:rPr>
              <w:t>ГД</w:t>
            </w:r>
          </w:p>
        </w:tc>
        <w:tc>
          <w:tcPr>
            <w:tcW w:w="6095" w:type="dxa"/>
            <w:vAlign w:val="bottom"/>
          </w:tcPr>
          <w:p>
            <w:pPr>
              <w:pStyle w:val="Text1"/>
              <w:spacing w:before="0" w:after="0"/>
              <w:ind w:left="0"/>
              <w:rPr>
                <w:noProof/>
              </w:rPr>
            </w:pPr>
            <w:r>
              <w:rPr>
                <w:noProof/>
              </w:rPr>
              <w:t>Генерална дирекция</w:t>
            </w:r>
          </w:p>
        </w:tc>
      </w:tr>
      <w:tr>
        <w:tc>
          <w:tcPr>
            <w:tcW w:w="2268" w:type="dxa"/>
            <w:vAlign w:val="bottom"/>
          </w:tcPr>
          <w:p>
            <w:pPr>
              <w:pStyle w:val="Text1"/>
              <w:spacing w:before="0" w:after="0"/>
              <w:ind w:left="0"/>
              <w:rPr>
                <w:noProof/>
              </w:rPr>
            </w:pPr>
            <w:r>
              <w:rPr>
                <w:noProof/>
              </w:rPr>
              <w:t>ДМЗ</w:t>
            </w:r>
          </w:p>
        </w:tc>
        <w:tc>
          <w:tcPr>
            <w:tcW w:w="6095" w:type="dxa"/>
            <w:vAlign w:val="bottom"/>
          </w:tcPr>
          <w:p>
            <w:pPr>
              <w:pStyle w:val="Text1"/>
              <w:spacing w:before="0" w:after="0"/>
              <w:ind w:left="0"/>
              <w:rPr>
                <w:noProof/>
              </w:rPr>
            </w:pPr>
            <w:r>
              <w:rPr>
                <w:noProof/>
              </w:rPr>
              <w:t>Демилитаризирана зона</w:t>
            </w:r>
          </w:p>
        </w:tc>
      </w:tr>
      <w:tr>
        <w:tc>
          <w:tcPr>
            <w:tcW w:w="2268" w:type="dxa"/>
            <w:vAlign w:val="bottom"/>
          </w:tcPr>
          <w:p>
            <w:pPr>
              <w:pStyle w:val="Text1"/>
              <w:spacing w:before="0" w:after="0"/>
              <w:ind w:left="0"/>
              <w:rPr>
                <w:noProof/>
              </w:rPr>
            </w:pPr>
            <w:r>
              <w:rPr>
                <w:noProof/>
              </w:rPr>
              <w:t>EC</w:t>
            </w:r>
          </w:p>
        </w:tc>
        <w:tc>
          <w:tcPr>
            <w:tcW w:w="6095" w:type="dxa"/>
            <w:vAlign w:val="bottom"/>
          </w:tcPr>
          <w:p>
            <w:pPr>
              <w:pStyle w:val="Text1"/>
              <w:spacing w:before="0" w:after="0"/>
              <w:ind w:left="0"/>
              <w:rPr>
                <w:noProof/>
              </w:rPr>
            </w:pPr>
            <w:r>
              <w:rPr>
                <w:noProof/>
              </w:rPr>
              <w:t>Европейска комисия</w:t>
            </w:r>
          </w:p>
        </w:tc>
      </w:tr>
      <w:tr>
        <w:tc>
          <w:tcPr>
            <w:tcW w:w="2268" w:type="dxa"/>
            <w:vAlign w:val="bottom"/>
          </w:tcPr>
          <w:p>
            <w:pPr>
              <w:pStyle w:val="Text1"/>
              <w:spacing w:before="0" w:after="0"/>
              <w:ind w:left="0"/>
              <w:rPr>
                <w:noProof/>
              </w:rPr>
            </w:pPr>
            <w:r>
              <w:rPr>
                <w:noProof/>
              </w:rPr>
              <w:t>ESTAT</w:t>
            </w:r>
          </w:p>
        </w:tc>
        <w:tc>
          <w:tcPr>
            <w:tcW w:w="6095" w:type="dxa"/>
            <w:vAlign w:val="bottom"/>
          </w:tcPr>
          <w:p>
            <w:pPr>
              <w:pStyle w:val="Text1"/>
              <w:spacing w:before="0" w:after="0"/>
              <w:ind w:left="0"/>
              <w:rPr>
                <w:noProof/>
              </w:rPr>
            </w:pPr>
            <w:r>
              <w:rPr>
                <w:noProof/>
              </w:rPr>
              <w:t>Евростат</w:t>
            </w:r>
          </w:p>
        </w:tc>
      </w:tr>
      <w:tr>
        <w:tc>
          <w:tcPr>
            <w:tcW w:w="2268" w:type="dxa"/>
            <w:vAlign w:val="bottom"/>
          </w:tcPr>
          <w:p>
            <w:pPr>
              <w:pStyle w:val="Text1"/>
              <w:spacing w:before="0" w:after="0"/>
              <w:ind w:left="0"/>
              <w:rPr>
                <w:noProof/>
              </w:rPr>
            </w:pPr>
            <w:r>
              <w:rPr>
                <w:noProof/>
              </w:rPr>
              <w:t>FW</w:t>
            </w:r>
          </w:p>
        </w:tc>
        <w:tc>
          <w:tcPr>
            <w:tcW w:w="6095" w:type="dxa"/>
            <w:vAlign w:val="bottom"/>
          </w:tcPr>
          <w:p>
            <w:pPr>
              <w:pStyle w:val="Text1"/>
              <w:spacing w:before="0" w:after="0"/>
              <w:ind w:left="0"/>
              <w:rPr>
                <w:noProof/>
              </w:rPr>
            </w:pPr>
            <w:r>
              <w:rPr>
                <w:noProof/>
              </w:rPr>
              <w:t>Защитна стена</w:t>
            </w:r>
          </w:p>
        </w:tc>
      </w:tr>
      <w:tr>
        <w:tc>
          <w:tcPr>
            <w:tcW w:w="2268" w:type="dxa"/>
            <w:vAlign w:val="bottom"/>
          </w:tcPr>
          <w:p>
            <w:pPr>
              <w:pStyle w:val="Text1"/>
              <w:spacing w:before="0" w:after="0"/>
              <w:ind w:left="0"/>
              <w:rPr>
                <w:noProof/>
              </w:rPr>
            </w:pPr>
            <w:r>
              <w:rPr>
                <w:noProof/>
              </w:rPr>
              <w:t>HPUX</w:t>
            </w:r>
          </w:p>
        </w:tc>
        <w:tc>
          <w:tcPr>
            <w:tcW w:w="6095" w:type="dxa"/>
            <w:vAlign w:val="bottom"/>
          </w:tcPr>
          <w:p>
            <w:pPr>
              <w:pStyle w:val="Text1"/>
              <w:spacing w:before="0" w:after="0"/>
              <w:ind w:left="0"/>
              <w:rPr>
                <w:noProof/>
              </w:rPr>
            </w:pPr>
            <w:r>
              <w:rPr>
                <w:noProof/>
              </w:rPr>
              <w:t>Операционна система Hewlett Packard Unix</w:t>
            </w:r>
          </w:p>
        </w:tc>
      </w:tr>
      <w:tr>
        <w:tc>
          <w:tcPr>
            <w:tcW w:w="2268" w:type="dxa"/>
            <w:vAlign w:val="bottom"/>
          </w:tcPr>
          <w:p>
            <w:pPr>
              <w:pStyle w:val="Text1"/>
              <w:spacing w:before="0" w:after="0"/>
              <w:ind w:left="0"/>
              <w:rPr>
                <w:noProof/>
              </w:rPr>
            </w:pPr>
            <w:r>
              <w:rPr>
                <w:noProof/>
              </w:rPr>
              <w:t>HTTP</w:t>
            </w:r>
          </w:p>
        </w:tc>
        <w:tc>
          <w:tcPr>
            <w:tcW w:w="6095" w:type="dxa"/>
            <w:vAlign w:val="bottom"/>
          </w:tcPr>
          <w:p>
            <w:pPr>
              <w:pStyle w:val="Text1"/>
              <w:spacing w:before="0" w:after="0"/>
              <w:ind w:left="0"/>
              <w:rPr>
                <w:noProof/>
              </w:rPr>
            </w:pPr>
            <w:r>
              <w:rPr>
                <w:noProof/>
              </w:rPr>
              <w:t>Протокол за пренос на хипертекст</w:t>
            </w:r>
          </w:p>
        </w:tc>
      </w:tr>
      <w:tr>
        <w:tc>
          <w:tcPr>
            <w:tcW w:w="2268" w:type="dxa"/>
            <w:vAlign w:val="bottom"/>
          </w:tcPr>
          <w:p>
            <w:pPr>
              <w:pStyle w:val="Text1"/>
              <w:spacing w:before="0" w:after="0"/>
              <w:ind w:left="0"/>
              <w:rPr>
                <w:noProof/>
              </w:rPr>
            </w:pPr>
            <w:r>
              <w:rPr>
                <w:noProof/>
              </w:rPr>
              <w:t>HTTPS</w:t>
            </w:r>
          </w:p>
        </w:tc>
        <w:tc>
          <w:tcPr>
            <w:tcW w:w="6095" w:type="dxa"/>
            <w:vAlign w:val="bottom"/>
          </w:tcPr>
          <w:p>
            <w:pPr>
              <w:pStyle w:val="Text1"/>
              <w:spacing w:before="0" w:after="0"/>
              <w:ind w:left="0"/>
              <w:rPr>
                <w:noProof/>
              </w:rPr>
            </w:pPr>
            <w:r>
              <w:rPr>
                <w:noProof/>
              </w:rPr>
              <w:t>Протокол за пренос на хипертекст — защитен</w:t>
            </w:r>
          </w:p>
        </w:tc>
      </w:tr>
      <w:tr>
        <w:tc>
          <w:tcPr>
            <w:tcW w:w="2268" w:type="dxa"/>
            <w:vAlign w:val="bottom"/>
          </w:tcPr>
          <w:p>
            <w:pPr>
              <w:pStyle w:val="Text1"/>
              <w:spacing w:before="0" w:after="0"/>
              <w:ind w:left="0"/>
              <w:rPr>
                <w:noProof/>
              </w:rPr>
            </w:pPr>
            <w:r>
              <w:rPr>
                <w:noProof/>
              </w:rPr>
              <w:t>HVAC</w:t>
            </w:r>
          </w:p>
        </w:tc>
        <w:tc>
          <w:tcPr>
            <w:tcW w:w="6095" w:type="dxa"/>
            <w:vAlign w:val="bottom"/>
          </w:tcPr>
          <w:p>
            <w:pPr>
              <w:pStyle w:val="Text1"/>
              <w:spacing w:before="0" w:after="0"/>
              <w:ind w:left="0"/>
              <w:rPr>
                <w:noProof/>
              </w:rPr>
            </w:pPr>
            <w:r>
              <w:rPr>
                <w:noProof/>
              </w:rPr>
              <w:t>Отопление, вентилация и климатизация</w:t>
            </w:r>
          </w:p>
        </w:tc>
      </w:tr>
      <w:tr>
        <w:tc>
          <w:tcPr>
            <w:tcW w:w="2268" w:type="dxa"/>
            <w:vAlign w:val="bottom"/>
          </w:tcPr>
          <w:p>
            <w:pPr>
              <w:pStyle w:val="Text1"/>
              <w:spacing w:before="0" w:after="0"/>
              <w:ind w:left="0"/>
              <w:rPr>
                <w:noProof/>
              </w:rPr>
            </w:pPr>
            <w:r>
              <w:rPr>
                <w:noProof/>
              </w:rPr>
              <w:t>HW</w:t>
            </w:r>
          </w:p>
        </w:tc>
        <w:tc>
          <w:tcPr>
            <w:tcW w:w="6095" w:type="dxa"/>
            <w:vAlign w:val="bottom"/>
          </w:tcPr>
          <w:p>
            <w:pPr>
              <w:pStyle w:val="Text1"/>
              <w:spacing w:before="0" w:after="0"/>
              <w:ind w:left="0"/>
              <w:rPr>
                <w:noProof/>
              </w:rPr>
            </w:pPr>
            <w:r>
              <w:rPr>
                <w:noProof/>
              </w:rPr>
              <w:t>Хардуер</w:t>
            </w:r>
          </w:p>
        </w:tc>
      </w:tr>
      <w:tr>
        <w:tc>
          <w:tcPr>
            <w:tcW w:w="2268" w:type="dxa"/>
            <w:vAlign w:val="bottom"/>
          </w:tcPr>
          <w:p>
            <w:pPr>
              <w:pStyle w:val="Text1"/>
              <w:spacing w:before="0" w:after="0"/>
              <w:ind w:left="0"/>
              <w:rPr>
                <w:noProof/>
              </w:rPr>
            </w:pPr>
            <w:r>
              <w:rPr>
                <w:noProof/>
              </w:rPr>
              <w:t>ИКТ</w:t>
            </w:r>
          </w:p>
        </w:tc>
        <w:tc>
          <w:tcPr>
            <w:tcW w:w="6095" w:type="dxa"/>
            <w:vAlign w:val="bottom"/>
          </w:tcPr>
          <w:p>
            <w:pPr>
              <w:pStyle w:val="Text1"/>
              <w:spacing w:before="0" w:after="0"/>
              <w:ind w:left="0"/>
              <w:rPr>
                <w:noProof/>
              </w:rPr>
            </w:pPr>
            <w:r>
              <w:rPr>
                <w:noProof/>
              </w:rPr>
              <w:t>Информационни и комуникационни технологии</w:t>
            </w:r>
          </w:p>
        </w:tc>
      </w:tr>
      <w:tr>
        <w:tc>
          <w:tcPr>
            <w:tcW w:w="2268" w:type="dxa"/>
            <w:vAlign w:val="bottom"/>
          </w:tcPr>
          <w:p>
            <w:pPr>
              <w:pStyle w:val="Text1"/>
              <w:spacing w:before="0" w:after="0"/>
              <w:ind w:left="0"/>
              <w:rPr>
                <w:noProof/>
              </w:rPr>
            </w:pPr>
            <w:r>
              <w:rPr>
                <w:noProof/>
              </w:rPr>
              <w:t>IMAP</w:t>
            </w:r>
          </w:p>
        </w:tc>
        <w:tc>
          <w:tcPr>
            <w:tcW w:w="6095" w:type="dxa"/>
            <w:vAlign w:val="bottom"/>
          </w:tcPr>
          <w:p>
            <w:pPr>
              <w:pStyle w:val="Text1"/>
              <w:spacing w:before="0" w:after="0"/>
              <w:ind w:left="0"/>
              <w:rPr>
                <w:noProof/>
              </w:rPr>
            </w:pPr>
            <w:r>
              <w:rPr>
                <w:noProof/>
              </w:rPr>
              <w:t>Интернет протокол за достъп до съобщения</w:t>
            </w:r>
          </w:p>
        </w:tc>
      </w:tr>
      <w:tr>
        <w:tc>
          <w:tcPr>
            <w:tcW w:w="2268" w:type="dxa"/>
            <w:vAlign w:val="bottom"/>
          </w:tcPr>
          <w:p>
            <w:pPr>
              <w:pStyle w:val="Text1"/>
              <w:spacing w:before="0" w:after="0"/>
              <w:ind w:left="0"/>
              <w:rPr>
                <w:noProof/>
              </w:rPr>
            </w:pPr>
            <w:r>
              <w:rPr>
                <w:noProof/>
              </w:rPr>
              <w:t>IP</w:t>
            </w:r>
          </w:p>
        </w:tc>
        <w:tc>
          <w:tcPr>
            <w:tcW w:w="6095" w:type="dxa"/>
            <w:vAlign w:val="bottom"/>
          </w:tcPr>
          <w:p>
            <w:pPr>
              <w:pStyle w:val="Text1"/>
              <w:spacing w:before="0" w:after="0"/>
              <w:ind w:left="0"/>
              <w:rPr>
                <w:noProof/>
              </w:rPr>
            </w:pPr>
            <w:r>
              <w:rPr>
                <w:noProof/>
              </w:rPr>
              <w:t>Интернет протокол</w:t>
            </w:r>
          </w:p>
        </w:tc>
      </w:tr>
      <w:tr>
        <w:tc>
          <w:tcPr>
            <w:tcW w:w="2268" w:type="dxa"/>
            <w:vAlign w:val="bottom"/>
          </w:tcPr>
          <w:p>
            <w:pPr>
              <w:pStyle w:val="Text1"/>
              <w:spacing w:before="0" w:after="0"/>
              <w:ind w:left="0"/>
              <w:rPr>
                <w:noProof/>
              </w:rPr>
            </w:pPr>
            <w:r>
              <w:rPr>
                <w:noProof/>
              </w:rPr>
              <w:t>ITCAM</w:t>
            </w:r>
          </w:p>
        </w:tc>
        <w:tc>
          <w:tcPr>
            <w:tcW w:w="6095" w:type="dxa"/>
            <w:vAlign w:val="bottom"/>
          </w:tcPr>
          <w:p>
            <w:pPr>
              <w:pStyle w:val="Text1"/>
              <w:spacing w:before="0" w:after="0"/>
              <w:ind w:left="0"/>
              <w:rPr>
                <w:noProof/>
              </w:rPr>
            </w:pPr>
            <w:r>
              <w:rPr>
                <w:noProof/>
              </w:rPr>
              <w:t>IBM Tivoli Composite Application Manager</w:t>
            </w:r>
          </w:p>
        </w:tc>
      </w:tr>
      <w:tr>
        <w:tc>
          <w:tcPr>
            <w:tcW w:w="2268" w:type="dxa"/>
            <w:vAlign w:val="bottom"/>
          </w:tcPr>
          <w:p>
            <w:pPr>
              <w:pStyle w:val="Text1"/>
              <w:spacing w:before="0" w:after="0"/>
              <w:ind w:left="0"/>
              <w:rPr>
                <w:noProof/>
              </w:rPr>
            </w:pPr>
            <w:r>
              <w:rPr>
                <w:noProof/>
              </w:rPr>
              <w:t>ITS</w:t>
            </w:r>
          </w:p>
        </w:tc>
        <w:tc>
          <w:tcPr>
            <w:tcW w:w="6095" w:type="dxa"/>
            <w:vAlign w:val="bottom"/>
          </w:tcPr>
          <w:p>
            <w:pPr>
              <w:pStyle w:val="Text1"/>
              <w:spacing w:before="0" w:after="0"/>
              <w:ind w:left="0"/>
              <w:rPr>
                <w:noProof/>
              </w:rPr>
            </w:pPr>
            <w:r>
              <w:rPr>
                <w:noProof/>
              </w:rPr>
              <w:t>ИТ услуги</w:t>
            </w:r>
          </w:p>
        </w:tc>
      </w:tr>
      <w:tr>
        <w:tc>
          <w:tcPr>
            <w:tcW w:w="2268" w:type="dxa"/>
            <w:vAlign w:val="bottom"/>
          </w:tcPr>
          <w:p>
            <w:pPr>
              <w:pStyle w:val="Text1"/>
              <w:spacing w:before="0" w:after="0"/>
              <w:ind w:left="0"/>
              <w:rPr>
                <w:noProof/>
              </w:rPr>
            </w:pPr>
            <w:r>
              <w:rPr>
                <w:noProof/>
              </w:rPr>
              <w:t>ITSM</w:t>
            </w:r>
          </w:p>
        </w:tc>
        <w:tc>
          <w:tcPr>
            <w:tcW w:w="6095" w:type="dxa"/>
            <w:vAlign w:val="bottom"/>
          </w:tcPr>
          <w:p>
            <w:pPr>
              <w:pStyle w:val="Text1"/>
              <w:spacing w:before="0" w:after="0"/>
              <w:ind w:left="0"/>
              <w:rPr>
                <w:noProof/>
              </w:rPr>
            </w:pPr>
            <w:r>
              <w:rPr>
                <w:noProof/>
              </w:rPr>
              <w:t>Управление на ИТ услуги</w:t>
            </w:r>
          </w:p>
        </w:tc>
      </w:tr>
      <w:tr>
        <w:tc>
          <w:tcPr>
            <w:tcW w:w="2268" w:type="dxa"/>
            <w:vAlign w:val="bottom"/>
          </w:tcPr>
          <w:p>
            <w:pPr>
              <w:pStyle w:val="Text1"/>
              <w:spacing w:before="0" w:after="0"/>
              <w:ind w:left="0"/>
              <w:rPr>
                <w:noProof/>
              </w:rPr>
            </w:pPr>
            <w:r>
              <w:rPr>
                <w:noProof/>
              </w:rPr>
              <w:t>LAN</w:t>
            </w:r>
          </w:p>
        </w:tc>
        <w:tc>
          <w:tcPr>
            <w:tcW w:w="6095" w:type="dxa"/>
            <w:vAlign w:val="bottom"/>
          </w:tcPr>
          <w:p>
            <w:pPr>
              <w:pStyle w:val="Text1"/>
              <w:spacing w:before="0" w:after="0"/>
              <w:ind w:left="0"/>
              <w:rPr>
                <w:noProof/>
              </w:rPr>
            </w:pPr>
            <w:r>
              <w:rPr>
                <w:noProof/>
              </w:rPr>
              <w:t>Локална мрежа</w:t>
            </w:r>
          </w:p>
        </w:tc>
      </w:tr>
      <w:tr>
        <w:tc>
          <w:tcPr>
            <w:tcW w:w="2268" w:type="dxa"/>
            <w:vAlign w:val="bottom"/>
          </w:tcPr>
          <w:p>
            <w:pPr>
              <w:pStyle w:val="Text1"/>
              <w:spacing w:before="0" w:after="0"/>
              <w:ind w:left="0"/>
              <w:rPr>
                <w:noProof/>
              </w:rPr>
            </w:pPr>
            <w:r>
              <w:rPr>
                <w:noProof/>
              </w:rPr>
              <w:t>АЛМ</w:t>
            </w:r>
          </w:p>
        </w:tc>
        <w:tc>
          <w:tcPr>
            <w:tcW w:w="6095" w:type="dxa"/>
            <w:vAlign w:val="bottom"/>
          </w:tcPr>
          <w:p>
            <w:pPr>
              <w:pStyle w:val="Text1"/>
              <w:spacing w:before="0" w:after="0"/>
              <w:ind w:left="0"/>
              <w:rPr>
                <w:noProof/>
              </w:rPr>
            </w:pPr>
            <w:r>
              <w:rPr>
                <w:noProof/>
              </w:rPr>
              <w:t>Администратор на локална мрежа</w:t>
            </w:r>
          </w:p>
        </w:tc>
      </w:tr>
      <w:tr>
        <w:tc>
          <w:tcPr>
            <w:tcW w:w="2268" w:type="dxa"/>
            <w:vAlign w:val="bottom"/>
          </w:tcPr>
          <w:p>
            <w:pPr>
              <w:pStyle w:val="Text1"/>
              <w:spacing w:before="0" w:after="0"/>
              <w:ind w:left="0"/>
              <w:rPr>
                <w:noProof/>
              </w:rPr>
            </w:pPr>
            <w:r>
              <w:rPr>
                <w:noProof/>
              </w:rPr>
              <w:t>MQ</w:t>
            </w:r>
          </w:p>
        </w:tc>
        <w:tc>
          <w:tcPr>
            <w:tcW w:w="6095" w:type="dxa"/>
            <w:vAlign w:val="bottom"/>
          </w:tcPr>
          <w:p>
            <w:pPr>
              <w:pStyle w:val="Text1"/>
              <w:spacing w:before="0" w:after="0"/>
              <w:ind w:left="0"/>
              <w:rPr>
                <w:noProof/>
              </w:rPr>
            </w:pPr>
            <w:r>
              <w:rPr>
                <w:noProof/>
              </w:rPr>
              <w:t>Софтуер от серията IBM MQ</w:t>
            </w:r>
          </w:p>
        </w:tc>
      </w:tr>
      <w:tr>
        <w:tc>
          <w:tcPr>
            <w:tcW w:w="2268" w:type="dxa"/>
            <w:vAlign w:val="bottom"/>
          </w:tcPr>
          <w:p>
            <w:pPr>
              <w:pStyle w:val="Text1"/>
              <w:spacing w:before="0" w:after="0"/>
              <w:ind w:left="0"/>
              <w:rPr>
                <w:noProof/>
              </w:rPr>
            </w:pPr>
            <w:r>
              <w:rPr>
                <w:noProof/>
              </w:rPr>
              <w:t>MVS</w:t>
            </w:r>
          </w:p>
        </w:tc>
        <w:tc>
          <w:tcPr>
            <w:tcW w:w="6095" w:type="dxa"/>
            <w:vAlign w:val="bottom"/>
          </w:tcPr>
          <w:p>
            <w:pPr>
              <w:pStyle w:val="Text1"/>
              <w:spacing w:before="0" w:after="0"/>
              <w:ind w:left="0"/>
              <w:rPr>
                <w:noProof/>
              </w:rPr>
            </w:pPr>
            <w:r>
              <w:rPr>
                <w:noProof/>
              </w:rPr>
              <w:t>Множествено виртуално съхранение</w:t>
            </w:r>
          </w:p>
        </w:tc>
      </w:tr>
      <w:tr>
        <w:tc>
          <w:tcPr>
            <w:tcW w:w="2268" w:type="dxa"/>
            <w:vAlign w:val="bottom"/>
          </w:tcPr>
          <w:p>
            <w:pPr>
              <w:pStyle w:val="Text1"/>
              <w:spacing w:before="0" w:after="0"/>
              <w:ind w:left="0"/>
              <w:rPr>
                <w:noProof/>
              </w:rPr>
            </w:pPr>
            <w:r>
              <w:rPr>
                <w:noProof/>
              </w:rPr>
              <w:t>НП</w:t>
            </w:r>
          </w:p>
        </w:tc>
        <w:tc>
          <w:tcPr>
            <w:tcW w:w="6095" w:type="dxa"/>
            <w:vAlign w:val="bottom"/>
          </w:tcPr>
          <w:p>
            <w:pPr>
              <w:pStyle w:val="Text1"/>
              <w:spacing w:before="0" w:after="0"/>
              <w:ind w:left="0"/>
              <w:rPr>
                <w:noProof/>
              </w:rPr>
            </w:pPr>
            <w:r>
              <w:rPr>
                <w:noProof/>
              </w:rPr>
              <w:t>Не е приложимо</w:t>
            </w:r>
          </w:p>
        </w:tc>
      </w:tr>
      <w:tr>
        <w:tc>
          <w:tcPr>
            <w:tcW w:w="2268" w:type="dxa"/>
            <w:vAlign w:val="bottom"/>
          </w:tcPr>
          <w:p>
            <w:pPr>
              <w:pStyle w:val="Text1"/>
              <w:spacing w:before="0" w:after="0"/>
              <w:ind w:left="0"/>
              <w:rPr>
                <w:noProof/>
              </w:rPr>
            </w:pPr>
            <w:r>
              <w:rPr>
                <w:noProof/>
              </w:rPr>
              <w:t>НА</w:t>
            </w:r>
          </w:p>
        </w:tc>
        <w:tc>
          <w:tcPr>
            <w:tcW w:w="6095" w:type="dxa"/>
            <w:vAlign w:val="bottom"/>
          </w:tcPr>
          <w:p>
            <w:pPr>
              <w:pStyle w:val="Text1"/>
              <w:spacing w:before="0" w:after="0"/>
              <w:ind w:left="0"/>
              <w:rPr>
                <w:noProof/>
              </w:rPr>
            </w:pPr>
            <w:r>
              <w:rPr>
                <w:noProof/>
              </w:rPr>
              <w:t>Национална администрация</w:t>
            </w:r>
          </w:p>
        </w:tc>
      </w:tr>
      <w:tr>
        <w:tc>
          <w:tcPr>
            <w:tcW w:w="2268" w:type="dxa"/>
            <w:vAlign w:val="bottom"/>
          </w:tcPr>
          <w:p>
            <w:pPr>
              <w:pStyle w:val="Text1"/>
              <w:spacing w:before="0" w:after="0"/>
              <w:ind w:left="0"/>
              <w:rPr>
                <w:noProof/>
              </w:rPr>
            </w:pPr>
            <w:r>
              <w:rPr>
                <w:noProof/>
              </w:rPr>
              <w:t>NDI</w:t>
            </w:r>
          </w:p>
        </w:tc>
        <w:tc>
          <w:tcPr>
            <w:tcW w:w="6095" w:type="dxa"/>
            <w:vAlign w:val="bottom"/>
          </w:tcPr>
          <w:p>
            <w:pPr>
              <w:pStyle w:val="Text1"/>
              <w:spacing w:before="0" w:after="0"/>
              <w:ind w:left="0"/>
              <w:rPr>
                <w:noProof/>
              </w:rPr>
            </w:pPr>
            <w:r>
              <w:rPr>
                <w:noProof/>
              </w:rPr>
              <w:t>Интерфейс на националния домейн</w:t>
            </w:r>
          </w:p>
        </w:tc>
      </w:tr>
      <w:tr>
        <w:tc>
          <w:tcPr>
            <w:tcW w:w="2268" w:type="dxa"/>
            <w:vAlign w:val="bottom"/>
          </w:tcPr>
          <w:p>
            <w:pPr>
              <w:pStyle w:val="Text1"/>
              <w:spacing w:before="0" w:after="0"/>
              <w:ind w:left="0"/>
              <w:rPr>
                <w:noProof/>
              </w:rPr>
            </w:pPr>
            <w:r>
              <w:rPr>
                <w:noProof/>
              </w:rPr>
              <w:t>OBS</w:t>
            </w:r>
          </w:p>
        </w:tc>
        <w:tc>
          <w:tcPr>
            <w:tcW w:w="6095" w:type="dxa"/>
            <w:vAlign w:val="bottom"/>
          </w:tcPr>
          <w:p>
            <w:pPr>
              <w:pStyle w:val="Text1"/>
              <w:spacing w:before="0" w:after="0"/>
              <w:ind w:left="0"/>
              <w:rPr>
                <w:noProof/>
              </w:rPr>
            </w:pPr>
            <w:r>
              <w:rPr>
                <w:noProof/>
              </w:rPr>
              <w:t>Orange Business Services</w:t>
            </w:r>
          </w:p>
        </w:tc>
      </w:tr>
      <w:tr>
        <w:tc>
          <w:tcPr>
            <w:tcW w:w="2268" w:type="dxa"/>
            <w:vAlign w:val="bottom"/>
          </w:tcPr>
          <w:p>
            <w:pPr>
              <w:pStyle w:val="Text1"/>
              <w:spacing w:before="0" w:after="0"/>
              <w:ind w:left="0"/>
              <w:rPr>
                <w:noProof/>
              </w:rPr>
            </w:pPr>
            <w:r>
              <w:rPr>
                <w:noProof/>
              </w:rPr>
              <w:t>OLA</w:t>
            </w:r>
          </w:p>
        </w:tc>
        <w:tc>
          <w:tcPr>
            <w:tcW w:w="6095" w:type="dxa"/>
            <w:vAlign w:val="bottom"/>
          </w:tcPr>
          <w:p>
            <w:pPr>
              <w:pStyle w:val="Text1"/>
              <w:spacing w:before="0" w:after="0"/>
              <w:ind w:left="0"/>
              <w:rPr>
                <w:noProof/>
              </w:rPr>
            </w:pPr>
            <w:r>
              <w:rPr>
                <w:noProof/>
              </w:rPr>
              <w:t>Споразумение за оперативно ниво</w:t>
            </w:r>
          </w:p>
        </w:tc>
      </w:tr>
      <w:tr>
        <w:tc>
          <w:tcPr>
            <w:tcW w:w="2268" w:type="dxa"/>
            <w:vAlign w:val="bottom"/>
          </w:tcPr>
          <w:p>
            <w:pPr>
              <w:pStyle w:val="Text1"/>
              <w:spacing w:before="0" w:after="0"/>
              <w:ind w:left="0"/>
              <w:rPr>
                <w:noProof/>
              </w:rPr>
            </w:pPr>
            <w:r>
              <w:rPr>
                <w:noProof/>
              </w:rPr>
              <w:t>OLAF</w:t>
            </w:r>
          </w:p>
        </w:tc>
        <w:tc>
          <w:tcPr>
            <w:tcW w:w="6095" w:type="dxa"/>
            <w:vAlign w:val="bottom"/>
          </w:tcPr>
          <w:p>
            <w:pPr>
              <w:pStyle w:val="Text1"/>
              <w:spacing w:before="0" w:after="0"/>
              <w:ind w:left="0"/>
              <w:rPr>
                <w:noProof/>
              </w:rPr>
            </w:pPr>
            <w:r>
              <w:rPr>
                <w:noProof/>
              </w:rPr>
              <w:t>Европейска служба за борба с измамите</w:t>
            </w:r>
          </w:p>
        </w:tc>
      </w:tr>
      <w:tr>
        <w:tc>
          <w:tcPr>
            <w:tcW w:w="2268" w:type="dxa"/>
            <w:vAlign w:val="bottom"/>
          </w:tcPr>
          <w:p>
            <w:pPr>
              <w:pStyle w:val="Text1"/>
              <w:spacing w:before="0" w:after="0"/>
              <w:ind w:left="0"/>
              <w:rPr>
                <w:noProof/>
              </w:rPr>
            </w:pPr>
            <w:r>
              <w:rPr>
                <w:noProof/>
              </w:rPr>
              <w:t>ОС</w:t>
            </w:r>
          </w:p>
        </w:tc>
        <w:tc>
          <w:tcPr>
            <w:tcW w:w="6095" w:type="dxa"/>
            <w:vAlign w:val="bottom"/>
          </w:tcPr>
          <w:p>
            <w:pPr>
              <w:pStyle w:val="Text1"/>
              <w:spacing w:before="0" w:after="0"/>
              <w:ind w:left="0"/>
              <w:rPr>
                <w:noProof/>
              </w:rPr>
            </w:pPr>
            <w:r>
              <w:rPr>
                <w:noProof/>
              </w:rPr>
              <w:t>Операционна система</w:t>
            </w:r>
          </w:p>
        </w:tc>
      </w:tr>
      <w:tr>
        <w:tc>
          <w:tcPr>
            <w:tcW w:w="2268" w:type="dxa"/>
            <w:vAlign w:val="bottom"/>
          </w:tcPr>
          <w:p>
            <w:pPr>
              <w:pStyle w:val="Text1"/>
              <w:spacing w:before="0" w:after="0"/>
              <w:ind w:left="0"/>
              <w:rPr>
                <w:noProof/>
              </w:rPr>
            </w:pPr>
            <w:r>
              <w:rPr>
                <w:noProof/>
              </w:rPr>
              <w:t>OSP</w:t>
            </w:r>
          </w:p>
        </w:tc>
        <w:tc>
          <w:tcPr>
            <w:tcW w:w="6095" w:type="dxa"/>
            <w:vAlign w:val="bottom"/>
          </w:tcPr>
          <w:p>
            <w:pPr>
              <w:pStyle w:val="Text1"/>
              <w:spacing w:before="0" w:after="0"/>
              <w:ind w:left="0"/>
              <w:rPr>
                <w:noProof/>
              </w:rPr>
            </w:pPr>
            <w:r>
              <w:rPr>
                <w:noProof/>
              </w:rPr>
              <w:t>Задължения на доставчика на услугите</w:t>
            </w:r>
          </w:p>
        </w:tc>
      </w:tr>
      <w:tr>
        <w:tc>
          <w:tcPr>
            <w:tcW w:w="2268" w:type="dxa"/>
            <w:vAlign w:val="bottom"/>
          </w:tcPr>
          <w:p>
            <w:pPr>
              <w:pStyle w:val="Text1"/>
              <w:spacing w:before="0" w:after="0"/>
              <w:ind w:left="0"/>
              <w:rPr>
                <w:noProof/>
              </w:rPr>
            </w:pPr>
            <w:r>
              <w:rPr>
                <w:noProof/>
              </w:rPr>
              <w:t>OSR</w:t>
            </w:r>
          </w:p>
        </w:tc>
        <w:tc>
          <w:tcPr>
            <w:tcW w:w="6095" w:type="dxa"/>
            <w:vAlign w:val="bottom"/>
          </w:tcPr>
          <w:p>
            <w:pPr>
              <w:pStyle w:val="Text1"/>
              <w:spacing w:before="0" w:after="0"/>
              <w:ind w:left="0"/>
              <w:rPr>
                <w:noProof/>
              </w:rPr>
            </w:pPr>
            <w:r>
              <w:rPr>
                <w:noProof/>
              </w:rPr>
              <w:t>Задължения на заявителя на услугите</w:t>
            </w:r>
          </w:p>
        </w:tc>
      </w:tr>
      <w:tr>
        <w:tc>
          <w:tcPr>
            <w:tcW w:w="2268" w:type="dxa"/>
            <w:vAlign w:val="bottom"/>
          </w:tcPr>
          <w:p>
            <w:pPr>
              <w:pStyle w:val="Text1"/>
              <w:spacing w:before="0" w:after="0"/>
              <w:ind w:left="0"/>
              <w:rPr>
                <w:noProof/>
              </w:rPr>
            </w:pPr>
            <w:r>
              <w:rPr>
                <w:noProof/>
              </w:rPr>
              <w:t>POL</w:t>
            </w:r>
          </w:p>
        </w:tc>
        <w:tc>
          <w:tcPr>
            <w:tcW w:w="6095" w:type="dxa"/>
            <w:vAlign w:val="bottom"/>
          </w:tcPr>
          <w:p>
            <w:pPr>
              <w:pStyle w:val="Text1"/>
              <w:spacing w:before="0" w:after="0"/>
              <w:ind w:left="0"/>
              <w:rPr>
                <w:noProof/>
              </w:rPr>
            </w:pPr>
            <w:r>
              <w:rPr>
                <w:noProof/>
              </w:rPr>
              <w:t>Политика</w:t>
            </w:r>
          </w:p>
        </w:tc>
      </w:tr>
      <w:tr>
        <w:tc>
          <w:tcPr>
            <w:tcW w:w="2268" w:type="dxa"/>
            <w:vAlign w:val="bottom"/>
          </w:tcPr>
          <w:p>
            <w:pPr>
              <w:pStyle w:val="Text1"/>
              <w:spacing w:before="0" w:after="0"/>
              <w:ind w:left="0"/>
              <w:rPr>
                <w:noProof/>
              </w:rPr>
            </w:pPr>
            <w:r>
              <w:rPr>
                <w:noProof/>
              </w:rPr>
              <w:t>PoP</w:t>
            </w:r>
          </w:p>
        </w:tc>
        <w:tc>
          <w:tcPr>
            <w:tcW w:w="6095" w:type="dxa"/>
            <w:vAlign w:val="bottom"/>
          </w:tcPr>
          <w:p>
            <w:pPr>
              <w:pStyle w:val="Text1"/>
              <w:spacing w:before="0" w:after="0"/>
              <w:ind w:left="0"/>
              <w:rPr>
                <w:noProof/>
              </w:rPr>
            </w:pPr>
            <w:r>
              <w:rPr>
                <w:noProof/>
              </w:rPr>
              <w:t>Точка на присъствие</w:t>
            </w:r>
          </w:p>
        </w:tc>
      </w:tr>
      <w:tr>
        <w:tc>
          <w:tcPr>
            <w:tcW w:w="2268" w:type="dxa"/>
            <w:vAlign w:val="bottom"/>
          </w:tcPr>
          <w:p>
            <w:pPr>
              <w:pStyle w:val="Text1"/>
              <w:spacing w:before="0" w:after="0"/>
              <w:ind w:left="0"/>
              <w:rPr>
                <w:noProof/>
              </w:rPr>
            </w:pPr>
            <w:r>
              <w:rPr>
                <w:noProof/>
              </w:rPr>
              <w:t>PRG</w:t>
            </w:r>
          </w:p>
        </w:tc>
        <w:tc>
          <w:tcPr>
            <w:tcW w:w="6095" w:type="dxa"/>
            <w:vAlign w:val="bottom"/>
          </w:tcPr>
          <w:p>
            <w:pPr>
              <w:pStyle w:val="Text1"/>
              <w:spacing w:before="0" w:after="0"/>
              <w:ind w:left="0"/>
              <w:rPr>
                <w:noProof/>
              </w:rPr>
            </w:pPr>
            <w:r>
              <w:rPr>
                <w:noProof/>
              </w:rPr>
              <w:t>Програма</w:t>
            </w:r>
          </w:p>
        </w:tc>
      </w:tr>
      <w:tr>
        <w:tc>
          <w:tcPr>
            <w:tcW w:w="2268" w:type="dxa"/>
            <w:vAlign w:val="bottom"/>
          </w:tcPr>
          <w:p>
            <w:pPr>
              <w:pStyle w:val="Text1"/>
              <w:spacing w:before="0" w:after="0"/>
              <w:ind w:left="0"/>
              <w:rPr>
                <w:noProof/>
              </w:rPr>
            </w:pPr>
            <w:r>
              <w:rPr>
                <w:noProof/>
              </w:rPr>
              <w:t>QA</w:t>
            </w:r>
          </w:p>
        </w:tc>
        <w:tc>
          <w:tcPr>
            <w:tcW w:w="6095" w:type="dxa"/>
            <w:vAlign w:val="bottom"/>
          </w:tcPr>
          <w:p>
            <w:pPr>
              <w:pStyle w:val="Text1"/>
              <w:spacing w:before="0" w:after="0"/>
              <w:ind w:left="0"/>
              <w:rPr>
                <w:noProof/>
              </w:rPr>
            </w:pPr>
            <w:r>
              <w:rPr>
                <w:noProof/>
              </w:rPr>
              <w:t>Осигуряване на качеството</w:t>
            </w:r>
          </w:p>
        </w:tc>
      </w:tr>
      <w:tr>
        <w:tc>
          <w:tcPr>
            <w:tcW w:w="2268" w:type="dxa"/>
            <w:vAlign w:val="bottom"/>
          </w:tcPr>
          <w:p>
            <w:pPr>
              <w:pStyle w:val="Text1"/>
              <w:spacing w:before="0" w:after="0"/>
              <w:ind w:left="0"/>
              <w:rPr>
                <w:noProof/>
              </w:rPr>
            </w:pPr>
            <w:r>
              <w:rPr>
                <w:noProof/>
              </w:rPr>
              <w:t>RAP</w:t>
            </w:r>
          </w:p>
        </w:tc>
        <w:tc>
          <w:tcPr>
            <w:tcW w:w="6095" w:type="dxa"/>
            <w:vAlign w:val="bottom"/>
          </w:tcPr>
          <w:p>
            <w:pPr>
              <w:pStyle w:val="Text1"/>
              <w:spacing w:before="0" w:after="0"/>
              <w:ind w:left="0"/>
              <w:rPr>
                <w:noProof/>
              </w:rPr>
            </w:pPr>
            <w:r>
              <w:rPr>
                <w:noProof/>
              </w:rPr>
              <w:t>Отдалечен API прокси сървър</w:t>
            </w:r>
          </w:p>
        </w:tc>
      </w:tr>
      <w:tr>
        <w:tc>
          <w:tcPr>
            <w:tcW w:w="2268" w:type="dxa"/>
            <w:vAlign w:val="bottom"/>
          </w:tcPr>
          <w:p>
            <w:pPr>
              <w:pStyle w:val="Text1"/>
              <w:spacing w:before="0" w:after="0"/>
              <w:ind w:left="0"/>
              <w:rPr>
                <w:noProof/>
              </w:rPr>
            </w:pPr>
            <w:r>
              <w:rPr>
                <w:noProof/>
              </w:rPr>
              <w:t>RD</w:t>
            </w:r>
          </w:p>
        </w:tc>
        <w:tc>
          <w:tcPr>
            <w:tcW w:w="6095" w:type="dxa"/>
            <w:vAlign w:val="bottom"/>
          </w:tcPr>
          <w:p>
            <w:pPr>
              <w:pStyle w:val="Text1"/>
              <w:spacing w:before="0" w:after="0"/>
              <w:ind w:left="0"/>
              <w:rPr>
                <w:noProof/>
              </w:rPr>
            </w:pPr>
            <w:r>
              <w:rPr>
                <w:noProof/>
              </w:rPr>
              <w:t>Справочен документ</w:t>
            </w:r>
          </w:p>
        </w:tc>
      </w:tr>
      <w:tr>
        <w:tc>
          <w:tcPr>
            <w:tcW w:w="2268" w:type="dxa"/>
            <w:vAlign w:val="bottom"/>
          </w:tcPr>
          <w:p>
            <w:pPr>
              <w:pStyle w:val="Text1"/>
              <w:spacing w:before="0" w:after="0"/>
              <w:ind w:left="0"/>
              <w:rPr>
                <w:noProof/>
              </w:rPr>
            </w:pPr>
            <w:r>
              <w:rPr>
                <w:noProof/>
              </w:rPr>
              <w:t>REV</w:t>
            </w:r>
          </w:p>
        </w:tc>
        <w:tc>
          <w:tcPr>
            <w:tcW w:w="6095" w:type="dxa"/>
            <w:vAlign w:val="bottom"/>
          </w:tcPr>
          <w:p>
            <w:pPr>
              <w:pStyle w:val="Text1"/>
              <w:spacing w:before="0" w:after="0"/>
              <w:ind w:left="0"/>
              <w:rPr>
                <w:noProof/>
              </w:rPr>
            </w:pPr>
            <w:r>
              <w:rPr>
                <w:noProof/>
              </w:rPr>
              <w:t>Версия</w:t>
            </w:r>
          </w:p>
        </w:tc>
      </w:tr>
      <w:tr>
        <w:tc>
          <w:tcPr>
            <w:tcW w:w="2268" w:type="dxa"/>
            <w:vAlign w:val="bottom"/>
          </w:tcPr>
          <w:p>
            <w:pPr>
              <w:pStyle w:val="Text1"/>
              <w:spacing w:before="0" w:after="0"/>
              <w:ind w:left="0"/>
              <w:rPr>
                <w:noProof/>
              </w:rPr>
            </w:pPr>
            <w:r>
              <w:rPr>
                <w:noProof/>
              </w:rPr>
              <w:t>RFA</w:t>
            </w:r>
          </w:p>
        </w:tc>
        <w:tc>
          <w:tcPr>
            <w:tcW w:w="6095" w:type="dxa"/>
            <w:vAlign w:val="bottom"/>
          </w:tcPr>
          <w:p>
            <w:pPr>
              <w:pStyle w:val="Text1"/>
              <w:spacing w:before="0" w:after="0"/>
              <w:ind w:left="0"/>
              <w:rPr>
                <w:noProof/>
              </w:rPr>
            </w:pPr>
            <w:r>
              <w:rPr>
                <w:noProof/>
              </w:rPr>
              <w:t>Искане за действие</w:t>
            </w:r>
          </w:p>
        </w:tc>
      </w:tr>
      <w:tr>
        <w:tc>
          <w:tcPr>
            <w:tcW w:w="2268" w:type="dxa"/>
            <w:vAlign w:val="bottom"/>
          </w:tcPr>
          <w:p>
            <w:pPr>
              <w:pStyle w:val="Text1"/>
              <w:spacing w:before="0" w:after="0"/>
              <w:ind w:left="0"/>
              <w:rPr>
                <w:noProof/>
              </w:rPr>
            </w:pPr>
            <w:r>
              <w:rPr>
                <w:noProof/>
              </w:rPr>
              <w:t>ROL</w:t>
            </w:r>
          </w:p>
        </w:tc>
        <w:tc>
          <w:tcPr>
            <w:tcW w:w="6095" w:type="dxa"/>
            <w:vAlign w:val="bottom"/>
          </w:tcPr>
          <w:p>
            <w:pPr>
              <w:pStyle w:val="Text1"/>
              <w:spacing w:before="0" w:after="0"/>
              <w:ind w:left="0"/>
              <w:rPr>
                <w:noProof/>
              </w:rPr>
            </w:pPr>
            <w:r>
              <w:rPr>
                <w:noProof/>
              </w:rPr>
              <w:t>Роля</w:t>
            </w:r>
          </w:p>
        </w:tc>
      </w:tr>
      <w:tr>
        <w:tc>
          <w:tcPr>
            <w:tcW w:w="2268" w:type="dxa"/>
            <w:vAlign w:val="bottom"/>
          </w:tcPr>
          <w:p>
            <w:pPr>
              <w:pStyle w:val="Text1"/>
              <w:spacing w:before="0" w:after="0"/>
              <w:ind w:left="0"/>
              <w:rPr>
                <w:noProof/>
              </w:rPr>
            </w:pPr>
            <w:r>
              <w:rPr>
                <w:noProof/>
              </w:rPr>
              <w:t>SFI</w:t>
            </w:r>
          </w:p>
        </w:tc>
        <w:tc>
          <w:tcPr>
            <w:tcW w:w="6095" w:type="dxa"/>
            <w:vAlign w:val="bottom"/>
          </w:tcPr>
          <w:p>
            <w:pPr>
              <w:pStyle w:val="Text1"/>
              <w:spacing w:before="0" w:after="0"/>
              <w:ind w:left="0"/>
              <w:rPr>
                <w:noProof/>
              </w:rPr>
            </w:pPr>
            <w:r>
              <w:rPr>
                <w:noProof/>
              </w:rPr>
              <w:t>Подаване на информация</w:t>
            </w:r>
          </w:p>
        </w:tc>
      </w:tr>
      <w:tr>
        <w:tc>
          <w:tcPr>
            <w:tcW w:w="2268" w:type="dxa"/>
            <w:vAlign w:val="bottom"/>
          </w:tcPr>
          <w:p>
            <w:pPr>
              <w:pStyle w:val="Text1"/>
              <w:spacing w:before="0" w:after="0"/>
              <w:ind w:left="0"/>
              <w:rPr>
                <w:noProof/>
              </w:rPr>
            </w:pPr>
            <w:r>
              <w:rPr>
                <w:noProof/>
              </w:rPr>
              <w:t>SMTP</w:t>
            </w:r>
          </w:p>
        </w:tc>
        <w:tc>
          <w:tcPr>
            <w:tcW w:w="6095" w:type="dxa"/>
            <w:vAlign w:val="bottom"/>
          </w:tcPr>
          <w:p>
            <w:pPr>
              <w:pStyle w:val="Text1"/>
              <w:spacing w:before="0" w:after="0"/>
              <w:ind w:left="0"/>
              <w:rPr>
                <w:noProof/>
              </w:rPr>
            </w:pPr>
            <w:r>
              <w:rPr>
                <w:noProof/>
              </w:rPr>
              <w:t>Прост протокол за обмен на електронна поща</w:t>
            </w:r>
          </w:p>
        </w:tc>
      </w:tr>
      <w:tr>
        <w:tc>
          <w:tcPr>
            <w:tcW w:w="2268" w:type="dxa"/>
            <w:vAlign w:val="bottom"/>
          </w:tcPr>
          <w:p>
            <w:pPr>
              <w:pStyle w:val="Text1"/>
              <w:spacing w:before="0" w:after="0"/>
              <w:ind w:left="0"/>
              <w:rPr>
                <w:noProof/>
              </w:rPr>
            </w:pPr>
            <w:r>
              <w:rPr>
                <w:noProof/>
              </w:rPr>
              <w:t>SQI</w:t>
            </w:r>
          </w:p>
        </w:tc>
        <w:tc>
          <w:tcPr>
            <w:tcW w:w="6095" w:type="dxa"/>
            <w:vAlign w:val="bottom"/>
          </w:tcPr>
          <w:p>
            <w:pPr>
              <w:pStyle w:val="Text1"/>
              <w:spacing w:before="0" w:after="0"/>
              <w:ind w:left="0"/>
              <w:rPr>
                <w:noProof/>
              </w:rPr>
            </w:pPr>
            <w:r>
              <w:rPr>
                <w:noProof/>
              </w:rPr>
              <w:t>Показател за качество на услугите</w:t>
            </w:r>
          </w:p>
        </w:tc>
      </w:tr>
      <w:tr>
        <w:tc>
          <w:tcPr>
            <w:tcW w:w="2268" w:type="dxa"/>
            <w:vAlign w:val="bottom"/>
          </w:tcPr>
          <w:p>
            <w:pPr>
              <w:pStyle w:val="Text1"/>
              <w:spacing w:before="0" w:after="0"/>
              <w:ind w:left="0"/>
              <w:rPr>
                <w:noProof/>
              </w:rPr>
            </w:pPr>
            <w:r>
              <w:rPr>
                <w:noProof/>
              </w:rPr>
              <w:t>SSG</w:t>
            </w:r>
          </w:p>
        </w:tc>
        <w:tc>
          <w:tcPr>
            <w:tcW w:w="6095" w:type="dxa"/>
            <w:vAlign w:val="bottom"/>
          </w:tcPr>
          <w:p>
            <w:pPr>
              <w:pStyle w:val="Text1"/>
              <w:spacing w:before="0" w:after="0"/>
              <w:ind w:left="0"/>
              <w:rPr>
                <w:noProof/>
              </w:rPr>
            </w:pPr>
            <w:r>
              <w:rPr>
                <w:noProof/>
              </w:rPr>
              <w:t>Защитени портали за услуги (инструмент за криптиране Juniper Encryption)</w:t>
            </w:r>
          </w:p>
        </w:tc>
      </w:tr>
      <w:tr>
        <w:tc>
          <w:tcPr>
            <w:tcW w:w="2268" w:type="dxa"/>
            <w:vAlign w:val="bottom"/>
          </w:tcPr>
          <w:p>
            <w:pPr>
              <w:pStyle w:val="Text1"/>
              <w:spacing w:before="0" w:after="0"/>
              <w:ind w:left="0"/>
              <w:rPr>
                <w:noProof/>
              </w:rPr>
            </w:pPr>
            <w:r>
              <w:rPr>
                <w:noProof/>
              </w:rPr>
              <w:t>SW</w:t>
            </w:r>
          </w:p>
        </w:tc>
        <w:tc>
          <w:tcPr>
            <w:tcW w:w="6095" w:type="dxa"/>
            <w:vAlign w:val="bottom"/>
          </w:tcPr>
          <w:p>
            <w:pPr>
              <w:pStyle w:val="Text1"/>
              <w:spacing w:before="0" w:after="0"/>
              <w:ind w:left="0"/>
              <w:rPr>
                <w:noProof/>
              </w:rPr>
            </w:pPr>
            <w:r>
              <w:rPr>
                <w:noProof/>
              </w:rPr>
              <w:t>Софтуер</w:t>
            </w:r>
          </w:p>
        </w:tc>
      </w:tr>
      <w:tr>
        <w:tc>
          <w:tcPr>
            <w:tcW w:w="2268" w:type="dxa"/>
            <w:vAlign w:val="bottom"/>
          </w:tcPr>
          <w:p>
            <w:pPr>
              <w:pStyle w:val="Text1"/>
              <w:spacing w:before="0" w:after="0"/>
              <w:ind w:left="0"/>
              <w:rPr>
                <w:noProof/>
              </w:rPr>
            </w:pPr>
            <w:r>
              <w:rPr>
                <w:noProof/>
              </w:rPr>
              <w:t>TAXUD</w:t>
            </w:r>
          </w:p>
        </w:tc>
        <w:tc>
          <w:tcPr>
            <w:tcW w:w="6095" w:type="dxa"/>
            <w:vAlign w:val="bottom"/>
          </w:tcPr>
          <w:p>
            <w:pPr>
              <w:pStyle w:val="Text1"/>
              <w:spacing w:before="0" w:after="0"/>
              <w:ind w:left="0"/>
              <w:rPr>
                <w:noProof/>
              </w:rPr>
            </w:pPr>
            <w:r>
              <w:rPr>
                <w:noProof/>
              </w:rPr>
              <w:t>Данъчно облагане и митнически съюз</w:t>
            </w:r>
          </w:p>
        </w:tc>
      </w:tr>
      <w:tr>
        <w:tc>
          <w:tcPr>
            <w:tcW w:w="2268" w:type="dxa"/>
            <w:vAlign w:val="bottom"/>
          </w:tcPr>
          <w:p>
            <w:pPr>
              <w:pStyle w:val="Text1"/>
              <w:spacing w:before="0" w:after="0"/>
              <w:ind w:left="0"/>
              <w:rPr>
                <w:noProof/>
              </w:rPr>
            </w:pPr>
            <w:r>
              <w:rPr>
                <w:noProof/>
              </w:rPr>
              <w:t>TCP</w:t>
            </w:r>
          </w:p>
        </w:tc>
        <w:tc>
          <w:tcPr>
            <w:tcW w:w="6095" w:type="dxa"/>
            <w:vAlign w:val="bottom"/>
          </w:tcPr>
          <w:p>
            <w:pPr>
              <w:pStyle w:val="Text1"/>
              <w:spacing w:before="0" w:after="0"/>
              <w:ind w:left="0"/>
              <w:rPr>
                <w:noProof/>
              </w:rPr>
            </w:pPr>
            <w:r>
              <w:rPr>
                <w:noProof/>
              </w:rPr>
              <w:t>Протокол за управление на обмена на информация</w:t>
            </w:r>
          </w:p>
        </w:tc>
      </w:tr>
      <w:tr>
        <w:tc>
          <w:tcPr>
            <w:tcW w:w="2268" w:type="dxa"/>
            <w:vAlign w:val="bottom"/>
          </w:tcPr>
          <w:p>
            <w:pPr>
              <w:pStyle w:val="Text1"/>
              <w:spacing w:before="0" w:after="0"/>
              <w:ind w:left="0"/>
              <w:rPr>
                <w:noProof/>
              </w:rPr>
            </w:pPr>
            <w:r>
              <w:rPr>
                <w:noProof/>
              </w:rPr>
              <w:t>UPS</w:t>
            </w:r>
          </w:p>
        </w:tc>
        <w:tc>
          <w:tcPr>
            <w:tcW w:w="6095" w:type="dxa"/>
            <w:vAlign w:val="bottom"/>
          </w:tcPr>
          <w:p>
            <w:pPr>
              <w:pStyle w:val="Text1"/>
              <w:spacing w:before="0" w:after="0"/>
              <w:ind w:left="0"/>
              <w:rPr>
                <w:noProof/>
              </w:rPr>
            </w:pPr>
            <w:r>
              <w:rPr>
                <w:noProof/>
              </w:rPr>
              <w:t>Източник на непрекъсваемо електрическо захранване</w:t>
            </w:r>
          </w:p>
        </w:tc>
      </w:tr>
      <w:tr>
        <w:tc>
          <w:tcPr>
            <w:tcW w:w="2268" w:type="dxa"/>
            <w:vAlign w:val="bottom"/>
          </w:tcPr>
          <w:p>
            <w:pPr>
              <w:pStyle w:val="Text1"/>
              <w:spacing w:before="0" w:after="0"/>
              <w:ind w:left="0"/>
              <w:rPr>
                <w:noProof/>
              </w:rPr>
            </w:pPr>
            <w:r>
              <w:rPr>
                <w:noProof/>
              </w:rPr>
              <w:t>VM</w:t>
            </w:r>
          </w:p>
        </w:tc>
        <w:tc>
          <w:tcPr>
            <w:tcW w:w="6095" w:type="dxa"/>
            <w:vAlign w:val="bottom"/>
          </w:tcPr>
          <w:p>
            <w:pPr>
              <w:pStyle w:val="Text1"/>
              <w:spacing w:before="0" w:after="0"/>
              <w:ind w:left="0"/>
              <w:rPr>
                <w:noProof/>
              </w:rPr>
            </w:pPr>
            <w:r>
              <w:rPr>
                <w:noProof/>
              </w:rPr>
              <w:t>Виртуална машина</w:t>
            </w:r>
          </w:p>
        </w:tc>
      </w:tr>
      <w:tr>
        <w:tc>
          <w:tcPr>
            <w:tcW w:w="2268" w:type="dxa"/>
            <w:vAlign w:val="bottom"/>
          </w:tcPr>
          <w:p>
            <w:pPr>
              <w:pStyle w:val="Text1"/>
              <w:spacing w:before="0" w:after="0"/>
              <w:ind w:left="0"/>
              <w:rPr>
                <w:noProof/>
              </w:rPr>
            </w:pPr>
            <w:r>
              <w:rPr>
                <w:noProof/>
              </w:rPr>
              <w:t>VPN</w:t>
            </w:r>
          </w:p>
        </w:tc>
        <w:tc>
          <w:tcPr>
            <w:tcW w:w="6095" w:type="dxa"/>
            <w:vAlign w:val="bottom"/>
          </w:tcPr>
          <w:p>
            <w:pPr>
              <w:pStyle w:val="Text1"/>
              <w:spacing w:before="0" w:after="0"/>
              <w:ind w:left="0"/>
              <w:rPr>
                <w:noProof/>
              </w:rPr>
            </w:pPr>
            <w:r>
              <w:rPr>
                <w:noProof/>
              </w:rPr>
              <w:t xml:space="preserve">Виртуална частна мрежа </w:t>
            </w:r>
          </w:p>
        </w:tc>
      </w:tr>
      <w:tr>
        <w:tc>
          <w:tcPr>
            <w:tcW w:w="2268" w:type="dxa"/>
            <w:vAlign w:val="bottom"/>
          </w:tcPr>
          <w:p>
            <w:pPr>
              <w:pStyle w:val="Text1"/>
              <w:spacing w:before="0" w:after="0"/>
              <w:ind w:left="0"/>
              <w:rPr>
                <w:noProof/>
              </w:rPr>
            </w:pPr>
            <w:r>
              <w:rPr>
                <w:noProof/>
              </w:rPr>
              <w:t>WAN</w:t>
            </w:r>
          </w:p>
        </w:tc>
        <w:tc>
          <w:tcPr>
            <w:tcW w:w="6095" w:type="dxa"/>
            <w:vAlign w:val="bottom"/>
          </w:tcPr>
          <w:p>
            <w:pPr>
              <w:pStyle w:val="Text1"/>
              <w:spacing w:before="0" w:after="0"/>
              <w:ind w:left="0"/>
              <w:rPr>
                <w:noProof/>
              </w:rPr>
            </w:pPr>
            <w:r>
              <w:rPr>
                <w:noProof/>
              </w:rPr>
              <w:t>Глобална мрежа</w:t>
            </w:r>
          </w:p>
        </w:tc>
      </w:tr>
    </w:tbl>
    <w:p>
      <w:pPr>
        <w:spacing w:before="60"/>
        <w:jc w:val="center"/>
        <w:rPr>
          <w:rFonts w:eastAsia="Times New Roman"/>
          <w:noProof/>
          <w:sz w:val="20"/>
          <w:szCs w:val="20"/>
        </w:rPr>
      </w:pPr>
      <w:r>
        <w:rPr>
          <w:noProof/>
          <w:sz w:val="20"/>
        </w:rPr>
        <w:t xml:space="preserve">Таблица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9</w:t>
      </w:r>
      <w:r>
        <w:rPr>
          <w:rFonts w:eastAsia="Times New Roman"/>
          <w:noProof/>
          <w:sz w:val="20"/>
          <w:szCs w:val="20"/>
        </w:rPr>
        <w:fldChar w:fldCharType="end"/>
      </w:r>
      <w:r>
        <w:rPr>
          <w:noProof/>
          <w:sz w:val="20"/>
        </w:rPr>
        <w:t xml:space="preserve">: Съкращения </w:t>
      </w:r>
    </w:p>
    <w:p>
      <w:pPr>
        <w:pStyle w:val="ManualHeading2"/>
        <w:rPr>
          <w:noProof/>
        </w:rPr>
      </w:pPr>
      <w:r>
        <w:rPr>
          <w:noProof/>
        </w:rPr>
        <w:t>2.2.</w:t>
      </w:r>
      <w:r>
        <w:rPr>
          <w:noProof/>
        </w:rPr>
        <w:tab/>
        <w:t>ОПРЕДЕЛЕНИЯ НА ПОНЯТИЯ ЗА ЦЕЛИТЕ НА СНУ ЗА CCN/CSI</w:t>
      </w:r>
    </w:p>
    <w:tbl>
      <w:tblPr>
        <w:tblStyle w:val="TableGrid"/>
        <w:tblW w:w="8363" w:type="dxa"/>
        <w:tblInd w:w="959" w:type="dxa"/>
        <w:tblLook w:val="04A0" w:firstRow="1" w:lastRow="0" w:firstColumn="1" w:lastColumn="0" w:noHBand="0" w:noVBand="1"/>
      </w:tblPr>
      <w:tblGrid>
        <w:gridCol w:w="2268"/>
        <w:gridCol w:w="6095"/>
      </w:tblGrid>
      <w:tr>
        <w:tc>
          <w:tcPr>
            <w:tcW w:w="2268" w:type="dxa"/>
            <w:shd w:val="clear" w:color="auto" w:fill="D9D9D9" w:themeFill="background1" w:themeFillShade="D9"/>
          </w:tcPr>
          <w:p>
            <w:pPr>
              <w:pStyle w:val="Text1"/>
              <w:spacing w:before="0" w:after="0"/>
              <w:ind w:left="0"/>
              <w:rPr>
                <w:noProof/>
              </w:rPr>
            </w:pPr>
            <w:r>
              <w:rPr>
                <w:b/>
                <w:caps/>
                <w:noProof/>
              </w:rPr>
              <w:t>ПОНЯТИЕ</w:t>
            </w:r>
          </w:p>
        </w:tc>
        <w:tc>
          <w:tcPr>
            <w:tcW w:w="6095" w:type="dxa"/>
            <w:shd w:val="clear" w:color="auto" w:fill="D9D9D9" w:themeFill="background1" w:themeFillShade="D9"/>
          </w:tcPr>
          <w:p>
            <w:pPr>
              <w:pStyle w:val="Text1"/>
              <w:spacing w:before="0" w:after="0"/>
              <w:ind w:left="0"/>
              <w:rPr>
                <w:b/>
                <w:noProof/>
              </w:rPr>
            </w:pPr>
            <w:r>
              <w:rPr>
                <w:b/>
                <w:noProof/>
              </w:rPr>
              <w:t>ОПИСАНИЕ</w:t>
            </w:r>
          </w:p>
        </w:tc>
      </w:tr>
      <w:tr>
        <w:tc>
          <w:tcPr>
            <w:tcW w:w="2268" w:type="dxa"/>
          </w:tcPr>
          <w:p>
            <w:pPr>
              <w:pStyle w:val="Text1"/>
              <w:spacing w:before="0" w:after="0"/>
              <w:ind w:left="0"/>
              <w:rPr>
                <w:noProof/>
              </w:rPr>
            </w:pPr>
            <w:r>
              <w:rPr>
                <w:b/>
                <w:noProof/>
              </w:rPr>
              <w:t>Период на докладване</w:t>
            </w:r>
          </w:p>
        </w:tc>
        <w:tc>
          <w:tcPr>
            <w:tcW w:w="6095" w:type="dxa"/>
          </w:tcPr>
          <w:p>
            <w:pPr>
              <w:pStyle w:val="Text1"/>
              <w:spacing w:before="0" w:after="0"/>
              <w:ind w:left="0"/>
              <w:rPr>
                <w:noProof/>
              </w:rPr>
            </w:pPr>
            <w:r>
              <w:rPr>
                <w:noProof/>
              </w:rPr>
              <w:t xml:space="preserve">Един изтекъл месец. </w:t>
            </w:r>
          </w:p>
        </w:tc>
      </w:tr>
      <w:tr>
        <w:tc>
          <w:tcPr>
            <w:tcW w:w="2268" w:type="dxa"/>
          </w:tcPr>
          <w:p>
            <w:pPr>
              <w:pStyle w:val="Text1"/>
              <w:spacing w:before="0" w:after="0"/>
              <w:ind w:left="0"/>
              <w:rPr>
                <w:noProof/>
              </w:rPr>
            </w:pPr>
            <w:r>
              <w:rPr>
                <w:b/>
                <w:noProof/>
              </w:rPr>
              <w:t>Работен ден</w:t>
            </w:r>
          </w:p>
        </w:tc>
        <w:tc>
          <w:tcPr>
            <w:tcW w:w="6095" w:type="dxa"/>
          </w:tcPr>
          <w:p>
            <w:pPr>
              <w:pStyle w:val="Text1"/>
              <w:spacing w:before="0" w:after="0"/>
              <w:ind w:left="0"/>
              <w:rPr>
                <w:noProof/>
              </w:rPr>
            </w:pPr>
            <w:r>
              <w:rPr>
                <w:noProof/>
              </w:rPr>
              <w:t>Работните дни съвпадат с работните дни на бюрото за обслужване на доставчика на услугите. Това означава 7 дни в седмицата, включително официалните празници.</w:t>
            </w:r>
          </w:p>
        </w:tc>
      </w:tr>
      <w:tr>
        <w:tc>
          <w:tcPr>
            <w:tcW w:w="2268" w:type="dxa"/>
          </w:tcPr>
          <w:p>
            <w:pPr>
              <w:pStyle w:val="Text1"/>
              <w:spacing w:before="0" w:after="0"/>
              <w:ind w:left="0"/>
              <w:rPr>
                <w:noProof/>
              </w:rPr>
            </w:pPr>
            <w:r>
              <w:rPr>
                <w:b/>
                <w:noProof/>
              </w:rPr>
              <w:t>Работно време</w:t>
            </w:r>
          </w:p>
        </w:tc>
        <w:tc>
          <w:tcPr>
            <w:tcW w:w="6095" w:type="dxa"/>
          </w:tcPr>
          <w:p>
            <w:pPr>
              <w:pStyle w:val="Text1"/>
              <w:spacing w:before="0" w:after="0"/>
              <w:ind w:left="0"/>
              <w:rPr>
                <w:noProof/>
              </w:rPr>
            </w:pPr>
            <w:r>
              <w:rPr>
                <w:noProof/>
              </w:rPr>
              <w:t>Работното време съвпада с работното време на бюрото за обслужване на доставчика на услугите. Това означава 24 часа в денонощието в работните дни.</w:t>
            </w:r>
          </w:p>
        </w:tc>
      </w:tr>
      <w:tr>
        <w:tc>
          <w:tcPr>
            <w:tcW w:w="2268" w:type="dxa"/>
          </w:tcPr>
          <w:p>
            <w:pPr>
              <w:pStyle w:val="Text1"/>
              <w:spacing w:before="0" w:after="0"/>
              <w:ind w:left="0"/>
              <w:rPr>
                <w:noProof/>
              </w:rPr>
            </w:pPr>
            <w:r>
              <w:rPr>
                <w:b/>
                <w:noProof/>
              </w:rPr>
              <w:t>Време за дежурство</w:t>
            </w:r>
          </w:p>
        </w:tc>
        <w:tc>
          <w:tcPr>
            <w:tcW w:w="6095" w:type="dxa"/>
          </w:tcPr>
          <w:p>
            <w:pPr>
              <w:keepNext/>
              <w:keepLines/>
              <w:spacing w:before="0" w:line="276" w:lineRule="auto"/>
              <w:rPr>
                <w:rFonts w:eastAsia="Calibri"/>
                <w:noProof/>
                <w:szCs w:val="24"/>
              </w:rPr>
            </w:pPr>
            <w:r>
              <w:rPr>
                <w:noProof/>
              </w:rPr>
              <w:t>Времето за дежурство на доставчика на услугите представлява часовете, в които е обезпечено функционирането на бюрото за обслужване. Бюрото за обслужване на доставчика на услугите е дежурно 24 часа в денонощието, 7 дни в седмицата, включително официалните празници.</w:t>
            </w:r>
          </w:p>
          <w:p>
            <w:pPr>
              <w:pStyle w:val="Text1"/>
              <w:spacing w:before="0" w:after="0"/>
              <w:ind w:left="0"/>
              <w:rPr>
                <w:noProof/>
              </w:rPr>
            </w:pPr>
            <w:r>
              <w:rPr>
                <w:noProof/>
              </w:rPr>
              <w:t>В зависимост от прозореца за обслужване на конфигурационния елемент действията се предприемат незабавно (24*7) или се насрочват за следващия ден. Искания, отправени с писмо, по факс, електронна поща и чрез други електронни средства (чрез портала ITSM), се приемат по всяко време. Входящите искания се регистрират като „искания за обслужване“ в системата за управление на бюрото за обслужване на доставчика на услугите.</w:t>
            </w:r>
          </w:p>
        </w:tc>
      </w:tr>
    </w:tbl>
    <w:p>
      <w:pPr>
        <w:spacing w:before="60"/>
        <w:jc w:val="center"/>
        <w:rPr>
          <w:rFonts w:eastAsia="Times New Roman"/>
          <w:noProof/>
          <w:sz w:val="20"/>
          <w:szCs w:val="20"/>
        </w:rPr>
      </w:pPr>
      <w:r>
        <w:rPr>
          <w:noProof/>
          <w:sz w:val="20"/>
        </w:rPr>
        <w:t xml:space="preserve">Таблица </w:t>
      </w:r>
      <w:r>
        <w:rPr>
          <w:rFonts w:eastAsia="Times New Roman"/>
          <w:noProof/>
          <w:sz w:val="20"/>
          <w:szCs w:val="20"/>
        </w:rPr>
        <w:fldChar w:fldCharType="begin"/>
      </w:r>
      <w:r>
        <w:rPr>
          <w:rFonts w:eastAsia="Times New Roman"/>
          <w:noProof/>
          <w:sz w:val="20"/>
          <w:szCs w:val="20"/>
        </w:rPr>
        <w:instrText xml:space="preserve"> SEQ Table \* ARABIC </w:instrText>
      </w:r>
      <w:r>
        <w:rPr>
          <w:rFonts w:eastAsia="Times New Roman"/>
          <w:noProof/>
          <w:sz w:val="20"/>
          <w:szCs w:val="20"/>
        </w:rPr>
        <w:fldChar w:fldCharType="separate"/>
      </w:r>
      <w:r>
        <w:rPr>
          <w:rFonts w:eastAsia="Times New Roman"/>
          <w:noProof/>
          <w:sz w:val="20"/>
          <w:szCs w:val="20"/>
        </w:rPr>
        <w:t>10</w:t>
      </w:r>
      <w:r>
        <w:rPr>
          <w:rFonts w:eastAsia="Times New Roman"/>
          <w:noProof/>
          <w:sz w:val="20"/>
          <w:szCs w:val="20"/>
        </w:rPr>
        <w:fldChar w:fldCharType="end"/>
      </w:r>
      <w:r>
        <w:rPr>
          <w:noProof/>
          <w:sz w:val="20"/>
        </w:rPr>
        <w:t>: Определения</w:t>
      </w:r>
    </w:p>
    <w:p>
      <w:pPr>
        <w:pStyle w:val="ManualHeading1"/>
        <w:rPr>
          <w:noProof/>
        </w:rPr>
      </w:pPr>
      <w:r>
        <w:rPr>
          <w:noProof/>
        </w:rPr>
        <w:t>3.</w:t>
      </w:r>
      <w:r>
        <w:rPr>
          <w:noProof/>
        </w:rPr>
        <w:tab/>
      </w:r>
      <w:r>
        <w:rPr>
          <w:noProof/>
          <w:u w:val="single"/>
        </w:rPr>
        <w:t>ВЪВЕДЕНИЕ</w:t>
      </w:r>
    </w:p>
    <w:p>
      <w:pPr>
        <w:pStyle w:val="Text1"/>
        <w:rPr>
          <w:noProof/>
        </w:rPr>
      </w:pPr>
      <w:r>
        <w:rPr>
          <w:noProof/>
        </w:rPr>
        <w:t xml:space="preserve">Настоящият документ е съставен от споразумение за нивото на услугите за общата комуникационна мрежа/общия системен интерфейс („СНУ ЗА CCN/CSI“) между Европейската комисия („доставчик на услугите“) и Кралство Норвегия („заявител на услугите“), наричани заедно „страните по СНУ“. </w:t>
      </w:r>
    </w:p>
    <w:p>
      <w:pPr>
        <w:pStyle w:val="Text1"/>
        <w:rPr>
          <w:rFonts w:eastAsia="Calibri"/>
          <w:noProof/>
        </w:rPr>
      </w:pPr>
      <w:r>
        <w:rPr>
          <w:noProof/>
        </w:rPr>
        <w:t>В смисъла на понятието „доставчик на услугите“ се включват по-специално следните организационни звена на ГД „Данъчно облагане и митнически съюз“:</w:t>
      </w:r>
    </w:p>
    <w:p>
      <w:pPr>
        <w:pStyle w:val="Bullet1"/>
        <w:rPr>
          <w:noProof/>
        </w:rPr>
      </w:pPr>
      <w:r>
        <w:rPr>
          <w:noProof/>
        </w:rPr>
        <w:t>Звено DG TAXUD B2, координиращо всички дейности, свързани със CCN/CSI;</w:t>
      </w:r>
    </w:p>
    <w:p>
      <w:pPr>
        <w:pStyle w:val="Bullet1"/>
        <w:rPr>
          <w:noProof/>
        </w:rPr>
      </w:pPr>
      <w:r>
        <w:rPr>
          <w:noProof/>
        </w:rPr>
        <w:t>Звено ITSM3 Operations, предоставящо оперативни услуги;</w:t>
      </w:r>
    </w:p>
    <w:p>
      <w:pPr>
        <w:pStyle w:val="Bullet1"/>
        <w:rPr>
          <w:noProof/>
        </w:rPr>
      </w:pPr>
      <w:r>
        <w:rPr>
          <w:noProof/>
        </w:rPr>
        <w:t>Звено CCN2DEV, предоставящо софтуер за CCN (услуги за коригираща и насочена към доразработване поддръжка);</w:t>
      </w:r>
    </w:p>
    <w:p>
      <w:pPr>
        <w:pStyle w:val="Bullet1"/>
        <w:rPr>
          <w:noProof/>
        </w:rPr>
      </w:pPr>
      <w:r>
        <w:rPr>
          <w:noProof/>
        </w:rPr>
        <w:t>Доставчик на трансевропейската опорна мрежа (CCN/WAN, понастоящем — OBS).</w:t>
      </w:r>
    </w:p>
    <w:p>
      <w:pPr>
        <w:pStyle w:val="Text1"/>
        <w:rPr>
          <w:noProof/>
        </w:rPr>
      </w:pPr>
      <w:r>
        <w:rPr>
          <w:noProof/>
        </w:rPr>
        <w:t>Доставчикът на услугите, който да изпълни съответната задача, се определя съобразно с естеството на поисканата услуга.</w:t>
      </w:r>
    </w:p>
    <w:p>
      <w:pPr>
        <w:pStyle w:val="Text1"/>
        <w:rPr>
          <w:noProof/>
        </w:rPr>
      </w:pPr>
      <w:r>
        <w:rPr>
          <w:noProof/>
        </w:rPr>
        <w:t>„Заявителят на услугите“ е националната данъчна администрация (НА) на Норвегия. Имащите отношение организационни звена в НА са:</w:t>
      </w:r>
    </w:p>
    <w:p>
      <w:pPr>
        <w:pStyle w:val="Bullet1"/>
        <w:rPr>
          <w:noProof/>
        </w:rPr>
      </w:pPr>
      <w:r>
        <w:rPr>
          <w:b/>
          <w:noProof/>
        </w:rPr>
        <w:t>Националният център за поддръжка на CCN</w:t>
      </w:r>
      <w:r>
        <w:rPr>
          <w:noProof/>
        </w:rPr>
        <w:t>, отговарящ за поддръжката и управлението на оборудването от инфраструктурата на ГД „Данъчно облагане и митнически съюз“ за CCN, разположено в помещения на НА, както и националната инфраструктура, поддържаща приложенията, работещи с инфраструктурата на CCN/CSI;</w:t>
      </w:r>
    </w:p>
    <w:p>
      <w:pPr>
        <w:pStyle w:val="Bullet1"/>
        <w:rPr>
          <w:noProof/>
        </w:rPr>
      </w:pPr>
      <w:r>
        <w:rPr>
          <w:b/>
          <w:noProof/>
        </w:rPr>
        <w:t>Националният център за поддръжка на приложения</w:t>
      </w:r>
      <w:r>
        <w:rPr>
          <w:noProof/>
        </w:rPr>
        <w:t>, отговарящ за националната поддръжка на приложенията на ЕК, работещи в националния домейн и ползващи услугите на инфраструктурата на CCN/CSI;</w:t>
      </w:r>
    </w:p>
    <w:p>
      <w:pPr>
        <w:pStyle w:val="Bullet1"/>
        <w:rPr>
          <w:noProof/>
        </w:rPr>
      </w:pPr>
      <w:r>
        <w:rPr>
          <w:b/>
          <w:noProof/>
        </w:rPr>
        <w:t>Националните екипи за разработка на приложения</w:t>
      </w:r>
      <w:r>
        <w:rPr>
          <w:noProof/>
        </w:rPr>
        <w:t>, отговарящи за разработването на приложения, ползващи услугите на инфраструктурата на CCN/CSI, включително подизпълнителите на тези екипи.</w:t>
      </w:r>
    </w:p>
    <w:p>
      <w:pPr>
        <w:pStyle w:val="ManualHeading2"/>
        <w:rPr>
          <w:noProof/>
        </w:rPr>
      </w:pPr>
      <w:bookmarkStart w:id="130" w:name="_Toc379626066"/>
      <w:bookmarkStart w:id="131" w:name="_Toc409143222"/>
      <w:bookmarkStart w:id="132" w:name="_Toc409152246"/>
      <w:bookmarkStart w:id="133" w:name="_Toc409169397"/>
      <w:bookmarkStart w:id="134" w:name="_Toc409657261"/>
      <w:bookmarkStart w:id="135" w:name="_Toc409839178"/>
      <w:bookmarkStart w:id="136" w:name="_Toc409839288"/>
      <w:bookmarkStart w:id="137" w:name="_Toc410559165"/>
      <w:bookmarkStart w:id="138" w:name="_Toc416876762"/>
      <w:r>
        <w:rPr>
          <w:noProof/>
        </w:rPr>
        <w:t>3.1.</w:t>
      </w:r>
      <w:r>
        <w:rPr>
          <w:noProof/>
        </w:rPr>
        <w:tab/>
        <w:t>ПРИЛОЖНО ПОЛЕ НА СНУ ЗА CCN/CSI</w:t>
      </w:r>
    </w:p>
    <w:p>
      <w:pPr>
        <w:pStyle w:val="Text1"/>
        <w:rPr>
          <w:rFonts w:eastAsia="Calibri"/>
          <w:noProof/>
          <w:sz w:val="22"/>
        </w:rPr>
      </w:pPr>
      <w:r>
        <w:rPr>
          <w:noProof/>
        </w:rPr>
        <w:t>В член 5 от Споразумението се посочва, че „се сключва споразумение за нивото на услугите, с което се осигурява техническото качество и количество на услугите за работата на системите за комуникация и обмен на информация.“</w:t>
      </w:r>
    </w:p>
    <w:p>
      <w:pPr>
        <w:pStyle w:val="Text1"/>
        <w:rPr>
          <w:rFonts w:eastAsia="Calibri"/>
          <w:noProof/>
          <w:sz w:val="22"/>
        </w:rPr>
      </w:pPr>
      <w:r>
        <w:rPr>
          <w:noProof/>
        </w:rPr>
        <w:t>Настоящото СНУ за CCN/CSI урежда отношенията между Комисията (доставчика на услугите) и Кралство Норвегия (заявителя на услугите) във връзка с оперативната фаза на системата на общата комуникационна мрежа/общия системен интерфейс</w:t>
      </w:r>
      <w:r>
        <w:rPr>
          <w:noProof/>
          <w:sz w:val="22"/>
        </w:rPr>
        <w:t xml:space="preserve"> („системата на CCN/CSI“).</w:t>
      </w:r>
    </w:p>
    <w:p>
      <w:pPr>
        <w:pStyle w:val="Text1"/>
        <w:rPr>
          <w:noProof/>
        </w:rPr>
      </w:pPr>
      <w:r>
        <w:rPr>
          <w:noProof/>
        </w:rPr>
        <w:t xml:space="preserve">С него се определя изискваното ниво на услугите, предоставяни на заявителя на услугите. Освен това с него се предвижда взаимно разбиране на очакванията относно нивото на услугите и отговорностите на страните по СНУ. </w:t>
      </w:r>
    </w:p>
    <w:p>
      <w:pPr>
        <w:pStyle w:val="Text1"/>
        <w:rPr>
          <w:noProof/>
        </w:rPr>
      </w:pPr>
      <w:r>
        <w:rPr>
          <w:noProof/>
        </w:rPr>
        <w:t xml:space="preserve">В настоящия документ се описват услугите, предоставяни понастоящем от доставчика на услугите, и техните нива. </w:t>
      </w:r>
    </w:p>
    <w:p>
      <w:pPr>
        <w:pStyle w:val="Text1"/>
        <w:rPr>
          <w:noProof/>
        </w:rPr>
      </w:pPr>
      <w:r>
        <w:rPr>
          <w:noProof/>
        </w:rPr>
        <w:t>Всички упоменати в СНУ за CCN/CSI целеви стойности са приложими единствено при нормални работни условия.</w:t>
      </w:r>
    </w:p>
    <w:p>
      <w:pPr>
        <w:pStyle w:val="Text1"/>
        <w:rPr>
          <w:noProof/>
        </w:rPr>
      </w:pPr>
      <w:r>
        <w:rPr>
          <w:noProof/>
        </w:rPr>
        <w:t>В случай на непреодолима сила никоя от страните не носи отговорност за неизпълнение на задълженията си, ако това неизпълнение е следствие от природно бедствие (включително пожар, наводнение, земетресение, буря, ураган и др.), война, нахлуване, действия на чуждестранни врагове, военни действия (независимо дали има обявена война или не), гражданска война, бунт, революция, метеж, военна или узурпирана власт или конфискация, терористична дейност, национализация, държавни санкции, блокада, ембарго, трудов спор, стачка, локаут, прекъсване или дългосрочна повреда на обществената електропреносна мрежа.</w:t>
      </w:r>
    </w:p>
    <w:p>
      <w:pPr>
        <w:pStyle w:val="ManualHeading2"/>
        <w:rPr>
          <w:noProof/>
        </w:rPr>
      </w:pPr>
      <w:bookmarkStart w:id="139" w:name="_Toc445210943"/>
      <w:bookmarkEnd w:id="130"/>
      <w:bookmarkEnd w:id="131"/>
      <w:bookmarkEnd w:id="132"/>
      <w:bookmarkEnd w:id="133"/>
      <w:bookmarkEnd w:id="134"/>
      <w:bookmarkEnd w:id="135"/>
      <w:bookmarkEnd w:id="136"/>
      <w:bookmarkEnd w:id="137"/>
      <w:bookmarkEnd w:id="138"/>
      <w:bookmarkEnd w:id="139"/>
      <w:r>
        <w:rPr>
          <w:noProof/>
        </w:rPr>
        <w:t>3.2.</w:t>
      </w:r>
      <w:r>
        <w:rPr>
          <w:noProof/>
        </w:rPr>
        <w:tab/>
        <w:t>ОПРЕДЕЛЕНИЕ И ХАРАКТЕРИСТИКИ НА УСЛУГИТЕ НА CCN/CSI</w:t>
      </w:r>
    </w:p>
    <w:p>
      <w:pPr>
        <w:pStyle w:val="Text1"/>
        <w:rPr>
          <w:noProof/>
        </w:rPr>
      </w:pPr>
      <w:r>
        <w:rPr>
          <w:noProof/>
        </w:rPr>
        <w:t>Общата комуникационна мрежа/общият системен интерфейс представлява инструмент за обмен на данъчна информация между националните администрации в областта на данъчното облагане и борбата с измамите. Основните характеристики на системната инфраструктура на CCN/CSI са изброени по-долу:</w:t>
      </w:r>
    </w:p>
    <w:tbl>
      <w:tblPr>
        <w:tblStyle w:val="TableGrid"/>
        <w:tblW w:w="8221" w:type="dxa"/>
        <w:tblInd w:w="959" w:type="dxa"/>
        <w:tblLook w:val="04A0" w:firstRow="1" w:lastRow="0" w:firstColumn="1" w:lastColumn="0" w:noHBand="0" w:noVBand="1"/>
      </w:tblPr>
      <w:tblGrid>
        <w:gridCol w:w="2777"/>
        <w:gridCol w:w="5444"/>
      </w:tblGrid>
      <w:tr>
        <w:tc>
          <w:tcPr>
            <w:tcW w:w="2126" w:type="dxa"/>
            <w:shd w:val="clear" w:color="auto" w:fill="D9D9D9" w:themeFill="background1" w:themeFillShade="D9"/>
          </w:tcPr>
          <w:p>
            <w:pPr>
              <w:pStyle w:val="Text1"/>
              <w:ind w:left="0"/>
              <w:rPr>
                <w:b/>
                <w:noProof/>
              </w:rPr>
            </w:pPr>
            <w:r>
              <w:rPr>
                <w:b/>
                <w:noProof/>
              </w:rPr>
              <w:t>ТРАНСЕВРОПЕЙСКО ПОКРИТИЕ</w:t>
            </w:r>
          </w:p>
        </w:tc>
        <w:tc>
          <w:tcPr>
            <w:tcW w:w="6095" w:type="dxa"/>
            <w:shd w:val="clear" w:color="auto" w:fill="auto"/>
          </w:tcPr>
          <w:p>
            <w:pPr>
              <w:pStyle w:val="Text1"/>
              <w:ind w:left="0"/>
              <w:jc w:val="left"/>
              <w:rPr>
                <w:noProof/>
              </w:rPr>
            </w:pPr>
            <w:r>
              <w:rPr>
                <w:noProof/>
              </w:rPr>
              <w:t>CCN/CSI предлага на заявителите на услугите глобален WAN достъп чрез множество точки на присъствие (PoP) във всяка държава членка, държавите в процес на присъединяване и Норвегия. Опорната мрежа на CCN/CSI предлага необходимите възможности и устойчивост за осигуряване на висок коефициент на експлоатационна готовност за заявителите на услугите.</w:t>
            </w:r>
          </w:p>
        </w:tc>
      </w:tr>
      <w:tr>
        <w:tc>
          <w:tcPr>
            <w:tcW w:w="2126" w:type="dxa"/>
            <w:shd w:val="clear" w:color="auto" w:fill="D9D9D9" w:themeFill="background1" w:themeFillShade="D9"/>
          </w:tcPr>
          <w:p>
            <w:pPr>
              <w:pStyle w:val="Text1"/>
              <w:ind w:left="0"/>
              <w:rPr>
                <w:b/>
                <w:noProof/>
              </w:rPr>
            </w:pPr>
            <w:r>
              <w:rPr>
                <w:b/>
                <w:noProof/>
              </w:rPr>
              <w:t>ПОДДРЪЖКА НА МНОЖЕСТВО ПЛАТФОРМИ</w:t>
            </w:r>
          </w:p>
        </w:tc>
        <w:tc>
          <w:tcPr>
            <w:tcW w:w="6095" w:type="dxa"/>
            <w:shd w:val="clear" w:color="auto" w:fill="auto"/>
          </w:tcPr>
          <w:p>
            <w:pPr>
              <w:pStyle w:val="Text1"/>
              <w:ind w:left="0"/>
              <w:jc w:val="left"/>
              <w:rPr>
                <w:noProof/>
              </w:rPr>
            </w:pPr>
            <w:r>
              <w:rPr>
                <w:noProof/>
              </w:rPr>
              <w:t>Осигурява оперативна съвместимост между разнородни платформи (Windows, Linux, Solaris, AIX, HPUX, SVR4, IBM MVS и др.) чрез силно приспособим комуникационен стак (общ системен интерфейс), инсталиран на стандартните национални приложни платформи.</w:t>
            </w:r>
          </w:p>
        </w:tc>
      </w:tr>
      <w:tr>
        <w:tc>
          <w:tcPr>
            <w:tcW w:w="2126" w:type="dxa"/>
            <w:shd w:val="clear" w:color="auto" w:fill="D9D9D9" w:themeFill="background1" w:themeFillShade="D9"/>
          </w:tcPr>
          <w:p>
            <w:pPr>
              <w:pStyle w:val="Text1"/>
              <w:ind w:left="0"/>
              <w:rPr>
                <w:b/>
                <w:noProof/>
              </w:rPr>
            </w:pPr>
            <w:r>
              <w:rPr>
                <w:b/>
                <w:noProof/>
              </w:rPr>
              <w:t>ПОДДРЪЖКА НА МНОЖЕСТВО ПРОТОКОЛИ</w:t>
            </w:r>
          </w:p>
        </w:tc>
        <w:tc>
          <w:tcPr>
            <w:tcW w:w="6095" w:type="dxa"/>
            <w:shd w:val="clear" w:color="auto" w:fill="auto"/>
          </w:tcPr>
          <w:p>
            <w:pPr>
              <w:keepLines/>
              <w:spacing w:before="0" w:after="0"/>
              <w:jc w:val="left"/>
              <w:rPr>
                <w:rFonts w:eastAsia="Calibri"/>
                <w:noProof/>
                <w:szCs w:val="24"/>
              </w:rPr>
            </w:pPr>
            <w:r>
              <w:rPr>
                <w:noProof/>
              </w:rPr>
              <w:t>Поддържа множество различни протоколи и модели на обмен:</w:t>
            </w:r>
          </w:p>
          <w:p>
            <w:pPr>
              <w:keepLines/>
              <w:numPr>
                <w:ilvl w:val="0"/>
                <w:numId w:val="14"/>
              </w:numPr>
              <w:spacing w:before="0" w:after="0"/>
              <w:contextualSpacing/>
              <w:jc w:val="left"/>
              <w:rPr>
                <w:rFonts w:eastAsia="Calibri"/>
                <w:noProof/>
                <w:szCs w:val="24"/>
              </w:rPr>
            </w:pPr>
            <w:r>
              <w:rPr>
                <w:noProof/>
              </w:rPr>
              <w:t>протокол на CSI, който поддържа асинхронни и синхронни (заявка/реакция) комуникационни модели (канал на CCN/CSI);</w:t>
            </w:r>
          </w:p>
          <w:p>
            <w:pPr>
              <w:keepLines/>
              <w:numPr>
                <w:ilvl w:val="0"/>
                <w:numId w:val="14"/>
              </w:numPr>
              <w:spacing w:before="0" w:after="0"/>
              <w:contextualSpacing/>
              <w:jc w:val="left"/>
              <w:rPr>
                <w:rFonts w:eastAsia="Calibri"/>
                <w:noProof/>
                <w:szCs w:val="24"/>
              </w:rPr>
            </w:pPr>
            <w:r>
              <w:rPr>
                <w:noProof/>
              </w:rPr>
              <w:t>протокол HTTP/S за интерактивен достъп до услугите на вътрешната мрежа на CCN (канал на CCN Intranet);</w:t>
            </w:r>
          </w:p>
          <w:p>
            <w:pPr>
              <w:pStyle w:val="Text1"/>
              <w:ind w:left="0"/>
              <w:jc w:val="left"/>
              <w:rPr>
                <w:noProof/>
              </w:rPr>
            </w:pPr>
            <w:r>
              <w:rPr>
                <w:noProof/>
              </w:rPr>
              <w:t>протоколи POP, IMAP, SMTP за обмен на електронна поща между потребителите в НА, а също и между приложения (канал CCN Mail III).</w:t>
            </w:r>
          </w:p>
        </w:tc>
      </w:tr>
      <w:tr>
        <w:tc>
          <w:tcPr>
            <w:tcW w:w="2126" w:type="dxa"/>
            <w:shd w:val="clear" w:color="auto" w:fill="D9D9D9" w:themeFill="background1" w:themeFillShade="D9"/>
          </w:tcPr>
          <w:p>
            <w:pPr>
              <w:pStyle w:val="Text1"/>
              <w:ind w:left="0"/>
              <w:rPr>
                <w:b/>
                <w:noProof/>
              </w:rPr>
            </w:pPr>
            <w:r>
              <w:rPr>
                <w:b/>
                <w:noProof/>
              </w:rPr>
              <w:t>ЗАЩИТА</w:t>
            </w:r>
          </w:p>
        </w:tc>
        <w:tc>
          <w:tcPr>
            <w:tcW w:w="6095" w:type="dxa"/>
            <w:shd w:val="clear" w:color="auto" w:fill="auto"/>
          </w:tcPr>
          <w:p>
            <w:pPr>
              <w:keepLines/>
              <w:spacing w:before="0" w:after="0"/>
              <w:jc w:val="left"/>
              <w:rPr>
                <w:rFonts w:eastAsia="Calibri"/>
                <w:noProof/>
                <w:szCs w:val="24"/>
              </w:rPr>
            </w:pPr>
            <w:r>
              <w:rPr>
                <w:noProof/>
              </w:rPr>
              <w:t>Обменът на информация по мрежата CCN/CSI е защитен с цел осигуряване на оптимална поверителност и неприкосновеност на данните. Услугите за защита включват:</w:t>
            </w:r>
          </w:p>
          <w:p>
            <w:pPr>
              <w:keepLines/>
              <w:numPr>
                <w:ilvl w:val="0"/>
                <w:numId w:val="15"/>
              </w:numPr>
              <w:spacing w:before="0" w:after="0"/>
              <w:contextualSpacing/>
              <w:jc w:val="left"/>
              <w:rPr>
                <w:rFonts w:eastAsia="Calibri"/>
                <w:noProof/>
                <w:szCs w:val="24"/>
              </w:rPr>
            </w:pPr>
            <w:r>
              <w:rPr>
                <w:noProof/>
              </w:rPr>
              <w:t xml:space="preserve">256-битово криптиране IPSec „от обект до обект“ и защита срещу нежелан достъп чрез „защитна стена“/криптиращи устройства във всеки обект на CCN/CSI; </w:t>
            </w:r>
          </w:p>
          <w:p>
            <w:pPr>
              <w:keepLines/>
              <w:numPr>
                <w:ilvl w:val="0"/>
                <w:numId w:val="15"/>
              </w:numPr>
              <w:spacing w:before="0" w:after="0"/>
              <w:contextualSpacing/>
              <w:jc w:val="left"/>
              <w:rPr>
                <w:rFonts w:eastAsia="Calibri"/>
                <w:noProof/>
                <w:szCs w:val="24"/>
              </w:rPr>
            </w:pPr>
            <w:r>
              <w:rPr>
                <w:noProof/>
              </w:rPr>
              <w:t>Механизми за контрол на достъпа (идентифициране, оправомощаване и отчетност) на ниво обект, прилагани в порталите към CCN и поддържани с местни инструменти за администриране (ADM3G);</w:t>
            </w:r>
          </w:p>
          <w:p>
            <w:pPr>
              <w:pStyle w:val="Text1"/>
              <w:ind w:left="0"/>
              <w:jc w:val="left"/>
              <w:rPr>
                <w:noProof/>
              </w:rPr>
            </w:pPr>
            <w:r>
              <w:rPr>
                <w:noProof/>
              </w:rPr>
              <w:t xml:space="preserve">Защита на всяка сесия чрез криптиране на всяко съобщение (CSI secure), взаимно идентифициране и криптиране чрез SSL v.3 (HTTPS), POP-S и IMAP-S (защитен пренос на електронна поща). </w:t>
            </w:r>
          </w:p>
        </w:tc>
      </w:tr>
      <w:tr>
        <w:tc>
          <w:tcPr>
            <w:tcW w:w="2126" w:type="dxa"/>
            <w:shd w:val="clear" w:color="auto" w:fill="D9D9D9" w:themeFill="background1" w:themeFillShade="D9"/>
          </w:tcPr>
          <w:p>
            <w:pPr>
              <w:pStyle w:val="Text1"/>
              <w:ind w:left="0"/>
              <w:rPr>
                <w:b/>
                <w:noProof/>
              </w:rPr>
            </w:pPr>
            <w:r>
              <w:rPr>
                <w:b/>
                <w:noProof/>
              </w:rPr>
              <w:t>УПРАВЛЕНИЕ</w:t>
            </w:r>
          </w:p>
        </w:tc>
        <w:tc>
          <w:tcPr>
            <w:tcW w:w="6095" w:type="dxa"/>
            <w:shd w:val="clear" w:color="auto" w:fill="auto"/>
          </w:tcPr>
          <w:p>
            <w:pPr>
              <w:keepLines/>
              <w:spacing w:before="0" w:after="0"/>
              <w:jc w:val="left"/>
              <w:rPr>
                <w:rFonts w:eastAsia="Calibri"/>
                <w:noProof/>
              </w:rPr>
            </w:pPr>
            <w:r>
              <w:rPr>
                <w:noProof/>
              </w:rPr>
              <w:t>Инфраструктурата на CCN/CSI предоставя на заявителите на услугите и управление на услуги, включително:</w:t>
            </w:r>
          </w:p>
          <w:p>
            <w:pPr>
              <w:keepLines/>
              <w:numPr>
                <w:ilvl w:val="0"/>
                <w:numId w:val="16"/>
              </w:numPr>
              <w:spacing w:before="0" w:after="0"/>
              <w:contextualSpacing/>
              <w:jc w:val="left"/>
              <w:rPr>
                <w:rFonts w:eastAsia="Calibri"/>
                <w:noProof/>
              </w:rPr>
            </w:pPr>
            <w:r>
              <w:rPr>
                <w:noProof/>
              </w:rPr>
              <w:t>централно наблюдение;</w:t>
            </w:r>
          </w:p>
          <w:p>
            <w:pPr>
              <w:keepLines/>
              <w:numPr>
                <w:ilvl w:val="0"/>
                <w:numId w:val="16"/>
              </w:numPr>
              <w:spacing w:before="0" w:after="0"/>
              <w:contextualSpacing/>
              <w:jc w:val="left"/>
              <w:rPr>
                <w:rFonts w:eastAsia="Calibri"/>
                <w:noProof/>
              </w:rPr>
            </w:pPr>
            <w:r>
              <w:rPr>
                <w:noProof/>
              </w:rPr>
              <w:t>водене на регистър на събитията;</w:t>
            </w:r>
          </w:p>
          <w:p>
            <w:pPr>
              <w:keepLines/>
              <w:numPr>
                <w:ilvl w:val="0"/>
                <w:numId w:val="16"/>
              </w:numPr>
              <w:spacing w:before="0" w:after="0"/>
              <w:contextualSpacing/>
              <w:jc w:val="left"/>
              <w:rPr>
                <w:rFonts w:eastAsia="Calibri"/>
                <w:noProof/>
              </w:rPr>
            </w:pPr>
            <w:r>
              <w:rPr>
                <w:noProof/>
              </w:rPr>
              <w:t>извеждане на статистически данни за обмена на съобщения по CSI и CCN Mail III (размер, брой на съобщенията, матрица) и статистически данни за порталите към CCN и CCN Mail III;</w:t>
            </w:r>
          </w:p>
          <w:p>
            <w:pPr>
              <w:keepLines/>
              <w:numPr>
                <w:ilvl w:val="0"/>
                <w:numId w:val="16"/>
              </w:numPr>
              <w:spacing w:before="0" w:after="0"/>
              <w:contextualSpacing/>
              <w:jc w:val="left"/>
              <w:rPr>
                <w:rFonts w:eastAsia="Calibri"/>
                <w:noProof/>
              </w:rPr>
            </w:pPr>
            <w:r>
              <w:rPr>
                <w:noProof/>
              </w:rPr>
              <w:t>администриране на потребителите (ADM3G) и справочни услуги;</w:t>
            </w:r>
          </w:p>
          <w:p>
            <w:pPr>
              <w:keepLines/>
              <w:numPr>
                <w:ilvl w:val="0"/>
                <w:numId w:val="16"/>
              </w:numPr>
              <w:spacing w:before="0" w:after="0"/>
              <w:contextualSpacing/>
              <w:jc w:val="left"/>
              <w:rPr>
                <w:rFonts w:eastAsia="Calibri"/>
                <w:noProof/>
              </w:rPr>
            </w:pPr>
            <w:r>
              <w:rPr>
                <w:noProof/>
              </w:rPr>
              <w:t>валидиране на стаковете на CSI;</w:t>
            </w:r>
          </w:p>
          <w:p>
            <w:pPr>
              <w:keepLines/>
              <w:numPr>
                <w:ilvl w:val="0"/>
                <w:numId w:val="16"/>
              </w:numPr>
              <w:spacing w:before="0" w:after="0"/>
              <w:contextualSpacing/>
              <w:jc w:val="left"/>
              <w:rPr>
                <w:rFonts w:eastAsia="Calibri"/>
                <w:noProof/>
              </w:rPr>
            </w:pPr>
            <w:r>
              <w:rPr>
                <w:noProof/>
              </w:rPr>
              <w:t>портални услуги:</w:t>
            </w:r>
          </w:p>
          <w:p>
            <w:pPr>
              <w:keepLines/>
              <w:numPr>
                <w:ilvl w:val="1"/>
                <w:numId w:val="16"/>
              </w:numPr>
              <w:spacing w:before="0" w:after="0"/>
              <w:contextualSpacing/>
              <w:jc w:val="left"/>
              <w:rPr>
                <w:rFonts w:eastAsia="Calibri"/>
                <w:noProof/>
              </w:rPr>
            </w:pPr>
            <w:r>
              <w:rPr>
                <w:noProof/>
              </w:rPr>
              <w:t>Портал на CCN: онлайн достъп до статистически данни, онлайн управление на отдалечени API прокси сървъри (RAP);</w:t>
            </w:r>
          </w:p>
          <w:p>
            <w:pPr>
              <w:keepLines/>
              <w:numPr>
                <w:ilvl w:val="1"/>
                <w:numId w:val="16"/>
              </w:numPr>
              <w:spacing w:before="0" w:after="0"/>
              <w:contextualSpacing/>
              <w:jc w:val="left"/>
              <w:rPr>
                <w:rFonts w:eastAsia="Calibri"/>
                <w:noProof/>
              </w:rPr>
            </w:pPr>
            <w:r>
              <w:rPr>
                <w:noProof/>
              </w:rPr>
              <w:t>Портал на ITSM: онлайн бюлетин, онлайн документация и пакети от стакове на CSI, често задавани въпроси (ЧЗВ) за CCN</w:t>
            </w:r>
          </w:p>
          <w:p>
            <w:pPr>
              <w:keepLines/>
              <w:numPr>
                <w:ilvl w:val="0"/>
                <w:numId w:val="16"/>
              </w:numPr>
              <w:spacing w:before="0" w:after="0"/>
              <w:contextualSpacing/>
              <w:jc w:val="left"/>
              <w:rPr>
                <w:rFonts w:eastAsia="Calibri"/>
                <w:noProof/>
              </w:rPr>
            </w:pPr>
            <w:r>
              <w:rPr>
                <w:noProof/>
              </w:rPr>
              <w:t xml:space="preserve">ACT (Инструмент за конфигуриране на приложения); </w:t>
            </w:r>
          </w:p>
          <w:p>
            <w:pPr>
              <w:pStyle w:val="Text1"/>
              <w:ind w:left="0"/>
              <w:jc w:val="left"/>
              <w:rPr>
                <w:noProof/>
              </w:rPr>
            </w:pPr>
            <w:r>
              <w:rPr>
                <w:noProof/>
              </w:rPr>
              <w:t>проследяване на исканията за обслужване и онлайн поддръжка.</w:t>
            </w:r>
          </w:p>
        </w:tc>
      </w:tr>
    </w:tbl>
    <w:p>
      <w:pPr>
        <w:spacing w:before="60"/>
        <w:jc w:val="center"/>
        <w:rPr>
          <w:rFonts w:eastAsia="Times New Roman"/>
          <w:noProof/>
          <w:sz w:val="20"/>
          <w:szCs w:val="20"/>
        </w:rPr>
      </w:pPr>
      <w:bookmarkStart w:id="140" w:name="_Toc490755345"/>
      <w:r>
        <w:rPr>
          <w:noProof/>
          <w:sz w:val="20"/>
        </w:rPr>
        <w:t>Таблица 5: Характеристики на услугите, предоставяни от CCN/CSI</w:t>
      </w:r>
      <w:bookmarkEnd w:id="140"/>
    </w:p>
    <w:p>
      <w:pPr>
        <w:pStyle w:val="ManualHeading2"/>
        <w:rPr>
          <w:noProof/>
        </w:rPr>
      </w:pPr>
      <w:r>
        <w:rPr>
          <w:noProof/>
        </w:rPr>
        <w:t>3.3.</w:t>
      </w:r>
      <w:r>
        <w:rPr>
          <w:noProof/>
        </w:rPr>
        <w:tab/>
        <w:t>СРОК НА СПОРАЗУМЕНИЕТО</w:t>
      </w:r>
    </w:p>
    <w:p>
      <w:pPr>
        <w:pStyle w:val="Text1"/>
        <w:rPr>
          <w:noProof/>
        </w:rPr>
      </w:pPr>
      <w:r>
        <w:rPr>
          <w:noProof/>
        </w:rPr>
        <w:t>СНУ ЗА CCN/CSI е задължително за страните от деня, следващ датата на одобрението му от Съвместния комитет, създаден съгласно член 41 от Споразумението („Съвместния комитет“).</w:t>
      </w:r>
    </w:p>
    <w:p>
      <w:pPr>
        <w:pStyle w:val="ManualHeading1"/>
        <w:rPr>
          <w:noProof/>
        </w:rPr>
      </w:pPr>
      <w:bookmarkStart w:id="141" w:name="_Toc490755314"/>
      <w:r>
        <w:rPr>
          <w:noProof/>
        </w:rPr>
        <w:t>4.</w:t>
      </w:r>
      <w:r>
        <w:rPr>
          <w:noProof/>
        </w:rPr>
        <w:tab/>
      </w:r>
      <w:r>
        <w:rPr>
          <w:noProof/>
          <w:u w:val="single"/>
        </w:rPr>
        <w:t>ОТГОВОРНОСТИ</w:t>
      </w:r>
      <w:r>
        <w:rPr>
          <w:noProof/>
        </w:rPr>
        <w:t xml:space="preserve"> </w:t>
      </w:r>
    </w:p>
    <w:p>
      <w:pPr>
        <w:pStyle w:val="ManualHeading2"/>
        <w:rPr>
          <w:noProof/>
        </w:rPr>
      </w:pPr>
      <w:bookmarkStart w:id="142" w:name="_Toc490755326"/>
      <w:r>
        <w:rPr>
          <w:noProof/>
        </w:rPr>
        <w:t>4.1</w:t>
      </w:r>
      <w:r>
        <w:rPr>
          <w:noProof/>
        </w:rPr>
        <w:tab/>
        <w:t>ЗАДЪЛЖЕНИЯ НА ДОСТАВЧИКА НА УСЛУГИТЕ (OSP)</w:t>
      </w:r>
      <w:bookmarkEnd w:id="142"/>
    </w:p>
    <w:p>
      <w:pPr>
        <w:pStyle w:val="Text1"/>
        <w:rPr>
          <w:noProof/>
        </w:rPr>
      </w:pPr>
      <w:r>
        <w:rPr>
          <w:noProof/>
        </w:rPr>
        <w:t>Доставчикът на услугите:</w:t>
      </w:r>
    </w:p>
    <w:tbl>
      <w:tblPr>
        <w:tblStyle w:val="TableGrid"/>
        <w:tblW w:w="8363" w:type="dxa"/>
        <w:tblInd w:w="959" w:type="dxa"/>
        <w:tblLook w:val="04A0" w:firstRow="1" w:lastRow="0" w:firstColumn="1" w:lastColumn="0" w:noHBand="0" w:noVBand="1"/>
      </w:tblPr>
      <w:tblGrid>
        <w:gridCol w:w="2692"/>
        <w:gridCol w:w="5671"/>
      </w:tblGrid>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1</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Експлоатира инфраструктурата на мрежата CCN/CSI с оглед постигане на нивата на услугите, описани в раздел 8.</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2</w:t>
            </w:r>
            <w:r>
              <w:rPr>
                <w:rFonts w:eastAsia="Calibri"/>
                <w:b/>
                <w:noProof/>
                <w:szCs w:val="24"/>
              </w:rPr>
              <w:fldChar w:fldCharType="end"/>
            </w:r>
            <w:r>
              <w:rPr>
                <w:b/>
                <w:noProof/>
              </w:rPr>
              <w:t>]</w:t>
            </w:r>
          </w:p>
        </w:tc>
        <w:tc>
          <w:tcPr>
            <w:tcW w:w="5671" w:type="dxa"/>
            <w:shd w:val="clear" w:color="auto" w:fill="auto"/>
          </w:tcPr>
          <w:p>
            <w:pPr>
              <w:pStyle w:val="Text1"/>
              <w:ind w:left="0"/>
              <w:rPr>
                <w:rFonts w:eastAsia="Calibri"/>
                <w:noProof/>
                <w:color w:val="000000"/>
                <w:szCs w:val="24"/>
              </w:rPr>
            </w:pPr>
            <w:r>
              <w:rPr>
                <w:noProof/>
              </w:rPr>
              <w:t>Подбира различните инфраструктурни и софтуерни компоненти на CCN/CSI.</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3</w:t>
            </w:r>
            <w:r>
              <w:rPr>
                <w:rFonts w:eastAsia="Calibri"/>
                <w:b/>
                <w:noProof/>
                <w:szCs w:val="24"/>
              </w:rPr>
              <w:fldChar w:fldCharType="end"/>
            </w:r>
            <w:r>
              <w:rPr>
                <w:b/>
                <w:noProof/>
              </w:rPr>
              <w:t>]</w:t>
            </w:r>
          </w:p>
        </w:tc>
        <w:tc>
          <w:tcPr>
            <w:tcW w:w="5671" w:type="dxa"/>
            <w:shd w:val="clear" w:color="auto" w:fill="auto"/>
          </w:tcPr>
          <w:p>
            <w:pPr>
              <w:pStyle w:val="Text1"/>
              <w:ind w:left="0"/>
              <w:rPr>
                <w:rFonts w:eastAsia="Calibri"/>
                <w:noProof/>
                <w:color w:val="000000"/>
                <w:szCs w:val="24"/>
              </w:rPr>
            </w:pPr>
            <w:r>
              <w:rPr>
                <w:noProof/>
              </w:rPr>
              <w:t xml:space="preserve">Осигурява хардуерна и софтуерна поддръжка на инфраструктурното оборудване на ГД „Данъчно облагане и митнически съюз“ за CCN (напр. портали към CCN), инсталирано в помещения на заявителите на услугите, както и централните сървъри CCN Mail III. </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4</w:t>
            </w:r>
            <w:r>
              <w:rPr>
                <w:rFonts w:eastAsia="Calibri"/>
                <w:b/>
                <w:noProof/>
                <w:szCs w:val="24"/>
              </w:rPr>
              <w:fldChar w:fldCharType="end"/>
            </w:r>
            <w:r>
              <w:rPr>
                <w:b/>
                <w:noProof/>
              </w:rPr>
              <w:t>]</w:t>
            </w:r>
          </w:p>
        </w:tc>
        <w:tc>
          <w:tcPr>
            <w:tcW w:w="5671" w:type="dxa"/>
            <w:shd w:val="clear" w:color="auto" w:fill="auto"/>
          </w:tcPr>
          <w:p>
            <w:pPr>
              <w:pStyle w:val="Text1"/>
              <w:ind w:left="0"/>
              <w:rPr>
                <w:rFonts w:eastAsia="Calibri"/>
                <w:noProof/>
                <w:color w:val="000000"/>
                <w:szCs w:val="24"/>
              </w:rPr>
            </w:pPr>
            <w:r>
              <w:rPr>
                <w:noProof/>
              </w:rPr>
              <w:t>Осигурява наблюдение на инфраструктурното оборудване на ГД „Данъчно облагане и митнически съюз“ за CCN, инсталирано в помещения на заявителите на услугите.</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5</w:t>
            </w:r>
            <w:r>
              <w:rPr>
                <w:rFonts w:eastAsia="Calibri"/>
                <w:b/>
                <w:noProof/>
                <w:szCs w:val="24"/>
              </w:rPr>
              <w:fldChar w:fldCharType="end"/>
            </w:r>
            <w:r>
              <w:rPr>
                <w:b/>
                <w:noProof/>
              </w:rPr>
              <w:t>]</w:t>
            </w:r>
          </w:p>
        </w:tc>
        <w:tc>
          <w:tcPr>
            <w:tcW w:w="5671" w:type="dxa"/>
            <w:shd w:val="clear" w:color="auto" w:fill="auto"/>
          </w:tcPr>
          <w:p>
            <w:pPr>
              <w:pStyle w:val="Text1"/>
              <w:ind w:left="0"/>
              <w:rPr>
                <w:rFonts w:eastAsia="Calibri"/>
                <w:noProof/>
                <w:color w:val="000000"/>
                <w:szCs w:val="24"/>
              </w:rPr>
            </w:pPr>
            <w:r>
              <w:rPr>
                <w:noProof/>
              </w:rPr>
              <w:t>Управлява записите на одити на CCN/CSI.</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6</w:t>
            </w:r>
            <w:r>
              <w:rPr>
                <w:rFonts w:eastAsia="Calibri"/>
                <w:b/>
                <w:noProof/>
                <w:szCs w:val="24"/>
              </w:rPr>
              <w:fldChar w:fldCharType="end"/>
            </w:r>
            <w:r>
              <w:rPr>
                <w:b/>
                <w:noProof/>
              </w:rPr>
              <w:t>]</w:t>
            </w:r>
          </w:p>
        </w:tc>
        <w:tc>
          <w:tcPr>
            <w:tcW w:w="5671" w:type="dxa"/>
            <w:shd w:val="clear" w:color="auto" w:fill="auto"/>
          </w:tcPr>
          <w:p>
            <w:pPr>
              <w:pStyle w:val="Text1"/>
              <w:ind w:left="0"/>
              <w:rPr>
                <w:rFonts w:eastAsia="Calibri"/>
                <w:noProof/>
                <w:color w:val="000000"/>
                <w:szCs w:val="24"/>
              </w:rPr>
            </w:pPr>
            <w:r>
              <w:rPr>
                <w:noProof/>
              </w:rPr>
              <w:t>Управлява плана за работа със CCN/CSI.</w:t>
            </w:r>
          </w:p>
        </w:tc>
      </w:tr>
      <w:tr>
        <w:tc>
          <w:tcPr>
            <w:tcW w:w="2692" w:type="dxa"/>
            <w:shd w:val="clear" w:color="auto" w:fill="D9D9D9"/>
          </w:tcPr>
          <w:p>
            <w:pPr>
              <w:pStyle w:val="Text1"/>
              <w:ind w:left="0"/>
              <w:rPr>
                <w:b/>
                <w:noProof/>
              </w:rPr>
            </w:pPr>
            <w:r>
              <w:rPr>
                <w:b/>
                <w:noProof/>
              </w:rPr>
              <w:t>[OSP</w:t>
            </w:r>
            <w:r>
              <w:rPr>
                <w:rFonts w:eastAsia="Calibri"/>
                <w:b/>
                <w:noProof/>
                <w:szCs w:val="24"/>
              </w:rPr>
              <w:fldChar w:fldCharType="begin"/>
            </w:r>
            <w:r>
              <w:rPr>
                <w:rFonts w:eastAsia="Calibri"/>
                <w:b/>
                <w:noProof/>
                <w:szCs w:val="24"/>
              </w:rPr>
              <w:instrText xml:space="preserve"> SEQ OSP \* ARABIC </w:instrText>
            </w:r>
            <w:r>
              <w:rPr>
                <w:rFonts w:eastAsia="Calibri"/>
                <w:b/>
                <w:noProof/>
                <w:szCs w:val="24"/>
              </w:rPr>
              <w:fldChar w:fldCharType="separate"/>
            </w:r>
            <w:r>
              <w:rPr>
                <w:rFonts w:eastAsia="Calibri"/>
                <w:b/>
                <w:noProof/>
                <w:szCs w:val="24"/>
              </w:rPr>
              <w:t>7</w:t>
            </w:r>
            <w:r>
              <w:rPr>
                <w:rFonts w:eastAsia="Calibri"/>
                <w:b/>
                <w:noProof/>
                <w:szCs w:val="24"/>
              </w:rPr>
              <w:fldChar w:fldCharType="end"/>
            </w:r>
            <w:r>
              <w:rPr>
                <w:b/>
                <w:noProof/>
              </w:rPr>
              <w:t>]</w:t>
            </w:r>
          </w:p>
        </w:tc>
        <w:tc>
          <w:tcPr>
            <w:tcW w:w="5671" w:type="dxa"/>
            <w:shd w:val="clear" w:color="auto" w:fill="auto"/>
          </w:tcPr>
          <w:p>
            <w:pPr>
              <w:spacing w:before="0" w:after="0"/>
              <w:ind w:right="33"/>
              <w:jc w:val="left"/>
              <w:rPr>
                <w:rFonts w:eastAsia="Calibri"/>
                <w:noProof/>
                <w:szCs w:val="24"/>
              </w:rPr>
            </w:pPr>
            <w:r>
              <w:rPr>
                <w:noProof/>
              </w:rPr>
              <w:t>Спазва правилата и препоръките, заложени в „Документите за сигурност“:</w:t>
            </w:r>
          </w:p>
          <w:p>
            <w:pPr>
              <w:numPr>
                <w:ilvl w:val="0"/>
                <w:numId w:val="17"/>
              </w:numPr>
              <w:spacing w:before="0" w:after="0"/>
              <w:ind w:right="33"/>
              <w:contextualSpacing/>
              <w:jc w:val="left"/>
              <w:rPr>
                <w:rFonts w:eastAsia="Calibri"/>
                <w:noProof/>
                <w:szCs w:val="24"/>
              </w:rPr>
            </w:pPr>
            <w:r>
              <w:rPr>
                <w:noProof/>
              </w:rPr>
              <w:t xml:space="preserve">Обща политика за сигурност на CCN/CSI </w:t>
            </w:r>
            <w:hyperlink r:id="rId27">
              <w:r>
                <w:rPr>
                  <w:noProof/>
                  <w:color w:val="0000FF"/>
                  <w:u w:val="single"/>
                </w:rPr>
                <w:t>RD3</w:t>
              </w:r>
            </w:hyperlink>
            <w:r>
              <w:rPr>
                <w:noProof/>
              </w:rPr>
              <w:t>;</w:t>
            </w:r>
          </w:p>
          <w:p>
            <w:pPr>
              <w:pStyle w:val="Text1"/>
              <w:ind w:left="0"/>
              <w:rPr>
                <w:rFonts w:eastAsia="Calibri"/>
                <w:noProof/>
                <w:color w:val="000000"/>
                <w:szCs w:val="24"/>
              </w:rPr>
            </w:pPr>
            <w:r>
              <w:rPr>
                <w:noProof/>
              </w:rPr>
              <w:t xml:space="preserve">Основен контролен списък за сигурност на CCN/CSI </w:t>
            </w:r>
            <w:hyperlink w:anchor="RD4" w:history="1">
              <w:r>
                <w:rPr>
                  <w:noProof/>
                  <w:color w:val="0000FF"/>
                  <w:u w:val="single"/>
                </w:rPr>
                <w:t>RD4</w:t>
              </w:r>
            </w:hyperlink>
            <w:r>
              <w:rPr>
                <w:noProof/>
              </w:rPr>
              <w:t>;</w:t>
            </w:r>
          </w:p>
        </w:tc>
      </w:tr>
      <w:tr>
        <w:tc>
          <w:tcPr>
            <w:tcW w:w="2692" w:type="dxa"/>
            <w:shd w:val="clear" w:color="auto" w:fill="D9D9D9"/>
          </w:tcPr>
          <w:p>
            <w:pPr>
              <w:pStyle w:val="Text1"/>
              <w:ind w:left="0"/>
              <w:rPr>
                <w:b/>
                <w:noProof/>
              </w:rPr>
            </w:pPr>
            <w:r>
              <w:rPr>
                <w:b/>
                <w:noProof/>
              </w:rPr>
              <w:t>[OSP8]</w:t>
            </w:r>
          </w:p>
        </w:tc>
        <w:tc>
          <w:tcPr>
            <w:tcW w:w="5671" w:type="dxa"/>
            <w:shd w:val="clear" w:color="auto" w:fill="auto"/>
          </w:tcPr>
          <w:p>
            <w:pPr>
              <w:pStyle w:val="Text1"/>
              <w:ind w:left="0"/>
              <w:rPr>
                <w:rFonts w:eastAsia="Calibri"/>
                <w:noProof/>
                <w:color w:val="000000"/>
                <w:szCs w:val="24"/>
              </w:rPr>
            </w:pPr>
            <w:r>
              <w:rPr>
                <w:noProof/>
              </w:rPr>
              <w:t>Необходимо е заявителят на услугите да предприема необходимите мерки, за да гарантира ненамалена достъпност на мрежата при периодична профилактика или други очаквани причини за липса на достъп. Ако се очаква намалена достъпност, заявителят на услугите уведомява доставчика на услугите най-малко 1 месец по-рано. Ако заявителят на услугите не може да спази това предизвестие, ГД „Данъчно облагане и митнически съюз“ ще бъде арбитър за разрешаване на създалото се положение.</w:t>
            </w:r>
          </w:p>
        </w:tc>
      </w:tr>
      <w:tr>
        <w:tc>
          <w:tcPr>
            <w:tcW w:w="2692" w:type="dxa"/>
            <w:shd w:val="clear" w:color="auto" w:fill="D9D9D9"/>
          </w:tcPr>
          <w:p>
            <w:pPr>
              <w:pStyle w:val="Text1"/>
              <w:ind w:left="0"/>
              <w:rPr>
                <w:b/>
                <w:noProof/>
              </w:rPr>
            </w:pPr>
            <w:r>
              <w:rPr>
                <w:b/>
                <w:noProof/>
              </w:rPr>
              <w:t>[OSP9]</w:t>
            </w:r>
          </w:p>
        </w:tc>
        <w:tc>
          <w:tcPr>
            <w:tcW w:w="5671" w:type="dxa"/>
            <w:shd w:val="clear" w:color="auto" w:fill="auto"/>
          </w:tcPr>
          <w:p>
            <w:pPr>
              <w:pStyle w:val="Text1"/>
              <w:ind w:left="0"/>
              <w:rPr>
                <w:rFonts w:eastAsia="Calibri"/>
                <w:noProof/>
                <w:color w:val="000000"/>
                <w:szCs w:val="24"/>
              </w:rPr>
            </w:pPr>
            <w:r>
              <w:rPr>
                <w:noProof/>
              </w:rPr>
              <w:t>Всички лицензи за софтуер, работещ на порталите към CCN, се предоставят от ГД „Данъчно облагане и митнически съюз“.</w:t>
            </w:r>
          </w:p>
        </w:tc>
      </w:tr>
      <w:tr>
        <w:tc>
          <w:tcPr>
            <w:tcW w:w="2692" w:type="dxa"/>
            <w:shd w:val="clear" w:color="auto" w:fill="D9D9D9"/>
          </w:tcPr>
          <w:p>
            <w:pPr>
              <w:pStyle w:val="Text1"/>
              <w:ind w:left="0"/>
              <w:rPr>
                <w:b/>
                <w:noProof/>
              </w:rPr>
            </w:pPr>
            <w:r>
              <w:rPr>
                <w:b/>
                <w:noProof/>
              </w:rPr>
              <w:t>[OSP10]</w:t>
            </w:r>
          </w:p>
        </w:tc>
        <w:tc>
          <w:tcPr>
            <w:tcW w:w="5671" w:type="dxa"/>
            <w:shd w:val="clear" w:color="auto" w:fill="auto"/>
          </w:tcPr>
          <w:p>
            <w:pPr>
              <w:pStyle w:val="Text1"/>
              <w:ind w:left="0"/>
              <w:rPr>
                <w:rFonts w:eastAsia="Calibri"/>
                <w:noProof/>
                <w:color w:val="000000"/>
                <w:szCs w:val="24"/>
              </w:rPr>
            </w:pPr>
            <w:r>
              <w:rPr>
                <w:noProof/>
              </w:rPr>
              <w:t xml:space="preserve">Спазва политиката за резервно обезпечаване на обектите на CCN/CSI (вж. </w:t>
            </w:r>
            <w:hyperlink w:anchor="RD2" w:history="1">
              <w:r>
                <w:rPr>
                  <w:noProof/>
                  <w:color w:val="0000FF"/>
                </w:rPr>
                <w:t>RD2</w:t>
              </w:r>
            </w:hyperlink>
            <w:r>
              <w:rPr>
                <w:noProof/>
              </w:rPr>
              <w:t>).</w:t>
            </w:r>
          </w:p>
        </w:tc>
      </w:tr>
      <w:tr>
        <w:tc>
          <w:tcPr>
            <w:tcW w:w="2692" w:type="dxa"/>
            <w:shd w:val="clear" w:color="auto" w:fill="D9D9D9"/>
          </w:tcPr>
          <w:p>
            <w:pPr>
              <w:pStyle w:val="Text1"/>
              <w:ind w:left="0"/>
              <w:rPr>
                <w:b/>
                <w:noProof/>
              </w:rPr>
            </w:pPr>
            <w:r>
              <w:rPr>
                <w:b/>
                <w:noProof/>
              </w:rPr>
              <w:t>[OSP11]</w:t>
            </w:r>
          </w:p>
        </w:tc>
        <w:tc>
          <w:tcPr>
            <w:tcW w:w="5671" w:type="dxa"/>
            <w:shd w:val="clear" w:color="auto" w:fill="auto"/>
          </w:tcPr>
          <w:p>
            <w:pPr>
              <w:pStyle w:val="Text1"/>
              <w:ind w:left="0"/>
              <w:rPr>
                <w:rFonts w:eastAsia="Calibri"/>
                <w:noProof/>
                <w:color w:val="000000"/>
                <w:szCs w:val="24"/>
              </w:rPr>
            </w:pPr>
            <w:r>
              <w:rPr>
                <w:noProof/>
              </w:rPr>
              <w:t xml:space="preserve">Одитира системата съгласно определеното в </w:t>
            </w:r>
            <w:hyperlink w:anchor="RD2" w:history="1">
              <w:r>
                <w:rPr>
                  <w:noProof/>
                  <w:color w:val="0000FF"/>
                </w:rPr>
                <w:t>RD2</w:t>
              </w:r>
            </w:hyperlink>
            <w:r>
              <w:rPr>
                <w:noProof/>
              </w:rPr>
              <w:t>.</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[OSP12]</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 xml:space="preserve">Редовно извършва проверка за сигурност на системата съгласно определеното в </w:t>
            </w:r>
            <w:hyperlink w:anchor="RD2" w:history="1">
              <w:r>
                <w:rPr>
                  <w:noProof/>
                  <w:color w:val="0000FF"/>
                </w:rPr>
                <w:t>RD2</w:t>
              </w:r>
            </w:hyperlink>
          </w:p>
        </w:tc>
      </w:tr>
    </w:tbl>
    <w:p>
      <w:pPr>
        <w:spacing w:before="60"/>
        <w:jc w:val="center"/>
        <w:rPr>
          <w:rFonts w:eastAsia="Times New Roman"/>
          <w:noProof/>
          <w:sz w:val="20"/>
          <w:szCs w:val="20"/>
        </w:rPr>
      </w:pPr>
      <w:bookmarkStart w:id="143" w:name="_Toc159212009"/>
      <w:bookmarkStart w:id="144" w:name="_Toc490755346"/>
      <w:r>
        <w:rPr>
          <w:noProof/>
          <w:sz w:val="20"/>
        </w:rPr>
        <w:t>Таблица 6: Задължения на доставчика на услугите (OSP)</w:t>
      </w:r>
      <w:bookmarkEnd w:id="143"/>
      <w:bookmarkEnd w:id="144"/>
    </w:p>
    <w:p>
      <w:pPr>
        <w:pStyle w:val="ManualHeading2"/>
        <w:rPr>
          <w:noProof/>
        </w:rPr>
      </w:pPr>
      <w:bookmarkStart w:id="145" w:name="_Ref374535365"/>
      <w:bookmarkStart w:id="146" w:name="_Toc490755327"/>
      <w:r>
        <w:rPr>
          <w:noProof/>
        </w:rPr>
        <w:t>4.2.</w:t>
      </w:r>
      <w:r>
        <w:rPr>
          <w:noProof/>
        </w:rPr>
        <w:tab/>
        <w:t>ЗАДЪЛЖЕНИЯ НА ЗАЯВИТЕЛЯ НА УСЛУГИТЕ (OSR)</w:t>
      </w:r>
      <w:bookmarkEnd w:id="145"/>
      <w:bookmarkEnd w:id="146"/>
    </w:p>
    <w:p>
      <w:pPr>
        <w:pStyle w:val="Text1"/>
        <w:rPr>
          <w:noProof/>
        </w:rPr>
      </w:pPr>
      <w:r>
        <w:rPr>
          <w:noProof/>
        </w:rPr>
        <w:t>Заявителят на услугите:</w:t>
      </w:r>
    </w:p>
    <w:tbl>
      <w:tblPr>
        <w:tblStyle w:val="TableGrid"/>
        <w:tblW w:w="8363" w:type="dxa"/>
        <w:tblInd w:w="959" w:type="dxa"/>
        <w:tblLook w:val="04A0" w:firstRow="1" w:lastRow="0" w:firstColumn="1" w:lastColumn="0" w:noHBand="0" w:noVBand="1"/>
      </w:tblPr>
      <w:tblGrid>
        <w:gridCol w:w="3067"/>
        <w:gridCol w:w="5296"/>
      </w:tblGrid>
      <w:tr>
        <w:tc>
          <w:tcPr>
            <w:tcW w:w="8363" w:type="dxa"/>
            <w:gridSpan w:val="2"/>
            <w:shd w:val="clear" w:color="auto" w:fill="D9D9D9" w:themeFill="background1" w:themeFillShade="D9"/>
          </w:tcPr>
          <w:p>
            <w:pPr>
              <w:pStyle w:val="Text1"/>
              <w:ind w:left="0"/>
              <w:jc w:val="center"/>
              <w:rPr>
                <w:noProof/>
                <w:szCs w:val="24"/>
              </w:rPr>
            </w:pPr>
            <w:r>
              <w:rPr>
                <w:b/>
                <w:noProof/>
              </w:rPr>
              <w:t>Техническо и инфраструктурно ниво</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33"/>
              <w:jc w:val="left"/>
              <w:rPr>
                <w:rFonts w:eastAsia="Calibri"/>
                <w:noProof/>
                <w:szCs w:val="24"/>
              </w:rPr>
            </w:pPr>
            <w:r>
              <w:rPr>
                <w:noProof/>
              </w:rPr>
              <w:t>Помещава предоставеното от ГД „Данъчно облагане и митнически съюз“ инфраструктурно оборудване на CCN и осигурява подходящи:</w:t>
            </w:r>
          </w:p>
          <w:p>
            <w:pPr>
              <w:numPr>
                <w:ilvl w:val="0"/>
                <w:numId w:val="20"/>
              </w:numPr>
              <w:spacing w:before="0" w:after="0"/>
              <w:ind w:right="33"/>
              <w:jc w:val="left"/>
              <w:rPr>
                <w:rFonts w:eastAsia="Calibri"/>
                <w:noProof/>
                <w:szCs w:val="24"/>
              </w:rPr>
            </w:pPr>
            <w:r>
              <w:rPr>
                <w:noProof/>
              </w:rPr>
              <w:t xml:space="preserve">пространство за монтаж/съхранение; </w:t>
            </w:r>
          </w:p>
          <w:p>
            <w:pPr>
              <w:numPr>
                <w:ilvl w:val="0"/>
                <w:numId w:val="20"/>
              </w:numPr>
              <w:spacing w:before="0" w:after="0"/>
              <w:ind w:right="33"/>
              <w:jc w:val="left"/>
              <w:rPr>
                <w:rFonts w:eastAsia="Calibri"/>
                <w:noProof/>
                <w:szCs w:val="24"/>
              </w:rPr>
            </w:pPr>
            <w:r>
              <w:rPr>
                <w:noProof/>
              </w:rPr>
              <w:t>електрозахранване;</w:t>
            </w:r>
          </w:p>
          <w:p>
            <w:pPr>
              <w:pStyle w:val="Text1"/>
              <w:spacing w:before="0" w:after="0"/>
              <w:ind w:left="0"/>
              <w:jc w:val="left"/>
              <w:rPr>
                <w:rFonts w:eastAsia="Calibri"/>
                <w:noProof/>
                <w:color w:val="000000"/>
                <w:szCs w:val="24"/>
              </w:rPr>
            </w:pPr>
            <w:r>
              <w:rPr>
                <w:noProof/>
              </w:rPr>
              <w:t>отопление, вентилация и климатизация;</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2</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spacing w:before="0" w:after="0"/>
              <w:ind w:left="0"/>
              <w:jc w:val="left"/>
              <w:rPr>
                <w:rFonts w:eastAsia="Calibri"/>
                <w:noProof/>
                <w:color w:val="000000"/>
                <w:szCs w:val="24"/>
              </w:rPr>
            </w:pPr>
            <w:r>
              <w:rPr>
                <w:noProof/>
              </w:rPr>
              <w:t>Осигурява електрическото свързване на компонентите на CCN/CSI с източника на непрекъсваемо електрическо захранване. Заявителят на услугите осигурява необходимото специфично приспособяване към местните стандарти (напр. адаптери за контакти).</w:t>
            </w:r>
          </w:p>
        </w:tc>
      </w:tr>
      <w:tr>
        <w:tc>
          <w:tcPr>
            <w:tcW w:w="8363" w:type="dxa"/>
            <w:gridSpan w:val="2"/>
            <w:shd w:val="clear" w:color="auto" w:fill="D9D9D9" w:themeFill="background1" w:themeFillShade="D9"/>
          </w:tcPr>
          <w:p>
            <w:pPr>
              <w:pStyle w:val="Text1"/>
              <w:ind w:left="0"/>
              <w:jc w:val="center"/>
              <w:rPr>
                <w:noProof/>
                <w:szCs w:val="24"/>
              </w:rPr>
            </w:pPr>
            <w:r>
              <w:rPr>
                <w:b/>
                <w:noProof/>
              </w:rPr>
              <w:t>Оперативно и организационно ниво</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Point3"/>
              <w:rPr>
                <w:rFonts w:eastAsiaTheme="minorHAnsi"/>
                <w:noProof/>
                <w:szCs w:val="22"/>
              </w:rPr>
            </w:pPr>
            <w:r>
              <w:rPr>
                <w:rFonts w:eastAsiaTheme="minorHAnsi"/>
                <w:noProof/>
                <w:szCs w:val="22"/>
              </w:rPr>
              <w:t>[OSR</w:t>
            </w:r>
            <w:r>
              <w:rPr>
                <w:noProof/>
              </w:rPr>
              <w:fldChar w:fldCharType="begin"/>
            </w:r>
            <w:r>
              <w:rPr>
                <w:rFonts w:eastAsiaTheme="minorHAnsi"/>
                <w:noProof/>
                <w:szCs w:val="22"/>
              </w:rPr>
              <w:instrText xml:space="preserve"> SEQ OSC \* ARABIC </w:instrText>
            </w:r>
            <w:r>
              <w:rPr>
                <w:noProof/>
              </w:rPr>
              <w:fldChar w:fldCharType="separate"/>
            </w:r>
            <w:r>
              <w:rPr>
                <w:rFonts w:eastAsiaTheme="minorHAnsi"/>
                <w:noProof/>
                <w:szCs w:val="22"/>
              </w:rPr>
              <w:t>3</w:t>
            </w:r>
            <w:r>
              <w:rPr>
                <w:noProof/>
              </w:rPr>
              <w:fldChar w:fldCharType="end"/>
            </w:r>
            <w:r>
              <w:rPr>
                <w:rFonts w:eastAsiaTheme="minorHAnsi"/>
                <w:noProof/>
                <w:szCs w:val="22"/>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Point3"/>
              <w:rPr>
                <w:rFonts w:eastAsiaTheme="minorHAnsi"/>
                <w:noProof/>
                <w:szCs w:val="22"/>
              </w:rPr>
            </w:pPr>
            <w:r>
              <w:rPr>
                <w:rFonts w:eastAsiaTheme="minorHAnsi"/>
                <w:noProof/>
                <w:szCs w:val="22"/>
              </w:rPr>
              <w:t xml:space="preserve">Определя персонал, който да отговаря за изпълнението на ролите съгласно </w:t>
            </w:r>
            <w:hyperlink r:id="rId28">
              <w:r>
                <w:rPr>
                  <w:rFonts w:eastAsiaTheme="minorHAnsi"/>
                  <w:noProof/>
                  <w:szCs w:val="22"/>
                </w:rPr>
                <w:t>RD5</w:t>
              </w:r>
            </w:hyperlink>
            <w:r>
              <w:rPr>
                <w:rFonts w:eastAsiaTheme="minorHAnsi"/>
                <w:noProof/>
                <w:szCs w:val="22"/>
              </w:rPr>
              <w:t xml:space="preserve">. </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4</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33"/>
              <w:rPr>
                <w:rFonts w:eastAsia="Calibri"/>
                <w:noProof/>
                <w:szCs w:val="24"/>
              </w:rPr>
            </w:pPr>
            <w:r>
              <w:rPr>
                <w:noProof/>
              </w:rPr>
              <w:t>Осигурява присъствие извън обичайното работно време винаги когато бъде сметнато за необходимо и поискано от доставчика на услугите.</w:t>
            </w:r>
          </w:p>
          <w:p>
            <w:pPr>
              <w:pStyle w:val="Text1"/>
              <w:ind w:left="0"/>
              <w:rPr>
                <w:rFonts w:eastAsia="Calibri"/>
                <w:noProof/>
                <w:color w:val="000000"/>
                <w:szCs w:val="24"/>
              </w:rPr>
            </w:pPr>
            <w:r>
              <w:rPr>
                <w:noProof/>
              </w:rPr>
              <w:t>За някои действия, извършвани от доставчика на опорната мрежа или от доставчика на услугите, може да бъде изискано съгласуване и/или присъствие от страна на АЛМ от потребителя на услугите. За целите на планирането на тези действия ще се предоставя най-малко едномесечно предизвестие; необходимо е пълно съдействие с оглед на сложното планиране, дължащо се на броя обекти.</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5</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В никакъв случай не спира който и да било елемент от инфраструктурното оборудване на ГД „Данъчно облагане и митнически съюз“ за CCN без официално разрешение от доставчика на услугите.</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6</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Иска от доставчика на услугите официално разрешение, преди да инсталира на инфраструктурното оборудване на ГД „Данъчно облагане и митнически съюз“ за CCN допълнителни хардуерни или софтуерни компоненти, които не принадлежат към стандартно доставяния пакет.</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7</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Предоставя ясно описание на инцидентите или данните за инциденти, за които съобщава заявителят на услугите.</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b/>
                <w:noProof/>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8</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color w:val="000000"/>
                <w:szCs w:val="24"/>
              </w:rPr>
            </w:pPr>
            <w:r>
              <w:rPr>
                <w:noProof/>
              </w:rPr>
              <w:t>Активно си сътрудничи с доставчика на услугите и/или негови представители, когато това е необходимо за доставката на услугите.</w:t>
            </w:r>
          </w:p>
        </w:tc>
      </w:tr>
      <w:tr>
        <w:tc>
          <w:tcPr>
            <w:tcW w:w="8363" w:type="dxa"/>
            <w:gridSpan w:val="2"/>
            <w:tcBorders>
              <w:top w:val="single" w:sz="4" w:space="0" w:color="auto"/>
              <w:left w:val="single" w:sz="4" w:space="0" w:color="auto"/>
              <w:bottom w:val="single" w:sz="4" w:space="0" w:color="auto"/>
              <w:right w:val="single" w:sz="4" w:space="0" w:color="auto"/>
            </w:tcBorders>
            <w:shd w:val="clear" w:color="auto" w:fill="D9D9D9"/>
          </w:tcPr>
          <w:p>
            <w:pPr>
              <w:pStyle w:val="Text1"/>
              <w:ind w:left="0"/>
              <w:jc w:val="center"/>
              <w:rPr>
                <w:rFonts w:eastAsia="Calibri"/>
                <w:b/>
                <w:noProof/>
                <w:szCs w:val="24"/>
              </w:rPr>
            </w:pPr>
            <w:r>
              <w:rPr>
                <w:b/>
                <w:noProof/>
              </w:rPr>
              <w:t>Комуникационно ниво</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9</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Използва само и единствено звената за връзка на доставчика на услугите и в рамките на собствената си организация.</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10</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Уведомява доставчика на услугите за евентуални отсъствия на звената за връзка в работното време на доставчика на услугите или най-малко осигурява резервно решение, което може ефективно да замести звената за връзка.</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11</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Уведомява доставчика на услугите за всички промени в собствените си звена за връзка най-малко 5 работни дни преди влизането в сила на промяната.</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12</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33"/>
              <w:jc w:val="left"/>
              <w:rPr>
                <w:rFonts w:eastAsia="Calibri"/>
                <w:noProof/>
                <w:szCs w:val="24"/>
              </w:rPr>
            </w:pPr>
            <w:r>
              <w:rPr>
                <w:noProof/>
              </w:rPr>
              <w:t>Уведомява доставчика на услугите за всяка планова профилактика на ИНФРАСТРУКТУРА, която потенциално би могла да засегне инфраструктурното оборудване на ГД „Данъчно облагане и митнически съюз“ за CCN, помещавано при потребителя на услугите (най-малко една седмица по-рано за всяко оборудване).</w:t>
            </w:r>
          </w:p>
          <w:p>
            <w:pPr>
              <w:pStyle w:val="Text1"/>
              <w:ind w:left="0"/>
              <w:rPr>
                <w:rFonts w:eastAsia="Calibri"/>
                <w:noProof/>
                <w:szCs w:val="24"/>
              </w:rPr>
            </w:pPr>
            <w:r>
              <w:rPr>
                <w:noProof/>
              </w:rPr>
              <w:t>Например: планово спиране на електрозахранването или на мрежовата инфраструктура, преместване на контролер на домейн, промяна на IP адрес и др.</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13</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Уведомява доставчика на услугите за всякакви външни проблеми, например спиране на електрозахранването, които засягат доброто функциониране на порталите към CCN и приложните платформи.</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14</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 xml:space="preserve">Уведомява доставчика на услугите чрез официално искане, най-малко шест месеца по-рано, за всяко преместване на инфраструктурно оборудване на ГД „Данъчно облагане и митнически съюз“ за CCN. Заявителят на услугите покрива разходите по преместването. Вж. </w:t>
            </w:r>
            <w:hyperlink r:id="rId29">
              <w:r>
                <w:rPr>
                  <w:noProof/>
                  <w:color w:val="0000FF"/>
                  <w:u w:val="single"/>
                </w:rPr>
                <w:t>RD6</w:t>
              </w:r>
            </w:hyperlink>
            <w:r>
              <w:rPr>
                <w:noProof/>
                <w:color w:val="0000FF"/>
              </w:rPr>
              <w:t xml:space="preserve"> </w:t>
            </w:r>
            <w:r>
              <w:rPr>
                <w:noProof/>
              </w:rPr>
              <w:t>за повече подробности относно процедурата.</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15</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Уведомява доставчика на услугите за всяко прекъсване на защитените връзки между инфраструктурата на ГД „Данъчно облагане и митнически съюз“ за CCN и заявителя на услугите (НА или съответна ГД).</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16</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Уведомява доставчика на услугите за всяко спиране на приложните платформи.</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[OSR28]</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Заявителят на услугите се насърчава да съобщава за всяко планово спиране на местния контролер на домейн/компютърна зала (вкл. WAN) 1 (една) работна седмица по-рано. Това е необходимо, за да може ГД „Данъчно облагане и митнически съюз“ да изпрати необходимите съобщения до евентуално засегнатите други заинтересовани лица.</w:t>
            </w:r>
          </w:p>
        </w:tc>
      </w:tr>
      <w:tr>
        <w:tc>
          <w:tcPr>
            <w:tcW w:w="8363" w:type="dxa"/>
            <w:gridSpan w:val="2"/>
            <w:tcBorders>
              <w:top w:val="single" w:sz="4" w:space="0" w:color="auto"/>
              <w:left w:val="single" w:sz="4" w:space="0" w:color="auto"/>
              <w:bottom w:val="single" w:sz="4" w:space="0" w:color="auto"/>
              <w:right w:val="single" w:sz="4" w:space="0" w:color="auto"/>
            </w:tcBorders>
            <w:shd w:val="clear" w:color="auto" w:fill="D9D9D9"/>
          </w:tcPr>
          <w:p>
            <w:pPr>
              <w:pStyle w:val="Text1"/>
              <w:ind w:left="0"/>
              <w:jc w:val="center"/>
              <w:rPr>
                <w:rFonts w:eastAsia="Calibri"/>
                <w:b/>
                <w:noProof/>
                <w:szCs w:val="24"/>
              </w:rPr>
            </w:pPr>
            <w:r>
              <w:rPr>
                <w:b/>
                <w:noProof/>
              </w:rPr>
              <w:t>Ниво на сигурност и управление на потребителите</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17</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 xml:space="preserve">Управлява профилите на местните потребители в портала към CCN (вж. </w:t>
            </w:r>
            <w:hyperlink w:anchor="RD2" w:history="1">
              <w:r>
                <w:rPr>
                  <w:noProof/>
                  <w:color w:val="0000FF"/>
                </w:rPr>
                <w:t>RD2</w:t>
              </w:r>
            </w:hyperlink>
            <w:r>
              <w:rPr>
                <w:noProof/>
              </w:rPr>
              <w:t>).</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18</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При поискване предоставя разрешение за физически достъп на оборудването и персонала, посочени за целта от доставчика на услугите.</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19</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 xml:space="preserve">Оправомощава съответните TCP портове в мрежата на потребителя на услугите (национален домейн) (вж. </w:t>
            </w:r>
            <w:hyperlink w:anchor="RD2" w:history="1">
              <w:r>
                <w:rPr>
                  <w:noProof/>
                  <w:color w:val="0000FF"/>
                </w:rPr>
                <w:t>RD2</w:t>
              </w:r>
            </w:hyperlink>
            <w:r>
              <w:rPr>
                <w:noProof/>
              </w:rPr>
              <w:t>).</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20</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Осигурява разполагането на мрежовите криптиращи устройства (понастоящем - Juniper SSG) на обекта на заявителя на услугите в зона с контрол на достъпа.</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Point3"/>
              <w:rPr>
                <w:rFonts w:eastAsiaTheme="minorHAnsi"/>
                <w:noProof/>
                <w:szCs w:val="22"/>
              </w:rPr>
            </w:pPr>
            <w:r>
              <w:rPr>
                <w:rFonts w:eastAsiaTheme="minorHAnsi"/>
                <w:noProof/>
                <w:szCs w:val="22"/>
              </w:rPr>
              <w:t>[OSR</w:t>
            </w:r>
            <w:r>
              <w:rPr>
                <w:noProof/>
              </w:rPr>
              <w:fldChar w:fldCharType="begin"/>
            </w:r>
            <w:r>
              <w:rPr>
                <w:rFonts w:eastAsiaTheme="minorHAnsi"/>
                <w:noProof/>
                <w:szCs w:val="22"/>
              </w:rPr>
              <w:instrText xml:space="preserve"> SEQ OSC \* ARABIC </w:instrText>
            </w:r>
            <w:r>
              <w:rPr>
                <w:noProof/>
              </w:rPr>
              <w:fldChar w:fldCharType="separate"/>
            </w:r>
            <w:r>
              <w:rPr>
                <w:rFonts w:eastAsiaTheme="minorHAnsi"/>
                <w:noProof/>
                <w:szCs w:val="22"/>
              </w:rPr>
              <w:t>21</w:t>
            </w:r>
            <w:r>
              <w:rPr>
                <w:noProof/>
              </w:rPr>
              <w:fldChar w:fldCharType="end"/>
            </w:r>
            <w:r>
              <w:rPr>
                <w:rFonts w:eastAsiaTheme="minorHAnsi"/>
                <w:noProof/>
                <w:szCs w:val="22"/>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Point3"/>
              <w:rPr>
                <w:rFonts w:eastAsiaTheme="minorHAnsi"/>
                <w:noProof/>
                <w:szCs w:val="22"/>
              </w:rPr>
            </w:pPr>
            <w:r>
              <w:rPr>
                <w:rFonts w:eastAsiaTheme="minorHAnsi"/>
                <w:noProof/>
                <w:szCs w:val="22"/>
              </w:rPr>
              <w:t>Ограничава достъпа до всички устройства от инфраструктурата на ГД „Данъчно облагане и митнически съюз“ за CCN само сред оправомощения персонал. Достъпът се позволява само при поискване от CSA. Нежеланият достъп до тези устройства може да застраши сигурността или най-малко да предизвика спиране на мрежата.</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w:t>
            </w:r>
            <w:r>
              <w:rPr>
                <w:rFonts w:eastAsia="Calibri"/>
                <w:b/>
                <w:noProof/>
                <w:szCs w:val="24"/>
              </w:rPr>
              <w:fldChar w:fldCharType="begin"/>
            </w:r>
            <w:r>
              <w:rPr>
                <w:rFonts w:eastAsia="Calibri"/>
                <w:b/>
                <w:noProof/>
                <w:szCs w:val="24"/>
              </w:rPr>
              <w:instrText xml:space="preserve"> SEQ OSC \* ARABIC </w:instrText>
            </w:r>
            <w:r>
              <w:rPr>
                <w:rFonts w:eastAsia="Calibri"/>
                <w:b/>
                <w:noProof/>
                <w:szCs w:val="24"/>
              </w:rPr>
              <w:fldChar w:fldCharType="separate"/>
            </w:r>
            <w:r>
              <w:rPr>
                <w:rFonts w:eastAsia="Calibri"/>
                <w:b/>
                <w:noProof/>
                <w:szCs w:val="24"/>
              </w:rPr>
              <w:t>22</w:t>
            </w:r>
            <w:r>
              <w:rPr>
                <w:rFonts w:eastAsia="Calibri"/>
                <w:b/>
                <w:noProof/>
                <w:szCs w:val="24"/>
              </w:rPr>
              <w:fldChar w:fldCharType="end"/>
            </w:r>
            <w:r>
              <w:rPr>
                <w:b/>
                <w:noProof/>
              </w:rPr>
              <w:t>]</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33"/>
              <w:jc w:val="left"/>
              <w:rPr>
                <w:rFonts w:eastAsia="Calibri"/>
                <w:noProof/>
                <w:szCs w:val="24"/>
              </w:rPr>
            </w:pPr>
            <w:r>
              <w:rPr>
                <w:noProof/>
              </w:rPr>
              <w:t>Спазва правилата и препоръките, заложени в „Документите за сигурност“:</w:t>
            </w:r>
          </w:p>
          <w:p>
            <w:pPr>
              <w:numPr>
                <w:ilvl w:val="0"/>
                <w:numId w:val="18"/>
              </w:numPr>
              <w:spacing w:before="0" w:after="0"/>
              <w:ind w:right="33"/>
              <w:contextualSpacing/>
              <w:jc w:val="left"/>
              <w:rPr>
                <w:rFonts w:eastAsia="Calibri"/>
                <w:noProof/>
                <w:szCs w:val="24"/>
              </w:rPr>
            </w:pPr>
            <w:r>
              <w:rPr>
                <w:noProof/>
              </w:rPr>
              <w:t xml:space="preserve">Обща политика за сигурност на CCN/CSI </w:t>
            </w:r>
            <w:hyperlink r:id="rId30">
              <w:r>
                <w:rPr>
                  <w:noProof/>
                  <w:color w:val="0000FF"/>
                  <w:u w:val="single"/>
                </w:rPr>
                <w:t>RD5</w:t>
              </w:r>
            </w:hyperlink>
            <w:r>
              <w:rPr>
                <w:b/>
                <w:noProof/>
                <w:color w:val="0000FF"/>
              </w:rPr>
              <w:t>;</w:t>
            </w:r>
          </w:p>
          <w:p>
            <w:pPr>
              <w:pStyle w:val="Text1"/>
              <w:numPr>
                <w:ilvl w:val="0"/>
                <w:numId w:val="35"/>
              </w:numPr>
              <w:rPr>
                <w:rFonts w:eastAsia="Calibri"/>
                <w:noProof/>
                <w:szCs w:val="24"/>
              </w:rPr>
            </w:pPr>
            <w:r>
              <w:rPr>
                <w:noProof/>
              </w:rPr>
              <w:t xml:space="preserve">Основен контролен списък за сигурност на CCN/CSI </w:t>
            </w:r>
            <w:hyperlink r:id="rId31">
              <w:r>
                <w:rPr>
                  <w:rStyle w:val="Hyperlink"/>
                  <w:noProof/>
                </w:rPr>
                <w:t>RD6</w:t>
              </w:r>
            </w:hyperlink>
            <w:r>
              <w:rPr>
                <w:noProof/>
              </w:rPr>
              <w:t>;</w:t>
            </w:r>
          </w:p>
        </w:tc>
      </w:tr>
      <w:tr>
        <w:tc>
          <w:tcPr>
            <w:tcW w:w="8363" w:type="dxa"/>
            <w:gridSpan w:val="2"/>
            <w:tcBorders>
              <w:top w:val="single" w:sz="4" w:space="0" w:color="auto"/>
              <w:left w:val="single" w:sz="4" w:space="0" w:color="auto"/>
              <w:bottom w:val="single" w:sz="4" w:space="0" w:color="auto"/>
              <w:right w:val="single" w:sz="4" w:space="0" w:color="auto"/>
            </w:tcBorders>
            <w:shd w:val="clear" w:color="auto" w:fill="D9D9D9"/>
          </w:tcPr>
          <w:p>
            <w:pPr>
              <w:pStyle w:val="Text1"/>
              <w:ind w:left="0"/>
              <w:jc w:val="center"/>
              <w:rPr>
                <w:rFonts w:eastAsia="Calibri"/>
                <w:noProof/>
                <w:szCs w:val="24"/>
              </w:rPr>
            </w:pPr>
            <w:r>
              <w:rPr>
                <w:b/>
                <w:noProof/>
              </w:rPr>
              <w:t>Управление и разработване на приложения</w:t>
            </w:r>
          </w:p>
        </w:tc>
      </w:tr>
      <w:tr>
        <w:tc>
          <w:tcPr>
            <w:tcW w:w="2692" w:type="dxa"/>
            <w:tcBorders>
              <w:top w:val="single" w:sz="4" w:space="0" w:color="auto"/>
              <w:left w:val="single" w:sz="4" w:space="0" w:color="auto"/>
              <w:bottom w:val="single" w:sz="4" w:space="0" w:color="auto"/>
              <w:right w:val="single" w:sz="4" w:space="0" w:color="auto"/>
            </w:tcBorders>
            <w:shd w:val="clear" w:color="auto" w:fill="D9D9D9"/>
          </w:tcPr>
          <w:p>
            <w:pPr>
              <w:pStyle w:val="Text1"/>
              <w:ind w:left="0"/>
              <w:rPr>
                <w:rFonts w:eastAsia="Calibri"/>
                <w:b/>
                <w:noProof/>
                <w:szCs w:val="24"/>
              </w:rPr>
            </w:pPr>
            <w:r>
              <w:rPr>
                <w:b/>
                <w:noProof/>
              </w:rPr>
              <w:t>[OSR27]</w:t>
            </w:r>
          </w:p>
        </w:tc>
        <w:tc>
          <w:tcPr>
            <w:tcW w:w="5671" w:type="dxa"/>
            <w:tcBorders>
              <w:top w:val="single" w:sz="4" w:space="0" w:color="auto"/>
              <w:left w:val="single" w:sz="4" w:space="0" w:color="auto"/>
              <w:bottom w:val="single" w:sz="4" w:space="0" w:color="auto"/>
              <w:right w:val="single" w:sz="4" w:space="0" w:color="auto"/>
            </w:tcBorders>
            <w:shd w:val="clear" w:color="auto" w:fill="auto"/>
          </w:tcPr>
          <w:p>
            <w:pPr>
              <w:pStyle w:val="Text1"/>
              <w:ind w:left="0"/>
              <w:rPr>
                <w:rFonts w:eastAsia="Calibri"/>
                <w:noProof/>
                <w:szCs w:val="24"/>
              </w:rPr>
            </w:pPr>
            <w:r>
              <w:rPr>
                <w:noProof/>
              </w:rPr>
              <w:t xml:space="preserve">Заявителят на услугите носи цялата отговорност за разработването, поддръжката и управлението на своите приложения. Те трябва да съответстват на правилата, определени в </w:t>
            </w:r>
            <w:hyperlink w:anchor="RD8" w:history="1">
              <w:r>
                <w:rPr>
                  <w:noProof/>
                  <w:color w:val="0000FF"/>
                </w:rPr>
                <w:t>RD8</w:t>
              </w:r>
            </w:hyperlink>
            <w:r>
              <w:rPr>
                <w:noProof/>
                <w:color w:val="0000FF"/>
              </w:rPr>
              <w:t>.</w:t>
            </w:r>
          </w:p>
        </w:tc>
      </w:tr>
    </w:tbl>
    <w:p>
      <w:pPr>
        <w:spacing w:before="60"/>
        <w:jc w:val="center"/>
        <w:rPr>
          <w:rFonts w:eastAsia="Times New Roman"/>
          <w:noProof/>
          <w:sz w:val="20"/>
          <w:szCs w:val="20"/>
        </w:rPr>
      </w:pPr>
      <w:bookmarkStart w:id="147" w:name="_Toc159212010"/>
      <w:bookmarkStart w:id="148" w:name="_Toc490755347"/>
      <w:r>
        <w:rPr>
          <w:noProof/>
          <w:sz w:val="20"/>
        </w:rPr>
        <w:t>Таблица 7: Задължения на заявителите на услугите (OSR)</w:t>
      </w:r>
      <w:bookmarkEnd w:id="147"/>
      <w:bookmarkEnd w:id="148"/>
    </w:p>
    <w:p>
      <w:pPr>
        <w:pStyle w:val="ManualHeading2"/>
        <w:rPr>
          <w:noProof/>
        </w:rPr>
      </w:pPr>
      <w:r>
        <w:rPr>
          <w:noProof/>
        </w:rPr>
        <w:t>4.3.</w:t>
      </w:r>
      <w:r>
        <w:rPr>
          <w:noProof/>
        </w:rPr>
        <w:tab/>
        <w:t>УСЛУГИ, ПРЕДОСТАВЯНИ ОТ ДОСТАВЧИКА НА УСЛУГИТЕ</w:t>
      </w:r>
    </w:p>
    <w:p>
      <w:pPr>
        <w:pStyle w:val="ManualHeading3"/>
        <w:rPr>
          <w:b/>
          <w:noProof/>
        </w:rPr>
      </w:pPr>
      <w:bookmarkStart w:id="149" w:name="_Toc490755317"/>
      <w:bookmarkEnd w:id="141"/>
      <w:r>
        <w:rPr>
          <w:b/>
          <w:noProof/>
        </w:rPr>
        <w:t>4.3.1.</w:t>
      </w:r>
      <w:r>
        <w:rPr>
          <w:noProof/>
        </w:rPr>
        <w:tab/>
      </w:r>
      <w:r>
        <w:rPr>
          <w:b/>
          <w:noProof/>
          <w:u w:val="single"/>
        </w:rPr>
        <w:t>Бюро за ИТ обслужване</w:t>
      </w:r>
      <w:bookmarkEnd w:id="149"/>
      <w:r>
        <w:rPr>
          <w:b/>
          <w:noProof/>
        </w:rPr>
        <w:t xml:space="preserve"> </w:t>
      </w:r>
    </w:p>
    <w:p>
      <w:pPr>
        <w:pStyle w:val="Text1"/>
        <w:rPr>
          <w:noProof/>
        </w:rPr>
      </w:pPr>
      <w:r>
        <w:rPr>
          <w:noProof/>
        </w:rPr>
        <w:t>Доставчикът на услугите предлага консолидирано бюро за ИТ обслужване с управление на инциденти и проблеми. Бюрото за ИТ обслужване разширява набора от класически услуги на бюро за помощ и предлага по-глобален подход, при който бизнес процесите могат да се интегрират в управлението на услугите на CCN/CSI.</w:t>
      </w:r>
    </w:p>
    <w:p>
      <w:pPr>
        <w:pStyle w:val="Text1"/>
        <w:rPr>
          <w:noProof/>
        </w:rPr>
      </w:pPr>
      <w:r>
        <w:rPr>
          <w:noProof/>
        </w:rPr>
        <w:t>Бюрото за ИТ обслужване всъщност се занимава не само с инциденти, проблеми и въпроси, но и осигурява интерфейс за други дейности, например обработване на искания за промени, договори за поддръжка, софтуерни лицензи, управление на нивото на услугите, управление на конфигурации, управление на експлоатационната готовност, управление на сигурността и управление на общността за ИТ услуги.</w:t>
      </w:r>
    </w:p>
    <w:p>
      <w:pPr>
        <w:pStyle w:val="Text1"/>
        <w:rPr>
          <w:noProof/>
        </w:rPr>
      </w:pPr>
      <w:r>
        <w:rPr>
          <w:noProof/>
        </w:rPr>
        <w:t>Освен това бюрото за ИТ обслужване предоставя спонтанно на заявителя на услугите всякаква спешна информация и по този начин изпълнява ролята на разпределителен информационен център за заявителя на услугите.</w:t>
      </w:r>
    </w:p>
    <w:p>
      <w:pPr>
        <w:pStyle w:val="Text1"/>
        <w:rPr>
          <w:noProof/>
        </w:rPr>
      </w:pPr>
      <w:r>
        <w:rPr>
          <w:noProof/>
        </w:rPr>
        <w:t>Уведомление се определя като отправено от доставчика на услугите съобщение, с което заявителят на услугите се предупреждава за събитие, което би могло да засегне функционирането на CCN/CSI: недостъпност на портал, спиране на система, неизправности, профилактика на инфраструктура или актуализация на софтуер.</w:t>
      </w:r>
    </w:p>
    <w:p>
      <w:pPr>
        <w:pStyle w:val="Text1"/>
        <w:rPr>
          <w:b/>
          <w:noProof/>
          <w:sz w:val="22"/>
        </w:rPr>
      </w:pPr>
      <w:r>
        <w:rPr>
          <w:noProof/>
        </w:rPr>
        <w:t>Интерфейсът на бюро за ИТ обслужване на заявителя на услугите се постига чрез звеното за връзка на доставчика на услугите</w:t>
      </w:r>
      <w:r>
        <w:rPr>
          <w:b/>
          <w:noProof/>
        </w:rPr>
        <w:t xml:space="preserve"> </w:t>
      </w:r>
      <w:r>
        <w:rPr>
          <w:noProof/>
        </w:rPr>
        <w:t>или чрез уебпортала ITSM, който предоставя онлайн услуги на заявителя на услугите, например проследяване развитието по искания за обслужване; инструмента ACT и уебпортала на CCN, в който е предоставено пространство за изтегляне на пакети CSI, достъп до статистически данни и  информация от наблюдението и др</w:t>
      </w:r>
      <w:r>
        <w:rPr>
          <w:noProof/>
          <w:sz w:val="22"/>
        </w:rPr>
        <w:t>.</w:t>
      </w:r>
    </w:p>
    <w:p>
      <w:pPr>
        <w:pStyle w:val="ManualHeading4"/>
        <w:rPr>
          <w:noProof/>
        </w:rPr>
      </w:pPr>
      <w:r>
        <w:rPr>
          <w:noProof/>
        </w:rPr>
        <w:t>4.3.1.1.</w:t>
      </w:r>
      <w:r>
        <w:rPr>
          <w:noProof/>
        </w:rPr>
        <w:tab/>
      </w:r>
      <w:r>
        <w:rPr>
          <w:i/>
          <w:noProof/>
        </w:rPr>
        <w:t>Управление на инциденти и проблеми</w:t>
      </w:r>
    </w:p>
    <w:p>
      <w:pPr>
        <w:pStyle w:val="Text1"/>
        <w:rPr>
          <w:noProof/>
        </w:rPr>
      </w:pPr>
      <w:r>
        <w:rPr>
          <w:noProof/>
        </w:rPr>
        <w:t>Тази услуга е насочена към справяне с инциденти, произтичащи от потребители на бюрото за обслужване (включително системна експлоатация). Инцидент може да бъде всякакво събитие — от обикновено искане за информация или разяснение до сигнал за неизправно поведение на конкретен компонент.</w:t>
      </w:r>
    </w:p>
    <w:p>
      <w:pPr>
        <w:pStyle w:val="Text1"/>
        <w:rPr>
          <w:noProof/>
        </w:rPr>
      </w:pPr>
      <w:r>
        <w:rPr>
          <w:noProof/>
        </w:rPr>
        <w:t>Инцидент се определя като неочаквано събитие, което не е част от стандартната експлоатация на инфраструктурата, или неизправност, която влошава работеща услуга на CCN/CSI. Решение на инцидента настъпва, когато услугата бъде възстановена.</w:t>
      </w:r>
    </w:p>
    <w:p>
      <w:pPr>
        <w:pStyle w:val="Text1"/>
        <w:rPr>
          <w:noProof/>
        </w:rPr>
      </w:pPr>
      <w:r>
        <w:rPr>
          <w:noProof/>
        </w:rPr>
        <w:t>Инцидентът може да бъде свързан със следните конфигурационни елементи (CI):</w:t>
      </w:r>
    </w:p>
    <w:p>
      <w:pPr>
        <w:pStyle w:val="Bullet1"/>
        <w:rPr>
          <w:noProof/>
        </w:rPr>
      </w:pPr>
      <w:r>
        <w:rPr>
          <w:noProof/>
        </w:rPr>
        <w:t>хардуера, за който отговаря доставчикът на услугите: портали към CCN, устройства за защита, рутери в клиентски помещения (CPR) и други мрежови устройства в локалната мрежа на EuroDomain (инфраструктурата на ГД „Данъчно облагане и митнически съюз“ за CCN);</w:t>
      </w:r>
    </w:p>
    <w:p>
      <w:pPr>
        <w:pStyle w:val="Bullet1"/>
        <w:rPr>
          <w:noProof/>
        </w:rPr>
      </w:pPr>
      <w:r>
        <w:rPr>
          <w:noProof/>
        </w:rPr>
        <w:t>софтуер, работещ на криптиращи устройства;</w:t>
      </w:r>
    </w:p>
    <w:p>
      <w:pPr>
        <w:pStyle w:val="Bullet1"/>
        <w:rPr>
          <w:noProof/>
        </w:rPr>
      </w:pPr>
      <w:r>
        <w:rPr>
          <w:noProof/>
        </w:rPr>
        <w:t>системния софтуер, работещ на порталите: операционна система, основен комуникационен софтуер като TCP/IP и др.;</w:t>
      </w:r>
    </w:p>
    <w:p>
      <w:pPr>
        <w:pStyle w:val="Bullet1"/>
        <w:rPr>
          <w:noProof/>
        </w:rPr>
      </w:pPr>
      <w:r>
        <w:rPr>
          <w:noProof/>
        </w:rPr>
        <w:t>софтуер на трети лица, работещ на порталите - например Tuxedo, MQSeries, Sun ONE Directory Server, PostgreSQL, Apache и др.;</w:t>
      </w:r>
    </w:p>
    <w:p>
      <w:pPr>
        <w:pStyle w:val="Bullet1"/>
        <w:rPr>
          <w:noProof/>
        </w:rPr>
      </w:pPr>
      <w:r>
        <w:rPr>
          <w:noProof/>
        </w:rPr>
        <w:t>CCN Mail III;</w:t>
      </w:r>
    </w:p>
    <w:p>
      <w:pPr>
        <w:pStyle w:val="Bullet1"/>
        <w:rPr>
          <w:noProof/>
        </w:rPr>
      </w:pPr>
      <w:r>
        <w:rPr>
          <w:noProof/>
        </w:rPr>
        <w:t>софтуера на CCN/CSI, работещ на порталите;</w:t>
      </w:r>
    </w:p>
    <w:p>
      <w:pPr>
        <w:pStyle w:val="Bullet1"/>
        <w:rPr>
          <w:noProof/>
        </w:rPr>
      </w:pPr>
      <w:r>
        <w:rPr>
          <w:noProof/>
        </w:rPr>
        <w:t>софтуера за CSI, работещ на приложните платформи;</w:t>
      </w:r>
    </w:p>
    <w:p>
      <w:pPr>
        <w:pStyle w:val="Bullet1"/>
        <w:rPr>
          <w:noProof/>
        </w:rPr>
      </w:pPr>
      <w:r>
        <w:rPr>
          <w:noProof/>
        </w:rPr>
        <w:t>SIAP (Secure Internet Access Point) — единна защита.</w:t>
      </w:r>
    </w:p>
    <w:p>
      <w:pPr>
        <w:pStyle w:val="Text1"/>
        <w:rPr>
          <w:noProof/>
        </w:rPr>
      </w:pPr>
      <w:r>
        <w:rPr>
          <w:noProof/>
        </w:rPr>
        <w:t>Проблем се установява въз основа на единичен инцидент с крайно неблагоприятно въздействие върху предоставяната на потребителя услуга, причината за който е неизвестна, или на голям брой инциденти, проявяващи общи симптоми. Проблемът е решен, когато причината е установена и отстранена.</w:t>
      </w:r>
    </w:p>
    <w:p>
      <w:pPr>
        <w:pStyle w:val="Text1"/>
        <w:rPr>
          <w:noProof/>
        </w:rPr>
      </w:pPr>
      <w:r>
        <w:rPr>
          <w:noProof/>
        </w:rPr>
        <w:t xml:space="preserve">В случай на инцидент се провежда проучване с цел възстановяване функционирането на услугите на CCN/CSI (ако е необходимо) и установяване на първопричината за инцидента. Доставчикът на услугите помага за разрешаването на инциденти с приложния софтуер на НА, на нивото на интерфейса с CCN/CSI, доколкото това не оказва въздействие върху останалите услуги, които следва да се предоставят от доставчика на услугите. Помощта от доставчика на услугите се състои в предоставяне на информация за правилното ползване на CCN/CSI. </w:t>
      </w:r>
      <w:r>
        <w:rPr>
          <w:b/>
          <w:noProof/>
          <w:u w:val="single"/>
        </w:rPr>
        <w:t>Тя не включва участие в отстраняването на грешки в приложния софтуер на НА.</w:t>
      </w:r>
    </w:p>
    <w:p>
      <w:pPr>
        <w:pStyle w:val="ManualHeading3"/>
        <w:rPr>
          <w:b/>
          <w:noProof/>
        </w:rPr>
      </w:pPr>
      <w:bookmarkStart w:id="150" w:name="_Toc490755318"/>
      <w:r>
        <w:rPr>
          <w:b/>
          <w:noProof/>
        </w:rPr>
        <w:t>4.3.2.</w:t>
      </w:r>
      <w:r>
        <w:rPr>
          <w:noProof/>
        </w:rPr>
        <w:tab/>
      </w:r>
      <w:r>
        <w:rPr>
          <w:b/>
          <w:noProof/>
          <w:u w:val="single"/>
        </w:rPr>
        <w:t>Инструменти в подкрепа на управлението на услугите</w:t>
      </w:r>
      <w:bookmarkEnd w:id="150"/>
      <w:r>
        <w:rPr>
          <w:b/>
          <w:noProof/>
        </w:rPr>
        <w:t xml:space="preserve"> </w:t>
      </w:r>
    </w:p>
    <w:p>
      <w:pPr>
        <w:pStyle w:val="Text1"/>
        <w:rPr>
          <w:noProof/>
        </w:rPr>
      </w:pPr>
      <w:r>
        <w:rPr>
          <w:noProof/>
        </w:rPr>
        <w:t>Наблюдението на порталната инфраструктура на CCN, приложенията и опашките от чакащи заявки в CCN се поддържа от семейството продукти IBM® Tivoli Monitoring (Tivoli Monitoring) и IBM Tivoli Composite Application Manager (ITCAM).</w:t>
      </w:r>
    </w:p>
    <w:p>
      <w:pPr>
        <w:pStyle w:val="Text1"/>
        <w:rPr>
          <w:noProof/>
        </w:rPr>
      </w:pPr>
      <w:r>
        <w:rPr>
          <w:noProof/>
        </w:rPr>
        <w:t xml:space="preserve">Услугата Tivoli за наблюдение и сигнализиране в CCN, основана на пакета IBM Tivoli Monitoring, обезпечава следните функции: </w:t>
      </w:r>
    </w:p>
    <w:p>
      <w:pPr>
        <w:pStyle w:val="Bullet1"/>
        <w:rPr>
          <w:noProof/>
        </w:rPr>
      </w:pPr>
      <w:r>
        <w:rPr>
          <w:noProof/>
        </w:rPr>
        <w:t>наблюдение на опашките от чакащи заявки в приложенията на порталите към CCN (WebSphere MQ);</w:t>
      </w:r>
    </w:p>
    <w:p>
      <w:pPr>
        <w:pStyle w:val="Bullet1"/>
        <w:rPr>
          <w:noProof/>
        </w:rPr>
      </w:pPr>
      <w:r>
        <w:rPr>
          <w:noProof/>
        </w:rPr>
        <w:t>наблюдение на статута на операционните системи на порталите към CCN;</w:t>
      </w:r>
    </w:p>
    <w:p>
      <w:pPr>
        <w:pStyle w:val="Bullet1"/>
        <w:rPr>
          <w:noProof/>
        </w:rPr>
      </w:pPr>
      <w:r>
        <w:rPr>
          <w:noProof/>
        </w:rPr>
        <w:t>използване на процесори, дисково пространство, памет, мрежа, процеси;</w:t>
      </w:r>
    </w:p>
    <w:p>
      <w:pPr>
        <w:pStyle w:val="Bullet1"/>
        <w:rPr>
          <w:noProof/>
        </w:rPr>
      </w:pPr>
      <w:r>
        <w:rPr>
          <w:noProof/>
        </w:rPr>
        <w:t>наблюдение на хардуер по метода „Out of Band“;</w:t>
      </w:r>
    </w:p>
    <w:p>
      <w:pPr>
        <w:pStyle w:val="Bullet1"/>
        <w:rPr>
          <w:noProof/>
        </w:rPr>
      </w:pPr>
      <w:r>
        <w:rPr>
          <w:noProof/>
        </w:rPr>
        <w:t>наблюдение на текущите процеси, изпълнявани в компонентите на CCN, разположени в порталите към CCN;</w:t>
      </w:r>
    </w:p>
    <w:p>
      <w:pPr>
        <w:pStyle w:val="Bullet1"/>
        <w:rPr>
          <w:noProof/>
        </w:rPr>
      </w:pPr>
      <w:r>
        <w:rPr>
          <w:noProof/>
        </w:rPr>
        <w:t>наблюдение на инфраструктурата CCN Mail III;</w:t>
      </w:r>
    </w:p>
    <w:p>
      <w:pPr>
        <w:pStyle w:val="Bullet1"/>
        <w:rPr>
          <w:noProof/>
        </w:rPr>
      </w:pPr>
      <w:r>
        <w:rPr>
          <w:noProof/>
        </w:rPr>
        <w:t>обзор за потребителите на Tivoli в CCN на наблюдаваната преди това информация;</w:t>
      </w:r>
    </w:p>
    <w:p>
      <w:pPr>
        <w:pStyle w:val="Bullet1"/>
        <w:rPr>
          <w:noProof/>
        </w:rPr>
      </w:pPr>
      <w:r>
        <w:rPr>
          <w:noProof/>
        </w:rPr>
        <w:t>генериране на предварително дефинирани сигнали относно наблюдаваните преди това компоненти;</w:t>
      </w:r>
    </w:p>
    <w:p>
      <w:pPr>
        <w:pStyle w:val="Bullet1"/>
        <w:rPr>
          <w:noProof/>
        </w:rPr>
      </w:pPr>
      <w:r>
        <w:rPr>
          <w:noProof/>
        </w:rPr>
        <w:t>предоставяне на доклади въз основа на събрани данни за минали периоди (CCN Tivoli Data Warehouse);</w:t>
      </w:r>
    </w:p>
    <w:p>
      <w:pPr>
        <w:pStyle w:val="Bullet1"/>
        <w:rPr>
          <w:noProof/>
        </w:rPr>
      </w:pPr>
      <w:r>
        <w:rPr>
          <w:noProof/>
        </w:rPr>
        <w:t>предоставяне на информация относно експлоатационната готовност и ефективността на работата на инфраструктурата на CCN/CSI във времето, отчитане на важни тенденции по последователен и интегриран начин.</w:t>
      </w:r>
    </w:p>
    <w:p>
      <w:pPr>
        <w:pStyle w:val="ManualHeading3"/>
        <w:rPr>
          <w:b/>
          <w:noProof/>
        </w:rPr>
      </w:pPr>
      <w:bookmarkStart w:id="151" w:name="_Toc490755319"/>
      <w:r>
        <w:rPr>
          <w:b/>
          <w:noProof/>
        </w:rPr>
        <w:t>4.3.3.</w:t>
      </w:r>
      <w:r>
        <w:rPr>
          <w:noProof/>
        </w:rPr>
        <w:tab/>
      </w:r>
      <w:r>
        <w:rPr>
          <w:b/>
          <w:noProof/>
          <w:u w:val="single"/>
        </w:rPr>
        <w:t>Управление и работа на ИКТ инфраструктура</w:t>
      </w:r>
      <w:bookmarkEnd w:id="151"/>
    </w:p>
    <w:p>
      <w:pPr>
        <w:pStyle w:val="Text1"/>
        <w:rPr>
          <w:noProof/>
        </w:rPr>
      </w:pPr>
      <w:r>
        <w:rPr>
          <w:noProof/>
        </w:rPr>
        <w:t>Доставчикът на услугите се призовава да инсталира, експлоатира и поддържа оперативната инфраструктура на CCN/CSI по такъв начин, че да гарантира договорените нива на експлоатационна готовност.</w:t>
      </w:r>
    </w:p>
    <w:p>
      <w:pPr>
        <w:pStyle w:val="Text1"/>
        <w:rPr>
          <w:noProof/>
        </w:rPr>
      </w:pPr>
      <w:r>
        <w:rPr>
          <w:noProof/>
        </w:rPr>
        <w:t xml:space="preserve">Оперативната инфраструктура на CCN/CSI се състои от комуникационните устройства на EuroDomain (портали към CCN), устройства за защита, рутери в клиентски помещения и далекосъобщения. </w:t>
      </w:r>
    </w:p>
    <w:p>
      <w:pPr>
        <w:pStyle w:val="Text1"/>
        <w:rPr>
          <w:noProof/>
        </w:rPr>
      </w:pPr>
      <w:r>
        <w:rPr>
          <w:noProof/>
        </w:rPr>
        <w:t>Тази услуга обхваща:</w:t>
      </w:r>
    </w:p>
    <w:p>
      <w:pPr>
        <w:pStyle w:val="Bullet1"/>
        <w:rPr>
          <w:noProof/>
        </w:rPr>
      </w:pPr>
      <w:r>
        <w:rPr>
          <w:noProof/>
        </w:rPr>
        <w:t>управление на експлоатационната готовност;</w:t>
      </w:r>
    </w:p>
    <w:p>
      <w:pPr>
        <w:pStyle w:val="Bullet1"/>
        <w:rPr>
          <w:noProof/>
        </w:rPr>
      </w:pPr>
      <w:r>
        <w:rPr>
          <w:noProof/>
        </w:rPr>
        <w:t>управление на непредвидени ситуации;</w:t>
      </w:r>
    </w:p>
    <w:p>
      <w:pPr>
        <w:pStyle w:val="Bullet1"/>
        <w:rPr>
          <w:noProof/>
        </w:rPr>
      </w:pPr>
      <w:r>
        <w:rPr>
          <w:noProof/>
        </w:rPr>
        <w:t>управление на конфигурационни данни на приложения;</w:t>
      </w:r>
    </w:p>
    <w:p>
      <w:pPr>
        <w:pStyle w:val="Bullet1"/>
        <w:rPr>
          <w:noProof/>
        </w:rPr>
      </w:pPr>
      <w:r>
        <w:rPr>
          <w:noProof/>
        </w:rPr>
        <w:t>управление на сигурността.</w:t>
      </w:r>
    </w:p>
    <w:p>
      <w:pPr>
        <w:pStyle w:val="Text1"/>
        <w:rPr>
          <w:noProof/>
        </w:rPr>
      </w:pPr>
      <w:r>
        <w:rPr>
          <w:noProof/>
        </w:rPr>
        <w:t>Тя включва също:</w:t>
      </w:r>
    </w:p>
    <w:p>
      <w:pPr>
        <w:pStyle w:val="Bullet1"/>
        <w:rPr>
          <w:noProof/>
        </w:rPr>
      </w:pPr>
      <w:r>
        <w:rPr>
          <w:noProof/>
        </w:rPr>
        <w:t>съгласуване на преместванията на оборудване на CCN/CSI;</w:t>
      </w:r>
    </w:p>
    <w:p>
      <w:pPr>
        <w:pStyle w:val="Bullet1"/>
        <w:rPr>
          <w:noProof/>
        </w:rPr>
      </w:pPr>
      <w:r>
        <w:rPr>
          <w:noProof/>
        </w:rPr>
        <w:t>съгласуване на разгръщането на нови обекти;</w:t>
      </w:r>
    </w:p>
    <w:p>
      <w:pPr>
        <w:pStyle w:val="Bullet1"/>
        <w:rPr>
          <w:noProof/>
        </w:rPr>
      </w:pPr>
      <w:r>
        <w:rPr>
          <w:noProof/>
        </w:rPr>
        <w:t>планиране на капацитета на инфраструктурата на CCN;</w:t>
      </w:r>
    </w:p>
    <w:p>
      <w:pPr>
        <w:pStyle w:val="Bullet1"/>
        <w:rPr>
          <w:noProof/>
        </w:rPr>
      </w:pPr>
      <w:r>
        <w:rPr>
          <w:noProof/>
        </w:rPr>
        <w:t>проследяване на гореизброените искани дейности по време на ежемесечната среща за отчитане на напредъка. Тези срещи са обект на качествен контрол и в тях участват всички договарящи се страни, участващи в услугите на CCN/CSI;</w:t>
      </w:r>
    </w:p>
    <w:p>
      <w:pPr>
        <w:pStyle w:val="Bullet1"/>
        <w:rPr>
          <w:noProof/>
        </w:rPr>
      </w:pPr>
      <w:r>
        <w:rPr>
          <w:noProof/>
        </w:rPr>
        <w:t>способстване за изпълнението на искания за „замразяване“. Такива искания могат да се подават единствено от оправомощени потребители към специално длъжностно лице на ГД „Данъчно облагане и митнически съюз“;</w:t>
      </w:r>
    </w:p>
    <w:p>
      <w:pPr>
        <w:pStyle w:val="Bullet1"/>
        <w:rPr>
          <w:noProof/>
        </w:rPr>
      </w:pPr>
      <w:r>
        <w:rPr>
          <w:noProof/>
        </w:rPr>
        <w:t>проектиране, планиране, внедряване, експлоатация, техническа поддръжка и извеждане от експлоатация на хардуер, софтуер и готови решения;</w:t>
      </w:r>
    </w:p>
    <w:p>
      <w:pPr>
        <w:pStyle w:val="Bullet1"/>
        <w:rPr>
          <w:noProof/>
        </w:rPr>
      </w:pPr>
      <w:r>
        <w:rPr>
          <w:noProof/>
        </w:rPr>
        <w:t>мрежови услуги;</w:t>
      </w:r>
    </w:p>
    <w:p>
      <w:pPr>
        <w:pStyle w:val="Bullet1"/>
        <w:rPr>
          <w:noProof/>
        </w:rPr>
      </w:pPr>
      <w:r>
        <w:rPr>
          <w:noProof/>
        </w:rPr>
        <w:t>услуги, свързани с хардуер, софтуер и готови решения;</w:t>
      </w:r>
    </w:p>
    <w:p>
      <w:pPr>
        <w:pStyle w:val="Bullet1"/>
        <w:rPr>
          <w:noProof/>
        </w:rPr>
      </w:pPr>
      <w:r>
        <w:rPr>
          <w:noProof/>
        </w:rPr>
        <w:t xml:space="preserve">резервно обезпечаване и възстановяване; </w:t>
      </w:r>
    </w:p>
    <w:p>
      <w:pPr>
        <w:pStyle w:val="Bullet1"/>
        <w:rPr>
          <w:noProof/>
        </w:rPr>
      </w:pPr>
      <w:r>
        <w:rPr>
          <w:noProof/>
        </w:rPr>
        <w:t>услуги по управление на задачи;</w:t>
      </w:r>
    </w:p>
    <w:p>
      <w:pPr>
        <w:pStyle w:val="Bullet1"/>
        <w:rPr>
          <w:noProof/>
        </w:rPr>
      </w:pPr>
      <w:r>
        <w:rPr>
          <w:noProof/>
        </w:rPr>
        <w:t>изготвяне и поддръжка на планове, свързани с управлението на ИКТ инфраструктура, напр. план за ИКТ инфраструктура, план за експлоатационната готовност, план за капацитета, план за приемственост;</w:t>
      </w:r>
    </w:p>
    <w:p>
      <w:pPr>
        <w:pStyle w:val="Bullet1"/>
        <w:rPr>
          <w:noProof/>
        </w:rPr>
      </w:pPr>
      <w:r>
        <w:rPr>
          <w:noProof/>
        </w:rPr>
        <w:t>предварителни проучвания, свързани с инфраструктурата.</w:t>
      </w:r>
    </w:p>
    <w:p>
      <w:pPr>
        <w:pStyle w:val="ManualHeading4"/>
        <w:rPr>
          <w:noProof/>
          <w:w w:val="122"/>
        </w:rPr>
      </w:pPr>
      <w:r>
        <w:rPr>
          <w:noProof/>
        </w:rPr>
        <w:t>4.3.3.1.</w:t>
      </w:r>
      <w:r>
        <w:rPr>
          <w:noProof/>
        </w:rPr>
        <w:tab/>
      </w:r>
      <w:r>
        <w:rPr>
          <w:i/>
          <w:noProof/>
        </w:rPr>
        <w:t>Управление на експлоатационната готовност</w:t>
      </w:r>
    </w:p>
    <w:p>
      <w:pPr>
        <w:pStyle w:val="Text1"/>
        <w:rPr>
          <w:noProof/>
        </w:rPr>
      </w:pPr>
      <w:r>
        <w:rPr>
          <w:noProof/>
        </w:rPr>
        <w:t>Основната услуга, която следва да предоставя доставчикът на услугите, е гарантиране изправността и експлоатацията на системата на CCN/CSI на изискваното равнище на експлоатационна готовност.</w:t>
      </w:r>
    </w:p>
    <w:p>
      <w:pPr>
        <w:pStyle w:val="Text1"/>
        <w:rPr>
          <w:noProof/>
        </w:rPr>
      </w:pPr>
      <w:r>
        <w:rPr>
          <w:noProof/>
        </w:rPr>
        <w:t>Доставчикът на услугите</w:t>
      </w:r>
      <w:r>
        <w:rPr>
          <w:b/>
          <w:noProof/>
        </w:rPr>
        <w:t xml:space="preserve"> </w:t>
      </w:r>
      <w:r>
        <w:rPr>
          <w:noProof/>
        </w:rPr>
        <w:t>следи за това всички обекти на CCN/CSI да бъдат свързани помежду си чрез глобална мрежа (WAN), предлагаща необходимата устойчивост и капацитет за осигуряване правилното функциониране на критични бизнес приложения, използващи инфраструктурата и услугите на CCN/CSI.</w:t>
      </w:r>
    </w:p>
    <w:p>
      <w:pPr>
        <w:pStyle w:val="Text1"/>
        <w:rPr>
          <w:noProof/>
        </w:rPr>
      </w:pPr>
      <w:r>
        <w:rPr>
          <w:noProof/>
        </w:rPr>
        <w:t>Услугата по управление на експлоатационната готовност включва следните елементи:</w:t>
      </w:r>
    </w:p>
    <w:p>
      <w:pPr>
        <w:pStyle w:val="Bullet1"/>
        <w:rPr>
          <w:noProof/>
        </w:rPr>
      </w:pPr>
      <w:r>
        <w:rPr>
          <w:noProof/>
        </w:rPr>
        <w:t>глобален достъп във всички свързани НА;</w:t>
      </w:r>
    </w:p>
    <w:p>
      <w:pPr>
        <w:pStyle w:val="Bullet1"/>
        <w:rPr>
          <w:noProof/>
        </w:rPr>
      </w:pPr>
      <w:r>
        <w:rPr>
          <w:noProof/>
        </w:rPr>
        <w:t>осигуряване на локален кръг (+ резервна линия) между местната точка за достъп до WAN (PoP) и помещенията на националната администрация;</w:t>
      </w:r>
    </w:p>
    <w:p>
      <w:pPr>
        <w:pStyle w:val="Bullet1"/>
        <w:rPr>
          <w:noProof/>
        </w:rPr>
      </w:pPr>
      <w:r>
        <w:rPr>
          <w:noProof/>
        </w:rPr>
        <w:t>инсталация, конфигуриране и поддръжка на рутер в клиентски помещения (CPR);</w:t>
      </w:r>
    </w:p>
    <w:p>
      <w:pPr>
        <w:pStyle w:val="Bullet1"/>
        <w:rPr>
          <w:noProof/>
        </w:rPr>
      </w:pPr>
      <w:r>
        <w:rPr>
          <w:noProof/>
        </w:rPr>
        <w:t>инсталация и поддръжка на устройство за защита (напр. криптиращо устройство SSG/„защитна стена“);</w:t>
      </w:r>
    </w:p>
    <w:p>
      <w:pPr>
        <w:pStyle w:val="Bullet1"/>
        <w:rPr>
          <w:noProof/>
        </w:rPr>
      </w:pPr>
      <w:r>
        <w:rPr>
          <w:noProof/>
        </w:rPr>
        <w:t>комуникационни портали, разположени в ДМЗ, във всеки местен обект (напр. портали към CCN);</w:t>
      </w:r>
    </w:p>
    <w:p>
      <w:pPr>
        <w:pStyle w:val="Bullet1"/>
        <w:rPr>
          <w:noProof/>
        </w:rPr>
      </w:pPr>
      <w:r>
        <w:rPr>
          <w:noProof/>
        </w:rPr>
        <w:t>централната система CCN Mail III.</w:t>
      </w:r>
    </w:p>
    <w:p>
      <w:pPr>
        <w:pStyle w:val="Text1"/>
        <w:rPr>
          <w:noProof/>
        </w:rPr>
      </w:pPr>
      <w:r>
        <w:rPr>
          <w:noProof/>
        </w:rPr>
        <w:t>Доставчикът на услугите предоставя също статистическа информация относно експлоатационната готовност, събирана в условия на експлоатация, както и услуга по наблюдение, с цел изпреварващо решаване на проблеми и със статистическа цел.</w:t>
      </w:r>
    </w:p>
    <w:p>
      <w:pPr>
        <w:pStyle w:val="ManualHeading4"/>
        <w:rPr>
          <w:noProof/>
        </w:rPr>
      </w:pPr>
      <w:r>
        <w:rPr>
          <w:noProof/>
        </w:rPr>
        <w:t>4.3.3.2.</w:t>
      </w:r>
      <w:r>
        <w:rPr>
          <w:noProof/>
        </w:rPr>
        <w:tab/>
      </w:r>
      <w:r>
        <w:rPr>
          <w:i/>
          <w:noProof/>
        </w:rPr>
        <w:t>Управление на непредвидени ситуации</w:t>
      </w:r>
    </w:p>
    <w:p>
      <w:pPr>
        <w:pStyle w:val="Text1"/>
        <w:rPr>
          <w:noProof/>
        </w:rPr>
      </w:pPr>
      <w:r>
        <w:rPr>
          <w:noProof/>
        </w:rPr>
        <w:t>Доставчикът на услугите</w:t>
      </w:r>
      <w:r>
        <w:rPr>
          <w:b/>
          <w:noProof/>
        </w:rPr>
        <w:t xml:space="preserve"> </w:t>
      </w:r>
      <w:r>
        <w:rPr>
          <w:noProof/>
        </w:rPr>
        <w:t>отговаря за компонентите на CCN/CSI, разположени в инфраструктурата на ГД „Данъчно облагане и митнически съюз“ за CCN във всеки обект на CCN/CSI.</w:t>
      </w:r>
    </w:p>
    <w:p>
      <w:pPr>
        <w:pStyle w:val="Text1"/>
        <w:rPr>
          <w:noProof/>
        </w:rPr>
      </w:pPr>
      <w:r>
        <w:rPr>
          <w:noProof/>
        </w:rPr>
        <w:t>Услугата за управление на непредвидени ситуации има за цел възстановяване на договорените нива на услугите в договорен срок в случай на частично или напълно нарушено функциониране или унищожаване на системата CCN/CSI чрез предоставяне за заявителите на услугите на помощ и елементи като:</w:t>
      </w:r>
    </w:p>
    <w:p>
      <w:pPr>
        <w:pStyle w:val="Bullet1"/>
        <w:rPr>
          <w:noProof/>
        </w:rPr>
      </w:pPr>
      <w:r>
        <w:rPr>
          <w:noProof/>
        </w:rPr>
        <w:t>софтуерно резервно обезпечаване на порталите към CCN (във всеки обект);</w:t>
      </w:r>
    </w:p>
    <w:p>
      <w:pPr>
        <w:pStyle w:val="Bullet1"/>
        <w:rPr>
          <w:noProof/>
        </w:rPr>
      </w:pPr>
      <w:r>
        <w:rPr>
          <w:noProof/>
        </w:rPr>
        <w:t xml:space="preserve">централно резервно обезпечаване на CCN; </w:t>
      </w:r>
    </w:p>
    <w:p>
      <w:pPr>
        <w:pStyle w:val="Bullet1"/>
        <w:rPr>
          <w:noProof/>
        </w:rPr>
      </w:pPr>
      <w:r>
        <w:rPr>
          <w:noProof/>
        </w:rPr>
        <w:t>редундантни криптиращи устройства;</w:t>
      </w:r>
    </w:p>
    <w:p>
      <w:pPr>
        <w:pStyle w:val="Bullet1"/>
        <w:rPr>
          <w:noProof/>
        </w:rPr>
      </w:pPr>
      <w:r>
        <w:rPr>
          <w:noProof/>
        </w:rPr>
        <w:t>функция за превключване между обичайните и резервните портали;</w:t>
      </w:r>
    </w:p>
    <w:p>
      <w:pPr>
        <w:pStyle w:val="Bullet1"/>
        <w:rPr>
          <w:noProof/>
        </w:rPr>
      </w:pPr>
      <w:r>
        <w:rPr>
          <w:noProof/>
        </w:rPr>
        <w:t>резервни елементи за хардуерни устройства;</w:t>
      </w:r>
    </w:p>
    <w:p>
      <w:pPr>
        <w:pStyle w:val="Bullet1"/>
        <w:rPr>
          <w:noProof/>
        </w:rPr>
      </w:pPr>
      <w:r>
        <w:rPr>
          <w:noProof/>
        </w:rPr>
        <w:t>двойни телекомуникационни линии за достъп до опорната мрежа на CCN (на всеки обект);</w:t>
      </w:r>
    </w:p>
    <w:p>
      <w:pPr>
        <w:pStyle w:val="Bullet1"/>
        <w:rPr>
          <w:noProof/>
        </w:rPr>
      </w:pPr>
      <w:r>
        <w:rPr>
          <w:noProof/>
        </w:rPr>
        <w:t>съдействие за инсталирането и конфигурирането на елементите на CCN/CSI в инфраструктурата на ГД „Данъчно облагане и митнически съюз“ за CCN;</w:t>
      </w:r>
    </w:p>
    <w:p>
      <w:pPr>
        <w:pStyle w:val="Bullet1"/>
        <w:rPr>
          <w:noProof/>
        </w:rPr>
      </w:pPr>
      <w:r>
        <w:rPr>
          <w:noProof/>
        </w:rPr>
        <w:t>процедури за възстановяване.</w:t>
      </w:r>
    </w:p>
    <w:p>
      <w:pPr>
        <w:pStyle w:val="ManualHeading4"/>
        <w:rPr>
          <w:noProof/>
        </w:rPr>
      </w:pPr>
      <w:r>
        <w:rPr>
          <w:noProof/>
        </w:rPr>
        <w:t>4.3.3.3.</w:t>
      </w:r>
      <w:r>
        <w:rPr>
          <w:noProof/>
        </w:rPr>
        <w:tab/>
      </w:r>
      <w:r>
        <w:rPr>
          <w:i/>
          <w:noProof/>
        </w:rPr>
        <w:t>Управление на конфигурационни данни на приложения</w:t>
      </w:r>
    </w:p>
    <w:p>
      <w:pPr>
        <w:pStyle w:val="Text1"/>
        <w:rPr>
          <w:noProof/>
        </w:rPr>
      </w:pPr>
      <w:r>
        <w:rPr>
          <w:noProof/>
        </w:rPr>
        <w:t>Тази услуга засяга управлението на конфигурационни данни, изисквани от приложенията на CCN/CSI, от доставчика на услугите.</w:t>
      </w:r>
    </w:p>
    <w:p>
      <w:pPr>
        <w:pStyle w:val="Text1"/>
        <w:rPr>
          <w:noProof/>
        </w:rPr>
      </w:pPr>
      <w:r>
        <w:rPr>
          <w:noProof/>
        </w:rPr>
        <w:t>Тези конфигурационни данни се съхраняват в централната директория на CCN/CSI. Управлението на централната директория на CCN/CSI е споделено между доставчика на услугите и националните администрации. Всяка национална администрация отговаря за управлението на своите местни потребители на CCN/CSI. Всичко останало се управлява от доставчика на услугите.</w:t>
      </w:r>
    </w:p>
    <w:p>
      <w:pPr>
        <w:pStyle w:val="Text1"/>
        <w:rPr>
          <w:noProof/>
        </w:rPr>
      </w:pPr>
      <w:r>
        <w:rPr>
          <w:noProof/>
        </w:rPr>
        <w:t>Примерите за конфигурации, подлежащи на искане за администраторски услуги, включват:</w:t>
      </w:r>
    </w:p>
    <w:p>
      <w:pPr>
        <w:pStyle w:val="Bullet1"/>
        <w:rPr>
          <w:noProof/>
        </w:rPr>
      </w:pPr>
      <w:r>
        <w:rPr>
          <w:noProof/>
        </w:rPr>
        <w:t>определяне на местен администраторски профил;</w:t>
      </w:r>
    </w:p>
    <w:p>
      <w:pPr>
        <w:pStyle w:val="Bullet1"/>
        <w:rPr>
          <w:noProof/>
        </w:rPr>
      </w:pPr>
      <w:r>
        <w:rPr>
          <w:noProof/>
        </w:rPr>
        <w:t>регистрация на приложна услуга;</w:t>
      </w:r>
    </w:p>
    <w:p>
      <w:pPr>
        <w:pStyle w:val="Bullet1"/>
        <w:rPr>
          <w:noProof/>
        </w:rPr>
      </w:pPr>
      <w:r>
        <w:rPr>
          <w:noProof/>
        </w:rPr>
        <w:t>регистрация на опашка от заявки в приложение;</w:t>
      </w:r>
    </w:p>
    <w:p>
      <w:pPr>
        <w:pStyle w:val="Bullet1"/>
        <w:rPr>
          <w:noProof/>
        </w:rPr>
      </w:pPr>
      <w:r>
        <w:rPr>
          <w:noProof/>
        </w:rPr>
        <w:t>регистрация на тип съобщение;</w:t>
      </w:r>
    </w:p>
    <w:p>
      <w:pPr>
        <w:pStyle w:val="Bullet1"/>
        <w:rPr>
          <w:noProof/>
        </w:rPr>
      </w:pPr>
      <w:r>
        <w:rPr>
          <w:noProof/>
        </w:rPr>
        <w:t>валидиране на конфигурационни данни на приложение;</w:t>
      </w:r>
    </w:p>
    <w:p>
      <w:pPr>
        <w:pStyle w:val="Bullet1"/>
        <w:rPr>
          <w:noProof/>
        </w:rPr>
      </w:pPr>
      <w:r>
        <w:rPr>
          <w:noProof/>
        </w:rPr>
        <w:t>регистрация на администраторски роли;</w:t>
      </w:r>
    </w:p>
    <w:p>
      <w:pPr>
        <w:pStyle w:val="Bullet1"/>
        <w:rPr>
          <w:noProof/>
        </w:rPr>
      </w:pPr>
      <w:r>
        <w:rPr>
          <w:noProof/>
        </w:rPr>
        <w:t>управление на списък с връзки.</w:t>
      </w:r>
    </w:p>
    <w:p>
      <w:pPr>
        <w:pStyle w:val="ManualHeading3"/>
        <w:rPr>
          <w:b/>
          <w:noProof/>
        </w:rPr>
      </w:pPr>
      <w:bookmarkStart w:id="152" w:name="_Toc490755320"/>
      <w:r>
        <w:rPr>
          <w:b/>
          <w:noProof/>
        </w:rPr>
        <w:t>4.3.4.</w:t>
      </w:r>
      <w:r>
        <w:rPr>
          <w:noProof/>
        </w:rPr>
        <w:tab/>
      </w:r>
      <w:r>
        <w:rPr>
          <w:b/>
          <w:noProof/>
          <w:u w:val="single"/>
        </w:rPr>
        <w:t>Управление на сигурността</w:t>
      </w:r>
      <w:bookmarkEnd w:id="152"/>
    </w:p>
    <w:p>
      <w:pPr>
        <w:pStyle w:val="Text1"/>
        <w:rPr>
          <w:noProof/>
        </w:rPr>
      </w:pPr>
      <w:r>
        <w:rPr>
          <w:noProof/>
        </w:rPr>
        <w:t>Тази услуга засяга управлението на елементите за сигурност, изисквани от средата на CCN/CSI, от доставчика на услугите.</w:t>
      </w:r>
    </w:p>
    <w:p>
      <w:pPr>
        <w:pStyle w:val="Text1"/>
        <w:rPr>
          <w:noProof/>
        </w:rPr>
      </w:pPr>
      <w:r>
        <w:rPr>
          <w:noProof/>
        </w:rPr>
        <w:t xml:space="preserve">Сигурността се управлява също на нивото на използваното сървърно (ОС) и мрежово оборудване, както и на оперативно ниво. </w:t>
      </w:r>
    </w:p>
    <w:p>
      <w:pPr>
        <w:pStyle w:val="Bullet1"/>
        <w:rPr>
          <w:noProof/>
        </w:rPr>
      </w:pPr>
      <w:r>
        <w:rPr>
          <w:noProof/>
        </w:rPr>
        <w:t xml:space="preserve">Обменът на информация по мрежата CCN/CSI е защитен с цел осигуряване на оптимална поверителност и неприкосновеност на данните. </w:t>
      </w:r>
    </w:p>
    <w:p>
      <w:pPr>
        <w:pStyle w:val="Bullet1"/>
        <w:rPr>
          <w:noProof/>
        </w:rPr>
      </w:pPr>
      <w:r>
        <w:rPr>
          <w:noProof/>
        </w:rPr>
        <w:t>Услугите за защита включват:</w:t>
      </w:r>
    </w:p>
    <w:p>
      <w:pPr>
        <w:pStyle w:val="Tiret2"/>
        <w:numPr>
          <w:ilvl w:val="0"/>
          <w:numId w:val="29"/>
        </w:numPr>
        <w:rPr>
          <w:noProof/>
        </w:rPr>
      </w:pPr>
      <w:r>
        <w:rPr>
          <w:noProof/>
        </w:rPr>
        <w:t>Криптиране „от обект до обект“ и защитата срещу нежелан достъп чрез „защитна стена“/криптиращи устройства.</w:t>
      </w:r>
    </w:p>
    <w:p>
      <w:pPr>
        <w:pStyle w:val="Tiret2"/>
        <w:rPr>
          <w:noProof/>
        </w:rPr>
      </w:pPr>
      <w:r>
        <w:rPr>
          <w:noProof/>
        </w:rPr>
        <w:t>Механизми за контрол на достъпа (идентифициране, оправомощаване и отчетност) на ниво обект, прилагани в порталите към CCN и поддържани с местни инструменти за администриране (ADM3G).</w:t>
      </w:r>
    </w:p>
    <w:p>
      <w:pPr>
        <w:pStyle w:val="Tiret2"/>
        <w:rPr>
          <w:noProof/>
        </w:rPr>
      </w:pPr>
      <w:r>
        <w:rPr>
          <w:noProof/>
        </w:rPr>
        <w:t>Защита на всяка сесия чрез криптиране на всяко съобщение (CSI secure), взаимно идентифициране и криптиране чрез SSL (HTTPS и NJCSI), POP-S и IMAP-S (защитен пренос на електронна поща).</w:t>
      </w:r>
    </w:p>
    <w:p>
      <w:pPr>
        <w:pStyle w:val="Tiret2"/>
        <w:rPr>
          <w:noProof/>
        </w:rPr>
      </w:pPr>
      <w:r>
        <w:rPr>
          <w:noProof/>
        </w:rPr>
        <w:t>Единен защитен механизъм SIAP за защитен достъп до услугите на CCN чрез интернет.</w:t>
      </w:r>
    </w:p>
    <w:p>
      <w:pPr>
        <w:pStyle w:val="ManualHeading3"/>
        <w:rPr>
          <w:b/>
          <w:noProof/>
        </w:rPr>
      </w:pPr>
      <w:bookmarkStart w:id="153" w:name="_Toc490755322"/>
      <w:r>
        <w:rPr>
          <w:b/>
          <w:noProof/>
        </w:rPr>
        <w:t>4.3.5.</w:t>
      </w:r>
      <w:r>
        <w:rPr>
          <w:noProof/>
        </w:rPr>
        <w:tab/>
      </w:r>
      <w:r>
        <w:rPr>
          <w:b/>
          <w:noProof/>
          <w:u w:val="single"/>
        </w:rPr>
        <w:t>Управление на документация</w:t>
      </w:r>
      <w:bookmarkEnd w:id="153"/>
    </w:p>
    <w:p>
      <w:pPr>
        <w:pStyle w:val="Text1"/>
        <w:rPr>
          <w:noProof/>
        </w:rPr>
      </w:pPr>
      <w:r>
        <w:rPr>
          <w:noProof/>
        </w:rPr>
        <w:t>Доставчикът на услугите поддържа актуалността на цялата техническа документация на CCN/CSI (т.е. технически документи, ръководства за потребители, отговори на често задавани въпроси, бюлетини, предстоящи събития и пр.) и функционира като документационен център.</w:t>
      </w:r>
    </w:p>
    <w:p>
      <w:pPr>
        <w:pStyle w:val="Text1"/>
        <w:rPr>
          <w:noProof/>
        </w:rPr>
      </w:pPr>
      <w:r>
        <w:rPr>
          <w:noProof/>
        </w:rPr>
        <w:t>Това включва документацията, свързана с инфраструктурата на CCN/CSI: Oracle-Tuxedo, IBM-MQ, портали към CCN, CCN Mail III, софтуер на CSI, процедури, доклади, история на комуникацията с партньорите и др.</w:t>
      </w:r>
    </w:p>
    <w:p>
      <w:pPr>
        <w:pStyle w:val="Text1"/>
        <w:rPr>
          <w:noProof/>
        </w:rPr>
      </w:pPr>
      <w:r>
        <w:rPr>
          <w:noProof/>
        </w:rPr>
        <w:t>Доставчикът на услугите води списък на документацията във връзка със CCN/CSI, която може да се изпраща до заявителя на услугите. Тези документи са достъпни в CIRCABC и в портала ITSM.</w:t>
      </w:r>
    </w:p>
    <w:p>
      <w:pPr>
        <w:pStyle w:val="Text1"/>
        <w:rPr>
          <w:noProof/>
        </w:rPr>
      </w:pPr>
      <w:r>
        <w:rPr>
          <w:noProof/>
        </w:rPr>
        <w:t>Доставчикът на услугите</w:t>
      </w:r>
      <w:r>
        <w:rPr>
          <w:b/>
          <w:noProof/>
        </w:rPr>
        <w:t xml:space="preserve"> </w:t>
      </w:r>
      <w:r>
        <w:rPr>
          <w:noProof/>
        </w:rPr>
        <w:t>автоматично актуализира списъка с новоодобрената версия на документите.</w:t>
      </w:r>
    </w:p>
    <w:p>
      <w:pPr>
        <w:pStyle w:val="ManualHeading3"/>
        <w:rPr>
          <w:rFonts w:eastAsia="Times New Roman"/>
          <w:b/>
          <w:caps/>
          <w:noProof/>
          <w:szCs w:val="20"/>
        </w:rPr>
      </w:pPr>
      <w:bookmarkStart w:id="154" w:name="_Toc490755323"/>
      <w:r>
        <w:rPr>
          <w:b/>
          <w:noProof/>
        </w:rPr>
        <w:t>4.3.6.</w:t>
      </w:r>
      <w:r>
        <w:rPr>
          <w:noProof/>
        </w:rPr>
        <w:tab/>
      </w:r>
      <w:r>
        <w:rPr>
          <w:b/>
          <w:noProof/>
          <w:u w:val="single"/>
        </w:rPr>
        <w:t>Докладване и статистика</w:t>
      </w:r>
      <w:bookmarkEnd w:id="154"/>
    </w:p>
    <w:p>
      <w:pPr>
        <w:pStyle w:val="Text1"/>
        <w:rPr>
          <w:noProof/>
        </w:rPr>
      </w:pPr>
      <w:r>
        <w:rPr>
          <w:noProof/>
        </w:rPr>
        <w:t>Доставчикът на услугите предоставя на заявителя на услугите следните комуникационни средства чрез CCN и интернет портала ITSM:</w:t>
      </w:r>
    </w:p>
    <w:p>
      <w:pPr>
        <w:pStyle w:val="Bullet1"/>
        <w:rPr>
          <w:noProof/>
        </w:rPr>
      </w:pPr>
      <w:r>
        <w:rPr>
          <w:noProof/>
        </w:rPr>
        <w:t>стойности за онлайн експлоатационна готовност за портали към CCN и сървъри CCN Mail III;</w:t>
      </w:r>
    </w:p>
    <w:p>
      <w:pPr>
        <w:pStyle w:val="Bullet1"/>
        <w:rPr>
          <w:noProof/>
        </w:rPr>
      </w:pPr>
      <w:r>
        <w:rPr>
          <w:noProof/>
        </w:rPr>
        <w:t>онлайн бюлетини;</w:t>
      </w:r>
    </w:p>
    <w:p>
      <w:pPr>
        <w:pStyle w:val="Bullet1"/>
        <w:rPr>
          <w:noProof/>
        </w:rPr>
      </w:pPr>
      <w:r>
        <w:rPr>
          <w:noProof/>
        </w:rPr>
        <w:t>статистика за обмена чрез CCN/CSI.</w:t>
      </w:r>
    </w:p>
    <w:p>
      <w:pPr>
        <w:pStyle w:val="Text1"/>
        <w:rPr>
          <w:noProof/>
        </w:rPr>
      </w:pPr>
      <w:r>
        <w:rPr>
          <w:noProof/>
        </w:rPr>
        <w:t>Също така доставчикът на услугите редовно провежда технически срещи по темите на ИТ и инфраструктурата, на които се представят отчетни и статистически данни.</w:t>
      </w:r>
    </w:p>
    <w:p>
      <w:pPr>
        <w:pStyle w:val="ManualHeading3"/>
        <w:rPr>
          <w:rFonts w:eastAsia="Times New Roman"/>
          <w:b/>
          <w:caps/>
          <w:noProof/>
          <w:szCs w:val="20"/>
        </w:rPr>
      </w:pPr>
      <w:bookmarkStart w:id="155" w:name="_Toc445210960"/>
      <w:bookmarkStart w:id="156" w:name="_Toc445217544"/>
      <w:bookmarkStart w:id="157" w:name="_Toc490755324"/>
      <w:bookmarkEnd w:id="155"/>
      <w:bookmarkEnd w:id="156"/>
      <w:r>
        <w:rPr>
          <w:b/>
          <w:noProof/>
        </w:rPr>
        <w:t>4.3.7.</w:t>
      </w:r>
      <w:r>
        <w:rPr>
          <w:noProof/>
        </w:rPr>
        <w:tab/>
      </w:r>
      <w:r>
        <w:rPr>
          <w:b/>
          <w:noProof/>
          <w:u w:val="single"/>
        </w:rPr>
        <w:t>Обучение</w:t>
      </w:r>
      <w:bookmarkEnd w:id="157"/>
    </w:p>
    <w:p>
      <w:pPr>
        <w:pStyle w:val="Text1"/>
        <w:rPr>
          <w:noProof/>
        </w:rPr>
      </w:pPr>
      <w:r>
        <w:rPr>
          <w:noProof/>
        </w:rPr>
        <w:t>Доставчикът на услугите изготвя курсове и провежда обучения за техническите аспекти на системата CCN/CSI. Стандартните курсове се организират в учебни пакети, разделени на модули. По правило обучения се организират ежегодно. Стандартните учебни пакети се разпространяват два пъти годишно чрез ГД „Данъчно облагане и митнически съюз“ и са достъпни чрез интернет на портала ITSM.</w:t>
      </w:r>
    </w:p>
    <w:p>
      <w:pPr>
        <w:pStyle w:val="ManualHeading1"/>
        <w:rPr>
          <w:noProof/>
        </w:rPr>
      </w:pPr>
      <w:bookmarkStart w:id="158" w:name="_Toc159211971"/>
      <w:bookmarkStart w:id="159" w:name="_Ref374521587"/>
      <w:bookmarkStart w:id="160" w:name="_Toc490755328"/>
      <w:bookmarkStart w:id="161" w:name="_Ref136410190"/>
      <w:bookmarkStart w:id="162" w:name="_Toc136745305"/>
      <w:r>
        <w:rPr>
          <w:noProof/>
        </w:rPr>
        <w:t>5.</w:t>
      </w:r>
      <w:r>
        <w:rPr>
          <w:noProof/>
        </w:rPr>
        <w:tab/>
      </w:r>
      <w:r>
        <w:rPr>
          <w:noProof/>
          <w:u w:val="single"/>
        </w:rPr>
        <w:t>ИЗМЕРВАНЕ НА НИВОТО НА УСЛУГИТЕ</w:t>
      </w:r>
      <w:bookmarkEnd w:id="158"/>
      <w:bookmarkEnd w:id="159"/>
      <w:bookmarkEnd w:id="160"/>
    </w:p>
    <w:bookmarkEnd w:id="161"/>
    <w:bookmarkEnd w:id="162"/>
    <w:p>
      <w:pPr>
        <w:pStyle w:val="ManualHeading2"/>
        <w:rPr>
          <w:noProof/>
        </w:rPr>
      </w:pPr>
      <w:r>
        <w:rPr>
          <w:noProof/>
        </w:rPr>
        <w:t>5.2.</w:t>
      </w:r>
      <w:r>
        <w:rPr>
          <w:noProof/>
        </w:rPr>
        <w:tab/>
        <w:t>НИВО НА УСЛУГИТЕ</w:t>
      </w:r>
    </w:p>
    <w:p>
      <w:pPr>
        <w:pStyle w:val="Text1"/>
        <w:rPr>
          <w:noProof/>
        </w:rPr>
      </w:pPr>
      <w:r>
        <w:rPr>
          <w:noProof/>
        </w:rPr>
        <w:t>Нивото на услугите е мярка за качеството на услугите, предоставяни от доставчика на услугите. Изчислява се чрез „показател за качество на услугите“ (или SQI).</w:t>
      </w:r>
    </w:p>
    <w:p>
      <w:pPr>
        <w:pStyle w:val="Text1"/>
        <w:rPr>
          <w:noProof/>
        </w:rPr>
      </w:pPr>
      <w:r>
        <w:rPr>
          <w:noProof/>
        </w:rPr>
        <w:t>За постигането на договореното ниво на услугите се очаква заявителят на услугите да изпълнява своите задължения (вж. §</w:t>
      </w:r>
      <w:r>
        <w:rPr>
          <w:noProof/>
        </w:rPr>
        <w:fldChar w:fldCharType="begin"/>
      </w:r>
      <w:r>
        <w:rPr>
          <w:noProof/>
        </w:rPr>
        <w:instrText xml:space="preserve"> REF _Ref374535365 \r \h  \* MERGEFORMAT </w:instrText>
      </w:r>
      <w:r>
        <w:rPr>
          <w:noProof/>
        </w:rPr>
      </w:r>
      <w:r>
        <w:rPr>
          <w:noProof/>
        </w:rPr>
        <w:fldChar w:fldCharType="separate"/>
      </w:r>
      <w:r>
        <w:rPr>
          <w:noProof/>
        </w:rPr>
        <w:t>0</w:t>
      </w:r>
      <w:r>
        <w:rPr>
          <w:noProof/>
        </w:rPr>
        <w:fldChar w:fldCharType="end"/>
      </w:r>
      <w:r>
        <w:rPr>
          <w:noProof/>
        </w:rPr>
        <w:t xml:space="preserve">). </w:t>
      </w:r>
    </w:p>
    <w:p>
      <w:pPr>
        <w:pStyle w:val="ManualNumPar2"/>
        <w:rPr>
          <w:b/>
          <w:noProof/>
        </w:rPr>
      </w:pPr>
      <w:bookmarkStart w:id="163" w:name="_Ref156929460"/>
      <w:bookmarkStart w:id="164" w:name="_Toc159211975"/>
      <w:bookmarkStart w:id="165" w:name="_Toc490755331"/>
      <w:r>
        <w:rPr>
          <w:b/>
          <w:noProof/>
        </w:rPr>
        <w:t>5.2.</w:t>
      </w:r>
      <w:r>
        <w:rPr>
          <w:noProof/>
        </w:rPr>
        <w:tab/>
      </w:r>
      <w:r>
        <w:rPr>
          <w:b/>
          <w:noProof/>
        </w:rPr>
        <w:t>ПРИЛОЖИМИ ПОКАЗАТЕЛИ ЗА КАЧЕСТВО НА УСЛУГИТЕ</w:t>
      </w:r>
      <w:bookmarkEnd w:id="163"/>
      <w:bookmarkEnd w:id="164"/>
      <w:bookmarkEnd w:id="165"/>
      <w:r>
        <w:rPr>
          <w:b/>
          <w:noProof/>
        </w:rPr>
        <w:t xml:space="preserve"> </w:t>
      </w:r>
    </w:p>
    <w:p>
      <w:pPr>
        <w:pStyle w:val="ManualNumPar3"/>
        <w:rPr>
          <w:noProof/>
        </w:rPr>
      </w:pPr>
      <w:bookmarkStart w:id="166" w:name="_Toc490755332"/>
      <w:bookmarkStart w:id="167" w:name="OLE_LINK1"/>
      <w:r>
        <w:rPr>
          <w:noProof/>
        </w:rPr>
        <w:t>5.2.1.</w:t>
      </w:r>
      <w:r>
        <w:rPr>
          <w:noProof/>
        </w:rPr>
        <w:tab/>
      </w:r>
      <w:r>
        <w:rPr>
          <w:b/>
          <w:i/>
          <w:noProof/>
          <w:u w:val="single"/>
        </w:rPr>
        <w:t>Експлоатационна готовност на отделни обекти на CCN/CSI</w:t>
      </w:r>
      <w:bookmarkEnd w:id="166"/>
    </w:p>
    <w:bookmarkEnd w:id="167"/>
    <w:p>
      <w:pPr>
        <w:pStyle w:val="Text1"/>
        <w:rPr>
          <w:noProof/>
        </w:rPr>
      </w:pPr>
      <w:r>
        <w:rPr>
          <w:noProof/>
        </w:rPr>
        <w:t>С този показател за качество се посочва най-ниската измерена експлоатационна готовност на отделен обект през « пълния период », т.е. 24*7, за даден месец. Ограничението по СНУ за CCN/CSI се определя, както следва:</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ОГРАНИЧЕНИЕ</w:t>
            </w:r>
          </w:p>
        </w:tc>
        <w:tc>
          <w:tcPr>
            <w:tcW w:w="5528" w:type="dxa"/>
          </w:tcPr>
          <w:p>
            <w:pPr>
              <w:pStyle w:val="Text1"/>
              <w:ind w:left="0"/>
              <w:rPr>
                <w:noProof/>
              </w:rPr>
            </w:pPr>
            <w:bookmarkStart w:id="168" w:name="OLE_LINK2"/>
            <w:r>
              <w:rPr>
                <w:noProof/>
                <w:color w:val="000000"/>
              </w:rPr>
              <w:t>&gt;= 97,0 % експлоатационна готовност</w:t>
            </w:r>
            <w:bookmarkEnd w:id="168"/>
          </w:p>
        </w:tc>
      </w:tr>
    </w:tbl>
    <w:p>
      <w:pPr>
        <w:pStyle w:val="ManualNumPar3"/>
        <w:rPr>
          <w:noProof/>
        </w:rPr>
      </w:pPr>
      <w:bookmarkStart w:id="169" w:name="_Ref158529204"/>
      <w:bookmarkStart w:id="170" w:name="_Toc159211978"/>
      <w:bookmarkStart w:id="171" w:name="_Toc490755333"/>
      <w:bookmarkStart w:id="172" w:name="OLE_LINK4"/>
      <w:r>
        <w:rPr>
          <w:noProof/>
        </w:rPr>
        <w:t>5.2.2.</w:t>
      </w:r>
      <w:r>
        <w:rPr>
          <w:noProof/>
        </w:rPr>
        <w:tab/>
      </w:r>
      <w:r>
        <w:rPr>
          <w:b/>
          <w:i/>
          <w:noProof/>
          <w:u w:val="single"/>
        </w:rPr>
        <w:t>Показател за качество на времето за дежурство</w:t>
      </w:r>
      <w:bookmarkEnd w:id="169"/>
      <w:bookmarkEnd w:id="170"/>
      <w:bookmarkEnd w:id="171"/>
    </w:p>
    <w:bookmarkEnd w:id="172"/>
    <w:p>
      <w:pPr>
        <w:pStyle w:val="Text1"/>
        <w:rPr>
          <w:noProof/>
        </w:rPr>
      </w:pPr>
      <w:r>
        <w:rPr>
          <w:noProof/>
        </w:rPr>
        <w:t>Времето за дежурство на доставчика на услугите представлява часовете, в които е обезпечено функционирането на бюрото за обслужване. Доставчикът на услугите осигурява дежурство 24 часа в денонощието, 7 дни в седмицата, включително официалните празници.</w:t>
      </w:r>
    </w:p>
    <w:p>
      <w:pPr>
        <w:pStyle w:val="Text1"/>
        <w:rPr>
          <w:noProof/>
        </w:rPr>
      </w:pPr>
      <w:r>
        <w:rPr>
          <w:noProof/>
        </w:rPr>
        <w:t>В зависимост от прозореца за обслужване на конфигурационния елемент действията се предприемат незабавно (24*7) или се насрочват за следващия прозорец за обслужване. Искания, отправени с писмо, по факс, електронна поща и чрез други електронни средства (чрез портала ITSM), се приемат по всяко време. Входящите искания се регистрират като „искания за обслужване“ в системата за управление на бюрото за обслужване на доставчика на услугите.</w:t>
      </w:r>
    </w:p>
    <w:p>
      <w:pPr>
        <w:pStyle w:val="Text1"/>
        <w:rPr>
          <w:noProof/>
        </w:rPr>
      </w:pPr>
      <w:r>
        <w:rPr>
          <w:noProof/>
        </w:rPr>
        <w:t>Ограничението по СНУ се определя, както следва:</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ОГРАНИЧЕНИЕ</w:t>
            </w:r>
          </w:p>
        </w:tc>
        <w:tc>
          <w:tcPr>
            <w:tcW w:w="5528" w:type="dxa"/>
          </w:tcPr>
          <w:p>
            <w:pPr>
              <w:pStyle w:val="Text1"/>
              <w:ind w:left="0"/>
              <w:rPr>
                <w:noProof/>
              </w:rPr>
            </w:pPr>
            <w:r>
              <w:rPr>
                <w:noProof/>
              </w:rPr>
              <w:t>Бюрото за обслужване не може да бъде недостъпно през времето за дежурство повече от 2 пъти на месец</w:t>
            </w:r>
          </w:p>
        </w:tc>
      </w:tr>
    </w:tbl>
    <w:p>
      <w:pPr>
        <w:pStyle w:val="ManualNumPar3"/>
        <w:rPr>
          <w:b/>
          <w:noProof/>
        </w:rPr>
      </w:pPr>
      <w:bookmarkStart w:id="173" w:name="_Ref156974467"/>
      <w:bookmarkStart w:id="174" w:name="_Toc159211979"/>
      <w:bookmarkStart w:id="175" w:name="_Toc490755334"/>
      <w:bookmarkStart w:id="176" w:name="OLE_LINK5"/>
      <w:r>
        <w:rPr>
          <w:b/>
          <w:noProof/>
        </w:rPr>
        <w:t>5.2.3.</w:t>
      </w:r>
      <w:r>
        <w:rPr>
          <w:noProof/>
        </w:rPr>
        <w:tab/>
      </w:r>
      <w:r>
        <w:rPr>
          <w:b/>
          <w:i/>
          <w:noProof/>
          <w:u w:val="single"/>
        </w:rPr>
        <w:t>Показател за качество на услугата за уведомяване</w:t>
      </w:r>
      <w:bookmarkEnd w:id="173"/>
      <w:bookmarkEnd w:id="174"/>
      <w:bookmarkEnd w:id="175"/>
    </w:p>
    <w:bookmarkEnd w:id="176"/>
    <w:p>
      <w:pPr>
        <w:pStyle w:val="Text1"/>
        <w:rPr>
          <w:noProof/>
        </w:rPr>
      </w:pPr>
      <w:r>
        <w:rPr>
          <w:noProof/>
        </w:rPr>
        <w:t>Доставчикът на услугите предоставя услуги за уведомяване на заявителя на услугите.</w:t>
      </w:r>
    </w:p>
    <w:p>
      <w:pPr>
        <w:pStyle w:val="Text1"/>
        <w:rPr>
          <w:noProof/>
        </w:rPr>
      </w:pPr>
      <w:r>
        <w:rPr>
          <w:noProof/>
        </w:rPr>
        <w:t>Съществуват два вида уведомления — спешни и обичайни:</w:t>
      </w:r>
    </w:p>
    <w:p>
      <w:pPr>
        <w:pStyle w:val="Bullet1"/>
        <w:rPr>
          <w:noProof/>
        </w:rPr>
      </w:pPr>
      <w:r>
        <w:rPr>
          <w:noProof/>
        </w:rPr>
        <w:t>СПЕШНИ уведомления (когато няма достатъчно време, за да се уведомят лицата в средата на CCN/CSI най-малко 7 календарни дни по-рано): уведомленията се разпространяват сред съответната аудитория не по-късно от 2 часа след получаване на искане за спешно уведомление.</w:t>
      </w:r>
    </w:p>
    <w:p>
      <w:pPr>
        <w:pStyle w:val="Bullet1"/>
        <w:rPr>
          <w:noProof/>
        </w:rPr>
      </w:pPr>
      <w:r>
        <w:rPr>
          <w:noProof/>
        </w:rPr>
        <w:t>ОБИЧАЙНИ уведомления (планови мерки): уведомленията се разпространяват сред съответната аудитория най-малко една седмица (7 календарни дни) преди мерките, като поне 24 часа преди тях се изпраща и напомнящо съобщение.</w:t>
      </w:r>
    </w:p>
    <w:p>
      <w:pPr>
        <w:spacing w:before="0" w:after="200" w:line="276" w:lineRule="auto"/>
        <w:ind w:left="709"/>
        <w:rPr>
          <w:rFonts w:eastAsia="Calibri"/>
          <w:noProof/>
          <w:szCs w:val="24"/>
        </w:rPr>
      </w:pPr>
      <w:r>
        <w:rPr>
          <w:noProof/>
        </w:rPr>
        <w:t>С този показател се измерва спазването на срока за обявяване (чрез масово разпращане на електронна поща) на плановите прекъсвания на експлоатационната готовност.</w:t>
      </w:r>
    </w:p>
    <w:p>
      <w:pPr>
        <w:pStyle w:val="ManualNumPar3"/>
        <w:rPr>
          <w:b/>
          <w:noProof/>
        </w:rPr>
      </w:pPr>
      <w:bookmarkStart w:id="177" w:name="_Toc490755335"/>
      <w:bookmarkStart w:id="178" w:name="OLE_LINK6"/>
      <w:r>
        <w:rPr>
          <w:b/>
          <w:noProof/>
        </w:rPr>
        <w:t>5.3.4.</w:t>
      </w:r>
      <w:r>
        <w:rPr>
          <w:noProof/>
        </w:rPr>
        <w:tab/>
      </w:r>
      <w:r>
        <w:rPr>
          <w:b/>
          <w:i/>
          <w:noProof/>
          <w:u w:val="single"/>
        </w:rPr>
        <w:t>Показател за качество на управлението на непредвидени ситуации</w:t>
      </w:r>
      <w:bookmarkEnd w:id="177"/>
    </w:p>
    <w:bookmarkEnd w:id="178"/>
    <w:p>
      <w:pPr>
        <w:pStyle w:val="Text1"/>
        <w:rPr>
          <w:noProof/>
          <w:w w:val="122"/>
        </w:rPr>
      </w:pPr>
      <w:r>
        <w:rPr>
          <w:b/>
          <w:noProof/>
        </w:rPr>
        <w:t xml:space="preserve">„Студена готовност“ </w:t>
      </w:r>
      <w:r>
        <w:rPr>
          <w:noProof/>
        </w:rPr>
        <w:t>(процедура за превключване, резервно обезпечаване и възстановяване или CCN чрез интернет)</w:t>
      </w:r>
    </w:p>
    <w:p>
      <w:pPr>
        <w:pStyle w:val="Text1"/>
        <w:rPr>
          <w:noProof/>
        </w:rPr>
      </w:pPr>
      <w:r>
        <w:rPr>
          <w:noProof/>
        </w:rPr>
        <w:t>Подходящият вид превключване се определя след цялостен анализ на конкретната организация в националната администрация и възникналия проблем.</w:t>
      </w:r>
    </w:p>
    <w:p>
      <w:pPr>
        <w:pStyle w:val="Text1"/>
        <w:rPr>
          <w:noProof/>
        </w:rPr>
      </w:pPr>
      <w:r>
        <w:rPr>
          <w:noProof/>
        </w:rPr>
        <w:t>Максималният срок за превключване от обичайния портал на националната администрация към подходящ резервен портал на CCN се определя, както следва:</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ОГРАНИЧЕНИЕ</w:t>
            </w:r>
          </w:p>
        </w:tc>
        <w:tc>
          <w:tcPr>
            <w:tcW w:w="5528" w:type="dxa"/>
          </w:tcPr>
          <w:p>
            <w:pPr>
              <w:pStyle w:val="Text1"/>
              <w:ind w:left="0"/>
              <w:rPr>
                <w:noProof/>
                <w:szCs w:val="24"/>
              </w:rPr>
            </w:pPr>
            <w:r>
              <w:rPr>
                <w:noProof/>
                <w:color w:val="000000"/>
              </w:rPr>
              <w:t>Не повече от 5 работни часа след уговорката със заявителя на услугите за извършване на превключването</w:t>
            </w:r>
          </w:p>
        </w:tc>
      </w:tr>
    </w:tbl>
    <w:p>
      <w:pPr>
        <w:pStyle w:val="ManualNumPar3"/>
        <w:rPr>
          <w:b/>
          <w:noProof/>
        </w:rPr>
      </w:pPr>
      <w:bookmarkStart w:id="179" w:name="_Toc443382313"/>
      <w:bookmarkStart w:id="180" w:name="_Toc443382319"/>
      <w:bookmarkStart w:id="181" w:name="_Toc443382325"/>
      <w:bookmarkStart w:id="182" w:name="_Toc443382329"/>
      <w:bookmarkStart w:id="183" w:name="_Toc443382330"/>
      <w:bookmarkStart w:id="184" w:name="_Toc443382331"/>
      <w:bookmarkStart w:id="185" w:name="_Toc443382335"/>
      <w:bookmarkStart w:id="186" w:name="_Toc443382337"/>
      <w:bookmarkStart w:id="187" w:name="_Toc443382341"/>
      <w:bookmarkStart w:id="188" w:name="_Toc443382342"/>
      <w:bookmarkStart w:id="189" w:name="_Toc443382343"/>
      <w:bookmarkStart w:id="190" w:name="_Toc490755336"/>
      <w:bookmarkStart w:id="191" w:name="OLE_LINK7"/>
      <w:bookmarkEnd w:id="179"/>
      <w:bookmarkEnd w:id="180"/>
      <w:bookmarkEnd w:id="181"/>
      <w:bookmarkEnd w:id="182"/>
      <w:bookmarkEnd w:id="183"/>
      <w:bookmarkEnd w:id="184"/>
      <w:bookmarkEnd w:id="185"/>
      <w:bookmarkEnd w:id="186"/>
      <w:bookmarkEnd w:id="187"/>
      <w:bookmarkEnd w:id="188"/>
      <w:bookmarkEnd w:id="189"/>
      <w:r>
        <w:rPr>
          <w:b/>
          <w:noProof/>
        </w:rPr>
        <w:t>5.3.5.</w:t>
      </w:r>
      <w:r>
        <w:rPr>
          <w:noProof/>
        </w:rPr>
        <w:tab/>
      </w:r>
      <w:r>
        <w:rPr>
          <w:b/>
          <w:i/>
          <w:noProof/>
          <w:u w:val="single"/>
        </w:rPr>
        <w:t>Показател за качество на управлението на конфигурационните данни на приложенията</w:t>
      </w:r>
      <w:bookmarkEnd w:id="190"/>
    </w:p>
    <w:bookmarkEnd w:id="191"/>
    <w:p>
      <w:pPr>
        <w:pStyle w:val="Text1"/>
        <w:rPr>
          <w:noProof/>
        </w:rPr>
      </w:pPr>
      <w:r>
        <w:rPr>
          <w:noProof/>
        </w:rPr>
        <w:t>Максималният срок за изпълнение на искане за конфигуриране на приложение чрез ACT (Инструмент за конфигуриране на приложения) за единичен обект се определя, както следва:</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ОГРАНИЧЕНИЕ</w:t>
            </w:r>
          </w:p>
        </w:tc>
        <w:tc>
          <w:tcPr>
            <w:tcW w:w="5528" w:type="dxa"/>
          </w:tcPr>
          <w:p>
            <w:pPr>
              <w:pStyle w:val="Text1"/>
              <w:ind w:left="0"/>
              <w:rPr>
                <w:noProof/>
                <w:szCs w:val="24"/>
              </w:rPr>
            </w:pPr>
            <w:r>
              <w:rPr>
                <w:noProof/>
                <w:color w:val="000000"/>
              </w:rPr>
              <w:t>5 работни дни</w:t>
            </w:r>
          </w:p>
        </w:tc>
      </w:tr>
    </w:tbl>
    <w:p>
      <w:pPr>
        <w:pStyle w:val="ManualNumPar3"/>
        <w:rPr>
          <w:b/>
          <w:noProof/>
        </w:rPr>
      </w:pPr>
      <w:bookmarkStart w:id="192" w:name="_Toc159211985"/>
      <w:bookmarkStart w:id="193" w:name="_Toc490755337"/>
      <w:bookmarkStart w:id="194" w:name="OLE_LINK8"/>
      <w:r>
        <w:rPr>
          <w:b/>
          <w:noProof/>
        </w:rPr>
        <w:t>5.3.6.</w:t>
      </w:r>
      <w:r>
        <w:rPr>
          <w:noProof/>
        </w:rPr>
        <w:tab/>
      </w:r>
      <w:r>
        <w:rPr>
          <w:b/>
          <w:i/>
          <w:noProof/>
          <w:u w:val="single"/>
        </w:rPr>
        <w:t>Показател за качество на</w:t>
      </w:r>
      <w:bookmarkEnd w:id="192"/>
      <w:r>
        <w:rPr>
          <w:b/>
          <w:i/>
          <w:noProof/>
          <w:u w:val="single"/>
        </w:rPr>
        <w:t xml:space="preserve"> срока за потвърждение</w:t>
      </w:r>
      <w:bookmarkEnd w:id="193"/>
    </w:p>
    <w:bookmarkEnd w:id="194"/>
    <w:p>
      <w:pPr>
        <w:pStyle w:val="Text1"/>
        <w:rPr>
          <w:noProof/>
        </w:rPr>
      </w:pPr>
      <w:r>
        <w:rPr>
          <w:noProof/>
        </w:rPr>
        <w:t xml:space="preserve">Максималният срок от момента на получаване на искане в бюрото за обслужване и момента на изпращане на потвърждение (т.е. отреждане на номер на искането за услуги) до заявителя на обслужването се определя, както следва: </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D9D9D9" w:themeFill="background1" w:themeFillShade="D9"/>
          </w:tcPr>
          <w:p>
            <w:pPr>
              <w:pStyle w:val="Text1"/>
              <w:ind w:left="0"/>
              <w:rPr>
                <w:b/>
                <w:noProof/>
              </w:rPr>
            </w:pPr>
            <w:r>
              <w:rPr>
                <w:b/>
                <w:noProof/>
              </w:rPr>
              <w:t>ОГРАНИЧЕНИЕ</w:t>
            </w:r>
          </w:p>
        </w:tc>
        <w:tc>
          <w:tcPr>
            <w:tcW w:w="5528" w:type="dxa"/>
          </w:tcPr>
          <w:p>
            <w:pPr>
              <w:pStyle w:val="Text1"/>
              <w:ind w:left="0"/>
              <w:rPr>
                <w:noProof/>
                <w:szCs w:val="24"/>
              </w:rPr>
            </w:pPr>
            <w:r>
              <w:rPr>
                <w:noProof/>
                <w:color w:val="000000"/>
              </w:rPr>
              <w:t>30 минути</w:t>
            </w:r>
          </w:p>
        </w:tc>
      </w:tr>
    </w:tbl>
    <w:p>
      <w:pPr>
        <w:pStyle w:val="Text1"/>
        <w:rPr>
          <w:noProof/>
        </w:rPr>
      </w:pPr>
      <w:r>
        <w:rPr>
          <w:noProof/>
        </w:rPr>
        <w:t xml:space="preserve">Инцидентите се класифицират според техния </w:t>
      </w:r>
      <w:r>
        <w:rPr>
          <w:b/>
          <w:noProof/>
        </w:rPr>
        <w:t>приоритетен ред</w:t>
      </w:r>
      <w:r>
        <w:rPr>
          <w:noProof/>
        </w:rPr>
        <w:t xml:space="preserve">. </w:t>
      </w:r>
    </w:p>
    <w:p>
      <w:pPr>
        <w:pStyle w:val="Text1"/>
        <w:rPr>
          <w:noProof/>
        </w:rPr>
      </w:pPr>
      <w:r>
        <w:rPr>
          <w:noProof/>
        </w:rPr>
        <w:t xml:space="preserve">Приоритетният ред на всеки инцидент се изразява със стойност от 1 до 4: </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FF0000"/>
          </w:tcPr>
          <w:p>
            <w:pPr>
              <w:pStyle w:val="Text1"/>
              <w:ind w:left="0"/>
              <w:jc w:val="center"/>
              <w:rPr>
                <w:b/>
                <w:noProof/>
                <w:color w:val="000000" w:themeColor="text1"/>
              </w:rPr>
            </w:pPr>
            <w:r>
              <w:rPr>
                <w:b/>
                <w:noProof/>
                <w:color w:val="000000" w:themeColor="text1"/>
              </w:rPr>
              <w:t>1</w:t>
            </w:r>
          </w:p>
        </w:tc>
        <w:tc>
          <w:tcPr>
            <w:tcW w:w="5528" w:type="dxa"/>
            <w:shd w:val="clear" w:color="auto" w:fill="FF0000"/>
          </w:tcPr>
          <w:p>
            <w:pPr>
              <w:pStyle w:val="Text1"/>
              <w:ind w:left="0"/>
              <w:jc w:val="center"/>
              <w:rPr>
                <w:b/>
                <w:noProof/>
                <w:color w:val="000000" w:themeColor="text1"/>
                <w:szCs w:val="24"/>
              </w:rPr>
            </w:pPr>
            <w:r>
              <w:rPr>
                <w:b/>
                <w:noProof/>
                <w:color w:val="000000" w:themeColor="text1"/>
              </w:rPr>
              <w:t>КРИТИЧЕН</w:t>
            </w:r>
          </w:p>
        </w:tc>
      </w:tr>
      <w:tr>
        <w:tc>
          <w:tcPr>
            <w:tcW w:w="2693" w:type="dxa"/>
            <w:shd w:val="clear" w:color="auto" w:fill="00B050"/>
          </w:tcPr>
          <w:p>
            <w:pPr>
              <w:pStyle w:val="Text1"/>
              <w:ind w:left="0"/>
              <w:jc w:val="center"/>
              <w:rPr>
                <w:b/>
                <w:noProof/>
                <w:color w:val="000000" w:themeColor="text1"/>
              </w:rPr>
            </w:pPr>
            <w:r>
              <w:rPr>
                <w:b/>
                <w:noProof/>
                <w:color w:val="000000" w:themeColor="text1"/>
              </w:rPr>
              <w:t>2</w:t>
            </w:r>
          </w:p>
        </w:tc>
        <w:tc>
          <w:tcPr>
            <w:tcW w:w="5528" w:type="dxa"/>
            <w:shd w:val="clear" w:color="auto" w:fill="00B050"/>
          </w:tcPr>
          <w:p>
            <w:pPr>
              <w:pStyle w:val="Text1"/>
              <w:ind w:left="0"/>
              <w:jc w:val="center"/>
              <w:rPr>
                <w:rFonts w:eastAsia="Calibri"/>
                <w:b/>
                <w:noProof/>
                <w:color w:val="000000" w:themeColor="text1"/>
                <w:szCs w:val="24"/>
              </w:rPr>
            </w:pPr>
            <w:r>
              <w:rPr>
                <w:b/>
                <w:noProof/>
                <w:color w:val="000000" w:themeColor="text1"/>
              </w:rPr>
              <w:t>ВИСОК</w:t>
            </w:r>
          </w:p>
        </w:tc>
      </w:tr>
      <w:tr>
        <w:tc>
          <w:tcPr>
            <w:tcW w:w="2693" w:type="dxa"/>
            <w:shd w:val="clear" w:color="auto" w:fill="BFBFBF" w:themeFill="background1" w:themeFillShade="BF"/>
          </w:tcPr>
          <w:p>
            <w:pPr>
              <w:pStyle w:val="Text1"/>
              <w:ind w:left="0"/>
              <w:jc w:val="center"/>
              <w:rPr>
                <w:b/>
                <w:noProof/>
                <w:color w:val="000000" w:themeColor="text1"/>
              </w:rPr>
            </w:pPr>
            <w:r>
              <w:rPr>
                <w:b/>
                <w:noProof/>
                <w:color w:val="000000" w:themeColor="text1"/>
              </w:rPr>
              <w:t>3</w:t>
            </w:r>
          </w:p>
        </w:tc>
        <w:tc>
          <w:tcPr>
            <w:tcW w:w="5528" w:type="dxa"/>
            <w:shd w:val="clear" w:color="auto" w:fill="BFBFBF" w:themeFill="background1" w:themeFillShade="BF"/>
          </w:tcPr>
          <w:p>
            <w:pPr>
              <w:pStyle w:val="Text1"/>
              <w:ind w:left="0"/>
              <w:jc w:val="center"/>
              <w:rPr>
                <w:rFonts w:eastAsia="Calibri"/>
                <w:b/>
                <w:noProof/>
                <w:color w:val="000000" w:themeColor="text1"/>
                <w:szCs w:val="24"/>
              </w:rPr>
            </w:pPr>
            <w:r>
              <w:rPr>
                <w:b/>
                <w:noProof/>
                <w:color w:val="000000" w:themeColor="text1"/>
              </w:rPr>
              <w:t>СРЕДЕН</w:t>
            </w:r>
          </w:p>
        </w:tc>
      </w:tr>
      <w:tr>
        <w:tc>
          <w:tcPr>
            <w:tcW w:w="2693" w:type="dxa"/>
            <w:shd w:val="clear" w:color="auto" w:fill="95B3D7" w:themeFill="accent1" w:themeFillTint="99"/>
          </w:tcPr>
          <w:p>
            <w:pPr>
              <w:pStyle w:val="Text1"/>
              <w:ind w:left="0"/>
              <w:jc w:val="center"/>
              <w:rPr>
                <w:b/>
                <w:noProof/>
                <w:color w:val="000000" w:themeColor="text1"/>
              </w:rPr>
            </w:pPr>
            <w:r>
              <w:rPr>
                <w:b/>
                <w:noProof/>
                <w:color w:val="000000" w:themeColor="text1"/>
              </w:rPr>
              <w:t>4</w:t>
            </w:r>
          </w:p>
        </w:tc>
        <w:tc>
          <w:tcPr>
            <w:tcW w:w="5528" w:type="dxa"/>
            <w:shd w:val="clear" w:color="auto" w:fill="95B3D7" w:themeFill="accent1" w:themeFillTint="99"/>
          </w:tcPr>
          <w:p>
            <w:pPr>
              <w:pStyle w:val="Text1"/>
              <w:ind w:left="0"/>
              <w:jc w:val="center"/>
              <w:rPr>
                <w:rFonts w:eastAsia="Calibri"/>
                <w:b/>
                <w:noProof/>
                <w:color w:val="000000" w:themeColor="text1"/>
                <w:szCs w:val="24"/>
              </w:rPr>
            </w:pPr>
            <w:r>
              <w:rPr>
                <w:b/>
                <w:noProof/>
                <w:color w:val="000000" w:themeColor="text1"/>
              </w:rPr>
              <w:t>НИСЪК</w:t>
            </w:r>
          </w:p>
        </w:tc>
      </w:tr>
    </w:tbl>
    <w:p>
      <w:pPr>
        <w:pStyle w:val="ManualNumPar3"/>
        <w:rPr>
          <w:b/>
          <w:noProof/>
        </w:rPr>
      </w:pPr>
      <w:bookmarkStart w:id="195" w:name="_Ref158695475"/>
      <w:bookmarkStart w:id="196" w:name="_Toc159211988"/>
      <w:bookmarkStart w:id="197" w:name="_Toc490755338"/>
      <w:bookmarkStart w:id="198" w:name="OLE_LINK9"/>
      <w:r>
        <w:rPr>
          <w:b/>
          <w:noProof/>
        </w:rPr>
        <w:t>5.3.7.</w:t>
      </w:r>
      <w:r>
        <w:rPr>
          <w:noProof/>
        </w:rPr>
        <w:tab/>
      </w:r>
      <w:r>
        <w:rPr>
          <w:b/>
          <w:i/>
          <w:noProof/>
          <w:u w:val="single"/>
        </w:rPr>
        <w:t>Показател за качество на срока за разрешаване</w:t>
      </w:r>
      <w:bookmarkEnd w:id="195"/>
      <w:bookmarkEnd w:id="196"/>
      <w:bookmarkEnd w:id="197"/>
    </w:p>
    <w:bookmarkEnd w:id="198"/>
    <w:p>
      <w:pPr>
        <w:pStyle w:val="Text1"/>
        <w:rPr>
          <w:noProof/>
        </w:rPr>
      </w:pPr>
      <w:r>
        <w:rPr>
          <w:noProof/>
        </w:rPr>
        <w:t xml:space="preserve">Срокът за разрешаване е промеждутъкът от момента на потвърждаване на инцидента от доставчика на услугите до момента на отстраняване на първопричината за инцидента или прилагане на временно решение от доставчика на услугите. </w:t>
      </w:r>
    </w:p>
    <w:p>
      <w:pPr>
        <w:pStyle w:val="Text1"/>
        <w:rPr>
          <w:noProof/>
        </w:rPr>
      </w:pPr>
      <w:r>
        <w:rPr>
          <w:noProof/>
        </w:rPr>
        <w:t>Според приоритетния ред срокът за разрешаване се определя, както следва:</w:t>
      </w:r>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BFBFBF" w:themeFill="background1" w:themeFillShade="BF"/>
          </w:tcPr>
          <w:p>
            <w:pPr>
              <w:pStyle w:val="Text1"/>
              <w:ind w:left="0"/>
              <w:jc w:val="center"/>
              <w:rPr>
                <w:b/>
                <w:noProof/>
              </w:rPr>
            </w:pPr>
            <w:r>
              <w:rPr>
                <w:b/>
                <w:noProof/>
              </w:rPr>
              <w:t>ПРИОРИТЕТ</w:t>
            </w:r>
          </w:p>
        </w:tc>
        <w:tc>
          <w:tcPr>
            <w:tcW w:w="5528" w:type="dxa"/>
            <w:shd w:val="clear" w:color="auto" w:fill="BFBFBF" w:themeFill="background1" w:themeFillShade="BF"/>
          </w:tcPr>
          <w:p>
            <w:pPr>
              <w:pStyle w:val="Text1"/>
              <w:ind w:left="0"/>
              <w:jc w:val="center"/>
              <w:rPr>
                <w:b/>
                <w:noProof/>
                <w:szCs w:val="24"/>
              </w:rPr>
            </w:pPr>
            <w:r>
              <w:rPr>
                <w:b/>
                <w:noProof/>
                <w:color w:val="000000"/>
              </w:rPr>
              <w:t>СРОК ЗА РАЗРЕШАВАНЕ</w:t>
            </w:r>
          </w:p>
        </w:tc>
      </w:tr>
      <w:tr>
        <w:tc>
          <w:tcPr>
            <w:tcW w:w="2693" w:type="dxa"/>
            <w:shd w:val="clear" w:color="auto" w:fill="D9D9D9" w:themeFill="background1" w:themeFillShade="D9"/>
          </w:tcPr>
          <w:p>
            <w:pPr>
              <w:pStyle w:val="Text1"/>
              <w:ind w:left="0"/>
              <w:jc w:val="center"/>
              <w:rPr>
                <w:b/>
                <w:noProof/>
              </w:rPr>
            </w:pPr>
            <w:r>
              <w:rPr>
                <w:b/>
                <w:noProof/>
              </w:rPr>
              <w:t>КРИТИЧЕН</w:t>
            </w:r>
          </w:p>
        </w:tc>
        <w:tc>
          <w:tcPr>
            <w:tcW w:w="5528" w:type="dxa"/>
          </w:tcPr>
          <w:p>
            <w:pPr>
              <w:pStyle w:val="Text1"/>
              <w:ind w:left="0"/>
              <w:jc w:val="center"/>
              <w:rPr>
                <w:rFonts w:eastAsia="Calibri"/>
                <w:noProof/>
                <w:color w:val="000000"/>
                <w:szCs w:val="24"/>
              </w:rPr>
            </w:pPr>
            <w:r>
              <w:rPr>
                <w:noProof/>
              </w:rPr>
              <w:t>5 работни часа</w:t>
            </w:r>
          </w:p>
        </w:tc>
      </w:tr>
      <w:tr>
        <w:tc>
          <w:tcPr>
            <w:tcW w:w="2693" w:type="dxa"/>
            <w:shd w:val="clear" w:color="auto" w:fill="D9D9D9" w:themeFill="background1" w:themeFillShade="D9"/>
          </w:tcPr>
          <w:p>
            <w:pPr>
              <w:pStyle w:val="Text1"/>
              <w:ind w:left="0"/>
              <w:jc w:val="center"/>
              <w:rPr>
                <w:b/>
                <w:noProof/>
              </w:rPr>
            </w:pPr>
            <w:r>
              <w:rPr>
                <w:b/>
                <w:noProof/>
              </w:rPr>
              <w:t>ВИСОК</w:t>
            </w:r>
          </w:p>
        </w:tc>
        <w:tc>
          <w:tcPr>
            <w:tcW w:w="5528" w:type="dxa"/>
          </w:tcPr>
          <w:p>
            <w:pPr>
              <w:pStyle w:val="Text1"/>
              <w:ind w:left="0"/>
              <w:jc w:val="center"/>
              <w:rPr>
                <w:rFonts w:eastAsia="Calibri"/>
                <w:noProof/>
                <w:color w:val="000000"/>
                <w:szCs w:val="24"/>
              </w:rPr>
            </w:pPr>
            <w:r>
              <w:rPr>
                <w:noProof/>
              </w:rPr>
              <w:t>13 работни часа</w:t>
            </w:r>
          </w:p>
        </w:tc>
      </w:tr>
      <w:tr>
        <w:tc>
          <w:tcPr>
            <w:tcW w:w="2693" w:type="dxa"/>
            <w:shd w:val="clear" w:color="auto" w:fill="D9D9D9" w:themeFill="background1" w:themeFillShade="D9"/>
          </w:tcPr>
          <w:p>
            <w:pPr>
              <w:pStyle w:val="Text1"/>
              <w:ind w:left="0"/>
              <w:jc w:val="center"/>
              <w:rPr>
                <w:b/>
                <w:noProof/>
              </w:rPr>
            </w:pPr>
            <w:r>
              <w:rPr>
                <w:b/>
                <w:noProof/>
              </w:rPr>
              <w:t>СРЕДЕН</w:t>
            </w:r>
          </w:p>
        </w:tc>
        <w:tc>
          <w:tcPr>
            <w:tcW w:w="5528" w:type="dxa"/>
          </w:tcPr>
          <w:p>
            <w:pPr>
              <w:pStyle w:val="Text1"/>
              <w:ind w:left="0"/>
              <w:jc w:val="center"/>
              <w:rPr>
                <w:rFonts w:eastAsia="Calibri"/>
                <w:noProof/>
                <w:color w:val="000000"/>
                <w:szCs w:val="24"/>
              </w:rPr>
            </w:pPr>
            <w:r>
              <w:rPr>
                <w:noProof/>
              </w:rPr>
              <w:t>39 работни часа</w:t>
            </w:r>
          </w:p>
        </w:tc>
      </w:tr>
      <w:tr>
        <w:tc>
          <w:tcPr>
            <w:tcW w:w="2693" w:type="dxa"/>
            <w:shd w:val="clear" w:color="auto" w:fill="D9D9D9" w:themeFill="background1" w:themeFillShade="D9"/>
          </w:tcPr>
          <w:p>
            <w:pPr>
              <w:pStyle w:val="Text1"/>
              <w:ind w:left="0"/>
              <w:jc w:val="center"/>
              <w:rPr>
                <w:b/>
                <w:noProof/>
              </w:rPr>
            </w:pPr>
            <w:r>
              <w:rPr>
                <w:b/>
                <w:noProof/>
              </w:rPr>
              <w:t>НИСЪК</w:t>
            </w:r>
          </w:p>
        </w:tc>
        <w:tc>
          <w:tcPr>
            <w:tcW w:w="5528" w:type="dxa"/>
          </w:tcPr>
          <w:p>
            <w:pPr>
              <w:pStyle w:val="Text1"/>
              <w:ind w:left="0"/>
              <w:jc w:val="center"/>
              <w:rPr>
                <w:rFonts w:eastAsia="Calibri"/>
                <w:noProof/>
                <w:color w:val="000000"/>
                <w:szCs w:val="24"/>
              </w:rPr>
            </w:pPr>
            <w:r>
              <w:rPr>
                <w:noProof/>
              </w:rPr>
              <w:t>65 работни часа</w:t>
            </w:r>
          </w:p>
        </w:tc>
      </w:tr>
    </w:tbl>
    <w:p>
      <w:pPr>
        <w:spacing w:before="60"/>
        <w:jc w:val="center"/>
        <w:rPr>
          <w:rFonts w:eastAsia="Times New Roman"/>
          <w:noProof/>
          <w:sz w:val="20"/>
          <w:szCs w:val="20"/>
        </w:rPr>
      </w:pPr>
      <w:bookmarkStart w:id="199" w:name="_Ref156975057"/>
      <w:bookmarkStart w:id="200" w:name="_Toc159212012"/>
      <w:bookmarkStart w:id="201" w:name="_Toc490755348"/>
      <w:r>
        <w:rPr>
          <w:noProof/>
          <w:sz w:val="20"/>
        </w:rPr>
        <w:t>Таблица 8: Срокове за разрешаване</w:t>
      </w:r>
      <w:bookmarkEnd w:id="199"/>
      <w:bookmarkEnd w:id="200"/>
      <w:bookmarkEnd w:id="201"/>
    </w:p>
    <w:tbl>
      <w:tblPr>
        <w:tblStyle w:val="TableGrid"/>
        <w:tblW w:w="8221" w:type="dxa"/>
        <w:tblInd w:w="959" w:type="dxa"/>
        <w:tblLook w:val="04A0" w:firstRow="1" w:lastRow="0" w:firstColumn="1" w:lastColumn="0" w:noHBand="0" w:noVBand="1"/>
      </w:tblPr>
      <w:tblGrid>
        <w:gridCol w:w="2693"/>
        <w:gridCol w:w="5528"/>
      </w:tblGrid>
      <w:tr>
        <w:tc>
          <w:tcPr>
            <w:tcW w:w="2693" w:type="dxa"/>
            <w:shd w:val="clear" w:color="auto" w:fill="BFBFBF" w:themeFill="background1" w:themeFillShade="BF"/>
          </w:tcPr>
          <w:p>
            <w:pPr>
              <w:pStyle w:val="Text1"/>
              <w:ind w:left="0"/>
              <w:jc w:val="center"/>
              <w:rPr>
                <w:b/>
                <w:noProof/>
              </w:rPr>
            </w:pPr>
            <w:r>
              <w:rPr>
                <w:b/>
                <w:noProof/>
              </w:rPr>
              <w:t>ПРИОРИТЕТ</w:t>
            </w:r>
          </w:p>
        </w:tc>
        <w:tc>
          <w:tcPr>
            <w:tcW w:w="5528" w:type="dxa"/>
            <w:shd w:val="clear" w:color="auto" w:fill="BFBFBF" w:themeFill="background1" w:themeFillShade="BF"/>
          </w:tcPr>
          <w:p>
            <w:pPr>
              <w:pStyle w:val="Text1"/>
              <w:ind w:left="0"/>
              <w:jc w:val="center"/>
              <w:rPr>
                <w:b/>
                <w:noProof/>
                <w:szCs w:val="24"/>
              </w:rPr>
            </w:pPr>
            <w:r>
              <w:rPr>
                <w:b/>
                <w:noProof/>
                <w:color w:val="000000"/>
              </w:rPr>
              <w:t>ОГРАНИЧЕНИЕ</w:t>
            </w:r>
          </w:p>
        </w:tc>
      </w:tr>
      <w:tr>
        <w:tc>
          <w:tcPr>
            <w:tcW w:w="2693" w:type="dxa"/>
            <w:shd w:val="clear" w:color="auto" w:fill="D9D9D9" w:themeFill="background1" w:themeFillShade="D9"/>
          </w:tcPr>
          <w:p>
            <w:pPr>
              <w:pStyle w:val="Text1"/>
              <w:ind w:left="0"/>
              <w:jc w:val="center"/>
              <w:rPr>
                <w:b/>
                <w:noProof/>
              </w:rPr>
            </w:pPr>
            <w:r>
              <w:rPr>
                <w:b/>
                <w:noProof/>
              </w:rPr>
              <w:t>КРИТИЧЕН</w:t>
            </w:r>
          </w:p>
        </w:tc>
        <w:tc>
          <w:tcPr>
            <w:tcW w:w="5528" w:type="dxa"/>
          </w:tcPr>
          <w:p>
            <w:pPr>
              <w:pStyle w:val="Text1"/>
              <w:ind w:left="0"/>
              <w:rPr>
                <w:rFonts w:eastAsia="Calibri"/>
                <w:noProof/>
                <w:color w:val="000000"/>
                <w:szCs w:val="24"/>
              </w:rPr>
            </w:pPr>
            <w:r>
              <w:rPr>
                <w:noProof/>
              </w:rPr>
              <w:t>&gt;= 95.00 % от инцидентите с КРИТИЧЕН приоритет трябва да се разрешават в договорения срок за разрешаване (5 работни часа).</w:t>
            </w:r>
          </w:p>
        </w:tc>
      </w:tr>
      <w:tr>
        <w:tc>
          <w:tcPr>
            <w:tcW w:w="2693" w:type="dxa"/>
            <w:shd w:val="clear" w:color="auto" w:fill="D9D9D9" w:themeFill="background1" w:themeFillShade="D9"/>
          </w:tcPr>
          <w:p>
            <w:pPr>
              <w:pStyle w:val="Text1"/>
              <w:ind w:left="0"/>
              <w:jc w:val="center"/>
              <w:rPr>
                <w:b/>
                <w:noProof/>
              </w:rPr>
            </w:pPr>
            <w:r>
              <w:rPr>
                <w:b/>
                <w:noProof/>
              </w:rPr>
              <w:t>ВИСОК</w:t>
            </w:r>
          </w:p>
        </w:tc>
        <w:tc>
          <w:tcPr>
            <w:tcW w:w="5528" w:type="dxa"/>
          </w:tcPr>
          <w:p>
            <w:pPr>
              <w:pStyle w:val="Text1"/>
              <w:ind w:left="0"/>
              <w:rPr>
                <w:rFonts w:eastAsia="Calibri"/>
                <w:noProof/>
                <w:color w:val="000000"/>
                <w:szCs w:val="24"/>
              </w:rPr>
            </w:pPr>
            <w:r>
              <w:rPr>
                <w:noProof/>
              </w:rPr>
              <w:t>&gt;= 95.00 % от инцидентите с ВИСОК приоритет трябва да се разрешават в договорения срок за разрешаване (13 работни часа).</w:t>
            </w:r>
          </w:p>
        </w:tc>
      </w:tr>
      <w:tr>
        <w:tc>
          <w:tcPr>
            <w:tcW w:w="2693" w:type="dxa"/>
            <w:shd w:val="clear" w:color="auto" w:fill="D9D9D9" w:themeFill="background1" w:themeFillShade="D9"/>
          </w:tcPr>
          <w:p>
            <w:pPr>
              <w:pStyle w:val="Text1"/>
              <w:ind w:left="0"/>
              <w:jc w:val="center"/>
              <w:rPr>
                <w:b/>
                <w:noProof/>
              </w:rPr>
            </w:pPr>
            <w:r>
              <w:rPr>
                <w:b/>
                <w:noProof/>
              </w:rPr>
              <w:t>СРЕДЕН</w:t>
            </w:r>
          </w:p>
        </w:tc>
        <w:tc>
          <w:tcPr>
            <w:tcW w:w="5528" w:type="dxa"/>
          </w:tcPr>
          <w:p>
            <w:pPr>
              <w:pStyle w:val="Text1"/>
              <w:ind w:left="0"/>
              <w:rPr>
                <w:rFonts w:eastAsia="Calibri"/>
                <w:noProof/>
                <w:color w:val="000000"/>
                <w:szCs w:val="24"/>
              </w:rPr>
            </w:pPr>
            <w:r>
              <w:rPr>
                <w:noProof/>
              </w:rPr>
              <w:t>&gt;= 95.00 % от инцидентите със СРЕДЕН приоритет трябва да се разрешават в договорения срок за разрешаване (39 работни часа).</w:t>
            </w:r>
          </w:p>
        </w:tc>
      </w:tr>
    </w:tbl>
    <w:p>
      <w:pPr>
        <w:spacing w:before="60"/>
        <w:jc w:val="center"/>
        <w:rPr>
          <w:rFonts w:eastAsia="Times New Roman"/>
          <w:noProof/>
          <w:sz w:val="20"/>
          <w:szCs w:val="20"/>
        </w:rPr>
      </w:pPr>
      <w:bookmarkStart w:id="202" w:name="_Toc490755349"/>
      <w:r>
        <w:rPr>
          <w:noProof/>
          <w:sz w:val="20"/>
        </w:rPr>
        <w:t>Таблица 9: Ограничение на сроковете за разрешаване на инциденти</w:t>
      </w:r>
      <w:bookmarkEnd w:id="202"/>
    </w:p>
    <w:p>
      <w:pPr>
        <w:pStyle w:val="ManualHeading1"/>
        <w:rPr>
          <w:noProof/>
        </w:rPr>
      </w:pPr>
      <w:r>
        <w:rPr>
          <w:noProof/>
        </w:rPr>
        <w:t>6.</w:t>
      </w:r>
      <w:r>
        <w:rPr>
          <w:noProof/>
        </w:rPr>
        <w:tab/>
      </w:r>
      <w:r>
        <w:rPr>
          <w:noProof/>
          <w:u w:val="single"/>
        </w:rPr>
        <w:t>ОДОБРЕНИЕ НА СНУ</w:t>
      </w:r>
    </w:p>
    <w:p>
      <w:pPr>
        <w:pStyle w:val="Text1"/>
        <w:rPr>
          <w:noProof/>
        </w:rPr>
      </w:pPr>
      <w:r>
        <w:rPr>
          <w:noProof/>
        </w:rPr>
        <w:t>За да бъде приложимо, споразумението за нивото на услугите трябва да се одобри от Съвместния комитет.</w:t>
      </w:r>
    </w:p>
    <w:p>
      <w:pPr>
        <w:pStyle w:val="ManualHeading1"/>
        <w:rPr>
          <w:noProof/>
        </w:rPr>
      </w:pPr>
      <w:r>
        <w:rPr>
          <w:noProof/>
        </w:rPr>
        <w:t>7.</w:t>
      </w:r>
      <w:r>
        <w:rPr>
          <w:noProof/>
        </w:rPr>
        <w:tab/>
      </w:r>
      <w:r>
        <w:rPr>
          <w:noProof/>
          <w:u w:val="single"/>
        </w:rPr>
        <w:t>ПРОМЕНИ В СНУ</w:t>
      </w:r>
    </w:p>
    <w:p>
      <w:pPr>
        <w:pStyle w:val="Text1"/>
        <w:rPr>
          <w:noProof/>
        </w:rPr>
      </w:pPr>
      <w:r>
        <w:rPr>
          <w:noProof/>
        </w:rPr>
        <w:t xml:space="preserve">СНУ за CCN/CSI се преразглежда по писмено искане, отправено от Комисията или Норвегия до Съвместния комитет. </w:t>
      </w:r>
    </w:p>
    <w:p>
      <w:pPr>
        <w:pStyle w:val="Text1"/>
        <w:rPr>
          <w:noProof/>
        </w:rPr>
      </w:pPr>
      <w:r>
        <w:rPr>
          <w:noProof/>
        </w:rPr>
        <w:t>Докато Съвместният комитет не вземе решение относно предложените изменения, остават в сила разпоредбите на последното действащо СНУ за CCN/CSI.  Съвместният комитет изпълнява функциите на орган, вземащ решенията по отношение на актуалното СНУ за CCN/CSI.</w:t>
      </w:r>
    </w:p>
    <w:p>
      <w:pPr>
        <w:pStyle w:val="ManualHeading1"/>
        <w:rPr>
          <w:noProof/>
        </w:rPr>
      </w:pPr>
      <w:r>
        <w:rPr>
          <w:noProof/>
        </w:rPr>
        <w:t>8.</w:t>
      </w:r>
      <w:r>
        <w:rPr>
          <w:noProof/>
        </w:rPr>
        <w:tab/>
      </w:r>
      <w:r>
        <w:rPr>
          <w:noProof/>
          <w:u w:val="single"/>
        </w:rPr>
        <w:t>ЗВЕНО ЗА ВРЪЗКА</w:t>
      </w:r>
    </w:p>
    <w:p>
      <w:pPr>
        <w:pStyle w:val="Text1"/>
        <w:rPr>
          <w:noProof/>
        </w:rPr>
      </w:pPr>
      <w:r>
        <w:rPr>
          <w:noProof/>
        </w:rPr>
        <w:t>Ролята на единно звено за връзка за всички оперативни услуги се изпълнява от звеното ITSM3 Operations. Данните му за връзка са:</w:t>
      </w:r>
    </w:p>
    <w:tbl>
      <w:tblPr>
        <w:tblStyle w:val="TableGrid"/>
        <w:tblW w:w="822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1"/>
      </w:tblGrid>
      <w:tr>
        <w:tc>
          <w:tcPr>
            <w:tcW w:w="8221" w:type="dxa"/>
          </w:tcPr>
          <w:p>
            <w:pPr>
              <w:pStyle w:val="Text1"/>
              <w:spacing w:before="0"/>
              <w:ind w:left="0"/>
              <w:rPr>
                <w:noProof/>
              </w:rPr>
            </w:pPr>
            <w:r>
              <w:rPr>
                <w:noProof/>
              </w:rPr>
              <w:t>ITSM3 Operations — IBM</w:t>
            </w:r>
          </w:p>
        </w:tc>
      </w:tr>
      <w:tr>
        <w:tc>
          <w:tcPr>
            <w:tcW w:w="8221" w:type="dxa"/>
          </w:tcPr>
          <w:p>
            <w:pPr>
              <w:pStyle w:val="Text1"/>
              <w:spacing w:before="0"/>
              <w:ind w:left="0"/>
              <w:rPr>
                <w:noProof/>
              </w:rPr>
            </w:pPr>
            <w:r>
              <w:rPr>
                <w:rFonts w:eastAsia="Calibri"/>
                <w:noProof/>
              </w:rPr>
              <w:sym w:font="Wingdings" w:char="F028"/>
            </w:r>
            <w:r>
              <w:rPr>
                <w:noProof/>
              </w:rPr>
              <w:t xml:space="preserve"> Безплатен телефон: + 800 7777 4477</w:t>
            </w:r>
          </w:p>
        </w:tc>
      </w:tr>
      <w:tr>
        <w:tc>
          <w:tcPr>
            <w:tcW w:w="8221" w:type="dxa"/>
          </w:tcPr>
          <w:p>
            <w:pPr>
              <w:pStyle w:val="Text1"/>
              <w:spacing w:before="0"/>
              <w:ind w:left="0"/>
              <w:rPr>
                <w:noProof/>
              </w:rPr>
            </w:pPr>
            <w:r>
              <w:rPr>
                <w:rFonts w:eastAsia="Calibri"/>
                <w:noProof/>
              </w:rPr>
              <w:sym w:font="Wingdings" w:char="F029"/>
            </w:r>
            <w:r>
              <w:rPr>
                <w:noProof/>
              </w:rPr>
              <w:t xml:space="preserve"> Платен телефон: + 40 214 058 422</w:t>
            </w:r>
          </w:p>
        </w:tc>
      </w:tr>
      <w:tr>
        <w:tc>
          <w:tcPr>
            <w:tcW w:w="8221" w:type="dxa"/>
          </w:tcPr>
          <w:p>
            <w:pPr>
              <w:pStyle w:val="Text1"/>
              <w:spacing w:before="0"/>
              <w:ind w:left="0"/>
              <w:rPr>
                <w:noProof/>
              </w:rPr>
            </w:pPr>
            <w:r>
              <w:rPr>
                <w:rFonts w:eastAsia="Calibri"/>
                <w:noProof/>
              </w:rPr>
              <w:sym w:font="Wingdings" w:char="F02A"/>
            </w:r>
            <w:r>
              <w:rPr>
                <w:noProof/>
              </w:rPr>
              <w:t xml:space="preserve"> </w:t>
            </w:r>
            <w:hyperlink r:id="rId32">
              <w:r>
                <w:rPr>
                  <w:noProof/>
                </w:rPr>
                <w:t>support@itsmtaxud.europa.eu</w:t>
              </w:r>
            </w:hyperlink>
          </w:p>
        </w:tc>
      </w:tr>
      <w:tr>
        <w:tc>
          <w:tcPr>
            <w:tcW w:w="8221" w:type="dxa"/>
          </w:tcPr>
          <w:p>
            <w:pPr>
              <w:pStyle w:val="Text1"/>
              <w:spacing w:before="0"/>
              <w:ind w:left="0"/>
              <w:rPr>
                <w:noProof/>
              </w:rPr>
            </w:pPr>
            <w:r>
              <w:rPr>
                <w:rFonts w:eastAsia="Calibri"/>
                <w:noProof/>
              </w:rPr>
              <w:sym w:font="Webdings" w:char="F0FC"/>
            </w:r>
            <w:r>
              <w:rPr>
                <w:noProof/>
              </w:rPr>
              <w:t xml:space="preserve"> </w:t>
            </w:r>
            <w:hyperlink r:id="rId33">
              <w:r>
                <w:rPr>
                  <w:noProof/>
                </w:rPr>
                <w:t>http://portal.ccntc.ccncsi.int:8080/portal</w:t>
              </w:r>
            </w:hyperlink>
            <w:r>
              <w:rPr>
                <w:noProof/>
              </w:rPr>
              <w:tab/>
            </w:r>
            <w:r>
              <w:rPr>
                <w:noProof/>
              </w:rPr>
              <w:br/>
              <w:t>(Уебпортал на CCN — за регистрирани потребители на CCN)</w:t>
            </w:r>
          </w:p>
        </w:tc>
      </w:tr>
      <w:tr>
        <w:tc>
          <w:tcPr>
            <w:tcW w:w="8221" w:type="dxa"/>
          </w:tcPr>
          <w:p>
            <w:pPr>
              <w:pStyle w:val="Text1"/>
              <w:spacing w:before="0"/>
              <w:ind w:left="0"/>
              <w:rPr>
                <w:noProof/>
              </w:rPr>
            </w:pPr>
            <w:r>
              <w:rPr>
                <w:rFonts w:eastAsia="Calibri"/>
                <w:noProof/>
              </w:rPr>
              <w:sym w:font="Webdings" w:char="F0FC"/>
            </w:r>
            <w:r>
              <w:rPr>
                <w:noProof/>
              </w:rPr>
              <w:t xml:space="preserve"> </w:t>
            </w:r>
            <w:hyperlink r:id="rId34">
              <w:r>
                <w:rPr>
                  <w:noProof/>
                </w:rPr>
                <w:t>https://itsmtaxud.europa.eu/smt/ess.do</w:t>
              </w:r>
            </w:hyperlink>
            <w:r>
              <w:rPr>
                <w:noProof/>
              </w:rPr>
              <w:tab/>
            </w:r>
            <w:r>
              <w:rPr>
                <w:noProof/>
              </w:rPr>
              <w:br/>
            </w:r>
            <w:hyperlink r:id="rId35">
              <w:r>
                <w:rPr>
                  <w:noProof/>
                </w:rPr>
                <w:t>(Уебпортал ITSM — за искания за обслужване)</w:t>
              </w:r>
            </w:hyperlink>
          </w:p>
        </w:tc>
      </w:tr>
    </w:tbl>
    <w:p>
      <w:pPr>
        <w:spacing w:before="360" w:after="60"/>
        <w:jc w:val="left"/>
        <w:rPr>
          <w:rFonts w:eastAsia="Calibri"/>
          <w:i/>
          <w:noProof/>
          <w:szCs w:val="20"/>
        </w:rPr>
      </w:pPr>
      <w:r>
        <w:rPr>
          <w:i/>
          <w:noProof/>
        </w:rPr>
        <w:t xml:space="preserve">Дата </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ПРИТУРКА 6</w:t>
      </w:r>
    </w:p>
    <w:p>
      <w:pPr>
        <w:pStyle w:val="NormalCentered"/>
        <w:rPr>
          <w:b/>
          <w:noProof/>
        </w:rPr>
      </w:pPr>
      <w:r>
        <w:rPr>
          <w:b/>
          <w:noProof/>
        </w:rPr>
        <w:t>Проект на</w:t>
      </w:r>
      <w:r>
        <w:rPr>
          <w:b/>
          <w:noProof/>
        </w:rPr>
        <w:br/>
        <w:t>РЕШЕНИЕ № 6/[дата] на Съвместния комитет от [дата]</w:t>
      </w:r>
      <w:r>
        <w:rPr>
          <w:b/>
          <w:noProof/>
        </w:rPr>
        <w:br/>
        <w:t>за определяне на размера и условията по отношение на финансовата вноска, която Норвегия трябва да направи в общия бюджет на Съюза във връзка с разходите, възникващи поради участието ѝ в европейските информационни системи</w:t>
      </w:r>
    </w:p>
    <w:p>
      <w:pPr>
        <w:keepNext/>
        <w:spacing w:before="360"/>
        <w:rPr>
          <w:noProof/>
        </w:rPr>
      </w:pPr>
      <w:r>
        <w:rPr>
          <w:noProof/>
        </w:rPr>
        <w:t>СЪВМЕСТНИЯТ КОМИТЕТ, създаден в съответствие с член 41, параграф 1 от Споразумението между Европейския съюз и Кралство Норвегия за административното сътрудничество, борбата с измамите и събирането на вземания в областта на данъка върху добавената стойност, наричано по-долу „Споразумението“,</w:t>
      </w:r>
    </w:p>
    <w:p>
      <w:pPr>
        <w:rPr>
          <w:noProof/>
        </w:rPr>
      </w:pPr>
      <w:r>
        <w:rPr>
          <w:noProof/>
        </w:rPr>
        <w:t>като има предвид, че:</w:t>
      </w:r>
    </w:p>
    <w:p>
      <w:pPr>
        <w:pStyle w:val="Point0"/>
        <w:rPr>
          <w:noProof/>
          <w:szCs w:val="24"/>
        </w:rPr>
      </w:pPr>
      <w:r>
        <w:rPr>
          <w:noProof/>
        </w:rPr>
        <w:t>а)</w:t>
      </w:r>
      <w:r>
        <w:rPr>
          <w:noProof/>
        </w:rPr>
        <w:tab/>
        <w:t xml:space="preserve">С Регламент (ЕС) № 1286/2013 на Европейския парламент и на Съвета от 11 декември 2013 г. за създаване на програма за действие за подобряване на функционирането на системите за данъчно облагане в Европейския съюз за периода 2014—2020 г. („Фискалис 2020“) се определят правилата за разработване, експлоатация и поддръжка на европейските информационни системи. </w:t>
      </w:r>
    </w:p>
    <w:p>
      <w:pPr>
        <w:pStyle w:val="Point0"/>
        <w:rPr>
          <w:noProof/>
        </w:rPr>
      </w:pPr>
      <w:r>
        <w:rPr>
          <w:noProof/>
        </w:rPr>
        <w:t>б)</w:t>
      </w:r>
      <w:r>
        <w:rPr>
          <w:noProof/>
        </w:rPr>
        <w:tab/>
        <w:t>Общата комуникационна мрежа/общият системен интерфейс и електронните формуляри, които следва да бъдат приети съгласно член 41, параграф 2, буква г) от Споразумението, са компоненти на Съюза в европейските информационни системи, посочени в буква A от приложението към Регламент (ЕС) № 1286/2013.</w:t>
      </w:r>
    </w:p>
    <w:p>
      <w:pPr>
        <w:pStyle w:val="Point0"/>
        <w:rPr>
          <w:noProof/>
          <w:szCs w:val="24"/>
        </w:rPr>
      </w:pPr>
      <w:r>
        <w:rPr>
          <w:noProof/>
        </w:rPr>
        <w:t>в)</w:t>
      </w:r>
      <w:r>
        <w:rPr>
          <w:noProof/>
        </w:rPr>
        <w:tab/>
        <w:t>Съгласно член 9, параграф 3 от Регламент (ЕС) № 1286/2013 използването на компонентите на Съюза в европейските информационни системи от неучастващи държави е предмет на споразумения с тези държави, които се сключват в съответствие с член 218 от Договора за функционирането на Европейския съюз.</w:t>
      </w:r>
    </w:p>
    <w:p>
      <w:pPr>
        <w:pStyle w:val="Point0"/>
        <w:rPr>
          <w:noProof/>
          <w:szCs w:val="24"/>
        </w:rPr>
      </w:pPr>
      <w:r>
        <w:rPr>
          <w:noProof/>
        </w:rPr>
        <w:t>г)</w:t>
      </w:r>
      <w:r>
        <w:rPr>
          <w:noProof/>
        </w:rPr>
        <w:tab/>
        <w:t>Необходимо е да се приемат практическите ред и условия за изпълнението на член 41, параграф 2, буква е) от Споразумението,</w:t>
      </w:r>
    </w:p>
    <w:p>
      <w:pPr>
        <w:pStyle w:val="Formuledadoption"/>
        <w:rPr>
          <w:noProof/>
        </w:rPr>
      </w:pPr>
      <w:r>
        <w:rPr>
          <w:noProof/>
        </w:rPr>
        <w:t>ПРИЕ НАСТОЯЩОТО РЕШЕНИЕ:</w:t>
      </w:r>
    </w:p>
    <w:p>
      <w:pPr>
        <w:pStyle w:val="Titrearticle"/>
        <w:rPr>
          <w:noProof/>
        </w:rPr>
      </w:pPr>
      <w:r>
        <w:rPr>
          <w:noProof/>
        </w:rPr>
        <w:t>Член 1</w:t>
      </w:r>
    </w:p>
    <w:p>
      <w:pPr>
        <w:pStyle w:val="Titrearticle"/>
        <w:rPr>
          <w:b/>
          <w:i w:val="0"/>
          <w:noProof/>
        </w:rPr>
      </w:pPr>
      <w:r>
        <w:rPr>
          <w:b/>
          <w:i w:val="0"/>
          <w:noProof/>
        </w:rPr>
        <w:t xml:space="preserve">Разходи за инсталация </w:t>
      </w:r>
    </w:p>
    <w:p>
      <w:pPr>
        <w:spacing w:before="0" w:after="0"/>
        <w:rPr>
          <w:noProof/>
        </w:rPr>
      </w:pPr>
      <w:r>
        <w:rPr>
          <w:noProof/>
        </w:rPr>
        <w:t>Първоначалните разходи, които трябва да се заплатят от Кралство Норвегия за осигуряването на достъпа до виртуалната частна мрежа, възлизат на 20 000 EUR.</w:t>
      </w:r>
    </w:p>
    <w:p>
      <w:pPr>
        <w:spacing w:before="0" w:after="0"/>
        <w:rPr>
          <w:noProof/>
        </w:rPr>
      </w:pPr>
      <w:r>
        <w:rPr>
          <w:noProof/>
        </w:rPr>
        <w:t>Сумата се заплаща в срок до 60 дни след приемането на настоящото решение.</w:t>
      </w:r>
    </w:p>
    <w:p>
      <w:pPr>
        <w:pStyle w:val="Titrearticle"/>
        <w:rPr>
          <w:noProof/>
        </w:rPr>
      </w:pPr>
      <w:r>
        <w:rPr>
          <w:noProof/>
        </w:rPr>
        <w:t>Член 2</w:t>
      </w:r>
    </w:p>
    <w:p>
      <w:pPr>
        <w:pStyle w:val="Titrearticle"/>
        <w:rPr>
          <w:b/>
          <w:i w:val="0"/>
          <w:noProof/>
        </w:rPr>
      </w:pPr>
      <w:r>
        <w:rPr>
          <w:b/>
          <w:i w:val="0"/>
          <w:noProof/>
        </w:rPr>
        <w:t>Годишна финансова вноска</w:t>
      </w:r>
    </w:p>
    <w:p>
      <w:pPr>
        <w:rPr>
          <w:noProof/>
        </w:rPr>
      </w:pPr>
      <w:r>
        <w:rPr>
          <w:noProof/>
        </w:rPr>
        <w:t>Годишната финансова вноска на Кралство Норвегия в общия бюджет на Съюза възлиза на 20 000 EUR. Сумата се заплаща в срок до 1 септември всяка година.</w:t>
      </w:r>
    </w:p>
    <w:p>
      <w:pPr>
        <w:rPr>
          <w:noProof/>
        </w:rPr>
      </w:pPr>
      <w:r>
        <w:rPr>
          <w:noProof/>
        </w:rPr>
        <w:t xml:space="preserve">С вноската се покриват разходите, свързани с разработването, поддръжката и обновяването на информационно-технологични решения (обща комуникационна мрежа/общ системен интерфейс, електронни формуляри). </w:t>
      </w:r>
    </w:p>
    <w:p>
      <w:pPr>
        <w:pStyle w:val="Titrearticle"/>
        <w:rPr>
          <w:noProof/>
        </w:rPr>
      </w:pPr>
      <w:r>
        <w:rPr>
          <w:noProof/>
        </w:rPr>
        <w:t>Член 3</w:t>
      </w:r>
    </w:p>
    <w:p>
      <w:pPr>
        <w:pStyle w:val="Titrearticle"/>
        <w:rPr>
          <w:b/>
          <w:i w:val="0"/>
          <w:noProof/>
        </w:rPr>
      </w:pPr>
      <w:r>
        <w:rPr>
          <w:b/>
          <w:i w:val="0"/>
          <w:noProof/>
        </w:rPr>
        <w:t xml:space="preserve">Начин на плащане </w:t>
      </w:r>
    </w:p>
    <w:p>
      <w:pPr>
        <w:rPr>
          <w:noProof/>
        </w:rPr>
      </w:pPr>
      <w:r>
        <w:rPr>
          <w:noProof/>
        </w:rPr>
        <w:t>Вноските по членове 1 и  2 се заплащат в евро по банковата сметка в евро на Комисията, която ще бъде посочена в дебитното известие.</w:t>
      </w:r>
    </w:p>
    <w:p>
      <w:pPr>
        <w:pStyle w:val="Date"/>
        <w:rPr>
          <w:noProof/>
        </w:rPr>
      </w:pPr>
      <w:r>
        <w:rPr>
          <w:i/>
          <w:noProof/>
        </w:rPr>
        <w:t>Дата</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Регламент (ЕС) № 904/2010 на Съвета от 7 октомври 2010 г. относно административното сътрудничество и борбата с измамите в областта на данъка върху добавената стойност (ОВ L 268, 12.10.2010 г., стр. 1).</w:t>
      </w:r>
    </w:p>
  </w:footnote>
  <w:footnote w:id="2">
    <w:p>
      <w:pPr>
        <w:pStyle w:val="FootnoteText"/>
      </w:pPr>
      <w:r>
        <w:rPr>
          <w:rStyle w:val="FootnoteReference"/>
        </w:rPr>
        <w:footnoteRef/>
      </w:r>
      <w:r>
        <w:tab/>
        <w:t>Директива 2010/24/ЕС на Съвета от 16 март 2010 г. относно взаимната помощ при събиране на вземания, свързани с данъци, такси и други мерки (ОВ L 84, 31.3.2010 г., стр. 1).</w:t>
      </w:r>
    </w:p>
  </w:footnote>
  <w:footnote w:id="3">
    <w:p>
      <w:pPr>
        <w:pStyle w:val="FootnoteText"/>
        <w:rPr>
          <w:sz w:val="16"/>
          <w:szCs w:val="16"/>
        </w:rPr>
      </w:pPr>
      <w:r>
        <w:rPr>
          <w:rStyle w:val="FootnoteReference"/>
        </w:rPr>
        <w:footnoteRef/>
      </w:r>
      <w:r>
        <w:tab/>
      </w:r>
      <w:r>
        <w:rPr>
          <w:b/>
          <w:sz w:val="16"/>
        </w:rPr>
        <w:t>ITIL</w:t>
      </w:r>
      <w:r>
        <w:rPr>
          <w:sz w:val="16"/>
        </w:rPr>
        <w:t>:</w:t>
      </w:r>
    </w:p>
    <w:p>
      <w:pPr>
        <w:pStyle w:val="FootnoteText"/>
        <w:numPr>
          <w:ilvl w:val="0"/>
          <w:numId w:val="8"/>
        </w:numPr>
        <w:spacing w:before="60"/>
        <w:rPr>
          <w:sz w:val="16"/>
          <w:szCs w:val="16"/>
        </w:rPr>
      </w:pPr>
      <w:hyperlink r:id="rId1">
        <w:r>
          <w:rPr>
            <w:rStyle w:val="Hyperlink"/>
          </w:rPr>
          <w:t>http://www.itil-officialsite.com</w:t>
        </w:r>
      </w:hyperlink>
    </w:p>
    <w:p>
      <w:pPr>
        <w:pStyle w:val="FootnoteText"/>
        <w:numPr>
          <w:ilvl w:val="0"/>
          <w:numId w:val="8"/>
        </w:numPr>
        <w:spacing w:before="60"/>
      </w:pPr>
      <w:hyperlink r:id="rId2">
        <w:r>
          <w:rPr>
            <w:rStyle w:val="Hyperlink"/>
          </w:rPr>
          <w:t>http://www.best-management-practice.com/gempdf/itSMF_An_Introductory_Overview_of_ITIL_V3.pdf</w:t>
        </w:r>
      </w:hyperlink>
    </w:p>
  </w:footnote>
  <w:footnote w:id="4">
    <w:p>
      <w:pPr>
        <w:pStyle w:val="FootnoteText"/>
        <w:rPr>
          <w:sz w:val="18"/>
        </w:rPr>
      </w:pPr>
      <w:r>
        <w:rPr>
          <w:rStyle w:val="FootnoteReference"/>
        </w:rPr>
        <w:footnoteRef/>
      </w:r>
      <w:r>
        <w:tab/>
      </w:r>
      <w:r>
        <w:rPr>
          <w:sz w:val="18"/>
        </w:rPr>
        <w:t>Свързан с процесите на управление на проблемите и промените на ITIL.</w:t>
      </w:r>
    </w:p>
  </w:footnote>
  <w:footnote w:id="5">
    <w:p>
      <w:pPr>
        <w:pStyle w:val="FootnoteText"/>
        <w:jc w:val="left"/>
        <w:rPr>
          <w:sz w:val="18"/>
        </w:rPr>
      </w:pPr>
      <w:r>
        <w:rPr>
          <w:rStyle w:val="FootnoteReference"/>
        </w:rPr>
        <w:footnoteRef/>
      </w:r>
      <w:r>
        <w:tab/>
      </w:r>
      <w:r>
        <w:rPr>
          <w:sz w:val="18"/>
        </w:rPr>
        <w:t>Това са версиите на документите, налични към момента на изготвяне на настоящото СНУ. Насърчаваме читателите да проверяват за следващи актуализации на портала на CCN/CSI (</w:t>
      </w:r>
      <w:hyperlink r:id="rId3">
        <w:r>
          <w:rPr>
            <w:rStyle w:val="Hyperlink"/>
            <w:sz w:val="18"/>
          </w:rPr>
          <w:t>http://portal.ccntc.ccncsi.int:8080/portal/DesktopDefault.aspx?tabid=1</w:t>
        </w:r>
      </w:hyperlink>
      <w:r>
        <w:rPr>
          <w:sz w:val="18"/>
        </w:rPr>
        <w:t>).</w:t>
      </w:r>
    </w:p>
  </w:footnote>
  <w:footnote w:id="6">
    <w:p>
      <w:pPr>
        <w:pStyle w:val="FootnoteText"/>
        <w:rPr>
          <w:sz w:val="18"/>
        </w:rPr>
      </w:pPr>
      <w:r>
        <w:rPr>
          <w:rStyle w:val="FootnoteReference"/>
        </w:rPr>
        <w:footnoteRef/>
      </w:r>
      <w:r>
        <w:tab/>
      </w:r>
      <w:r>
        <w:rPr>
          <w:sz w:val="18"/>
        </w:rPr>
        <w:t>Препоръчва се прилагане на описаните в ITIL принципи на управление на инциденти.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5C2EECE"/>
    <w:lvl w:ilvl="0">
      <w:start w:val="1"/>
      <w:numFmt w:val="decimal"/>
      <w:pStyle w:val="ListNumber3"/>
      <w:lvlText w:val="%1."/>
      <w:lvlJc w:val="left"/>
      <w:pPr>
        <w:tabs>
          <w:tab w:val="num" w:pos="926"/>
        </w:tabs>
        <w:ind w:left="926" w:hanging="360"/>
      </w:pPr>
    </w:lvl>
  </w:abstractNum>
  <w:abstractNum w:abstractNumId="1">
    <w:nsid w:val="FFFFFF81"/>
    <w:multiLevelType w:val="singleLevel"/>
    <w:tmpl w:val="D4684488"/>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CFE4E2EA"/>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DE4EF154"/>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1110E3A6"/>
    <w:lvl w:ilvl="0">
      <w:start w:val="1"/>
      <w:numFmt w:val="decimal"/>
      <w:pStyle w:val="ListNumber"/>
      <w:lvlText w:val="%1."/>
      <w:lvlJc w:val="left"/>
      <w:pPr>
        <w:tabs>
          <w:tab w:val="num" w:pos="360"/>
        </w:tabs>
        <w:ind w:left="360" w:hanging="360"/>
      </w:pPr>
    </w:lvl>
  </w:abstractNum>
  <w:abstractNum w:abstractNumId="5">
    <w:nsid w:val="FFFFFF89"/>
    <w:multiLevelType w:val="singleLevel"/>
    <w:tmpl w:val="FCF2569E"/>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pStyle w:val="AppendixHeading1"/>
      <w:lvlText w:val="*"/>
      <w:lvlJc w:val="left"/>
      <w:rPr>
        <w:rFonts w:cs="Times New Roman"/>
      </w:rPr>
    </w:lvl>
  </w:abstractNum>
  <w:abstractNum w:abstractNumId="7">
    <w:nsid w:val="060F2DD4"/>
    <w:multiLevelType w:val="hybridMultilevel"/>
    <w:tmpl w:val="C1A426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302AB5"/>
    <w:multiLevelType w:val="hybridMultilevel"/>
    <w:tmpl w:val="3CC6F8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BA77B6B"/>
    <w:multiLevelType w:val="hybridMultilevel"/>
    <w:tmpl w:val="0150C4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F22CE3"/>
    <w:multiLevelType w:val="hybridMultilevel"/>
    <w:tmpl w:val="774647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1200DD"/>
    <w:multiLevelType w:val="hybridMultilevel"/>
    <w:tmpl w:val="B6124C82"/>
    <w:lvl w:ilvl="0" w:tplc="37D2FCB6">
      <w:start w:val="1"/>
      <w:numFmt w:val="decimal"/>
      <w:lvlText w:val="[RD.%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23E24B7"/>
    <w:multiLevelType w:val="hybridMultilevel"/>
    <w:tmpl w:val="0C2435EA"/>
    <w:lvl w:ilvl="0" w:tplc="B2FCED5C">
      <w:start w:val="1"/>
      <w:numFmt w:val="decimal"/>
      <w:lvlText w:val="[AD.%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2D71031"/>
    <w:multiLevelType w:val="multilevel"/>
    <w:tmpl w:val="31226798"/>
    <w:lvl w:ilvl="0">
      <w:start w:val="1"/>
      <w:numFmt w:val="decimal"/>
      <w:pStyle w:val="annex1"/>
      <w:lvlText w:val="A.%1"/>
      <w:lvlJc w:val="left"/>
      <w:pPr>
        <w:tabs>
          <w:tab w:val="num" w:pos="432"/>
        </w:tabs>
        <w:ind w:left="432" w:hanging="432"/>
      </w:pPr>
      <w:rPr>
        <w:rFonts w:hint="default"/>
      </w:rPr>
    </w:lvl>
    <w:lvl w:ilvl="1">
      <w:start w:val="1"/>
      <w:numFmt w:val="decimal"/>
      <w:pStyle w:val="annex2"/>
      <w:lvlText w:val="A.%1.%2"/>
      <w:lvlJc w:val="left"/>
      <w:pPr>
        <w:tabs>
          <w:tab w:val="num" w:pos="576"/>
        </w:tabs>
        <w:ind w:left="576" w:hanging="576"/>
      </w:pPr>
      <w:rPr>
        <w:rFonts w:hint="default"/>
      </w:rPr>
    </w:lvl>
    <w:lvl w:ilvl="2">
      <w:start w:val="1"/>
      <w:numFmt w:val="decimal"/>
      <w:lvlText w:val="A.%1.%2.%3"/>
      <w:lvlJc w:val="left"/>
      <w:pPr>
        <w:tabs>
          <w:tab w:val="num" w:pos="1080"/>
        </w:tabs>
        <w:ind w:left="720" w:hanging="720"/>
      </w:pPr>
      <w:rPr>
        <w:rFonts w:hint="default"/>
      </w:rPr>
    </w:lvl>
    <w:lvl w:ilvl="3">
      <w:start w:val="1"/>
      <w:numFmt w:val="decimal"/>
      <w:lvlText w:val="A.%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CCC3146"/>
    <w:multiLevelType w:val="multilevel"/>
    <w:tmpl w:val="27185194"/>
    <w:lvl w:ilvl="0">
      <w:start w:val="1"/>
      <w:numFmt w:val="decimal"/>
      <w:pStyle w:val="BodyTextIndent"/>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717"/>
        </w:tabs>
        <w:ind w:left="1717"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nsid w:val="44CD3C66"/>
    <w:multiLevelType w:val="singleLevel"/>
    <w:tmpl w:val="86DC3E04"/>
    <w:lvl w:ilvl="0">
      <w:start w:val="1"/>
      <w:numFmt w:val="bullet"/>
      <w:pStyle w:val="List2bullet"/>
      <w:lvlText w:val=""/>
      <w:lvlJc w:val="left"/>
      <w:pPr>
        <w:tabs>
          <w:tab w:val="num" w:pos="360"/>
        </w:tabs>
        <w:ind w:left="360" w:hanging="360"/>
      </w:pPr>
      <w:rPr>
        <w:rFonts w:ascii="Symbol" w:hAnsi="Symbol" w:hint="default"/>
      </w:rPr>
    </w:lvl>
  </w:abstractNum>
  <w:abstractNum w:abstractNumId="2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4D433F64"/>
    <w:multiLevelType w:val="multilevel"/>
    <w:tmpl w:val="5746A71E"/>
    <w:lvl w:ilvl="0">
      <w:start w:val="1"/>
      <w:numFmt w:val="upperLetter"/>
      <w:pStyle w:val="Happ1"/>
      <w:lvlText w:val="%1"/>
      <w:lvlJc w:val="left"/>
      <w:pPr>
        <w:tabs>
          <w:tab w:val="num" w:pos="851"/>
        </w:tabs>
        <w:ind w:left="851" w:hanging="851"/>
      </w:pPr>
      <w:rPr>
        <w:rFonts w:cs="Times New Roman"/>
      </w:rPr>
    </w:lvl>
    <w:lvl w:ilvl="1">
      <w:start w:val="1"/>
      <w:numFmt w:val="decimal"/>
      <w:lvlText w:val="%1.%2"/>
      <w:lvlJc w:val="left"/>
      <w:pPr>
        <w:tabs>
          <w:tab w:val="num" w:pos="1440"/>
        </w:tabs>
        <w:ind w:left="1440" w:hanging="1440"/>
      </w:pPr>
      <w:rPr>
        <w:rFonts w:cs="Times New Roman"/>
      </w:rPr>
    </w:lvl>
    <w:lvl w:ilvl="2">
      <w:start w:val="1"/>
      <w:numFmt w:val="decimal"/>
      <w:lvlText w:val="%1.%2.%3"/>
      <w:lvlJc w:val="left"/>
      <w:pPr>
        <w:tabs>
          <w:tab w:val="num" w:pos="1440"/>
        </w:tabs>
        <w:ind w:left="1440" w:hanging="144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5"/>
      <w:lvlJc w:val="left"/>
      <w:pPr>
        <w:tabs>
          <w:tab w:val="num" w:pos="720"/>
        </w:tabs>
        <w:ind w:left="720" w:hanging="720"/>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9A976DA"/>
    <w:multiLevelType w:val="hybridMultilevel"/>
    <w:tmpl w:val="AF002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1169B3"/>
    <w:multiLevelType w:val="multilevel"/>
    <w:tmpl w:val="9ABA77FC"/>
    <w:lvl w:ilvl="0">
      <w:start w:val="1"/>
      <w:numFmt w:val="decimal"/>
      <w:lvlText w:val="ANNEX – %1"/>
      <w:lvlJc w:val="left"/>
      <w:pPr>
        <w:tabs>
          <w:tab w:val="num" w:pos="1440"/>
        </w:tabs>
        <w:ind w:left="432" w:hanging="432"/>
      </w:pPr>
      <w:rPr>
        <w:rFonts w:cs="Times New Roman"/>
      </w:rPr>
    </w:lvl>
    <w:lvl w:ilvl="1">
      <w:start w:val="1"/>
      <w:numFmt w:val="decimal"/>
      <w:pStyle w:val="AnnexHeading2"/>
      <w:suff w:val="space"/>
      <w:lvlText w:val="A.%2"/>
      <w:lvlJc w:val="left"/>
      <w:pPr>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DF35871"/>
    <w:multiLevelType w:val="hybridMultilevel"/>
    <w:tmpl w:val="80FCBD30"/>
    <w:lvl w:ilvl="0" w:tplc="04090005">
      <w:start w:val="1"/>
      <w:numFmt w:val="bullet"/>
      <w:lvlText w:val=""/>
      <w:lvlJc w:val="left"/>
      <w:pPr>
        <w:ind w:left="720" w:hanging="360"/>
      </w:pPr>
      <w:rPr>
        <w:rFonts w:ascii="Wingdings" w:hAnsi="Wingdings" w:hint="default"/>
      </w:rPr>
    </w:lvl>
    <w:lvl w:ilvl="1" w:tplc="78525EC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6A6FD8"/>
    <w:multiLevelType w:val="hybridMultilevel"/>
    <w:tmpl w:val="F49C8A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41365C"/>
    <w:multiLevelType w:val="hybridMultilevel"/>
    <w:tmpl w:val="51743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12"/>
  </w:num>
  <w:num w:numId="8">
    <w:abstractNumId w:val="25"/>
  </w:num>
  <w:num w:numId="9">
    <w:abstractNumId w:val="6"/>
    <w:lvlOverride w:ilvl="0">
      <w:lvl w:ilvl="0">
        <w:start w:val="1"/>
        <w:numFmt w:val="bullet"/>
        <w:pStyle w:val="AppendixHeading1"/>
        <w:lvlText w:val=""/>
        <w:legacy w:legacy="1" w:legacySpace="0" w:legacyIndent="283"/>
        <w:lvlJc w:val="left"/>
        <w:pPr>
          <w:ind w:left="283" w:hanging="283"/>
        </w:pPr>
        <w:rPr>
          <w:rFonts w:ascii="Symbol" w:hAnsi="Symbol" w:hint="default"/>
        </w:rPr>
      </w:lvl>
    </w:lvlOverride>
  </w:num>
  <w:num w:numId="10">
    <w:abstractNumId w:val="18"/>
  </w:num>
  <w:num w:numId="11">
    <w:abstractNumId w:val="23"/>
  </w:num>
  <w:num w:numId="12">
    <w:abstractNumId w:val="26"/>
  </w:num>
  <w:num w:numId="13">
    <w:abstractNumId w:val="21"/>
  </w:num>
  <w:num w:numId="14">
    <w:abstractNumId w:val="34"/>
  </w:num>
  <w:num w:numId="15">
    <w:abstractNumId w:val="33"/>
  </w:num>
  <w:num w:numId="16">
    <w:abstractNumId w:val="10"/>
  </w:num>
  <w:num w:numId="17">
    <w:abstractNumId w:val="8"/>
  </w:num>
  <w:num w:numId="18">
    <w:abstractNumId w:val="32"/>
  </w:num>
  <w:num w:numId="19">
    <w:abstractNumId w:val="17"/>
  </w:num>
  <w:num w:numId="20">
    <w:abstractNumId w:val="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num>
  <w:num w:numId="29">
    <w:abstractNumId w:val="31"/>
    <w:lvlOverride w:ilvl="0">
      <w:startOverride w:val="1"/>
    </w:lvlOverride>
  </w:num>
  <w:num w:numId="30">
    <w:abstractNumId w:val="31"/>
    <w:lvlOverride w:ilvl="0">
      <w:startOverride w:val="1"/>
    </w:lvlOverride>
  </w:num>
  <w:num w:numId="31">
    <w:abstractNumId w:val="16"/>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9"/>
  </w:num>
  <w:num w:numId="37">
    <w:abstractNumId w:val="19"/>
  </w:num>
  <w:num w:numId="38">
    <w:abstractNumId w:val="31"/>
  </w:num>
  <w:num w:numId="39">
    <w:abstractNumId w:val="15"/>
  </w:num>
  <w:num w:numId="40">
    <w:abstractNumId w:val="20"/>
  </w:num>
  <w:num w:numId="41">
    <w:abstractNumId w:val="13"/>
  </w:num>
  <w:num w:numId="42">
    <w:abstractNumId w:val="30"/>
  </w:num>
  <w:num w:numId="43">
    <w:abstractNumId w:val="9"/>
  </w:num>
  <w:num w:numId="44">
    <w:abstractNumId w:val="22"/>
  </w:num>
  <w:num w:numId="45">
    <w:abstractNumId w:val="27"/>
  </w:num>
  <w:num w:numId="46">
    <w:abstractNumId w:val="28"/>
  </w:num>
  <w:num w:numId="47">
    <w:abstractNumId w:val="14"/>
  </w:num>
  <w:num w:numId="48">
    <w:abstractNumId w:val="24"/>
  </w:num>
  <w:num w:numId="49">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0 15:51: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3"/>
    <w:docVar w:name="DQCStatus" w:val="Green"/>
    <w:docVar w:name="DQCVersion" w:val="3"/>
    <w:docVar w:name="DQCWithWarnings" w:val="0"/>
    <w:docVar w:name="LW_ACCOMPAGNANT" w:val="\u1082?\u1098?\u1084? \u1055?\u1088?\u1077?\u1076?\u1083?\u1086?\u1078?\u1077?\u1085?\u1080?\u1077? \u1079?\u1072?"/>
    <w:docVar w:name="LW_ACCOMPAGNANT.CP" w:val="\u1082?\u1098?\u1084? \u1055?\u1088?\u1077?\u1076?\u1083?\u1086?\u1078?\u1077?\u1085?\u1080?\u1077? \u1079?\u1072?"/>
    <w:docVar w:name="LW_ANNEX_NBR_FIRST" w:val="1"/>
    <w:docVar w:name="LW_ANNEX_NBR_LAST" w:val="6"/>
    <w:docVar w:name="LW_ANNEX_UNIQUE" w:val="0"/>
    <w:docVar w:name="LW_CORRIGENDUM" w:val="&lt;UNUSED&gt;"/>
    <w:docVar w:name="LW_COVERPAGE_EXISTS" w:val="True"/>
    <w:docVar w:name="LW_COVERPAGE_GUID" w:val="500DFC10-64DD-4DF0-A749-BA1845065E6D"/>
    <w:docVar w:name="LW_COVERPAGE_TYPE" w:val="1"/>
    <w:docVar w:name="LW_CROSSREFERENCE" w:val="&lt;UNUSED&gt;"/>
    <w:docVar w:name="LW_DocType" w:val="ANNEX"/>
    <w:docVar w:name="LW_EMISSION" w:val="12.12.2018"/>
    <w:docVar w:name="LW_EMISSION_ISODATE" w:val="2018-12-12"/>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57?\u1098?\u1074?\u1084?\u1077?\u1089?\u1090?\u1085?\u1080?\u1103? \u1082?\u1086?\u1084?\u1080?\u1090?\u1077?\u1090?, \u1089?\u1098?\u1079?\u1076?\u1072?\u1076?\u1077?\u1085? \u1074? \u1089?\u1098?\u1086?\u1090?\u1074?\u1077?\u1090?\u1089?\u1090?\u1074?\u1080?\u1077? \u1089? \u1095?\u1083?\u1077?\u1085?&lt;LWCR:NBS&gt;41, \u1087?\u1072?\u1088?\u1072?\u1075?\u1088?\u1072?\u1092?&lt;LWCR:NBS&gt;1 \u1086?\u1090? \u1057?\u1087?\u1086?\u1088?\u1072?\u1079?\u1091?\u1084?\u1077?\u1085?\u1080?\u1077?\u1090?\u1086? \u1084?\u1077?\u1078?\u1076?\u1091? \u1045?\u1074?\u1088?\u1086?\u1087?\u1077?\u1081?\u1089?\u1082?\u1080?\u1103? \u1089?\u1098?\u1102?\u1079? \u1080? \u1050?\u1088?\u1072?\u1083?\u1089?\u1090?\u1074?\u1086? \u1053?\u1086?\u1088?\u1074?\u1077?\u1075?\u1080?\u1103? \u1079?\u1072? \u1072?\u1076?\u1084?\u1080?\u1085?\u1080?\u1089?\u1090?\u1088?\u1072?\u1090?\u1080?\u1074?\u1085?\u1086?\u1090?\u1086? \u1089?\u1098?\u1090?\u1088?\u1091?\u1076?\u1085?\u1080?\u1095?\u1077?\u1089?\u1090?\u1074?\u1086?, \u1073?\u1086?\u1088?\u1073?\u1072?\u1090?\u1072? \u1089? \u1080?\u1079?\u1084?\u1072?\u1084?\u1080?\u1090?\u1077? \u1080? \u1089?\u1098?\u1073?\u1080?\u1088?\u1072?\u1085?\u1077?\u1090?\u1086? \u1085?\u1072? \u1074?\u1079?\u1077?\u1084?\u1072?\u1085?\u1080?\u1103? \u1074? \u1086?\u1073?\u1083?\u1072?\u1089?\u1090?\u1090?\u1072? \u1085?\u1072? \u1076?\u1072?\u1085?\u1098?\u1082?\u1072? \u1074?\u1098?\u1088?\u1093?\u1091? \u1076?\u1086?\u1073?\u1072?\u1074?\u1077?\u1085?\u1072?\u1090?\u1072? \u1089?\u1090?\u1086?\u1081?\u1085?\u1086?\u1089?\u1090?"/>
    <w:docVar w:name="LW_OBJETACTEPRINCIPAL.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57?\u1098?\u1074?\u1084?\u1077?\u1089?\u1090?\u1085?\u1080?\u1103? \u1082?\u1086?\u1084?\u1080?\u1090?\u1077?\u1090?, \u1089?\u1098?\u1079?\u1076?\u1072?\u1076?\u1077?\u1085? \u1074? \u1089?\u1098?\u1086?\u1090?\u1074?\u1077?\u1090?\u1089?\u1090?\u1074?\u1080?\u1077? \u1089? \u1095?\u1083?\u1077?\u1085? 41, \u1087?\u1072?\u1088?\u1072?\u1075?\u1088?\u1072?\u1092? 1 \u1086?\u1090? \u1057?\u1087?\u1086?\u1088?\u1072?\u1079?\u1091?\u1084?\u1077?\u1085?\u1080?\u1077?\u1090?\u1086? \u1084?\u1077?\u1078?\u1076?\u1091? \u1045?\u1074?\u1088?\u1086?\u1087?\u1077?\u1081?\u1089?\u1082?\u1080?\u1103? \u1089?\u1098?\u1102?\u1079? \u1080? \u1050?\u1088?\u1072?\u1083?\u1089?\u1090?\u1074?\u1086? \u1053?\u1086?\u1088?\u1074?\u1077?\u1075?\u1080?\u1103? \u1079?\u1072? \u1072?\u1076?\u1084?\u1080?\u1085?\u1080?\u1089?\u1090?\u1088?\u1072?\u1090?\u1080?\u1074?\u1085?\u1086?\u1090?\u1086? \u1089?\u1098?\u1090?\u1088?\u1091?\u1076?\u1085?\u1080?\u1095?\u1077?\u1089?\u1090?\u1074?\u1086?, \u1073?\u1086?\u1088?\u1073?\u1072?\u1090?\u1072? \u1089? \u1080?\u1079?\u1084?\u1072?\u1084?\u1080?\u1090?\u1077? \u1080? \u1089?\u1098?\u1073?\u1080?\u1088?\u1072?\u1085?\u1077?\u1090?\u1086? \u1085?\u1072? \u1074?\u1079?\u1077?\u1084?\u1072?\u1085?\u1080?\u1103? \u1074? \u1086?\u1073?\u1083?\u1072?\u1089?\u1090?\u1090?\u1072? \u1085?\u1072? \u1076?\u1072?\u1085?\u1098?\u1082?\u1072? \u1074?\u1098?\u1088?\u1093?\u1091? \u1076?\u1086?\u1073?\u1072?\u1074?\u1077?\u1085?\u1072?\u1090?\u1072? \u1089?\u1090?\u1086?\u1081?\u1085?\u1086?\u1089?\u1090?"/>
    <w:docVar w:name="LW_PART_NBR" w:val="&lt;UNUSED&gt;"/>
    <w:docVar w:name="LW_PART_NBR_TOTAL" w:val="&lt;UNUSED&gt;"/>
    <w:docVar w:name="LW_REF.INST.NEW" w:val="COM"/>
    <w:docVar w:name="LW_REF.INST.NEW_ADOPTED" w:val="final"/>
    <w:docVar w:name="LW_REF.INST.NEW_TEXT" w:val="(2018) 8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6?\u1077?\u1096?\u1077?\u1085?\u1080?\u1077? \u1085?\u1072? \u1057?\u1098?\u1074?\u1077?\u1090?\u1072?"/>
    <w:docVar w:name="LW_TYPEACTEPRINCIPAL.CP" w:val="\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footnote reference" w:uiPriority="99"/>
    <w:lsdException w:name="line number"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iPriority="20" w:unhideWhenUsed="0" w:qFormat="1"/>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aliases w:val="Heading 5 CFMU,Para 5,h5,t5.T5,T5,Roman list,Bloc,Bloc1,Bloc2,Bloc3,Bloc4,PARA5,Punt 5,Tempo Heading 5,heading5,H5"/>
    <w:basedOn w:val="Normal"/>
    <w:next w:val="Normal"/>
    <w:link w:val="Heading5Char"/>
    <w:qFormat/>
    <w:pPr>
      <w:tabs>
        <w:tab w:val="num" w:pos="0"/>
      </w:tabs>
      <w:spacing w:before="240" w:after="60"/>
      <w:outlineLvl w:val="4"/>
    </w:pPr>
    <w:rPr>
      <w:rFonts w:ascii="Calibri" w:eastAsia="Times New Roman" w:hAnsi="Calibri"/>
      <w:b/>
      <w:bCs/>
      <w:i/>
      <w:iCs/>
      <w:sz w:val="26"/>
      <w:szCs w:val="26"/>
    </w:rPr>
  </w:style>
  <w:style w:type="paragraph" w:styleId="Heading6">
    <w:name w:val="heading 6"/>
    <w:aliases w:val="Heading 6 CFMU,h6,Para 6,t6.T6,Bullet list,Annexe,Annexe1,T6,Title Page,H6"/>
    <w:basedOn w:val="Normal"/>
    <w:next w:val="Normal"/>
    <w:link w:val="Heading6Char"/>
    <w:qFormat/>
    <w:pPr>
      <w:tabs>
        <w:tab w:val="num" w:pos="0"/>
      </w:tabs>
      <w:spacing w:before="240" w:after="60"/>
      <w:outlineLvl w:val="5"/>
    </w:pPr>
    <w:rPr>
      <w:rFonts w:ascii="Calibri" w:eastAsia="Times New Roman" w:hAnsi="Calibri"/>
      <w:b/>
      <w:bCs/>
      <w:sz w:val="22"/>
    </w:rPr>
  </w:style>
  <w:style w:type="paragraph" w:styleId="Heading7">
    <w:name w:val="heading 7"/>
    <w:aliases w:val="Heading 7 CFMU,h7,Para 7,t7.T7,letter list,Annexe 1,H7,lettered list,Annexe2,T7,Heading 7 (do not use)"/>
    <w:basedOn w:val="Normal"/>
    <w:next w:val="Normal"/>
    <w:link w:val="Heading7Char"/>
    <w:qFormat/>
    <w:pPr>
      <w:tabs>
        <w:tab w:val="num" w:pos="0"/>
      </w:tabs>
      <w:spacing w:before="240" w:after="60"/>
      <w:outlineLvl w:val="6"/>
    </w:pPr>
    <w:rPr>
      <w:rFonts w:ascii="Calibri" w:eastAsia="Times New Roman" w:hAnsi="Calibri"/>
      <w:szCs w:val="24"/>
    </w:rPr>
  </w:style>
  <w:style w:type="paragraph" w:styleId="Heading8">
    <w:name w:val="heading 8"/>
    <w:aliases w:val="Heading 8 CFMU,h8,action,bijlkop,Annexe 2,Annexe3,T8,Heading 8 (do not use)"/>
    <w:basedOn w:val="Normal"/>
    <w:next w:val="Normal"/>
    <w:link w:val="Heading8Char"/>
    <w:qFormat/>
    <w:pPr>
      <w:tabs>
        <w:tab w:val="num" w:pos="0"/>
      </w:tabs>
      <w:spacing w:before="240" w:after="60"/>
      <w:outlineLvl w:val="7"/>
    </w:pPr>
    <w:rPr>
      <w:rFonts w:ascii="Calibri" w:eastAsia="Times New Roman" w:hAnsi="Calibri"/>
      <w:i/>
      <w:iCs/>
      <w:szCs w:val="24"/>
    </w:rPr>
  </w:style>
  <w:style w:type="paragraph" w:styleId="Heading9">
    <w:name w:val="heading 9"/>
    <w:aliases w:val="Heading 9 CFMU,h9,App Heading,App Heading1,App Heading2,App Heading3,App Heading4,App Heading5,appendix,Blank 5,9,Bijlagen,progress,Annexe 3,Titre 10,Annexe4,T9,Heading 9 (do not use)"/>
    <w:basedOn w:val="Normal"/>
    <w:next w:val="Normal"/>
    <w:link w:val="Heading9Char"/>
    <w:qFormat/>
    <w:pPr>
      <w:tabs>
        <w:tab w:val="num" w:pos="0"/>
      </w:tabs>
      <w:spacing w:before="240" w:after="60"/>
      <w:outlineLvl w:val="8"/>
    </w:pPr>
    <w:rPr>
      <w:rFonts w:ascii="Cambria" w:eastAsia="Times New Roman"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ascii="Times New Roman" w:hAnsi="Times New Roman" w:cs="Times New Roman"/>
      <w:sz w:val="24"/>
      <w:lang w:val="bg-BG"/>
    </w:rPr>
  </w:style>
  <w:style w:type="paragraph" w:styleId="ListNumber">
    <w:name w:val="List Number"/>
    <w:basedOn w:val="Normal"/>
    <w:unhideWhenUsed/>
    <w:pPr>
      <w:numPr>
        <w:numId w:val="5"/>
      </w:numPr>
      <w:contextualSpacing/>
    </w:pPr>
  </w:style>
  <w:style w:type="paragraph" w:styleId="ListNumber3">
    <w:name w:val="List Number 3"/>
    <w:basedOn w:val="Normal"/>
    <w:unhideWhenUsed/>
    <w:pPr>
      <w:numPr>
        <w:numId w:val="6"/>
      </w:numPr>
      <w:contextualSpacing/>
    </w:pPr>
  </w:style>
  <w:style w:type="character" w:styleId="Hyperlink">
    <w:name w:val="Hyperlink"/>
    <w:uiPriority w:val="99"/>
    <w:rPr>
      <w:rFonts w:cs="Times New Roman"/>
      <w:color w:val="0000FF"/>
      <w:u w:val="single"/>
    </w:rPr>
  </w:style>
  <w:style w:type="character" w:customStyle="1" w:styleId="Heading5Char">
    <w:name w:val="Heading 5 Char"/>
    <w:aliases w:val="Heading 5 CFMU Char,Para 5 Char,h5 Char,t5.T5 Char,T5 Char,Roman list Char,Bloc Char,Bloc1 Char,Bloc2 Char,Bloc3 Char,Bloc4 Char,PARA5 Char,Punt 5 Char,Tempo Heading 5 Char,heading5 Char,H5 Char"/>
    <w:basedOn w:val="DefaultParagraphFont"/>
    <w:link w:val="Heading5"/>
    <w:rPr>
      <w:rFonts w:ascii="Calibri" w:eastAsia="Times New Roman" w:hAnsi="Calibri" w:cs="Times New Roman"/>
      <w:b/>
      <w:bCs/>
      <w:i/>
      <w:iCs/>
      <w:sz w:val="26"/>
      <w:szCs w:val="26"/>
      <w:lang w:val="bg-BG"/>
    </w:rPr>
  </w:style>
  <w:style w:type="character" w:customStyle="1" w:styleId="Heading6Char">
    <w:name w:val="Heading 6 Char"/>
    <w:aliases w:val="Heading 6 CFMU Char,h6 Char,Para 6 Char,t6.T6 Char,Bullet list Char,Annexe Char,Annexe1 Char,T6 Char,Title Page Char,H6 Char"/>
    <w:basedOn w:val="DefaultParagraphFont"/>
    <w:link w:val="Heading6"/>
    <w:rPr>
      <w:rFonts w:ascii="Calibri" w:eastAsia="Times New Roman" w:hAnsi="Calibri" w:cs="Times New Roman"/>
      <w:b/>
      <w:bCs/>
      <w:lang w:val="bg-BG"/>
    </w:rPr>
  </w:style>
  <w:style w:type="character" w:customStyle="1" w:styleId="Heading7Char">
    <w:name w:val="Heading 7 Char"/>
    <w:aliases w:val="Heading 7 CFMU Char,h7 Char,Para 7 Char,t7.T7 Char,letter list Char,Annexe 1 Char,H7 Char,lettered list Char,Annexe2 Char,T7 Char,Heading 7 (do not use) Char"/>
    <w:basedOn w:val="DefaultParagraphFont"/>
    <w:link w:val="Heading7"/>
    <w:rPr>
      <w:rFonts w:ascii="Calibri" w:eastAsia="Times New Roman" w:hAnsi="Calibri" w:cs="Times New Roman"/>
      <w:sz w:val="24"/>
      <w:szCs w:val="24"/>
      <w:lang w:val="bg-BG"/>
    </w:rPr>
  </w:style>
  <w:style w:type="character" w:customStyle="1" w:styleId="Heading8Char">
    <w:name w:val="Heading 8 Char"/>
    <w:aliases w:val="Heading 8 CFMU Char,h8 Char,action Char,bijlkop Char,Annexe 2 Char,Annexe3 Char,T8 Char,Heading 8 (do not use) Char"/>
    <w:basedOn w:val="DefaultParagraphFont"/>
    <w:link w:val="Heading8"/>
    <w:rPr>
      <w:rFonts w:ascii="Calibri" w:eastAsia="Times New Roman" w:hAnsi="Calibri" w:cs="Times New Roman"/>
      <w:i/>
      <w:iCs/>
      <w:sz w:val="24"/>
      <w:szCs w:val="24"/>
      <w:lang w:val="bg-BG"/>
    </w:rPr>
  </w:style>
  <w:style w:type="character" w:customStyle="1" w:styleId="Heading9Char">
    <w:name w:val="Heading 9 Char"/>
    <w:aliases w:val="Heading 9 CFMU Char,h9 Char,App Heading Char,App Heading1 Char,App Heading2 Char,App Heading3 Char,App Heading4 Char,App Heading5 Char,appendix Char,Blank 5 Char,9 Char,Bijlagen Char,progress Char,Annexe 3 Char,Titre 10 Char,Annexe4 Char"/>
    <w:basedOn w:val="DefaultParagraphFont"/>
    <w:link w:val="Heading9"/>
    <w:rPr>
      <w:rFonts w:ascii="Cambria" w:eastAsia="Times New Roman" w:hAnsi="Cambria" w:cs="Times New Roman"/>
      <w:lang w:val="bg-BG"/>
    </w:rPr>
  </w:style>
  <w:style w:type="numbering" w:customStyle="1" w:styleId="NoList1">
    <w:name w:val="No List1"/>
    <w:next w:val="NoList"/>
    <w:uiPriority w:val="99"/>
    <w:semiHidden/>
    <w:unhideWhenUsed/>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NoList11">
    <w:name w:val="No List11"/>
    <w:next w:val="NoList"/>
    <w:uiPriority w:val="99"/>
    <w:semiHidden/>
    <w:unhideWhenUsed/>
  </w:style>
  <w:style w:type="paragraph" w:styleId="BodyText">
    <w:name w:val="Body Text"/>
    <w:basedOn w:val="Normal"/>
    <w:link w:val="BodyTextChar"/>
    <w:pPr>
      <w:spacing w:before="60"/>
      <w:jc w:val="left"/>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Caption">
    <w:name w:val="caption"/>
    <w:aliases w:val="CaptionCFMU,CaptionTLS"/>
    <w:basedOn w:val="Normal"/>
    <w:next w:val="Normal"/>
    <w:link w:val="CaptionChar"/>
    <w:qFormat/>
    <w:pPr>
      <w:spacing w:before="60"/>
      <w:jc w:val="center"/>
    </w:pPr>
    <w:rPr>
      <w:rFonts w:ascii="CG Times (W1)" w:eastAsia="Times New Roman" w:hAnsi="CG Times (W1)"/>
      <w:sz w:val="20"/>
      <w:szCs w:val="20"/>
    </w:rPr>
  </w:style>
  <w:style w:type="paragraph" w:customStyle="1" w:styleId="Opmaakprofiel">
    <w:name w:val="Opmaakprofiel"/>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Base">
    <w:name w:val="Base"/>
    <w:pPr>
      <w:spacing w:before="60" w:after="60" w:line="240" w:lineRule="auto"/>
    </w:pPr>
    <w:rPr>
      <w:rFonts w:ascii="Times New Roman" w:eastAsia="Times New Roman" w:hAnsi="Times New Roman" w:cs="Times New Roman"/>
      <w:sz w:val="24"/>
      <w:szCs w:val="20"/>
    </w:rPr>
  </w:style>
  <w:style w:type="paragraph" w:styleId="NormalIndent">
    <w:name w:val="Normal Indent"/>
    <w:basedOn w:val="Base"/>
    <w:pPr>
      <w:ind w:left="1134"/>
    </w:pPr>
  </w:style>
  <w:style w:type="paragraph" w:styleId="Index7">
    <w:name w:val="index 7"/>
    <w:basedOn w:val="Index6"/>
    <w:next w:val="Normal"/>
    <w:pPr>
      <w:ind w:left="1698"/>
    </w:pPr>
  </w:style>
  <w:style w:type="paragraph" w:styleId="Index6">
    <w:name w:val="index 6"/>
    <w:basedOn w:val="Index5"/>
    <w:next w:val="Normal"/>
    <w:pPr>
      <w:ind w:left="1415"/>
    </w:pPr>
  </w:style>
  <w:style w:type="paragraph" w:styleId="Index5">
    <w:name w:val="index 5"/>
    <w:basedOn w:val="Index4"/>
    <w:next w:val="Normal"/>
    <w:pPr>
      <w:ind w:left="1132"/>
    </w:pPr>
  </w:style>
  <w:style w:type="paragraph" w:styleId="Index4">
    <w:name w:val="index 4"/>
    <w:basedOn w:val="Index3"/>
    <w:next w:val="Normal"/>
    <w:pPr>
      <w:ind w:left="849"/>
    </w:pPr>
  </w:style>
  <w:style w:type="paragraph" w:styleId="Index3">
    <w:name w:val="index 3"/>
    <w:basedOn w:val="Index2"/>
    <w:next w:val="Normal"/>
    <w:pPr>
      <w:ind w:left="566"/>
    </w:pPr>
  </w:style>
  <w:style w:type="paragraph" w:styleId="Index2">
    <w:name w:val="index 2"/>
    <w:basedOn w:val="Index1"/>
    <w:next w:val="Normal"/>
    <w:pPr>
      <w:ind w:left="283"/>
    </w:pPr>
  </w:style>
  <w:style w:type="paragraph" w:styleId="Index1">
    <w:name w:val="index 1"/>
    <w:basedOn w:val="Base"/>
    <w:next w:val="Normal"/>
  </w:style>
  <w:style w:type="paragraph" w:styleId="IndexHeading">
    <w:name w:val="index heading"/>
    <w:basedOn w:val="Base"/>
    <w:next w:val="Index1"/>
  </w:style>
  <w:style w:type="paragraph" w:customStyle="1" w:styleId="NormalItem">
    <w:name w:val="Normal Item"/>
    <w:basedOn w:val="Base"/>
    <w:pPr>
      <w:ind w:left="1134" w:hanging="284"/>
    </w:pPr>
  </w:style>
  <w:style w:type="paragraph" w:customStyle="1" w:styleId="NormalSubitem">
    <w:name w:val="Normal Subitem"/>
    <w:basedOn w:val="Base"/>
    <w:pPr>
      <w:ind w:left="1418" w:hanging="284"/>
    </w:pPr>
  </w:style>
  <w:style w:type="paragraph" w:customStyle="1" w:styleId="HangingIndent">
    <w:name w:val="Hanging Indent"/>
    <w:basedOn w:val="NormalIndent"/>
    <w:pPr>
      <w:ind w:hanging="567"/>
    </w:pPr>
  </w:style>
  <w:style w:type="paragraph" w:customStyle="1" w:styleId="Itembody">
    <w:name w:val="Item body"/>
    <w:basedOn w:val="NormalItem"/>
    <w:pPr>
      <w:ind w:firstLine="0"/>
    </w:pPr>
  </w:style>
  <w:style w:type="paragraph" w:customStyle="1" w:styleId="Pages">
    <w:name w:val="Pages"/>
    <w:basedOn w:val="Base"/>
    <w:pPr>
      <w:spacing w:before="0"/>
    </w:pPr>
    <w:rPr>
      <w:rFonts w:ascii="Arial" w:hAnsi="Arial"/>
      <w:sz w:val="28"/>
    </w:rPr>
  </w:style>
  <w:style w:type="paragraph" w:customStyle="1" w:styleId="Comments">
    <w:name w:val="Comments"/>
    <w:basedOn w:val="Base"/>
    <w:next w:val="Normal"/>
    <w:pPr>
      <w:spacing w:after="120"/>
    </w:pPr>
    <w:rPr>
      <w:rFonts w:ascii="Arial" w:hAnsi="Arial"/>
      <w:b/>
      <w:sz w:val="28"/>
    </w:rPr>
  </w:style>
  <w:style w:type="paragraph" w:customStyle="1" w:styleId="Italic">
    <w:name w:val="Italic"/>
    <w:basedOn w:val="Base"/>
    <w:pPr>
      <w:spacing w:before="0"/>
    </w:pPr>
    <w:rPr>
      <w:rFonts w:ascii="CG Times" w:hAnsi="CG Times"/>
      <w:b/>
      <w:i/>
      <w:sz w:val="20"/>
      <w:u w:val="single"/>
    </w:rPr>
  </w:style>
  <w:style w:type="paragraph" w:customStyle="1" w:styleId="DoubleIndent">
    <w:name w:val="Double Indent"/>
    <w:basedOn w:val="NormalIndent"/>
    <w:pPr>
      <w:tabs>
        <w:tab w:val="left" w:pos="2835"/>
      </w:tabs>
      <w:spacing w:before="0"/>
      <w:ind w:left="2268"/>
    </w:pPr>
  </w:style>
  <w:style w:type="paragraph" w:customStyle="1" w:styleId="NormalSubSubitem">
    <w:name w:val="Normal SubSubitem"/>
    <w:basedOn w:val="NormalSubitem"/>
    <w:pPr>
      <w:ind w:left="1985"/>
    </w:pPr>
  </w:style>
  <w:style w:type="paragraph" w:customStyle="1" w:styleId="DoubleHangingIndent">
    <w:name w:val="Double Hanging Indent"/>
    <w:basedOn w:val="DoubleIndent"/>
    <w:pPr>
      <w:ind w:hanging="567"/>
    </w:pPr>
    <w:rPr>
      <w:sz w:val="20"/>
    </w:rPr>
  </w:style>
  <w:style w:type="paragraph" w:customStyle="1" w:styleId="LongHangingIndent">
    <w:name w:val="Long Hanging Indent"/>
    <w:basedOn w:val="HangingIndent"/>
    <w:next w:val="Normal"/>
    <w:pPr>
      <w:ind w:left="3402" w:hanging="2268"/>
    </w:pPr>
    <w:rPr>
      <w:sz w:val="20"/>
    </w:rPr>
  </w:style>
  <w:style w:type="paragraph" w:customStyle="1" w:styleId="Verse">
    <w:name w:val="Verse"/>
    <w:basedOn w:val="Base"/>
    <w:pPr>
      <w:keepLines/>
      <w:tabs>
        <w:tab w:val="left" w:pos="2835"/>
      </w:tabs>
      <w:spacing w:after="240"/>
      <w:ind w:left="1701" w:right="851"/>
      <w:jc w:val="center"/>
    </w:pPr>
    <w:rPr>
      <w:b/>
      <w:i/>
      <w:sz w:val="20"/>
    </w:rPr>
  </w:style>
  <w:style w:type="paragraph" w:customStyle="1" w:styleId="NormSubitemBody">
    <w:name w:val="Norm Subitem Body"/>
    <w:basedOn w:val="NormalSubitem"/>
    <w:pPr>
      <w:spacing w:before="0"/>
      <w:ind w:left="1531" w:firstLine="0"/>
    </w:pPr>
  </w:style>
  <w:style w:type="paragraph" w:customStyle="1" w:styleId="Heading2TOC">
    <w:name w:val="Heading 2 TOC"/>
    <w:basedOn w:val="Heading2"/>
    <w:pPr>
      <w:keepLines/>
      <w:numPr>
        <w:ilvl w:val="0"/>
        <w:numId w:val="0"/>
      </w:numPr>
      <w:spacing w:before="0" w:after="480"/>
      <w:jc w:val="center"/>
      <w:outlineLvl w:val="9"/>
    </w:pPr>
    <w:rPr>
      <w:rFonts w:eastAsia="Times New Roman"/>
      <w:bCs w:val="0"/>
      <w:szCs w:val="24"/>
    </w:rPr>
  </w:style>
  <w:style w:type="paragraph" w:customStyle="1" w:styleId="NormalNItem">
    <w:name w:val="Normal N Item"/>
    <w:basedOn w:val="NormalItem"/>
    <w:next w:val="Itembody"/>
    <w:pPr>
      <w:keepNext/>
      <w:ind w:left="1135"/>
    </w:pPr>
  </w:style>
  <w:style w:type="paragraph" w:customStyle="1" w:styleId="SubitemBody">
    <w:name w:val="Subitem Body"/>
    <w:basedOn w:val="NormalSubitem"/>
  </w:style>
  <w:style w:type="paragraph" w:customStyle="1" w:styleId="t">
    <w:name w:val="t"/>
    <w:basedOn w:val="Heading1"/>
    <w:pPr>
      <w:numPr>
        <w:numId w:val="0"/>
      </w:numPr>
      <w:spacing w:before="240" w:after="240"/>
      <w:jc w:val="center"/>
      <w:outlineLvl w:val="9"/>
    </w:pPr>
    <w:rPr>
      <w:rFonts w:eastAsia="Times New Roman"/>
      <w:bCs w:val="0"/>
      <w:caps/>
      <w:smallCaps w:val="0"/>
      <w:spacing w:val="40"/>
      <w:sz w:val="36"/>
      <w:szCs w:val="20"/>
    </w:rPr>
  </w:style>
  <w:style w:type="paragraph" w:customStyle="1" w:styleId="Ital">
    <w:name w:val="Ital"/>
    <w:basedOn w:val="Base"/>
    <w:pPr>
      <w:pBdr>
        <w:top w:val="single" w:sz="6" w:space="3" w:color="auto"/>
        <w:left w:val="single" w:sz="6" w:space="3" w:color="auto"/>
        <w:bottom w:val="single" w:sz="6" w:space="3" w:color="auto"/>
        <w:right w:val="single" w:sz="6" w:space="3" w:color="auto"/>
      </w:pBdr>
      <w:ind w:right="113"/>
    </w:pPr>
    <w:rPr>
      <w:i/>
    </w:rPr>
  </w:style>
  <w:style w:type="paragraph" w:customStyle="1" w:styleId="ItalIndent">
    <w:name w:val="Ital Indent"/>
    <w:basedOn w:val="NormalIndent"/>
    <w:rPr>
      <w:i/>
    </w:rPr>
  </w:style>
  <w:style w:type="paragraph" w:customStyle="1" w:styleId="ItalItem">
    <w:name w:val="Ital Item"/>
    <w:basedOn w:val="Ital"/>
    <w:pPr>
      <w:ind w:left="851" w:hanging="284"/>
    </w:pPr>
    <w:rPr>
      <w:i w:val="0"/>
    </w:rPr>
  </w:style>
  <w:style w:type="paragraph" w:customStyle="1" w:styleId="indent2">
    <w:name w:val="indent 2"/>
    <w:basedOn w:val="indent1"/>
    <w:pPr>
      <w:ind w:left="1800"/>
    </w:pPr>
  </w:style>
  <w:style w:type="paragraph" w:customStyle="1" w:styleId="indent1">
    <w:name w:val="indent 1"/>
    <w:basedOn w:val="Base"/>
    <w:pPr>
      <w:keepLines/>
      <w:spacing w:before="0" w:after="240"/>
      <w:ind w:left="907"/>
    </w:pPr>
    <w:rPr>
      <w:sz w:val="20"/>
    </w:rPr>
  </w:style>
  <w:style w:type="character" w:styleId="EndnoteReference">
    <w:name w:val="endnote reference"/>
    <w:rPr>
      <w:rFonts w:cs="Times New Roman"/>
      <w:vertAlign w:val="superscript"/>
    </w:rPr>
  </w:style>
  <w:style w:type="paragraph" w:customStyle="1" w:styleId="Happ1">
    <w:name w:val="Happ1"/>
    <w:basedOn w:val="Base"/>
    <w:pPr>
      <w:keepNext/>
      <w:pageBreakBefore/>
      <w:numPr>
        <w:numId w:val="11"/>
      </w:numPr>
      <w:spacing w:before="240"/>
    </w:pPr>
    <w:rPr>
      <w:b/>
      <w:caps/>
      <w:sz w:val="32"/>
    </w:rPr>
  </w:style>
  <w:style w:type="character" w:styleId="FollowedHyperlink">
    <w:name w:val="FollowedHyperlink"/>
    <w:rPr>
      <w:rFonts w:cs="Times New Roman"/>
      <w:color w:val="800080"/>
      <w:u w:val="single"/>
    </w:rPr>
  </w:style>
  <w:style w:type="paragraph" w:customStyle="1" w:styleId="AnnexHeading2">
    <w:name w:val="Annex Heading 2"/>
    <w:basedOn w:val="Heading4"/>
    <w:pPr>
      <w:numPr>
        <w:ilvl w:val="1"/>
        <w:numId w:val="12"/>
      </w:numPr>
      <w:spacing w:before="240" w:after="240"/>
    </w:pPr>
    <w:rPr>
      <w:rFonts w:ascii="Courier New" w:eastAsia="Times New Roman" w:hAnsi="Courier New" w:cs="Courier New"/>
      <w:bCs w:val="0"/>
      <w:iCs w:val="0"/>
      <w:smallCaps/>
      <w:color w:val="0000FF"/>
      <w:w w:val="122"/>
      <w:szCs w:val="20"/>
    </w:rPr>
  </w:style>
  <w:style w:type="character" w:customStyle="1" w:styleId="BaseChar">
    <w:name w:val="Base Char"/>
    <w:rPr>
      <w:rFonts w:cs="Times New Roman"/>
      <w:sz w:val="24"/>
      <w:lang w:val="bg-BG" w:eastAsia="bg-BG" w:bidi="bg-BG"/>
    </w:rPr>
  </w:style>
  <w:style w:type="paragraph" w:customStyle="1" w:styleId="TableCell">
    <w:name w:val="TableCell"/>
    <w:basedOn w:val="Normal"/>
    <w:pPr>
      <w:spacing w:before="60" w:after="0"/>
      <w:jc w:val="left"/>
    </w:pPr>
    <w:rPr>
      <w:rFonts w:ascii="Arial" w:eastAsia="Times New Roman" w:hAnsi="Arial"/>
      <w:bCs/>
      <w:sz w:val="20"/>
      <w:szCs w:val="24"/>
    </w:rPr>
  </w:style>
  <w:style w:type="paragraph" w:styleId="BodyTextIndent2">
    <w:name w:val="Body Text Indent 2"/>
    <w:basedOn w:val="Normal"/>
    <w:link w:val="BodyTextIndent2Char"/>
    <w:pPr>
      <w:spacing w:before="0"/>
      <w:ind w:left="720"/>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customStyle="1" w:styleId="AppendixHeading1">
    <w:name w:val="Appendix Heading 1"/>
    <w:basedOn w:val="Normal"/>
    <w:next w:val="Normal"/>
    <w:pPr>
      <w:numPr>
        <w:numId w:val="9"/>
      </w:numPr>
      <w:spacing w:before="240" w:after="0"/>
      <w:ind w:left="851"/>
      <w:outlineLvl w:val="1"/>
    </w:pPr>
    <w:rPr>
      <w:rFonts w:ascii="Arial" w:eastAsia="Times New Roman" w:hAnsi="Arial"/>
      <w:b/>
      <w:smallCaps/>
      <w:color w:val="0000FF"/>
      <w:kern w:val="28"/>
      <w:sz w:val="32"/>
      <w:szCs w:val="20"/>
    </w:rPr>
  </w:style>
  <w:style w:type="character" w:customStyle="1" w:styleId="Text1Char">
    <w:name w:val="Text 1 Char"/>
    <w:rPr>
      <w:rFonts w:cs="Times New Roman"/>
      <w:sz w:val="22"/>
      <w:lang w:val="bg-BG" w:eastAsia="bg-BG" w:bidi="bg-BG"/>
    </w:rPr>
  </w:style>
  <w:style w:type="paragraph" w:styleId="BodyTextIndent">
    <w:name w:val="Body Text Indent"/>
    <w:basedOn w:val="Normal"/>
    <w:link w:val="BodyTextIndentChar"/>
    <w:pPr>
      <w:numPr>
        <w:numId w:val="10"/>
      </w:numPr>
      <w:spacing w:before="60"/>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lockText">
    <w:name w:val="Block Text"/>
    <w:basedOn w:val="Normal"/>
    <w:pPr>
      <w:widowControl w:val="0"/>
      <w:autoSpaceDE w:val="0"/>
      <w:autoSpaceDN w:val="0"/>
      <w:adjustRightInd w:val="0"/>
      <w:spacing w:before="0" w:after="0" w:line="244" w:lineRule="exact"/>
      <w:ind w:left="720" w:right="221"/>
    </w:pPr>
    <w:rPr>
      <w:rFonts w:ascii="Courier New" w:eastAsia="Times New Roman" w:hAnsi="Courier New" w:cs="Courier New"/>
      <w:sz w:val="22"/>
    </w:rPr>
  </w:style>
  <w:style w:type="paragraph" w:styleId="BodyTextIndent3">
    <w:name w:val="Body Text Indent 3"/>
    <w:basedOn w:val="Normal"/>
    <w:link w:val="BodyTextIndent3Char"/>
    <w:pPr>
      <w:spacing w:before="60"/>
      <w:ind w:left="720"/>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bg-BG"/>
    </w:rPr>
  </w:style>
  <w:style w:type="paragraph" w:customStyle="1" w:styleId="Heading0">
    <w:name w:val="Heading 0"/>
    <w:basedOn w:val="Normal"/>
    <w:pPr>
      <w:pageBreakBefore/>
      <w:spacing w:before="240" w:after="240"/>
      <w:ind w:left="142" w:right="284"/>
      <w:jc w:val="center"/>
    </w:pPr>
    <w:rPr>
      <w:rFonts w:eastAsia="Times New Roman"/>
      <w:b/>
      <w:caps/>
      <w:sz w:val="28"/>
      <w:szCs w:val="20"/>
    </w:rPr>
  </w:style>
  <w:style w:type="paragraph" w:styleId="BodyText2">
    <w:name w:val="Body Text 2"/>
    <w:basedOn w:val="Normal"/>
    <w:link w:val="BodyText2Char"/>
    <w:pPr>
      <w:autoSpaceDE w:val="0"/>
      <w:autoSpaceDN w:val="0"/>
      <w:adjustRightInd w:val="0"/>
      <w:spacing w:after="0"/>
      <w:jc w:val="left"/>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TableofFigures">
    <w:name w:val="table of figures"/>
    <w:basedOn w:val="Normal"/>
    <w:next w:val="Normal"/>
    <w:uiPriority w:val="99"/>
    <w:pPr>
      <w:spacing w:after="0"/>
      <w:jc w:val="left"/>
    </w:pPr>
    <w:rPr>
      <w:rFonts w:eastAsia="Times New Roman"/>
      <w:szCs w:val="20"/>
    </w:rPr>
  </w:style>
  <w:style w:type="paragraph" w:styleId="BodyText3">
    <w:name w:val="Body Text 3"/>
    <w:basedOn w:val="Normal"/>
    <w:link w:val="BodyText3Char"/>
    <w:pPr>
      <w:spacing w:after="0"/>
      <w:jc w:val="left"/>
    </w:pP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bg-BG"/>
    </w:rPr>
  </w:style>
  <w:style w:type="paragraph" w:customStyle="1" w:styleId="List2bullet">
    <w:name w:val="List_2_bullet"/>
    <w:basedOn w:val="Normal"/>
    <w:pPr>
      <w:numPr>
        <w:numId w:val="13"/>
      </w:numPr>
      <w:jc w:val="left"/>
    </w:pPr>
    <w:rPr>
      <w:rFonts w:eastAsia="Times New Roman"/>
      <w:szCs w:val="24"/>
    </w:rPr>
  </w:style>
  <w:style w:type="paragraph" w:customStyle="1" w:styleId="StyleTableofFigures20ptAllcaps">
    <w:name w:val="Style Table of Figures + 20 pt All caps"/>
    <w:basedOn w:val="TableofFigures"/>
    <w:autoRedefine/>
    <w:rPr>
      <w:caps/>
      <w:sz w:val="32"/>
    </w:rPr>
  </w:style>
  <w:style w:type="paragraph" w:styleId="DocumentMap">
    <w:name w:val="Document Map"/>
    <w:basedOn w:val="Normal"/>
    <w:link w:val="DocumentMapChar"/>
    <w:pPr>
      <w:shd w:val="clear" w:color="auto" w:fill="000080"/>
      <w:spacing w:after="0"/>
      <w:jc w:val="left"/>
    </w:pPr>
    <w:rPr>
      <w:rFonts w:eastAsia="Times New Roman"/>
      <w:sz w:val="2"/>
      <w:szCs w:val="20"/>
    </w:rPr>
  </w:style>
  <w:style w:type="character" w:customStyle="1" w:styleId="DocumentMapChar">
    <w:name w:val="Document Map Char"/>
    <w:basedOn w:val="DefaultParagraphFont"/>
    <w:link w:val="DocumentMap"/>
    <w:rPr>
      <w:rFonts w:ascii="Times New Roman" w:eastAsia="Times New Roman" w:hAnsi="Times New Roman" w:cs="Times New Roman"/>
      <w:sz w:val="2"/>
      <w:szCs w:val="20"/>
      <w:shd w:val="clear" w:color="auto" w:fill="000080"/>
      <w:lang w:val="bg-BG"/>
    </w:rPr>
  </w:style>
  <w:style w:type="character" w:styleId="Emphasis">
    <w:name w:val="Emphasis"/>
    <w:uiPriority w:val="20"/>
    <w:qFormat/>
    <w:rPr>
      <w:rFonts w:cs="Times New Roman"/>
      <w:i/>
      <w:iCs/>
    </w:rPr>
  </w:style>
  <w:style w:type="paragraph" w:customStyle="1" w:styleId="ZCom">
    <w:name w:val="Z_Com"/>
    <w:basedOn w:val="Normal"/>
    <w:next w:val="ZDGName"/>
    <w:pPr>
      <w:spacing w:before="0" w:after="0"/>
      <w:ind w:right="85"/>
    </w:pPr>
    <w:rPr>
      <w:rFonts w:ascii="Arial" w:eastAsia="Times New Roman" w:hAnsi="Arial"/>
      <w:sz w:val="22"/>
      <w:szCs w:val="20"/>
    </w:rPr>
  </w:style>
  <w:style w:type="paragraph" w:customStyle="1" w:styleId="ZDGName">
    <w:name w:val="Z_DGName"/>
    <w:basedOn w:val="Normal"/>
    <w:pPr>
      <w:spacing w:before="0" w:after="0"/>
      <w:ind w:right="85"/>
    </w:pPr>
    <w:rPr>
      <w:rFonts w:ascii="Arial" w:eastAsia="Times New Roman" w:hAnsi="Arial"/>
      <w:sz w:val="16"/>
      <w:szCs w:val="20"/>
    </w:rPr>
  </w:style>
  <w:style w:type="character" w:styleId="PageNumber">
    <w:name w:val="page number"/>
    <w:rPr>
      <w:rFonts w:cs="Times New Roman"/>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0"/>
    </w:rPr>
  </w:style>
  <w:style w:type="character" w:customStyle="1" w:styleId="FooterCoverPageChar">
    <w:name w:val="Footer Cover Page Char"/>
    <w:basedOn w:val="BodyTextChar"/>
    <w:link w:val="FooterCoverPage"/>
    <w:rPr>
      <w:rFonts w:ascii="Times New Roman" w:eastAsia="Times New Roman" w:hAnsi="Times New Roman" w:cs="Times New Roman"/>
      <w:sz w:val="24"/>
      <w:szCs w:val="20"/>
      <w:lang w:val="bg-BG"/>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0"/>
    </w:rPr>
  </w:style>
  <w:style w:type="character" w:customStyle="1" w:styleId="HeaderCoverPageChar">
    <w:name w:val="Header Cover Page Char"/>
    <w:basedOn w:val="BodyTextChar"/>
    <w:link w:val="HeaderCoverPage"/>
    <w:rPr>
      <w:rFonts w:ascii="Times New Roman" w:eastAsia="Times New Roman" w:hAnsi="Times New Roman" w:cs="Times New Roman"/>
      <w:sz w:val="24"/>
      <w:szCs w:val="20"/>
      <w:lang w:val="bg-BG"/>
    </w:rPr>
  </w:style>
  <w:style w:type="paragraph" w:customStyle="1" w:styleId="HeadingTOC">
    <w:name w:val="Heading TOC"/>
    <w:basedOn w:val="Base"/>
    <w:rPr>
      <w:b/>
      <w:sz w:val="40"/>
    </w:rPr>
  </w:style>
  <w:style w:type="paragraph" w:customStyle="1" w:styleId="App1">
    <w:name w:val="App1"/>
    <w:basedOn w:val="Base"/>
    <w:next w:val="App2"/>
    <w:pPr>
      <w:pageBreakBefore/>
      <w:spacing w:before="120" w:after="240"/>
    </w:pPr>
    <w:rPr>
      <w:b/>
      <w:caps/>
      <w:sz w:val="32"/>
    </w:rPr>
  </w:style>
  <w:style w:type="paragraph" w:customStyle="1" w:styleId="App2">
    <w:name w:val="App2"/>
    <w:basedOn w:val="App1"/>
    <w:pPr>
      <w:pageBreakBefore w:val="0"/>
      <w:spacing w:after="120"/>
    </w:pPr>
    <w:rPr>
      <w:caps w:val="0"/>
      <w:smallCaps/>
      <w:sz w:val="28"/>
    </w:rPr>
  </w:style>
  <w:style w:type="paragraph" w:customStyle="1" w:styleId="App3">
    <w:name w:val="App3"/>
    <w:basedOn w:val="App2"/>
    <w:rPr>
      <w:sz w:val="24"/>
    </w:rPr>
  </w:style>
  <w:style w:type="paragraph" w:customStyle="1" w:styleId="App4">
    <w:name w:val="App4"/>
    <w:basedOn w:val="App3"/>
    <w:rPr>
      <w:b w:val="0"/>
      <w:sz w:val="22"/>
    </w:rPr>
  </w:style>
  <w:style w:type="paragraph" w:customStyle="1" w:styleId="ListNumber1">
    <w:name w:val="List Number 1"/>
    <w:basedOn w:val="Normal"/>
    <w:pPr>
      <w:tabs>
        <w:tab w:val="num" w:pos="1191"/>
      </w:tabs>
      <w:spacing w:before="0" w:after="240"/>
      <w:ind w:left="1191" w:hanging="709"/>
    </w:pPr>
    <w:rPr>
      <w:rFonts w:eastAsia="Times New Roman"/>
      <w:sz w:val="22"/>
      <w:szCs w:val="20"/>
    </w:rPr>
  </w:style>
  <w:style w:type="paragraph" w:customStyle="1" w:styleId="ListNumber1Level2">
    <w:name w:val="List Number 1 (Level 2)"/>
    <w:basedOn w:val="Normal"/>
    <w:pPr>
      <w:tabs>
        <w:tab w:val="num" w:pos="1899"/>
      </w:tabs>
      <w:spacing w:before="0" w:after="240"/>
      <w:ind w:left="1899" w:hanging="708"/>
    </w:pPr>
    <w:rPr>
      <w:rFonts w:eastAsia="Times New Roman"/>
      <w:sz w:val="22"/>
      <w:szCs w:val="20"/>
    </w:rPr>
  </w:style>
  <w:style w:type="paragraph" w:customStyle="1" w:styleId="ListNumber1Level3">
    <w:name w:val="List Number 1 (Level 3)"/>
    <w:basedOn w:val="Normal"/>
    <w:pPr>
      <w:tabs>
        <w:tab w:val="num" w:pos="2608"/>
      </w:tabs>
      <w:spacing w:before="0" w:after="240"/>
      <w:ind w:left="2608" w:hanging="709"/>
    </w:pPr>
    <w:rPr>
      <w:rFonts w:eastAsia="Times New Roman"/>
      <w:sz w:val="22"/>
      <w:szCs w:val="20"/>
    </w:rPr>
  </w:style>
  <w:style w:type="paragraph" w:customStyle="1" w:styleId="ListNumber1Level4">
    <w:name w:val="List Number 1 (Level 4)"/>
    <w:basedOn w:val="Normal"/>
    <w:pPr>
      <w:tabs>
        <w:tab w:val="num" w:pos="3317"/>
      </w:tabs>
      <w:spacing w:before="0" w:after="240"/>
      <w:ind w:left="3317" w:hanging="709"/>
    </w:pPr>
    <w:rPr>
      <w:rFonts w:eastAsia="Times New Roman"/>
      <w:sz w:val="22"/>
      <w:szCs w:val="20"/>
    </w:rPr>
  </w:style>
  <w:style w:type="paragraph" w:customStyle="1" w:styleId="Participants">
    <w:name w:val="Participants"/>
    <w:basedOn w:val="Normal"/>
    <w:next w:val="Normal"/>
    <w:pPr>
      <w:tabs>
        <w:tab w:val="left" w:pos="2552"/>
        <w:tab w:val="left" w:pos="2835"/>
        <w:tab w:val="left" w:pos="5670"/>
        <w:tab w:val="left" w:pos="6379"/>
        <w:tab w:val="left" w:pos="6804"/>
      </w:tabs>
      <w:spacing w:before="480" w:after="60"/>
      <w:ind w:left="1985" w:hanging="1985"/>
      <w:jc w:val="left"/>
    </w:pPr>
    <w:rPr>
      <w:rFonts w:eastAsia="Times New Roman"/>
      <w:sz w:val="22"/>
      <w:szCs w:val="20"/>
    </w:rPr>
  </w:style>
  <w:style w:type="paragraph" w:customStyle="1" w:styleId="Keypointbold">
    <w:name w:val="Key point bold"/>
    <w:basedOn w:val="Normal"/>
    <w:pPr>
      <w:pBdr>
        <w:top w:val="single" w:sz="4" w:space="1" w:color="FF0000" w:shadow="1"/>
        <w:left w:val="single" w:sz="4" w:space="4" w:color="FF0000" w:shadow="1"/>
        <w:bottom w:val="single" w:sz="4" w:space="1" w:color="FF0000" w:shadow="1"/>
        <w:right w:val="single" w:sz="4" w:space="4" w:color="FF0000" w:shadow="1"/>
      </w:pBdr>
      <w:spacing w:before="0" w:after="60"/>
    </w:pPr>
    <w:rPr>
      <w:rFonts w:ascii="Arial Narrow" w:eastAsia="Times New Roman" w:hAnsi="Arial Narrow"/>
      <w:b/>
      <w:i/>
      <w:sz w:val="22"/>
      <w:szCs w:val="20"/>
    </w:rPr>
  </w:style>
  <w:style w:type="paragraph" w:styleId="PlainText">
    <w:name w:val="Plain Text"/>
    <w:basedOn w:val="Normal"/>
    <w:link w:val="PlainTextChar"/>
    <w:pPr>
      <w:spacing w:before="0" w:after="60"/>
      <w:jc w:val="left"/>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eastAsia="bg-BG"/>
    </w:rPr>
  </w:style>
  <w:style w:type="paragraph" w:customStyle="1" w:styleId="DefinitionList">
    <w:name w:val="Definition List"/>
    <w:basedOn w:val="Normal"/>
    <w:next w:val="Normal"/>
    <w:pPr>
      <w:spacing w:before="0" w:after="60"/>
      <w:ind w:left="360"/>
      <w:jc w:val="left"/>
    </w:pPr>
    <w:rPr>
      <w:rFonts w:eastAsia="Times New Roman"/>
      <w:snapToGrid w:val="0"/>
      <w:sz w:val="22"/>
      <w:szCs w:val="20"/>
    </w:rPr>
  </w:style>
  <w:style w:type="paragraph" w:customStyle="1" w:styleId="Figure">
    <w:name w:val="Figure"/>
    <w:basedOn w:val="Normal"/>
    <w:pPr>
      <w:widowControl w:val="0"/>
      <w:overflowPunct w:val="0"/>
      <w:autoSpaceDE w:val="0"/>
      <w:autoSpaceDN w:val="0"/>
      <w:adjustRightInd w:val="0"/>
      <w:spacing w:before="60"/>
      <w:jc w:val="center"/>
      <w:textAlignment w:val="baseline"/>
    </w:pPr>
    <w:rPr>
      <w:rFonts w:eastAsia="Times New Roman"/>
      <w:sz w:val="22"/>
      <w:szCs w:val="20"/>
    </w:rPr>
  </w:style>
  <w:style w:type="paragraph" w:customStyle="1" w:styleId="COVERTITLE">
    <w:name w:val="COVER TITLE"/>
    <w:basedOn w:val="Normal"/>
    <w:pPr>
      <w:tabs>
        <w:tab w:val="left" w:pos="1134"/>
        <w:tab w:val="left" w:pos="1701"/>
        <w:tab w:val="left" w:pos="2268"/>
      </w:tabs>
      <w:overflowPunct w:val="0"/>
      <w:autoSpaceDE w:val="0"/>
      <w:autoSpaceDN w:val="0"/>
      <w:adjustRightInd w:val="0"/>
      <w:spacing w:before="240" w:after="60"/>
      <w:ind w:left="567"/>
      <w:jc w:val="center"/>
      <w:textAlignment w:val="baseline"/>
    </w:pPr>
    <w:rPr>
      <w:rFonts w:eastAsia="Times New Roman"/>
      <w:b/>
      <w:smallCaps/>
      <w:sz w:val="32"/>
      <w:szCs w:val="20"/>
    </w:rPr>
  </w:style>
  <w:style w:type="paragraph" w:customStyle="1" w:styleId="Heading1Heading1CFMUPara1h1OS114pt">
    <w:name w:val="Heading 1Heading 1 CFMUPara 1h1OS1 + 14 pt"/>
    <w:basedOn w:val="Heading1"/>
    <w:pPr>
      <w:keepNext w:val="0"/>
      <w:keepLines/>
      <w:pageBreakBefore/>
      <w:numPr>
        <w:numId w:val="0"/>
      </w:numPr>
      <w:tabs>
        <w:tab w:val="num" w:pos="432"/>
      </w:tabs>
      <w:spacing w:before="120" w:after="240"/>
      <w:ind w:left="431" w:hanging="431"/>
      <w:jc w:val="left"/>
    </w:pPr>
    <w:rPr>
      <w:rFonts w:eastAsia="Times New Roman"/>
      <w:caps/>
      <w:smallCaps w:val="0"/>
      <w:sz w:val="28"/>
    </w:rPr>
  </w:style>
  <w:style w:type="paragraph" w:customStyle="1" w:styleId="bullet10">
    <w:name w:val="bullet1"/>
    <w:basedOn w:val="Normal"/>
    <w:pPr>
      <w:tabs>
        <w:tab w:val="num" w:pos="1080"/>
      </w:tabs>
      <w:spacing w:before="60" w:after="60"/>
      <w:ind w:left="1080" w:hanging="360"/>
      <w:jc w:val="left"/>
    </w:pPr>
    <w:rPr>
      <w:rFonts w:eastAsia="Times New Roman"/>
      <w:sz w:val="22"/>
      <w:szCs w:val="20"/>
    </w:rPr>
  </w:style>
  <w:style w:type="character" w:customStyle="1" w:styleId="normal1">
    <w:name w:val="normal1"/>
    <w:rPr>
      <w:rFonts w:ascii="Verdana" w:hAnsi="Verdana" w:hint="default"/>
      <w:b w:val="0"/>
      <w:bCs w:val="0"/>
      <w:sz w:val="17"/>
      <w:szCs w:val="17"/>
    </w:rPr>
  </w:style>
  <w:style w:type="paragraph" w:customStyle="1" w:styleId="Style1">
    <w:name w:val="Style1"/>
    <w:basedOn w:val="TOC1"/>
    <w:pPr>
      <w:tabs>
        <w:tab w:val="clear" w:pos="9071"/>
        <w:tab w:val="left" w:pos="960"/>
        <w:tab w:val="right" w:leader="dot" w:pos="9526"/>
      </w:tabs>
      <w:ind w:left="567" w:hanging="567"/>
    </w:pPr>
    <w:rPr>
      <w:rFonts w:eastAsia="Times New Roman"/>
      <w:b/>
      <w:smallCaps/>
      <w:noProof/>
      <w:sz w:val="28"/>
      <w:szCs w:val="28"/>
    </w:rPr>
  </w:style>
  <w:style w:type="paragraph" w:customStyle="1" w:styleId="NormalItemLast">
    <w:name w:val="Normal Item Last"/>
    <w:basedOn w:val="NormalItem"/>
    <w:next w:val="Normal"/>
    <w:pPr>
      <w:keepNext/>
      <w:keepLines/>
      <w:tabs>
        <w:tab w:val="num" w:pos="360"/>
      </w:tabs>
      <w:spacing w:before="0" w:after="120"/>
      <w:ind w:left="360" w:hanging="360"/>
      <w:jc w:val="both"/>
    </w:pPr>
    <w:rPr>
      <w:szCs w:val="24"/>
    </w:rPr>
  </w:style>
  <w:style w:type="paragraph" w:customStyle="1" w:styleId="NormalTitle">
    <w:name w:val="Normal Title"/>
    <w:basedOn w:val="Normal"/>
    <w:pPr>
      <w:spacing w:before="240" w:after="60"/>
      <w:ind w:left="2269" w:hanging="1702"/>
    </w:pPr>
    <w:rPr>
      <w:rFonts w:eastAsia="Times New Roman"/>
      <w:b/>
      <w:bCs/>
      <w:sz w:val="28"/>
      <w:szCs w:val="28"/>
    </w:rPr>
  </w:style>
  <w:style w:type="paragraph" w:customStyle="1" w:styleId="NormalCR">
    <w:name w:val="NormalCR"/>
    <w:basedOn w:val="Normal"/>
    <w:pPr>
      <w:spacing w:before="0" w:after="60"/>
      <w:jc w:val="left"/>
    </w:pPr>
    <w:rPr>
      <w:rFonts w:eastAsia="Times New Roman"/>
      <w:sz w:val="22"/>
    </w:rPr>
  </w:style>
  <w:style w:type="paragraph" w:customStyle="1" w:styleId="TableL01">
    <w:name w:val="Table L0.1"/>
    <w:basedOn w:val="Normal"/>
    <w:pPr>
      <w:spacing w:before="0" w:after="60"/>
      <w:ind w:left="113"/>
      <w:jc w:val="left"/>
    </w:pPr>
    <w:rPr>
      <w:rFonts w:eastAsia="Times New Roman"/>
      <w:iCs/>
      <w:sz w:val="22"/>
      <w:szCs w:val="18"/>
    </w:rPr>
  </w:style>
  <w:style w:type="paragraph" w:customStyle="1" w:styleId="TextTableCent">
    <w:name w:val="Text Table Cent"/>
    <w:basedOn w:val="Normal"/>
    <w:pPr>
      <w:keepNext/>
      <w:keepLines/>
      <w:spacing w:before="40" w:after="40" w:line="240" w:lineRule="exact"/>
      <w:jc w:val="center"/>
    </w:pPr>
    <w:rPr>
      <w:rFonts w:ascii="Arial" w:eastAsia="Times New Roman" w:hAnsi="Arial" w:cs="Arial"/>
      <w:sz w:val="18"/>
      <w:szCs w:val="18"/>
    </w:rPr>
  </w:style>
  <w:style w:type="paragraph" w:customStyle="1" w:styleId="TableCell0">
    <w:name w:val="Table Cell"/>
    <w:basedOn w:val="Normal"/>
    <w:pPr>
      <w:widowControl w:val="0"/>
      <w:spacing w:before="0" w:after="60"/>
    </w:pPr>
    <w:rPr>
      <w:rFonts w:eastAsia="Times New Roman"/>
      <w:sz w:val="22"/>
      <w:szCs w:val="20"/>
    </w:rPr>
  </w:style>
  <w:style w:type="paragraph" w:customStyle="1" w:styleId="Requirement">
    <w:name w:val="Requirement"/>
    <w:basedOn w:val="Normal"/>
    <w:pPr>
      <w:widowControl w:val="0"/>
      <w:tabs>
        <w:tab w:val="left" w:pos="840"/>
      </w:tabs>
      <w:spacing w:before="240" w:after="60"/>
      <w:ind w:right="80"/>
    </w:pPr>
    <w:rPr>
      <w:rFonts w:eastAsia="Times New Roman"/>
      <w:sz w:val="20"/>
      <w:szCs w:val="20"/>
    </w:rPr>
  </w:style>
  <w:style w:type="paragraph" w:customStyle="1" w:styleId="DGXXI">
    <w:name w:val="DGXXI"/>
    <w:basedOn w:val="Normal"/>
    <w:pPr>
      <w:widowControl w:val="0"/>
      <w:pBdr>
        <w:top w:val="double" w:sz="6" w:space="3" w:color="auto"/>
        <w:left w:val="double" w:sz="6" w:space="3" w:color="auto"/>
        <w:bottom w:val="double" w:sz="6" w:space="3" w:color="auto"/>
        <w:right w:val="double" w:sz="6" w:space="3" w:color="auto"/>
      </w:pBdr>
      <w:tabs>
        <w:tab w:val="left" w:pos="1134"/>
        <w:tab w:val="left" w:pos="1701"/>
        <w:tab w:val="left" w:pos="2268"/>
      </w:tabs>
      <w:spacing w:before="60" w:after="60"/>
      <w:ind w:left="1134"/>
    </w:pPr>
    <w:rPr>
      <w:rFonts w:eastAsia="Times New Roman"/>
      <w:color w:val="FF0000"/>
      <w:sz w:val="22"/>
      <w:szCs w:val="20"/>
    </w:rPr>
  </w:style>
  <w:style w:type="paragraph" w:customStyle="1" w:styleId="Tablespace">
    <w:name w:val="Table space"/>
    <w:basedOn w:val="Normal"/>
    <w:next w:val="Normal"/>
    <w:pPr>
      <w:keepLines/>
      <w:spacing w:before="0" w:after="60"/>
      <w:jc w:val="center"/>
    </w:pPr>
    <w:rPr>
      <w:rFonts w:ascii="Arial Narrow" w:eastAsia="Times New Roman" w:hAnsi="Arial Narrow"/>
      <w:sz w:val="22"/>
      <w:szCs w:val="20"/>
    </w:rPr>
  </w:style>
  <w:style w:type="paragraph" w:customStyle="1" w:styleId="TableHeaderStyleCFMU">
    <w:name w:val="TableHeaderStyle CFMU"/>
    <w:basedOn w:val="Normal"/>
    <w:pPr>
      <w:tabs>
        <w:tab w:val="left" w:pos="567"/>
        <w:tab w:val="left" w:pos="1134"/>
        <w:tab w:val="left" w:pos="1701"/>
        <w:tab w:val="left" w:pos="2268"/>
        <w:tab w:val="left" w:pos="2835"/>
      </w:tabs>
      <w:spacing w:before="240" w:after="240"/>
      <w:jc w:val="center"/>
    </w:pPr>
    <w:rPr>
      <w:rFonts w:ascii="Arial" w:eastAsia="Times New Roman" w:hAnsi="Arial"/>
      <w:b/>
      <w:sz w:val="20"/>
      <w:szCs w:val="20"/>
    </w:rPr>
  </w:style>
  <w:style w:type="paragraph" w:customStyle="1" w:styleId="TableColomnTitle">
    <w:name w:val="Table Colomn Title"/>
    <w:basedOn w:val="TableCell0"/>
    <w:pPr>
      <w:widowControl/>
      <w:spacing w:before="120" w:after="0"/>
    </w:pPr>
    <w:rPr>
      <w:b/>
    </w:rPr>
  </w:style>
  <w:style w:type="paragraph" w:customStyle="1" w:styleId="TableRowTitle">
    <w:name w:val="Table Row Title"/>
    <w:basedOn w:val="Normal"/>
    <w:pPr>
      <w:spacing w:before="60" w:after="60"/>
    </w:pPr>
    <w:rPr>
      <w:rFonts w:eastAsia="Times New Roman"/>
      <w:b/>
      <w:sz w:val="22"/>
      <w:szCs w:val="20"/>
    </w:rPr>
  </w:style>
  <w:style w:type="paragraph" w:customStyle="1" w:styleId="Normalcach">
    <w:name w:val="Normal caché"/>
    <w:basedOn w:val="Normal"/>
    <w:pPr>
      <w:spacing w:before="60" w:after="60"/>
    </w:pPr>
    <w:rPr>
      <w:rFonts w:eastAsia="Times New Roman"/>
      <w:vanish/>
      <w:sz w:val="22"/>
      <w:szCs w:val="20"/>
    </w:rPr>
  </w:style>
  <w:style w:type="paragraph" w:customStyle="1" w:styleId="FRSAbstract">
    <w:name w:val="FRS Abstract"/>
    <w:basedOn w:val="FRSDescription"/>
    <w:next w:val="FRSDescription"/>
    <w:rPr>
      <w:vanish/>
    </w:rPr>
  </w:style>
  <w:style w:type="paragraph" w:customStyle="1" w:styleId="FRSDescription">
    <w:name w:val="FRS Description"/>
    <w:basedOn w:val="Normal"/>
    <w:next w:val="Normal"/>
    <w:pPr>
      <w:spacing w:before="60" w:after="60"/>
      <w:ind w:left="1418" w:hanging="1418"/>
    </w:pPr>
    <w:rPr>
      <w:rFonts w:eastAsia="Times New Roman"/>
      <w:sz w:val="22"/>
      <w:szCs w:val="20"/>
    </w:rPr>
  </w:style>
  <w:style w:type="paragraph" w:customStyle="1" w:styleId="Code">
    <w:name w:val="Code"/>
    <w:basedOn w:val="Normal"/>
    <w:pPr>
      <w:tabs>
        <w:tab w:val="left" w:pos="426"/>
        <w:tab w:val="left" w:pos="851"/>
        <w:tab w:val="left" w:pos="1276"/>
        <w:tab w:val="left" w:pos="1701"/>
        <w:tab w:val="left" w:pos="2127"/>
        <w:tab w:val="left" w:pos="2410"/>
        <w:tab w:val="left" w:pos="2835"/>
      </w:tabs>
      <w:spacing w:before="60" w:after="60"/>
      <w:ind w:left="340"/>
    </w:pPr>
    <w:rPr>
      <w:rFonts w:ascii="Courier New" w:eastAsia="Times New Roman" w:hAnsi="Courier New"/>
      <w:noProof/>
      <w:sz w:val="18"/>
      <w:szCs w:val="20"/>
    </w:rPr>
  </w:style>
  <w:style w:type="paragraph" w:customStyle="1" w:styleId="indent3">
    <w:name w:val="indent 3"/>
    <w:basedOn w:val="indent2"/>
    <w:pPr>
      <w:keepLines w:val="0"/>
      <w:tabs>
        <w:tab w:val="left" w:pos="5954"/>
      </w:tabs>
      <w:spacing w:before="60" w:after="60"/>
      <w:ind w:left="1276" w:hanging="425"/>
      <w:jc w:val="both"/>
    </w:pPr>
    <w:rPr>
      <w:sz w:val="22"/>
    </w:rPr>
  </w:style>
  <w:style w:type="paragraph" w:customStyle="1" w:styleId="FRSReference">
    <w:name w:val="FRS Reference"/>
    <w:basedOn w:val="Normal"/>
    <w:next w:val="FRSAbstract"/>
    <w:pPr>
      <w:tabs>
        <w:tab w:val="left" w:pos="4111"/>
        <w:tab w:val="left" w:pos="6237"/>
      </w:tabs>
      <w:spacing w:before="60" w:after="60"/>
      <w:ind w:left="1418" w:hanging="1418"/>
    </w:pPr>
    <w:rPr>
      <w:rFonts w:eastAsia="Times New Roman"/>
      <w:sz w:val="22"/>
      <w:szCs w:val="20"/>
    </w:rPr>
  </w:style>
  <w:style w:type="paragraph" w:customStyle="1" w:styleId="normalbold14">
    <w:name w:val="normalbold14"/>
    <w:basedOn w:val="Normal"/>
    <w:pPr>
      <w:keepNext/>
      <w:tabs>
        <w:tab w:val="left" w:pos="1134"/>
        <w:tab w:val="left" w:pos="1701"/>
        <w:tab w:val="left" w:pos="2268"/>
      </w:tabs>
      <w:spacing w:before="240" w:after="60"/>
      <w:ind w:left="1134" w:hanging="1134"/>
    </w:pPr>
    <w:rPr>
      <w:rFonts w:eastAsia="Times New Roman"/>
      <w:b/>
      <w:sz w:val="28"/>
      <w:szCs w:val="20"/>
    </w:rPr>
  </w:style>
  <w:style w:type="paragraph" w:customStyle="1" w:styleId="NormalBold">
    <w:name w:val="NormalBold"/>
    <w:basedOn w:val="Normal"/>
    <w:pPr>
      <w:keepNext/>
      <w:tabs>
        <w:tab w:val="left" w:pos="1134"/>
        <w:tab w:val="left" w:pos="1701"/>
        <w:tab w:val="left" w:pos="2268"/>
      </w:tabs>
      <w:spacing w:before="240" w:after="60"/>
      <w:ind w:left="567"/>
    </w:pPr>
    <w:rPr>
      <w:rFonts w:eastAsia="Times New Roman"/>
      <w:b/>
      <w:sz w:val="22"/>
      <w:szCs w:val="20"/>
    </w:rPr>
  </w:style>
  <w:style w:type="paragraph" w:customStyle="1" w:styleId="NormalIndent1">
    <w:name w:val="Normal Indent 1"/>
    <w:basedOn w:val="Normal"/>
    <w:pPr>
      <w:spacing w:before="60" w:after="60"/>
      <w:ind w:left="284"/>
      <w:jc w:val="left"/>
    </w:pPr>
    <w:rPr>
      <w:rFonts w:eastAsia="Times New Roman"/>
      <w:sz w:val="22"/>
      <w:szCs w:val="20"/>
    </w:rPr>
  </w:style>
  <w:style w:type="paragraph" w:customStyle="1" w:styleId="Normalar">
    <w:name w:val="Normal_aéré"/>
    <w:basedOn w:val="Normal"/>
    <w:pPr>
      <w:spacing w:before="60"/>
    </w:pPr>
    <w:rPr>
      <w:rFonts w:eastAsia="Times New Roman"/>
      <w:sz w:val="22"/>
      <w:szCs w:val="20"/>
    </w:rPr>
  </w:style>
  <w:style w:type="paragraph" w:customStyle="1" w:styleId="indent10">
    <w:name w:val="indent1"/>
    <w:basedOn w:val="Normal"/>
    <w:pPr>
      <w:spacing w:before="72" w:after="60"/>
      <w:ind w:left="851" w:right="-2" w:hanging="284"/>
    </w:pPr>
    <w:rPr>
      <w:rFonts w:eastAsia="Times New Roman"/>
      <w:sz w:val="22"/>
      <w:szCs w:val="20"/>
    </w:rPr>
  </w:style>
  <w:style w:type="paragraph" w:customStyle="1" w:styleId="TitTabl1">
    <w:name w:val="Tit Tabl1"/>
    <w:basedOn w:val="Normal"/>
    <w:pPr>
      <w:keepNext/>
      <w:keepLines/>
      <w:spacing w:before="40" w:after="40" w:line="240" w:lineRule="exact"/>
      <w:jc w:val="center"/>
    </w:pPr>
    <w:rPr>
      <w:rFonts w:ascii="Arial" w:eastAsia="Times New Roman" w:hAnsi="Arial"/>
      <w:b/>
      <w:caps/>
      <w:color w:val="000080"/>
      <w:sz w:val="18"/>
      <w:szCs w:val="20"/>
    </w:rPr>
  </w:style>
  <w:style w:type="paragraph" w:customStyle="1" w:styleId="HeadingTemplate">
    <w:name w:val="HeadingTemplate"/>
    <w:basedOn w:val="Normal"/>
    <w:pPr>
      <w:keepNext/>
      <w:keepLines/>
      <w:spacing w:before="60"/>
      <w:jc w:val="left"/>
    </w:pPr>
    <w:rPr>
      <w:rFonts w:ascii="Arial" w:eastAsia="Times New Roman" w:hAnsi="Arial"/>
      <w:b/>
      <w:i/>
      <w:smallCaps/>
      <w:sz w:val="22"/>
      <w:szCs w:val="20"/>
    </w:rPr>
  </w:style>
  <w:style w:type="paragraph" w:customStyle="1" w:styleId="Retrait">
    <w:name w:val="Retrait"/>
    <w:basedOn w:val="Normal"/>
    <w:pPr>
      <w:tabs>
        <w:tab w:val="left" w:pos="1985"/>
      </w:tabs>
      <w:spacing w:before="72" w:after="60"/>
      <w:ind w:left="611" w:right="-2" w:hanging="283"/>
    </w:pPr>
    <w:rPr>
      <w:rFonts w:eastAsia="Times New Roman"/>
      <w:sz w:val="22"/>
      <w:szCs w:val="20"/>
    </w:rPr>
  </w:style>
  <w:style w:type="paragraph" w:customStyle="1" w:styleId="P1">
    <w:name w:val="P1"/>
    <w:basedOn w:val="Normal"/>
    <w:pPr>
      <w:keepLines/>
      <w:spacing w:before="80" w:after="80"/>
    </w:pPr>
    <w:rPr>
      <w:rFonts w:eastAsia="Times New Roman"/>
      <w:sz w:val="22"/>
      <w:szCs w:val="20"/>
    </w:rPr>
  </w:style>
  <w:style w:type="paragraph" w:customStyle="1" w:styleId="indent14">
    <w:name w:val="indent 14"/>
    <w:basedOn w:val="Normal"/>
    <w:pPr>
      <w:spacing w:before="0" w:after="60"/>
      <w:ind w:left="426" w:hanging="426"/>
    </w:pPr>
    <w:rPr>
      <w:rFonts w:eastAsia="Times New Roman"/>
      <w:sz w:val="22"/>
      <w:szCs w:val="20"/>
    </w:rPr>
  </w:style>
  <w:style w:type="paragraph" w:customStyle="1" w:styleId="entte">
    <w:name w:val="en tête"/>
    <w:basedOn w:val="Normal"/>
    <w:pPr>
      <w:tabs>
        <w:tab w:val="left" w:pos="5380"/>
        <w:tab w:val="left" w:pos="6280"/>
      </w:tabs>
      <w:spacing w:before="0" w:after="60"/>
      <w:ind w:right="-582"/>
    </w:pPr>
    <w:rPr>
      <w:rFonts w:ascii="Times" w:eastAsia="Times New Roman" w:hAnsi="Times"/>
      <w:sz w:val="20"/>
      <w:szCs w:val="20"/>
    </w:rPr>
  </w:style>
  <w:style w:type="character" w:customStyle="1" w:styleId="Normalit">
    <w:name w:val="Normal it"/>
  </w:style>
  <w:style w:type="paragraph" w:customStyle="1" w:styleId="case">
    <w:name w:val="case"/>
    <w:basedOn w:val="Normal"/>
    <w:pPr>
      <w:tabs>
        <w:tab w:val="left" w:pos="5120"/>
        <w:tab w:val="right" w:pos="9200"/>
      </w:tabs>
      <w:spacing w:before="0" w:after="60"/>
      <w:ind w:right="55"/>
      <w:jc w:val="center"/>
    </w:pPr>
    <w:rPr>
      <w:rFonts w:ascii="Times" w:eastAsia="Times New Roman" w:hAnsi="Times"/>
      <w:noProof/>
      <w:sz w:val="20"/>
      <w:szCs w:val="20"/>
    </w:rPr>
  </w:style>
  <w:style w:type="paragraph" w:customStyle="1" w:styleId="casetitre">
    <w:name w:val="case titre"/>
    <w:basedOn w:val="Normal"/>
    <w:pPr>
      <w:tabs>
        <w:tab w:val="left" w:pos="5120"/>
        <w:tab w:val="right" w:pos="9200"/>
      </w:tabs>
      <w:spacing w:before="60" w:after="60"/>
      <w:ind w:right="55"/>
      <w:jc w:val="left"/>
    </w:pPr>
    <w:rPr>
      <w:rFonts w:ascii="Times" w:eastAsia="Times New Roman" w:hAnsi="Times"/>
      <w:b/>
      <w:noProof/>
      <w:sz w:val="20"/>
      <w:szCs w:val="20"/>
      <w:u w:val="single"/>
    </w:rPr>
  </w:style>
  <w:style w:type="paragraph" w:customStyle="1" w:styleId="indent15">
    <w:name w:val="indent 15"/>
    <w:basedOn w:val="Normal"/>
    <w:pPr>
      <w:spacing w:before="0" w:after="60"/>
      <w:ind w:left="426" w:hanging="426"/>
    </w:pPr>
    <w:rPr>
      <w:rFonts w:eastAsia="Times New Roman"/>
      <w:sz w:val="22"/>
      <w:szCs w:val="20"/>
    </w:rPr>
  </w:style>
  <w:style w:type="paragraph" w:customStyle="1" w:styleId="ident-1">
    <w:name w:val="ident-1"/>
    <w:basedOn w:val="indent15"/>
    <w:pPr>
      <w:ind w:left="2835" w:hanging="2835"/>
    </w:pPr>
  </w:style>
  <w:style w:type="paragraph" w:customStyle="1" w:styleId="figure1">
    <w:name w:val="figure1"/>
    <w:basedOn w:val="Sous-retrait"/>
    <w:pPr>
      <w:spacing w:after="120"/>
      <w:ind w:left="0" w:hanging="8"/>
      <w:jc w:val="center"/>
    </w:pPr>
    <w:rPr>
      <w:b/>
      <w:sz w:val="28"/>
    </w:rPr>
  </w:style>
  <w:style w:type="paragraph" w:customStyle="1" w:styleId="Sous-retrait">
    <w:name w:val="Sous-retrait"/>
    <w:basedOn w:val="Normal"/>
    <w:pPr>
      <w:tabs>
        <w:tab w:val="left" w:pos="4253"/>
        <w:tab w:val="left" w:pos="5671"/>
      </w:tabs>
      <w:spacing w:before="72" w:after="60"/>
      <w:ind w:left="840" w:hanging="227"/>
    </w:pPr>
    <w:rPr>
      <w:rFonts w:eastAsia="Times New Roman"/>
      <w:sz w:val="22"/>
      <w:szCs w:val="20"/>
    </w:rPr>
  </w:style>
  <w:style w:type="paragraph" w:customStyle="1" w:styleId="indent26">
    <w:name w:val="indent 26"/>
    <w:basedOn w:val="Normal"/>
    <w:pPr>
      <w:tabs>
        <w:tab w:val="left" w:pos="5954"/>
      </w:tabs>
      <w:spacing w:before="0" w:after="60"/>
      <w:ind w:left="851" w:hanging="425"/>
    </w:pPr>
    <w:rPr>
      <w:rFonts w:eastAsia="Times New Roman"/>
      <w:sz w:val="22"/>
      <w:szCs w:val="20"/>
    </w:rPr>
  </w:style>
  <w:style w:type="paragraph" w:customStyle="1" w:styleId="Puce2">
    <w:name w:val="Puce 2"/>
    <w:basedOn w:val="Normal"/>
    <w:pPr>
      <w:tabs>
        <w:tab w:val="num" w:pos="426"/>
        <w:tab w:val="num" w:pos="1134"/>
      </w:tabs>
      <w:spacing w:before="240" w:after="60"/>
      <w:ind w:left="426" w:hanging="567"/>
      <w:jc w:val="left"/>
    </w:pPr>
    <w:rPr>
      <w:rFonts w:ascii="Arial" w:eastAsia="Times New Roman" w:hAnsi="Arial"/>
      <w:sz w:val="22"/>
      <w:szCs w:val="20"/>
    </w:rPr>
  </w:style>
  <w:style w:type="paragraph" w:customStyle="1" w:styleId="ControlPageTable">
    <w:name w:val="ControlPageTable"/>
    <w:basedOn w:val="Normal"/>
    <w:pPr>
      <w:tabs>
        <w:tab w:val="left" w:pos="567"/>
      </w:tabs>
      <w:spacing w:before="0" w:after="60"/>
      <w:jc w:val="left"/>
    </w:pPr>
    <w:rPr>
      <w:rFonts w:ascii="Arial" w:eastAsia="Times New Roman" w:hAnsi="Arial"/>
      <w:sz w:val="22"/>
      <w:szCs w:val="20"/>
    </w:rPr>
  </w:style>
  <w:style w:type="paragraph" w:customStyle="1" w:styleId="titre">
    <w:name w:val="titre"/>
    <w:basedOn w:val="Normal"/>
    <w:pPr>
      <w:spacing w:before="0"/>
      <w:ind w:right="284"/>
    </w:pPr>
    <w:rPr>
      <w:rFonts w:ascii="CG Times (W1)" w:eastAsia="Times New Roman" w:hAnsi="CG Times (W1)"/>
      <w:i/>
      <w:sz w:val="22"/>
      <w:szCs w:val="20"/>
    </w:rPr>
  </w:style>
  <w:style w:type="paragraph" w:customStyle="1" w:styleId="Normalgras">
    <w:name w:val="Normal gras"/>
    <w:basedOn w:val="Normal"/>
    <w:pPr>
      <w:spacing w:before="60" w:after="60"/>
    </w:pPr>
    <w:rPr>
      <w:rFonts w:ascii="CG Times (W1)" w:eastAsia="Times New Roman" w:hAnsi="CG Times (W1)"/>
      <w:b/>
      <w:sz w:val="22"/>
      <w:szCs w:val="20"/>
    </w:rPr>
  </w:style>
  <w:style w:type="paragraph" w:customStyle="1" w:styleId="ListBullet11">
    <w:name w:val="List Bullet 1.1"/>
    <w:basedOn w:val="Normal"/>
    <w:pPr>
      <w:keepLines/>
      <w:tabs>
        <w:tab w:val="num" w:pos="720"/>
      </w:tabs>
      <w:spacing w:before="60" w:after="60"/>
      <w:ind w:left="720" w:hanging="720"/>
    </w:pPr>
    <w:rPr>
      <w:rFonts w:eastAsia="Times New Roman"/>
      <w:sz w:val="22"/>
      <w:szCs w:val="20"/>
    </w:rPr>
  </w:style>
  <w:style w:type="paragraph" w:customStyle="1" w:styleId="Heading4Heading4CFMUPara4h41">
    <w:name w:val="Heading 4.Heading 4 CFMU.Para 4.h41"/>
    <w:basedOn w:val="Normal"/>
    <w:pPr>
      <w:spacing w:before="60" w:after="60"/>
    </w:pPr>
    <w:rPr>
      <w:rFonts w:eastAsia="Times New Roman"/>
      <w:sz w:val="22"/>
      <w:szCs w:val="20"/>
    </w:rPr>
  </w:style>
  <w:style w:type="paragraph" w:customStyle="1" w:styleId="HistoryLine1">
    <w:name w:val="History Line 1"/>
    <w:basedOn w:val="Normal"/>
    <w:next w:val="Normal"/>
    <w:pPr>
      <w:keepNext/>
      <w:keepLines/>
      <w:spacing w:before="60" w:after="60"/>
      <w:jc w:val="left"/>
    </w:pPr>
    <w:rPr>
      <w:rFonts w:ascii="Century Gothic" w:eastAsia="Times New Roman" w:hAnsi="Century Gothic"/>
      <w:b/>
      <w:i/>
      <w:caps/>
      <w:sz w:val="18"/>
      <w:szCs w:val="20"/>
    </w:rPr>
  </w:style>
  <w:style w:type="paragraph" w:customStyle="1" w:styleId="HistoryLine2">
    <w:name w:val="History Line 2"/>
    <w:basedOn w:val="HistoryLine1"/>
    <w:next w:val="Normal"/>
    <w:pPr>
      <w:spacing w:after="20"/>
    </w:pPr>
    <w:rPr>
      <w:b w:val="0"/>
      <w:caps w:val="0"/>
    </w:rPr>
  </w:style>
  <w:style w:type="paragraph" w:customStyle="1" w:styleId="HistoryLinen">
    <w:name w:val="History Line n"/>
    <w:basedOn w:val="HistoryLine2"/>
    <w:pPr>
      <w:spacing w:before="20"/>
    </w:pPr>
  </w:style>
  <w:style w:type="paragraph" w:customStyle="1" w:styleId="TextTableLeft">
    <w:name w:val="Text Table Left"/>
    <w:basedOn w:val="Normal"/>
    <w:pPr>
      <w:keepLines/>
      <w:spacing w:before="40" w:after="40"/>
      <w:jc w:val="left"/>
    </w:pPr>
    <w:rPr>
      <w:rFonts w:ascii="Arial" w:eastAsia="Times New Roman" w:hAnsi="Arial"/>
      <w:sz w:val="18"/>
      <w:szCs w:val="20"/>
    </w:rPr>
  </w:style>
  <w:style w:type="paragraph" w:customStyle="1" w:styleId="xl22">
    <w:name w:val="xl22"/>
    <w:basedOn w:val="Normal"/>
    <w:pPr>
      <w:pBdr>
        <w:left w:val="single" w:sz="4" w:space="0" w:color="000000"/>
      </w:pBdr>
      <w:spacing w:before="100" w:beforeAutospacing="1" w:after="100" w:afterAutospacing="1"/>
      <w:jc w:val="left"/>
    </w:pPr>
    <w:rPr>
      <w:rFonts w:ascii="Arial Unicode MS" w:eastAsia="Arial Unicode MS" w:hAnsi="Arial Unicode MS" w:cs="Arial Unicode MS"/>
      <w:sz w:val="22"/>
      <w:szCs w:val="24"/>
    </w:rPr>
  </w:style>
  <w:style w:type="paragraph" w:customStyle="1" w:styleId="xl23">
    <w:name w:val="xl23"/>
    <w:basedOn w:val="Normal"/>
    <w:pPr>
      <w:spacing w:before="100" w:beforeAutospacing="1" w:after="100" w:afterAutospacing="1"/>
      <w:jc w:val="left"/>
    </w:pPr>
    <w:rPr>
      <w:rFonts w:ascii="Arial Unicode MS" w:eastAsia="Arial Unicode MS" w:hAnsi="Arial Unicode MS" w:cs="Arial Unicode MS"/>
      <w:sz w:val="22"/>
      <w:szCs w:val="24"/>
    </w:rPr>
  </w:style>
  <w:style w:type="paragraph" w:customStyle="1" w:styleId="xl24">
    <w:name w:val="xl24"/>
    <w:basedOn w:val="Normal"/>
    <w:pPr>
      <w:spacing w:before="100" w:beforeAutospacing="1" w:after="100" w:afterAutospacing="1"/>
      <w:jc w:val="left"/>
    </w:pPr>
    <w:rPr>
      <w:rFonts w:ascii="Arial Unicode MS" w:eastAsia="Arial Unicode MS" w:hAnsi="Arial Unicode MS" w:cs="Arial Unicode MS"/>
      <w:sz w:val="22"/>
      <w:szCs w:val="24"/>
    </w:rPr>
  </w:style>
  <w:style w:type="paragraph" w:customStyle="1" w:styleId="xl25">
    <w:name w:val="xl25"/>
    <w:basedOn w:val="Normal"/>
    <w:pPr>
      <w:pBdr>
        <w:left w:val="single" w:sz="4" w:space="0" w:color="000000"/>
      </w:pBdr>
      <w:spacing w:before="100" w:beforeAutospacing="1" w:after="100" w:afterAutospacing="1"/>
      <w:jc w:val="left"/>
    </w:pPr>
    <w:rPr>
      <w:rFonts w:ascii="Arial Unicode MS" w:eastAsia="Arial Unicode MS" w:hAnsi="Arial Unicode MS" w:cs="Arial Unicode MS"/>
      <w:sz w:val="22"/>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36">
    <w:name w:val="xl36"/>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7">
    <w:name w:val="xl37"/>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38">
    <w:name w:val="xl38"/>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9">
    <w:name w:val="xl39"/>
    <w:basedOn w:val="Normal"/>
    <w:pPr>
      <w:pBdr>
        <w:left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1">
    <w:name w:val="xl41"/>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44">
    <w:name w:val="xl44"/>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5">
    <w:name w:val="xl45"/>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46">
    <w:name w:val="xl46"/>
    <w:basedOn w:val="Normal"/>
    <w:pPr>
      <w:pBdr>
        <w:top w:val="single" w:sz="4" w:space="0" w:color="auto"/>
        <w:left w:val="single" w:sz="4" w:space="0" w:color="auto"/>
        <w:bottom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7">
    <w:name w:val="xl47"/>
    <w:basedOn w:val="Normal"/>
    <w:pPr>
      <w:pBdr>
        <w:top w:val="single" w:sz="4" w:space="0" w:color="auto"/>
        <w:bottom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8">
    <w:name w:val="xl48"/>
    <w:basedOn w:val="Normal"/>
    <w:pPr>
      <w:pBdr>
        <w:top w:val="single" w:sz="4" w:space="0" w:color="auto"/>
        <w:bottom w:val="single" w:sz="4" w:space="0" w:color="auto"/>
        <w:right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rFonts w:ascii="Arial" w:eastAsia="Arial Unicode MS" w:hAnsi="Arial" w:cs="Arial"/>
      <w:sz w:val="16"/>
      <w:szCs w:val="16"/>
    </w:rPr>
  </w:style>
  <w:style w:type="paragraph" w:customStyle="1" w:styleId="xl50">
    <w:name w:val="xl50"/>
    <w:basedOn w:val="Normal"/>
    <w:pPr>
      <w:pBdr>
        <w:top w:val="single" w:sz="4" w:space="0" w:color="auto"/>
        <w:left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1">
    <w:name w:val="xl51"/>
    <w:basedOn w:val="Normal"/>
    <w:pPr>
      <w:pBdr>
        <w:left w:val="single" w:sz="4" w:space="0" w:color="auto"/>
        <w:bottom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pPr>
      <w:pBdr>
        <w:left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4">
    <w:name w:val="xl54"/>
    <w:basedOn w:val="Normal"/>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55">
    <w:name w:val="xl5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ase0">
    <w:name w:val="base"/>
    <w:basedOn w:val="Normal"/>
    <w:pPr>
      <w:spacing w:before="100" w:beforeAutospacing="1" w:after="100" w:afterAutospacing="1"/>
      <w:jc w:val="left"/>
    </w:pPr>
    <w:rPr>
      <w:rFonts w:ascii="Arial Unicode MS" w:eastAsia="Arial Unicode MS" w:hAnsi="Arial Unicode MS" w:cs="Arial Unicode MS"/>
      <w:sz w:val="22"/>
      <w:szCs w:val="24"/>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z w:val="22"/>
      <w:szCs w:val="24"/>
    </w:rPr>
  </w:style>
  <w:style w:type="character" w:styleId="Strong">
    <w:name w:val="Strong"/>
    <w:qFormat/>
    <w:rPr>
      <w:b/>
      <w:bCs/>
    </w:rPr>
  </w:style>
  <w:style w:type="paragraph" w:customStyle="1" w:styleId="Normal10">
    <w:name w:val="Normal1"/>
    <w:basedOn w:val="Normal"/>
    <w:pPr>
      <w:spacing w:before="0" w:after="60"/>
    </w:pPr>
    <w:rPr>
      <w:rFonts w:eastAsia="Times New Roman"/>
      <w:sz w:val="22"/>
      <w:szCs w:val="20"/>
    </w:rPr>
  </w:style>
  <w:style w:type="paragraph" w:styleId="z-TopofForm">
    <w:name w:val="HTML Top of Form"/>
    <w:basedOn w:val="Normal"/>
    <w:next w:val="Normal"/>
    <w:hidden/>
    <w:pPr>
      <w:pBdr>
        <w:bottom w:val="single" w:sz="6" w:space="1" w:color="auto"/>
      </w:pBdr>
      <w:spacing w:before="0" w:after="60"/>
      <w:jc w:val="center"/>
    </w:pPr>
    <w:rPr>
      <w:rFonts w:ascii="Arial" w:eastAsia="Arial Unicode MS" w:hAnsi="Arial" w:cs="Arial"/>
      <w:vanish/>
      <w:sz w:val="16"/>
      <w:szCs w:val="16"/>
    </w:rPr>
  </w:style>
  <w:style w:type="character" w:customStyle="1" w:styleId="z-TopofFormChar">
    <w:name w:val="z-Top of Form Char"/>
    <w:basedOn w:val="DefaultParagraphFont"/>
    <w:rPr>
      <w:rFonts w:ascii="Arial" w:eastAsia="Arial Unicode MS" w:hAnsi="Arial" w:cs="Arial"/>
      <w:vanish/>
      <w:sz w:val="16"/>
      <w:szCs w:val="16"/>
      <w:lang w:val="bg-BG"/>
    </w:rPr>
  </w:style>
  <w:style w:type="paragraph" w:customStyle="1" w:styleId="xl58">
    <w:name w:val="xl58"/>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59">
    <w:name w:val="xl59"/>
    <w:basedOn w:val="Normal"/>
    <w:pP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60">
    <w:name w:val="xl60"/>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1">
    <w:name w:val="xl61"/>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2">
    <w:name w:val="xl62"/>
    <w:basedOn w:val="Normal"/>
    <w:pPr>
      <w:pBdr>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3">
    <w:name w:val="xl63"/>
    <w:basedOn w:val="Normal"/>
    <w:pPr>
      <w:pBdr>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4">
    <w:name w:val="xl64"/>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5">
    <w:name w:val="xl65"/>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66">
    <w:name w:val="xl66"/>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7">
    <w:name w:val="xl67"/>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8">
    <w:name w:val="xl68"/>
    <w:basedOn w:val="Normal"/>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9">
    <w:name w:val="xl69"/>
    <w:basedOn w:val="Normal"/>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1">
    <w:name w:val="xl71"/>
    <w:basedOn w:val="Normal"/>
    <w:pPr>
      <w:pBdr>
        <w:top w:val="single" w:sz="4" w:space="0" w:color="000000"/>
        <w:bottom w:val="single" w:sz="4" w:space="0" w:color="000000"/>
      </w:pBdr>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3">
    <w:name w:val="xl73"/>
    <w:basedOn w:val="Normal"/>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4">
    <w:name w:val="xl74"/>
    <w:basedOn w:val="Normal"/>
    <w:pPr>
      <w:pBdr>
        <w:top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5">
    <w:name w:val="xl75"/>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7">
    <w:name w:val="xl77"/>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w:eastAsia="Arial Unicode MS" w:hAnsi="Arial" w:cs="Arial"/>
      <w:sz w:val="18"/>
      <w:szCs w:val="18"/>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9">
    <w:name w:val="xl79"/>
    <w:basedOn w:val="Normal"/>
    <w:pPr>
      <w:pBdr>
        <w:top w:val="single" w:sz="4" w:space="0" w:color="000000"/>
        <w:lef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0">
    <w:name w:val="xl80"/>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81">
    <w:name w:val="xl81"/>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83">
    <w:name w:val="xl83"/>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4">
    <w:name w:val="xl84"/>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85">
    <w:name w:val="xl85"/>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86">
    <w:name w:val="xl86"/>
    <w:basedOn w:val="Normal"/>
    <w:pPr>
      <w:pBdr>
        <w:top w:val="single" w:sz="4" w:space="0" w:color="000000"/>
        <w:left w:val="single" w:sz="4" w:space="0" w:color="000000"/>
        <w:bottom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87">
    <w:name w:val="xl87"/>
    <w:basedOn w:val="Normal"/>
    <w:pPr>
      <w:shd w:val="clear" w:color="auto" w:fill="CCCCCC"/>
      <w:spacing w:before="100" w:beforeAutospacing="1" w:after="100" w:afterAutospacing="1"/>
      <w:jc w:val="center"/>
    </w:pPr>
    <w:rPr>
      <w:rFonts w:ascii="Arial" w:eastAsia="Arial Unicode MS" w:hAnsi="Arial" w:cs="Arial"/>
      <w:color w:val="000000"/>
      <w:sz w:val="18"/>
      <w:szCs w:val="18"/>
    </w:rPr>
  </w:style>
  <w:style w:type="paragraph" w:customStyle="1" w:styleId="xl88">
    <w:name w:val="xl88"/>
    <w:basedOn w:val="Normal"/>
    <w:pPr>
      <w:pBdr>
        <w:top w:val="single" w:sz="4" w:space="0" w:color="000000"/>
        <w:bottom w:val="single" w:sz="4" w:space="0" w:color="000000"/>
      </w:pBdr>
      <w:shd w:val="clear" w:color="auto" w:fill="CCCCCC"/>
      <w:spacing w:before="100" w:beforeAutospacing="1" w:after="100" w:afterAutospacing="1"/>
      <w:jc w:val="left"/>
      <w:textAlignment w:val="center"/>
    </w:pPr>
    <w:rPr>
      <w:rFonts w:ascii="Arial" w:eastAsia="Arial Unicode MS" w:hAnsi="Arial" w:cs="Arial"/>
      <w:color w:val="000000"/>
      <w:sz w:val="18"/>
      <w:szCs w:val="18"/>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b/>
      <w:bCs/>
      <w:color w:val="FF0000"/>
      <w:sz w:val="18"/>
      <w:szCs w:val="18"/>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b/>
      <w:bCs/>
      <w:color w:val="000000"/>
      <w:sz w:val="18"/>
      <w:szCs w:val="18"/>
    </w:rPr>
  </w:style>
  <w:style w:type="paragraph" w:customStyle="1" w:styleId="xl92">
    <w:name w:val="xl92"/>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93">
    <w:name w:val="xl93"/>
    <w:basedOn w:val="Normal"/>
    <w:pPr>
      <w:pBdr>
        <w:top w:val="single" w:sz="4" w:space="0" w:color="000000"/>
        <w:left w:val="single" w:sz="4" w:space="0" w:color="000000"/>
        <w:bottom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94">
    <w:name w:val="xl94"/>
    <w:basedOn w:val="Normal"/>
    <w:pPr>
      <w:pBdr>
        <w:top w:val="single" w:sz="4" w:space="0" w:color="000000"/>
        <w:bottom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95">
    <w:name w:val="xl95"/>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96">
    <w:name w:val="xl96"/>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i/>
      <w:iCs/>
      <w:color w:val="000000"/>
      <w:sz w:val="18"/>
      <w:szCs w:val="18"/>
    </w:rPr>
  </w:style>
  <w:style w:type="paragraph" w:customStyle="1" w:styleId="xl98">
    <w:name w:val="xl98"/>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99">
    <w:name w:val="xl99"/>
    <w:basedOn w:val="Normal"/>
    <w:pPr>
      <w:pBdr>
        <w:top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100">
    <w:name w:val="xl100"/>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01">
    <w:name w:val="xl101"/>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102">
    <w:name w:val="xl102"/>
    <w:basedOn w:val="Normal"/>
    <w:pPr>
      <w:pBdr>
        <w:top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3">
    <w:name w:val="xl103"/>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4">
    <w:name w:val="xl104"/>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5">
    <w:name w:val="xl105"/>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w:eastAsia="Arial Unicode MS" w:hAnsi="Arial" w:cs="Arial"/>
      <w:color w:val="000000"/>
      <w:sz w:val="18"/>
      <w:szCs w:val="18"/>
    </w:rPr>
  </w:style>
  <w:style w:type="paragraph" w:customStyle="1" w:styleId="xl106">
    <w:name w:val="xl106"/>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7">
    <w:name w:val="xl107"/>
    <w:basedOn w:val="Normal"/>
    <w:pPr>
      <w:pBdr>
        <w:top w:val="single" w:sz="4" w:space="0" w:color="000000"/>
        <w:left w:val="single" w:sz="4" w:space="0" w:color="000000"/>
        <w:bottom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08">
    <w:name w:val="xl10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09">
    <w:name w:val="xl10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10">
    <w:name w:val="xl110"/>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1">
    <w:name w:val="xl111"/>
    <w:basedOn w:val="Normal"/>
    <w:pPr>
      <w:pBdr>
        <w:top w:val="single" w:sz="4" w:space="0" w:color="000000"/>
        <w:left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2">
    <w:name w:val="xl112"/>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3">
    <w:name w:val="xl113"/>
    <w:basedOn w:val="Normal"/>
    <w:pPr>
      <w:pBdr>
        <w:top w:val="single" w:sz="4" w:space="0" w:color="000000"/>
        <w:bottom w:val="single" w:sz="4" w:space="0" w:color="000000"/>
      </w:pBdr>
      <w:shd w:val="clear" w:color="auto" w:fill="CC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14">
    <w:name w:val="xl114"/>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5">
    <w:name w:val="xl115"/>
    <w:basedOn w:val="Normal"/>
    <w:pPr>
      <w:pBdr>
        <w:top w:val="single" w:sz="4" w:space="0" w:color="000000"/>
        <w:bottom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6">
    <w:name w:val="xl116"/>
    <w:basedOn w:val="Normal"/>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7">
    <w:name w:val="xl117"/>
    <w:basedOn w:val="Normal"/>
    <w:pPr>
      <w:pBdr>
        <w:top w:val="single" w:sz="4" w:space="0" w:color="000000"/>
        <w:bottom w:val="single" w:sz="4" w:space="0" w:color="000000"/>
      </w:pBdr>
      <w:spacing w:before="100" w:beforeAutospacing="1" w:after="100" w:afterAutospacing="1"/>
      <w:jc w:val="left"/>
      <w:textAlignment w:val="center"/>
    </w:pPr>
    <w:rPr>
      <w:rFonts w:ascii="Arial" w:eastAsia="Arial Unicode MS" w:hAnsi="Arial" w:cs="Arial"/>
      <w:sz w:val="18"/>
      <w:szCs w:val="18"/>
    </w:rPr>
  </w:style>
  <w:style w:type="paragraph" w:customStyle="1" w:styleId="xl118">
    <w:name w:val="xl11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9">
    <w:name w:val="xl11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120">
    <w:name w:val="xl12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21">
    <w:name w:val="xl121"/>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color w:val="FF0000"/>
      <w:sz w:val="18"/>
      <w:szCs w:val="18"/>
    </w:rPr>
  </w:style>
  <w:style w:type="paragraph" w:customStyle="1" w:styleId="xl122">
    <w:name w:val="xl122"/>
    <w:basedOn w:val="Normal"/>
    <w:pPr>
      <w:pBdr>
        <w:top w:val="single" w:sz="4" w:space="0" w:color="000000"/>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3">
    <w:name w:val="xl123"/>
    <w:basedOn w:val="Normal"/>
    <w:pPr>
      <w:pBdr>
        <w:top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24">
    <w:name w:val="xl124"/>
    <w:basedOn w:val="Normal"/>
    <w:pPr>
      <w:pBdr>
        <w:top w:val="single" w:sz="4" w:space="0" w:color="000000"/>
        <w:lef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25">
    <w:name w:val="xl125"/>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26">
    <w:name w:val="xl126"/>
    <w:basedOn w:val="Normal"/>
    <w:pPr>
      <w:pBdr>
        <w:top w:val="single" w:sz="4" w:space="0" w:color="auto"/>
        <w:left w:val="single" w:sz="4" w:space="0" w:color="auto"/>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7">
    <w:name w:val="xl127"/>
    <w:basedOn w:val="Normal"/>
    <w:pPr>
      <w:pBdr>
        <w:top w:val="single" w:sz="4" w:space="0" w:color="auto"/>
        <w:left w:val="single" w:sz="4" w:space="0" w:color="000000"/>
        <w:right w:val="single" w:sz="4" w:space="0" w:color="auto"/>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8">
    <w:name w:val="xl128"/>
    <w:basedOn w:val="Normal"/>
    <w:pPr>
      <w:pBdr>
        <w:top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9">
    <w:name w:val="xl129"/>
    <w:basedOn w:val="Normal"/>
    <w:pPr>
      <w:pBdr>
        <w:top w:val="single" w:sz="4" w:space="0" w:color="auto"/>
        <w:right w:val="single" w:sz="4" w:space="0" w:color="auto"/>
      </w:pBdr>
      <w:shd w:val="clear" w:color="auto" w:fill="FF0000"/>
      <w:spacing w:before="100" w:beforeAutospacing="1" w:after="100" w:afterAutospacing="1"/>
      <w:jc w:val="left"/>
      <w:textAlignment w:val="center"/>
    </w:pPr>
    <w:rPr>
      <w:rFonts w:ascii="Arial" w:eastAsia="Arial Unicode MS" w:hAnsi="Arial" w:cs="Arial"/>
      <w:sz w:val="18"/>
      <w:szCs w:val="18"/>
    </w:rPr>
  </w:style>
  <w:style w:type="paragraph" w:customStyle="1" w:styleId="xl130">
    <w:name w:val="xl130"/>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31">
    <w:name w:val="xl131"/>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32">
    <w:name w:val="xl132"/>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3">
    <w:name w:val="xl133"/>
    <w:basedOn w:val="Normal"/>
    <w:pPr>
      <w:pBdr>
        <w:top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4">
    <w:name w:val="xl134"/>
    <w:basedOn w:val="Normal"/>
    <w:pPr>
      <w:pBdr>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5">
    <w:name w:val="xl135"/>
    <w:basedOn w:val="Normal"/>
    <w:pPr>
      <w:pBdr>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6">
    <w:name w:val="xl136"/>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37">
    <w:name w:val="xl137"/>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8">
    <w:name w:val="xl138"/>
    <w:basedOn w:val="Normal"/>
    <w:pPr>
      <w:pBdr>
        <w:top w:val="single" w:sz="4" w:space="0" w:color="000000"/>
        <w:lef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9">
    <w:name w:val="xl139"/>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0">
    <w:name w:val="xl140"/>
    <w:basedOn w:val="Normal"/>
    <w:pPr>
      <w:pBdr>
        <w:top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41">
    <w:name w:val="xl141"/>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2">
    <w:name w:val="xl142"/>
    <w:basedOn w:val="Normal"/>
    <w:pP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3">
    <w:name w:val="xl143"/>
    <w:basedOn w:val="Normal"/>
    <w:pPr>
      <w:pBdr>
        <w:top w:val="single" w:sz="4" w:space="0" w:color="auto"/>
        <w:left w:val="single" w:sz="4" w:space="0" w:color="000000"/>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4">
    <w:name w:val="xl144"/>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5">
    <w:name w:val="xl145"/>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46">
    <w:name w:val="xl146"/>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7">
    <w:name w:val="xl147"/>
    <w:basedOn w:val="Normal"/>
    <w:pPr>
      <w:pBdr>
        <w:left w:val="single" w:sz="4" w:space="0" w:color="000000"/>
        <w:bottom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8">
    <w:name w:val="xl148"/>
    <w:basedOn w:val="Normal"/>
    <w:pPr>
      <w:pBdr>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9">
    <w:name w:val="xl149"/>
    <w:basedOn w:val="Normal"/>
    <w:pPr>
      <w:pBdr>
        <w:bottom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0">
    <w:name w:val="xl150"/>
    <w:basedOn w:val="Normal"/>
    <w:pPr>
      <w:pBdr>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1">
    <w:name w:val="xl151"/>
    <w:basedOn w:val="Normal"/>
    <w:pPr>
      <w:pBdr>
        <w:top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2">
    <w:name w:val="xl152"/>
    <w:basedOn w:val="Normal"/>
    <w:pPr>
      <w:pBdr>
        <w:top w:val="single" w:sz="4" w:space="0" w:color="auto"/>
        <w:left w:val="single" w:sz="4" w:space="0" w:color="auto"/>
        <w:bottom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3">
    <w:name w:val="xl153"/>
    <w:basedOn w:val="Normal"/>
    <w:pPr>
      <w:pBdr>
        <w:top w:val="single" w:sz="4" w:space="0" w:color="auto"/>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4">
    <w:name w:val="xl154"/>
    <w:basedOn w:val="Normal"/>
    <w:pPr>
      <w:pBdr>
        <w:top w:val="single" w:sz="4" w:space="0" w:color="auto"/>
        <w:left w:val="single" w:sz="4" w:space="0" w:color="000000"/>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8">
    <w:name w:val="xl158"/>
    <w:basedOn w:val="Normal"/>
    <w:pP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9">
    <w:name w:val="xl159"/>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60">
    <w:name w:val="xl160"/>
    <w:basedOn w:val="Normal"/>
    <w:pPr>
      <w:pBdr>
        <w:top w:val="single" w:sz="4" w:space="0" w:color="000000"/>
        <w:left w:val="single" w:sz="4" w:space="0" w:color="auto"/>
        <w:bottom w:val="single" w:sz="4" w:space="0" w:color="auto"/>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1">
    <w:name w:val="xl161"/>
    <w:basedOn w:val="Normal"/>
    <w:pPr>
      <w:pBdr>
        <w:top w:val="single" w:sz="4" w:space="0" w:color="000000"/>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2">
    <w:name w:val="xl162"/>
    <w:basedOn w:val="Normal"/>
    <w:pPr>
      <w:pBdr>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3">
    <w:name w:val="xl163"/>
    <w:basedOn w:val="Normal"/>
    <w:pPr>
      <w:pBdr>
        <w:left w:val="single" w:sz="4" w:space="0" w:color="000000"/>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4">
    <w:name w:val="xl164"/>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pPr>
    <w:rPr>
      <w:rFonts w:ascii="Arial" w:eastAsia="Arial Unicode MS" w:hAnsi="Arial" w:cs="Arial"/>
      <w:sz w:val="18"/>
      <w:szCs w:val="18"/>
    </w:rPr>
  </w:style>
  <w:style w:type="paragraph" w:customStyle="1" w:styleId="xl166">
    <w:name w:val="xl166"/>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7">
    <w:name w:val="xl167"/>
    <w:basedOn w:val="Normal"/>
    <w:pPr>
      <w:pBdr>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8">
    <w:name w:val="xl168"/>
    <w:basedOn w:val="Normal"/>
    <w:pPr>
      <w:pBdr>
        <w:top w:val="single" w:sz="4" w:space="0" w:color="000000"/>
        <w:left w:val="single" w:sz="4" w:space="0" w:color="000000"/>
        <w:bottom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9">
    <w:name w:val="xl169"/>
    <w:basedOn w:val="Normal"/>
    <w:pPr>
      <w:pBdr>
        <w:top w:val="single" w:sz="4" w:space="0" w:color="auto"/>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0">
    <w:name w:val="xl170"/>
    <w:basedOn w:val="Normal"/>
    <w:pPr>
      <w:pBdr>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71">
    <w:name w:val="xl171"/>
    <w:basedOn w:val="Normal"/>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2">
    <w:name w:val="xl172"/>
    <w:basedOn w:val="Normal"/>
    <w:pPr>
      <w:pBdr>
        <w:left w:val="single" w:sz="4" w:space="0" w:color="000000"/>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3">
    <w:name w:val="xl173"/>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4">
    <w:name w:val="xl174"/>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75">
    <w:name w:val="xl17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6">
    <w:name w:val="xl1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7">
    <w:name w:val="xl177"/>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8">
    <w:name w:val="xl178"/>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9">
    <w:name w:val="xl179"/>
    <w:basedOn w:val="Normal"/>
    <w:pPr>
      <w:pBdr>
        <w:top w:val="single" w:sz="4" w:space="0" w:color="000000"/>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0">
    <w:name w:val="xl180"/>
    <w:basedOn w:val="Normal"/>
    <w:pPr>
      <w:pBdr>
        <w:lef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1">
    <w:name w:val="xl181"/>
    <w:basedOn w:val="Normal"/>
    <w:pPr>
      <w:pBdr>
        <w:left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2">
    <w:name w:val="xl182"/>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3">
    <w:name w:val="xl183"/>
    <w:basedOn w:val="Normal"/>
    <w:pPr>
      <w:pBdr>
        <w:left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84">
    <w:name w:val="xl184"/>
    <w:basedOn w:val="Normal"/>
    <w:pPr>
      <w:pBdr>
        <w:left w:val="single" w:sz="4" w:space="0" w:color="auto"/>
        <w:bottom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5">
    <w:name w:val="xl185"/>
    <w:basedOn w:val="Normal"/>
    <w:pPr>
      <w:pBdr>
        <w:left w:val="single" w:sz="4" w:space="0" w:color="auto"/>
        <w:bottom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6">
    <w:name w:val="xl186"/>
    <w:basedOn w:val="Normal"/>
    <w:pPr>
      <w:pBdr>
        <w:left w:val="single" w:sz="4" w:space="0" w:color="000000"/>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7">
    <w:name w:val="xl187"/>
    <w:basedOn w:val="Normal"/>
    <w:pPr>
      <w:pBdr>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8">
    <w:name w:val="xl188"/>
    <w:basedOn w:val="Normal"/>
    <w:pPr>
      <w:pBdr>
        <w:left w:val="single" w:sz="4" w:space="0" w:color="auto"/>
        <w:bottom w:val="single" w:sz="4" w:space="0" w:color="auto"/>
        <w:right w:val="single" w:sz="4" w:space="0" w:color="auto"/>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89">
    <w:name w:val="xl189"/>
    <w:basedOn w:val="Normal"/>
    <w:pPr>
      <w:pBdr>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0">
    <w:name w:val="xl190"/>
    <w:basedOn w:val="Normal"/>
    <w:pPr>
      <w:pBdr>
        <w:top w:val="single" w:sz="4" w:space="0" w:color="auto"/>
        <w:left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1">
    <w:name w:val="xl191"/>
    <w:basedOn w:val="Normal"/>
    <w:pPr>
      <w:pBdr>
        <w:left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2">
    <w:name w:val="xl192"/>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93">
    <w:name w:val="xl193"/>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4">
    <w:name w:val="xl194"/>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5">
    <w:name w:val="xl195"/>
    <w:basedOn w:val="Normal"/>
    <w:pPr>
      <w:pBdr>
        <w:top w:val="single" w:sz="4" w:space="0" w:color="auto"/>
        <w:left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RD">
    <w:name w:val="RD"/>
    <w:basedOn w:val="Caption"/>
    <w:pPr>
      <w:keepNext/>
      <w:keepLines/>
      <w:spacing w:before="0" w:after="240"/>
      <w:jc w:val="left"/>
    </w:pPr>
    <w:rPr>
      <w:rFonts w:ascii="Times New Roman" w:hAnsi="Times New Roman"/>
      <w:smallCaps/>
    </w:rPr>
  </w:style>
  <w:style w:type="character" w:customStyle="1" w:styleId="fldtext">
    <w:name w:val="fldtext"/>
  </w:style>
  <w:style w:type="paragraph" w:customStyle="1" w:styleId="font5">
    <w:name w:val="font5"/>
    <w:basedOn w:val="Normal"/>
    <w:pPr>
      <w:spacing w:before="100" w:beforeAutospacing="1" w:after="100" w:afterAutospacing="1"/>
      <w:jc w:val="left"/>
    </w:pPr>
    <w:rPr>
      <w:rFonts w:ascii="Tahoma" w:eastAsia="Arial Unicode MS" w:hAnsi="Tahoma" w:cs="Tahoma"/>
      <w:color w:val="000000"/>
      <w:sz w:val="16"/>
      <w:szCs w:val="16"/>
    </w:rPr>
  </w:style>
  <w:style w:type="paragraph" w:customStyle="1" w:styleId="font6">
    <w:name w:val="font6"/>
    <w:basedOn w:val="Normal"/>
    <w:pPr>
      <w:spacing w:before="100" w:beforeAutospacing="1" w:after="100" w:afterAutospacing="1"/>
      <w:jc w:val="left"/>
    </w:pPr>
    <w:rPr>
      <w:rFonts w:ascii="Tahoma" w:eastAsia="Arial Unicode MS" w:hAnsi="Tahoma" w:cs="Tahoma"/>
      <w:b/>
      <w:bCs/>
      <w:color w:val="000000"/>
      <w:sz w:val="16"/>
      <w:szCs w:val="16"/>
    </w:rPr>
  </w:style>
  <w:style w:type="paragraph" w:styleId="BodyTextFirstIndent">
    <w:name w:val="Body Text First Indent"/>
    <w:basedOn w:val="BodyText"/>
    <w:link w:val="BodyTextFirstIndentChar"/>
    <w:pPr>
      <w:spacing w:before="0"/>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lang w:val="bg-BG"/>
    </w:rPr>
  </w:style>
  <w:style w:type="paragraph" w:styleId="BodyTextFirstIndent2">
    <w:name w:val="Body Text First Indent 2"/>
    <w:basedOn w:val="BodyTextIndent"/>
    <w:link w:val="BodyTextFirstIndent2Char"/>
    <w:pPr>
      <w:numPr>
        <w:numId w:val="0"/>
      </w:numPr>
      <w:spacing w:before="0"/>
      <w:ind w:left="283" w:firstLine="210"/>
      <w:jc w:val="left"/>
    </w:pPr>
    <w:rPr>
      <w:sz w:val="22"/>
      <w:szCs w:val="24"/>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4"/>
      <w:lang w:val="bg-BG"/>
    </w:rPr>
  </w:style>
  <w:style w:type="paragraph" w:styleId="Closing">
    <w:name w:val="Closing"/>
    <w:basedOn w:val="Normal"/>
    <w:link w:val="ClosingChar"/>
    <w:pPr>
      <w:spacing w:before="0" w:after="60"/>
      <w:ind w:left="4252"/>
      <w:jc w:val="left"/>
    </w:pPr>
    <w:rPr>
      <w:rFonts w:eastAsia="Times New Roman"/>
      <w:sz w:val="22"/>
      <w:szCs w:val="24"/>
    </w:rPr>
  </w:style>
  <w:style w:type="character" w:customStyle="1" w:styleId="ClosingChar">
    <w:name w:val="Closing Char"/>
    <w:basedOn w:val="DefaultParagraphFont"/>
    <w:link w:val="Closing"/>
    <w:rPr>
      <w:rFonts w:ascii="Times New Roman" w:eastAsia="Times New Roman" w:hAnsi="Times New Roman" w:cs="Times New Roman"/>
      <w:szCs w:val="24"/>
      <w:lang w:val="bg-BG"/>
    </w:rPr>
  </w:style>
  <w:style w:type="paragraph" w:styleId="E-mailSignature">
    <w:name w:val="E-mail Signature"/>
    <w:basedOn w:val="Normal"/>
    <w:link w:val="E-mailSignatureChar"/>
    <w:pPr>
      <w:spacing w:before="0" w:after="60"/>
      <w:jc w:val="left"/>
    </w:pPr>
    <w:rPr>
      <w:rFonts w:eastAsia="Times New Roman"/>
      <w:sz w:val="22"/>
      <w:szCs w:val="24"/>
    </w:rPr>
  </w:style>
  <w:style w:type="character" w:customStyle="1" w:styleId="E-mailSignatureChar">
    <w:name w:val="E-mail Signature Char"/>
    <w:basedOn w:val="DefaultParagraphFont"/>
    <w:link w:val="E-mailSignature"/>
    <w:rPr>
      <w:rFonts w:ascii="Times New Roman" w:eastAsia="Times New Roman" w:hAnsi="Times New Roman" w:cs="Times New Roman"/>
      <w:szCs w:val="24"/>
      <w:lang w:val="bg-BG"/>
    </w:rPr>
  </w:style>
  <w:style w:type="paragraph" w:styleId="EnvelopeAddress">
    <w:name w:val="envelope address"/>
    <w:basedOn w:val="Normal"/>
    <w:pPr>
      <w:framePr w:w="7920" w:h="1980" w:hRule="exact" w:hSpace="180" w:wrap="auto" w:hAnchor="page" w:xAlign="center" w:yAlign="bottom"/>
      <w:spacing w:before="0" w:after="60"/>
      <w:ind w:left="2880"/>
      <w:jc w:val="left"/>
    </w:pPr>
    <w:rPr>
      <w:rFonts w:ascii="Arial" w:eastAsia="Times New Roman" w:hAnsi="Arial" w:cs="Arial"/>
      <w:sz w:val="22"/>
      <w:szCs w:val="24"/>
    </w:rPr>
  </w:style>
  <w:style w:type="paragraph" w:styleId="EnvelopeReturn">
    <w:name w:val="envelope return"/>
    <w:basedOn w:val="Normal"/>
    <w:pPr>
      <w:spacing w:before="0" w:after="60"/>
      <w:jc w:val="left"/>
    </w:pPr>
    <w:rPr>
      <w:rFonts w:ascii="Arial" w:eastAsia="Times New Roman" w:hAnsi="Arial" w:cs="Arial"/>
      <w:sz w:val="20"/>
      <w:szCs w:val="20"/>
    </w:rPr>
  </w:style>
  <w:style w:type="paragraph" w:styleId="HTMLAddress">
    <w:name w:val="HTML Address"/>
    <w:basedOn w:val="Normal"/>
    <w:link w:val="HTMLAddressChar"/>
    <w:pPr>
      <w:spacing w:before="0" w:after="60"/>
      <w:jc w:val="left"/>
    </w:pPr>
    <w:rPr>
      <w:rFonts w:eastAsia="Times New Roman"/>
      <w:i/>
      <w:iCs/>
      <w:sz w:val="22"/>
      <w:szCs w:val="24"/>
    </w:rPr>
  </w:style>
  <w:style w:type="character" w:customStyle="1" w:styleId="HTMLAddressChar">
    <w:name w:val="HTML Address Char"/>
    <w:basedOn w:val="DefaultParagraphFont"/>
    <w:link w:val="HTMLAddress"/>
    <w:rPr>
      <w:rFonts w:ascii="Times New Roman" w:eastAsia="Times New Roman" w:hAnsi="Times New Roman" w:cs="Times New Roman"/>
      <w:i/>
      <w:iCs/>
      <w:szCs w:val="24"/>
      <w:lang w:val="bg-BG"/>
    </w:rPr>
  </w:style>
  <w:style w:type="paragraph" w:styleId="HTMLPreformatted">
    <w:name w:val="HTML Preformatted"/>
    <w:basedOn w:val="Normal"/>
    <w:link w:val="HTMLPreformattedChar"/>
    <w:pPr>
      <w:spacing w:before="0" w:after="6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bg-BG"/>
    </w:rPr>
  </w:style>
  <w:style w:type="paragraph" w:styleId="List">
    <w:name w:val="List"/>
    <w:basedOn w:val="Normal"/>
    <w:pPr>
      <w:spacing w:before="0" w:after="60"/>
      <w:ind w:left="283" w:hanging="283"/>
      <w:jc w:val="left"/>
    </w:pPr>
    <w:rPr>
      <w:rFonts w:eastAsia="Times New Roman"/>
      <w:sz w:val="22"/>
      <w:szCs w:val="24"/>
    </w:rPr>
  </w:style>
  <w:style w:type="paragraph" w:styleId="List2">
    <w:name w:val="List 2"/>
    <w:basedOn w:val="Normal"/>
    <w:pPr>
      <w:spacing w:before="0" w:after="60"/>
      <w:ind w:left="566" w:hanging="283"/>
      <w:jc w:val="left"/>
    </w:pPr>
    <w:rPr>
      <w:rFonts w:eastAsia="Times New Roman"/>
      <w:sz w:val="22"/>
      <w:szCs w:val="24"/>
    </w:rPr>
  </w:style>
  <w:style w:type="paragraph" w:styleId="List3">
    <w:name w:val="List 3"/>
    <w:basedOn w:val="Normal"/>
    <w:pPr>
      <w:spacing w:before="0" w:after="60"/>
      <w:ind w:left="849" w:hanging="283"/>
      <w:jc w:val="left"/>
    </w:pPr>
    <w:rPr>
      <w:rFonts w:eastAsia="Times New Roman"/>
      <w:sz w:val="22"/>
      <w:szCs w:val="24"/>
    </w:rPr>
  </w:style>
  <w:style w:type="paragraph" w:styleId="List4">
    <w:name w:val="List 4"/>
    <w:basedOn w:val="Normal"/>
    <w:pPr>
      <w:spacing w:before="0" w:after="60"/>
      <w:ind w:left="1132" w:hanging="283"/>
      <w:jc w:val="left"/>
    </w:pPr>
    <w:rPr>
      <w:rFonts w:eastAsia="Times New Roman"/>
      <w:sz w:val="22"/>
      <w:szCs w:val="24"/>
    </w:rPr>
  </w:style>
  <w:style w:type="paragraph" w:styleId="List5">
    <w:name w:val="List 5"/>
    <w:basedOn w:val="Normal"/>
    <w:pPr>
      <w:spacing w:before="0" w:after="60"/>
      <w:ind w:left="1415" w:hanging="283"/>
      <w:jc w:val="left"/>
    </w:pPr>
    <w:rPr>
      <w:rFonts w:eastAsia="Times New Roman"/>
      <w:sz w:val="22"/>
      <w:szCs w:val="24"/>
    </w:rPr>
  </w:style>
  <w:style w:type="paragraph" w:styleId="ListBullet5">
    <w:name w:val="List Bullet 5"/>
    <w:basedOn w:val="Normal"/>
    <w:autoRedefine/>
    <w:pPr>
      <w:tabs>
        <w:tab w:val="num" w:pos="1492"/>
      </w:tabs>
      <w:spacing w:before="0" w:after="60"/>
      <w:ind w:left="1492" w:hanging="360"/>
      <w:jc w:val="left"/>
    </w:pPr>
    <w:rPr>
      <w:rFonts w:eastAsia="Times New Roman"/>
      <w:sz w:val="22"/>
      <w:szCs w:val="24"/>
    </w:rPr>
  </w:style>
  <w:style w:type="paragraph" w:styleId="ListContinue">
    <w:name w:val="List Continue"/>
    <w:basedOn w:val="Normal"/>
    <w:pPr>
      <w:spacing w:before="0"/>
      <w:ind w:left="283"/>
      <w:jc w:val="left"/>
    </w:pPr>
    <w:rPr>
      <w:rFonts w:eastAsia="Times New Roman"/>
      <w:sz w:val="22"/>
      <w:szCs w:val="24"/>
    </w:rPr>
  </w:style>
  <w:style w:type="paragraph" w:styleId="ListContinue2">
    <w:name w:val="List Continue 2"/>
    <w:basedOn w:val="Normal"/>
    <w:pPr>
      <w:spacing w:before="0"/>
      <w:ind w:left="566"/>
      <w:jc w:val="left"/>
    </w:pPr>
    <w:rPr>
      <w:rFonts w:eastAsia="Times New Roman"/>
      <w:sz w:val="22"/>
      <w:szCs w:val="24"/>
    </w:rPr>
  </w:style>
  <w:style w:type="paragraph" w:styleId="ListContinue3">
    <w:name w:val="List Continue 3"/>
    <w:basedOn w:val="Normal"/>
    <w:pPr>
      <w:spacing w:before="0"/>
      <w:ind w:left="849"/>
      <w:jc w:val="left"/>
    </w:pPr>
    <w:rPr>
      <w:rFonts w:eastAsia="Times New Roman"/>
      <w:sz w:val="22"/>
      <w:szCs w:val="24"/>
    </w:rPr>
  </w:style>
  <w:style w:type="paragraph" w:styleId="ListContinue4">
    <w:name w:val="List Continue 4"/>
    <w:basedOn w:val="Normal"/>
    <w:pPr>
      <w:spacing w:before="0"/>
      <w:ind w:left="1132"/>
      <w:jc w:val="left"/>
    </w:pPr>
    <w:rPr>
      <w:rFonts w:eastAsia="Times New Roman"/>
      <w:sz w:val="22"/>
      <w:szCs w:val="24"/>
    </w:rPr>
  </w:style>
  <w:style w:type="paragraph" w:styleId="ListContinue5">
    <w:name w:val="List Continue 5"/>
    <w:basedOn w:val="Normal"/>
    <w:pPr>
      <w:spacing w:before="0"/>
      <w:ind w:left="1415"/>
      <w:jc w:val="left"/>
    </w:pPr>
    <w:rPr>
      <w:rFonts w:eastAsia="Times New Roman"/>
      <w:sz w:val="22"/>
      <w:szCs w:val="24"/>
    </w:rPr>
  </w:style>
  <w:style w:type="paragraph" w:styleId="ListNumber2">
    <w:name w:val="List Number 2"/>
    <w:basedOn w:val="Normal"/>
    <w:pPr>
      <w:tabs>
        <w:tab w:val="num" w:pos="643"/>
      </w:tabs>
      <w:spacing w:before="0" w:after="60"/>
      <w:ind w:left="643" w:hanging="360"/>
      <w:jc w:val="left"/>
    </w:pPr>
    <w:rPr>
      <w:rFonts w:eastAsia="Times New Roman"/>
      <w:sz w:val="22"/>
      <w:szCs w:val="24"/>
    </w:rPr>
  </w:style>
  <w:style w:type="paragraph" w:styleId="ListNumber4">
    <w:name w:val="List Number 4"/>
    <w:basedOn w:val="Normal"/>
    <w:pPr>
      <w:tabs>
        <w:tab w:val="num" w:pos="1209"/>
      </w:tabs>
      <w:spacing w:before="0" w:after="60"/>
      <w:ind w:left="1209" w:hanging="360"/>
      <w:jc w:val="left"/>
    </w:pPr>
    <w:rPr>
      <w:rFonts w:eastAsia="Times New Roman"/>
      <w:sz w:val="22"/>
      <w:szCs w:val="24"/>
    </w:rPr>
  </w:style>
  <w:style w:type="paragraph" w:styleId="ListNumber5">
    <w:name w:val="List Number 5"/>
    <w:basedOn w:val="Normal"/>
    <w:pPr>
      <w:tabs>
        <w:tab w:val="num" w:pos="1492"/>
      </w:tabs>
      <w:spacing w:before="0" w:after="60"/>
      <w:ind w:left="1492" w:hanging="360"/>
      <w:jc w:val="left"/>
    </w:pPr>
    <w:rPr>
      <w:rFonts w:eastAsia="Times New Roman"/>
      <w:sz w:val="22"/>
      <w:szCs w:val="24"/>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60"/>
      <w:ind w:left="1134" w:hanging="1134"/>
      <w:jc w:val="left"/>
    </w:pPr>
    <w:rPr>
      <w:rFonts w:ascii="Arial" w:eastAsia="Times New Roman" w:hAnsi="Arial" w:cs="Arial"/>
      <w:sz w:val="22"/>
      <w:szCs w:val="24"/>
    </w:rPr>
  </w:style>
  <w:style w:type="character" w:customStyle="1" w:styleId="MessageHeaderChar">
    <w:name w:val="Message Header Char"/>
    <w:basedOn w:val="DefaultParagraphFont"/>
    <w:link w:val="MessageHeader"/>
    <w:rPr>
      <w:rFonts w:ascii="Arial" w:eastAsia="Times New Roman" w:hAnsi="Arial" w:cs="Arial"/>
      <w:szCs w:val="24"/>
      <w:shd w:val="pct20" w:color="auto" w:fill="auto"/>
      <w:lang w:val="bg-BG"/>
    </w:rPr>
  </w:style>
  <w:style w:type="paragraph" w:styleId="NoteHeading">
    <w:name w:val="Note Heading"/>
    <w:basedOn w:val="Normal"/>
    <w:next w:val="Normal"/>
    <w:link w:val="NoteHeadingChar"/>
    <w:pPr>
      <w:spacing w:before="0" w:after="60"/>
      <w:jc w:val="left"/>
    </w:pPr>
    <w:rPr>
      <w:rFonts w:eastAsia="Times New Roman"/>
      <w:sz w:val="22"/>
      <w:szCs w:val="24"/>
    </w:rPr>
  </w:style>
  <w:style w:type="character" w:customStyle="1" w:styleId="NoteHeadingChar">
    <w:name w:val="Note Heading Char"/>
    <w:basedOn w:val="DefaultParagraphFont"/>
    <w:link w:val="NoteHeading"/>
    <w:rPr>
      <w:rFonts w:ascii="Times New Roman" w:eastAsia="Times New Roman" w:hAnsi="Times New Roman" w:cs="Times New Roman"/>
      <w:szCs w:val="24"/>
      <w:lang w:val="bg-BG"/>
    </w:rPr>
  </w:style>
  <w:style w:type="paragraph" w:styleId="Salutation">
    <w:name w:val="Salutation"/>
    <w:basedOn w:val="Normal"/>
    <w:next w:val="Normal"/>
    <w:link w:val="SalutationChar"/>
    <w:pPr>
      <w:spacing w:before="0" w:after="60"/>
      <w:jc w:val="left"/>
    </w:pPr>
    <w:rPr>
      <w:rFonts w:eastAsia="Times New Roman"/>
      <w:sz w:val="22"/>
      <w:szCs w:val="24"/>
    </w:rPr>
  </w:style>
  <w:style w:type="character" w:customStyle="1" w:styleId="SalutationChar">
    <w:name w:val="Salutation Char"/>
    <w:basedOn w:val="DefaultParagraphFont"/>
    <w:link w:val="Salutation"/>
    <w:rPr>
      <w:rFonts w:ascii="Times New Roman" w:eastAsia="Times New Roman" w:hAnsi="Times New Roman" w:cs="Times New Roman"/>
      <w:szCs w:val="24"/>
      <w:lang w:val="bg-BG"/>
    </w:rPr>
  </w:style>
  <w:style w:type="paragraph" w:styleId="Signature">
    <w:name w:val="Signature"/>
    <w:basedOn w:val="Normal"/>
    <w:link w:val="SignatureChar"/>
    <w:pPr>
      <w:spacing w:before="0" w:after="60"/>
      <w:ind w:left="4252"/>
      <w:jc w:val="left"/>
    </w:pPr>
    <w:rPr>
      <w:rFonts w:eastAsia="Times New Roman"/>
      <w:sz w:val="22"/>
      <w:szCs w:val="24"/>
    </w:rPr>
  </w:style>
  <w:style w:type="character" w:customStyle="1" w:styleId="SignatureChar">
    <w:name w:val="Signature Char"/>
    <w:basedOn w:val="DefaultParagraphFont"/>
    <w:link w:val="Signature"/>
    <w:rPr>
      <w:rFonts w:ascii="Times New Roman" w:eastAsia="Times New Roman" w:hAnsi="Times New Roman" w:cs="Times New Roman"/>
      <w:szCs w:val="24"/>
      <w:lang w:val="bg-BG"/>
    </w:rPr>
  </w:style>
  <w:style w:type="paragraph" w:styleId="Subtitle">
    <w:name w:val="Subtitle"/>
    <w:basedOn w:val="Normal"/>
    <w:link w:val="SubtitleChar"/>
    <w:qFormat/>
    <w:pPr>
      <w:spacing w:before="0" w:after="60"/>
      <w:jc w:val="center"/>
      <w:outlineLvl w:val="1"/>
    </w:pPr>
    <w:rPr>
      <w:rFonts w:ascii="Arial" w:eastAsia="Times New Roman" w:hAnsi="Arial" w:cs="Arial"/>
      <w:sz w:val="22"/>
      <w:szCs w:val="24"/>
    </w:rPr>
  </w:style>
  <w:style w:type="character" w:customStyle="1" w:styleId="SubtitleChar">
    <w:name w:val="Subtitle Char"/>
    <w:basedOn w:val="DefaultParagraphFont"/>
    <w:link w:val="Subtitle"/>
    <w:rPr>
      <w:rFonts w:ascii="Arial" w:eastAsia="Times New Roman" w:hAnsi="Arial" w:cs="Arial"/>
      <w:szCs w:val="24"/>
      <w:lang w:val="bg-BG"/>
    </w:rPr>
  </w:style>
  <w:style w:type="paragraph" w:styleId="Title">
    <w:name w:val="Title"/>
    <w:basedOn w:val="Normal"/>
    <w:link w:val="TitleChar"/>
    <w:qFormat/>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Pr>
      <w:rFonts w:ascii="Arial" w:eastAsia="Times New Roman" w:hAnsi="Arial" w:cs="Arial"/>
      <w:b/>
      <w:bCs/>
      <w:kern w:val="28"/>
      <w:sz w:val="32"/>
      <w:szCs w:val="32"/>
      <w:lang w:val="bg-BG"/>
    </w:rPr>
  </w:style>
  <w:style w:type="table" w:styleId="TableGrid7">
    <w:name w:val="Table Grid 7"/>
    <w:basedOn w:val="TableNormal"/>
    <w:pPr>
      <w:spacing w:after="0" w:line="240" w:lineRule="auto"/>
    </w:pPr>
    <w:rPr>
      <w:rFonts w:ascii="Times New Roman" w:eastAsia="Times New Roman" w:hAnsi="Times New Roman" w:cs="Times New Roman"/>
      <w:b/>
      <w:bCs/>
      <w:sz w:val="20"/>
      <w:szCs w:val="20"/>
      <w:lang w:val="en-GB" w:eastAsia="en-GB"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eading5Heading5CFMUPara5h5t5T5JustifiedBefore">
    <w:name w:val="Heading 5Heading 5 CFMUPara 5h5t5.T5 + Justified Before:..."/>
    <w:basedOn w:val="Heading5"/>
    <w:pPr>
      <w:keepNext/>
      <w:widowControl w:val="0"/>
      <w:tabs>
        <w:tab w:val="clear" w:pos="0"/>
        <w:tab w:val="num" w:pos="1008"/>
        <w:tab w:val="left" w:pos="1134"/>
      </w:tabs>
      <w:spacing w:before="360" w:after="240"/>
      <w:ind w:left="1008" w:hanging="1008"/>
      <w:jc w:val="left"/>
    </w:pPr>
    <w:rPr>
      <w:rFonts w:ascii="Times New Roman" w:hAnsi="Times New Roman"/>
      <w:bCs w:val="0"/>
      <w:i w:val="0"/>
      <w:iCs w:val="0"/>
      <w:sz w:val="24"/>
      <w:szCs w:val="22"/>
    </w:rPr>
  </w:style>
  <w:style w:type="paragraph" w:customStyle="1" w:styleId="TableauJVI">
    <w:name w:val="TableauJVI"/>
    <w:basedOn w:val="Normal"/>
    <w:pPr>
      <w:spacing w:before="0" w:after="60"/>
      <w:jc w:val="center"/>
    </w:pPr>
    <w:rPr>
      <w:rFonts w:eastAsia="Times New Roman"/>
      <w:sz w:val="22"/>
      <w:szCs w:val="24"/>
    </w:rPr>
  </w:style>
  <w:style w:type="paragraph" w:customStyle="1" w:styleId="Arial">
    <w:name w:val="Arial"/>
    <w:basedOn w:val="Normal"/>
    <w:pPr>
      <w:spacing w:before="60" w:after="60"/>
      <w:ind w:left="-142" w:right="-111"/>
      <w:jc w:val="left"/>
    </w:pPr>
    <w:rPr>
      <w:rFonts w:eastAsia="Times New Roman"/>
      <w:sz w:val="22"/>
      <w:szCs w:val="20"/>
    </w:rPr>
  </w:style>
  <w:style w:type="paragraph" w:customStyle="1" w:styleId="Tahoma">
    <w:name w:val="Tahoma"/>
    <w:basedOn w:val="Arial"/>
  </w:style>
  <w:style w:type="paragraph" w:customStyle="1" w:styleId="annex1">
    <w:name w:val="annex1"/>
    <w:basedOn w:val="Normal"/>
    <w:next w:val="Normal"/>
    <w:pPr>
      <w:numPr>
        <w:numId w:val="19"/>
      </w:numPr>
      <w:spacing w:before="160" w:after="0"/>
      <w:outlineLvl w:val="1"/>
    </w:pPr>
    <w:rPr>
      <w:rFonts w:eastAsia="Times New Roman"/>
      <w:b/>
      <w:smallCaps/>
      <w:szCs w:val="20"/>
    </w:rPr>
  </w:style>
  <w:style w:type="paragraph" w:customStyle="1" w:styleId="Annex">
    <w:name w:val="Annex"/>
    <w:basedOn w:val="Heading1"/>
    <w:pPr>
      <w:pageBreakBefore/>
      <w:widowControl w:val="0"/>
      <w:numPr>
        <w:numId w:val="0"/>
      </w:numPr>
      <w:spacing w:before="120" w:after="60"/>
    </w:pPr>
    <w:rPr>
      <w:rFonts w:eastAsia="Times New Roman"/>
      <w:bCs w:val="0"/>
      <w:sz w:val="28"/>
      <w:szCs w:val="20"/>
    </w:rPr>
  </w:style>
  <w:style w:type="paragraph" w:customStyle="1" w:styleId="annex2">
    <w:name w:val="annex2"/>
    <w:basedOn w:val="annex1"/>
    <w:pPr>
      <w:numPr>
        <w:ilvl w:val="1"/>
      </w:numPr>
      <w:tabs>
        <w:tab w:val="clear" w:pos="576"/>
        <w:tab w:val="num" w:pos="993"/>
      </w:tabs>
    </w:pPr>
  </w:style>
  <w:style w:type="character" w:customStyle="1" w:styleId="CaptionChar">
    <w:name w:val="Caption Char"/>
    <w:aliases w:val="CaptionCFMU Char,CaptionTLS Char"/>
    <w:link w:val="Caption"/>
    <w:rPr>
      <w:rFonts w:ascii="CG Times (W1)" w:eastAsia="Times New Roman" w:hAnsi="CG Times (W1)" w:cs="Times New Roman"/>
      <w:sz w:val="20"/>
      <w:szCs w:val="20"/>
      <w:lang w:val="bg-BG"/>
    </w:rPr>
  </w:style>
  <w:style w:type="character" w:styleId="PlaceholderText">
    <w:name w:val="Placeholder Text"/>
    <w:uiPriority w:val="99"/>
    <w:semiHidden/>
    <w:rPr>
      <w:color w:val="808080"/>
    </w:rPr>
  </w:style>
  <w:style w:type="character" w:customStyle="1" w:styleId="st">
    <w:name w:val="st"/>
  </w:style>
  <w:style w:type="character" w:customStyle="1" w:styleId="WW8Num1z0">
    <w:name w:val="WW8Num1z0"/>
    <w:rPr>
      <w:rFonts w:ascii="Symbol" w:hAnsi="Symbol" w:cs="Symbol"/>
    </w:rPr>
  </w:style>
  <w:style w:type="character" w:customStyle="1" w:styleId="UnresolvedMention1">
    <w:name w:val="Unresolved Mention1"/>
    <w:uiPriority w:val="99"/>
    <w:semiHidden/>
    <w:unhideWhenUsed/>
    <w:rPr>
      <w:color w:val="808080"/>
      <w:shd w:val="clear" w:color="auto" w:fill="E6E6E6"/>
    </w:rPr>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numbering" w:customStyle="1" w:styleId="NoList1111">
    <w:name w:val="No List1111"/>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 71"/>
    <w:basedOn w:val="TableNormal"/>
    <w:next w:val="TableGrid7"/>
    <w:pPr>
      <w:spacing w:after="0" w:line="240" w:lineRule="auto"/>
    </w:pPr>
    <w:rPr>
      <w:rFonts w:ascii="Times New Roman" w:eastAsia="Times New Roman" w:hAnsi="Times New Roman" w:cs="Times New Roman"/>
      <w:b/>
      <w:bCs/>
      <w:sz w:val="20"/>
      <w:szCs w:val="20"/>
      <w:lang w:val="en-GB" w:eastAsia="en-GB"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footnote reference" w:uiPriority="99"/>
    <w:lsdException w:name="line number"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iPriority="20" w:unhideWhenUsed="0" w:qFormat="1"/>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aliases w:val="Heading 5 CFMU,Para 5,h5,t5.T5,T5,Roman list,Bloc,Bloc1,Bloc2,Bloc3,Bloc4,PARA5,Punt 5,Tempo Heading 5,heading5,H5"/>
    <w:basedOn w:val="Normal"/>
    <w:next w:val="Normal"/>
    <w:link w:val="Heading5Char"/>
    <w:qFormat/>
    <w:pPr>
      <w:tabs>
        <w:tab w:val="num" w:pos="0"/>
      </w:tabs>
      <w:spacing w:before="240" w:after="60"/>
      <w:outlineLvl w:val="4"/>
    </w:pPr>
    <w:rPr>
      <w:rFonts w:ascii="Calibri" w:eastAsia="Times New Roman" w:hAnsi="Calibri"/>
      <w:b/>
      <w:bCs/>
      <w:i/>
      <w:iCs/>
      <w:sz w:val="26"/>
      <w:szCs w:val="26"/>
    </w:rPr>
  </w:style>
  <w:style w:type="paragraph" w:styleId="Heading6">
    <w:name w:val="heading 6"/>
    <w:aliases w:val="Heading 6 CFMU,h6,Para 6,t6.T6,Bullet list,Annexe,Annexe1,T6,Title Page,H6"/>
    <w:basedOn w:val="Normal"/>
    <w:next w:val="Normal"/>
    <w:link w:val="Heading6Char"/>
    <w:qFormat/>
    <w:pPr>
      <w:tabs>
        <w:tab w:val="num" w:pos="0"/>
      </w:tabs>
      <w:spacing w:before="240" w:after="60"/>
      <w:outlineLvl w:val="5"/>
    </w:pPr>
    <w:rPr>
      <w:rFonts w:ascii="Calibri" w:eastAsia="Times New Roman" w:hAnsi="Calibri"/>
      <w:b/>
      <w:bCs/>
      <w:sz w:val="22"/>
    </w:rPr>
  </w:style>
  <w:style w:type="paragraph" w:styleId="Heading7">
    <w:name w:val="heading 7"/>
    <w:aliases w:val="Heading 7 CFMU,h7,Para 7,t7.T7,letter list,Annexe 1,H7,lettered list,Annexe2,T7,Heading 7 (do not use)"/>
    <w:basedOn w:val="Normal"/>
    <w:next w:val="Normal"/>
    <w:link w:val="Heading7Char"/>
    <w:qFormat/>
    <w:pPr>
      <w:tabs>
        <w:tab w:val="num" w:pos="0"/>
      </w:tabs>
      <w:spacing w:before="240" w:after="60"/>
      <w:outlineLvl w:val="6"/>
    </w:pPr>
    <w:rPr>
      <w:rFonts w:ascii="Calibri" w:eastAsia="Times New Roman" w:hAnsi="Calibri"/>
      <w:szCs w:val="24"/>
    </w:rPr>
  </w:style>
  <w:style w:type="paragraph" w:styleId="Heading8">
    <w:name w:val="heading 8"/>
    <w:aliases w:val="Heading 8 CFMU,h8,action,bijlkop,Annexe 2,Annexe3,T8,Heading 8 (do not use)"/>
    <w:basedOn w:val="Normal"/>
    <w:next w:val="Normal"/>
    <w:link w:val="Heading8Char"/>
    <w:qFormat/>
    <w:pPr>
      <w:tabs>
        <w:tab w:val="num" w:pos="0"/>
      </w:tabs>
      <w:spacing w:before="240" w:after="60"/>
      <w:outlineLvl w:val="7"/>
    </w:pPr>
    <w:rPr>
      <w:rFonts w:ascii="Calibri" w:eastAsia="Times New Roman" w:hAnsi="Calibri"/>
      <w:i/>
      <w:iCs/>
      <w:szCs w:val="24"/>
    </w:rPr>
  </w:style>
  <w:style w:type="paragraph" w:styleId="Heading9">
    <w:name w:val="heading 9"/>
    <w:aliases w:val="Heading 9 CFMU,h9,App Heading,App Heading1,App Heading2,App Heading3,App Heading4,App Heading5,appendix,Blank 5,9,Bijlagen,progress,Annexe 3,Titre 10,Annexe4,T9,Heading 9 (do not use)"/>
    <w:basedOn w:val="Normal"/>
    <w:next w:val="Normal"/>
    <w:link w:val="Heading9Char"/>
    <w:qFormat/>
    <w:pPr>
      <w:tabs>
        <w:tab w:val="num" w:pos="0"/>
      </w:tabs>
      <w:spacing w:before="240" w:after="60"/>
      <w:outlineLvl w:val="8"/>
    </w:pPr>
    <w:rPr>
      <w:rFonts w:ascii="Cambria" w:eastAsia="Times New Roman"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ascii="Times New Roman" w:hAnsi="Times New Roman" w:cs="Times New Roman"/>
      <w:sz w:val="24"/>
      <w:lang w:val="bg-BG"/>
    </w:rPr>
  </w:style>
  <w:style w:type="paragraph" w:styleId="ListNumber">
    <w:name w:val="List Number"/>
    <w:basedOn w:val="Normal"/>
    <w:unhideWhenUsed/>
    <w:pPr>
      <w:numPr>
        <w:numId w:val="5"/>
      </w:numPr>
      <w:contextualSpacing/>
    </w:pPr>
  </w:style>
  <w:style w:type="paragraph" w:styleId="ListNumber3">
    <w:name w:val="List Number 3"/>
    <w:basedOn w:val="Normal"/>
    <w:unhideWhenUsed/>
    <w:pPr>
      <w:numPr>
        <w:numId w:val="6"/>
      </w:numPr>
      <w:contextualSpacing/>
    </w:pPr>
  </w:style>
  <w:style w:type="character" w:styleId="Hyperlink">
    <w:name w:val="Hyperlink"/>
    <w:uiPriority w:val="99"/>
    <w:rPr>
      <w:rFonts w:cs="Times New Roman"/>
      <w:color w:val="0000FF"/>
      <w:u w:val="single"/>
    </w:rPr>
  </w:style>
  <w:style w:type="character" w:customStyle="1" w:styleId="Heading5Char">
    <w:name w:val="Heading 5 Char"/>
    <w:aliases w:val="Heading 5 CFMU Char,Para 5 Char,h5 Char,t5.T5 Char,T5 Char,Roman list Char,Bloc Char,Bloc1 Char,Bloc2 Char,Bloc3 Char,Bloc4 Char,PARA5 Char,Punt 5 Char,Tempo Heading 5 Char,heading5 Char,H5 Char"/>
    <w:basedOn w:val="DefaultParagraphFont"/>
    <w:link w:val="Heading5"/>
    <w:rPr>
      <w:rFonts w:ascii="Calibri" w:eastAsia="Times New Roman" w:hAnsi="Calibri" w:cs="Times New Roman"/>
      <w:b/>
      <w:bCs/>
      <w:i/>
      <w:iCs/>
      <w:sz w:val="26"/>
      <w:szCs w:val="26"/>
      <w:lang w:val="bg-BG"/>
    </w:rPr>
  </w:style>
  <w:style w:type="character" w:customStyle="1" w:styleId="Heading6Char">
    <w:name w:val="Heading 6 Char"/>
    <w:aliases w:val="Heading 6 CFMU Char,h6 Char,Para 6 Char,t6.T6 Char,Bullet list Char,Annexe Char,Annexe1 Char,T6 Char,Title Page Char,H6 Char"/>
    <w:basedOn w:val="DefaultParagraphFont"/>
    <w:link w:val="Heading6"/>
    <w:rPr>
      <w:rFonts w:ascii="Calibri" w:eastAsia="Times New Roman" w:hAnsi="Calibri" w:cs="Times New Roman"/>
      <w:b/>
      <w:bCs/>
      <w:lang w:val="bg-BG"/>
    </w:rPr>
  </w:style>
  <w:style w:type="character" w:customStyle="1" w:styleId="Heading7Char">
    <w:name w:val="Heading 7 Char"/>
    <w:aliases w:val="Heading 7 CFMU Char,h7 Char,Para 7 Char,t7.T7 Char,letter list Char,Annexe 1 Char,H7 Char,lettered list Char,Annexe2 Char,T7 Char,Heading 7 (do not use) Char"/>
    <w:basedOn w:val="DefaultParagraphFont"/>
    <w:link w:val="Heading7"/>
    <w:rPr>
      <w:rFonts w:ascii="Calibri" w:eastAsia="Times New Roman" w:hAnsi="Calibri" w:cs="Times New Roman"/>
      <w:sz w:val="24"/>
      <w:szCs w:val="24"/>
      <w:lang w:val="bg-BG"/>
    </w:rPr>
  </w:style>
  <w:style w:type="character" w:customStyle="1" w:styleId="Heading8Char">
    <w:name w:val="Heading 8 Char"/>
    <w:aliases w:val="Heading 8 CFMU Char,h8 Char,action Char,bijlkop Char,Annexe 2 Char,Annexe3 Char,T8 Char,Heading 8 (do not use) Char"/>
    <w:basedOn w:val="DefaultParagraphFont"/>
    <w:link w:val="Heading8"/>
    <w:rPr>
      <w:rFonts w:ascii="Calibri" w:eastAsia="Times New Roman" w:hAnsi="Calibri" w:cs="Times New Roman"/>
      <w:i/>
      <w:iCs/>
      <w:sz w:val="24"/>
      <w:szCs w:val="24"/>
      <w:lang w:val="bg-BG"/>
    </w:rPr>
  </w:style>
  <w:style w:type="character" w:customStyle="1" w:styleId="Heading9Char">
    <w:name w:val="Heading 9 Char"/>
    <w:aliases w:val="Heading 9 CFMU Char,h9 Char,App Heading Char,App Heading1 Char,App Heading2 Char,App Heading3 Char,App Heading4 Char,App Heading5 Char,appendix Char,Blank 5 Char,9 Char,Bijlagen Char,progress Char,Annexe 3 Char,Titre 10 Char,Annexe4 Char"/>
    <w:basedOn w:val="DefaultParagraphFont"/>
    <w:link w:val="Heading9"/>
    <w:rPr>
      <w:rFonts w:ascii="Cambria" w:eastAsia="Times New Roman" w:hAnsi="Cambria" w:cs="Times New Roman"/>
      <w:lang w:val="bg-BG"/>
    </w:rPr>
  </w:style>
  <w:style w:type="numbering" w:customStyle="1" w:styleId="NoList1">
    <w:name w:val="No List1"/>
    <w:next w:val="NoList"/>
    <w:uiPriority w:val="99"/>
    <w:semiHidden/>
    <w:unhideWhenUsed/>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NoSpacing">
    <w:name w:val="No Spacing"/>
    <w:uiPriority w:val="1"/>
    <w:qFormat/>
    <w:pPr>
      <w:spacing w:after="0" w:line="240" w:lineRule="auto"/>
      <w:jc w:val="both"/>
    </w:pPr>
    <w:rPr>
      <w:rFonts w:ascii="Times New Roman" w:hAnsi="Times New Roman" w:cs="Times New Roman"/>
      <w:sz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NoList11">
    <w:name w:val="No List11"/>
    <w:next w:val="NoList"/>
    <w:uiPriority w:val="99"/>
    <w:semiHidden/>
    <w:unhideWhenUsed/>
  </w:style>
  <w:style w:type="paragraph" w:styleId="BodyText">
    <w:name w:val="Body Text"/>
    <w:basedOn w:val="Normal"/>
    <w:link w:val="BodyTextChar"/>
    <w:pPr>
      <w:spacing w:before="60"/>
      <w:jc w:val="left"/>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Caption">
    <w:name w:val="caption"/>
    <w:aliases w:val="CaptionCFMU,CaptionTLS"/>
    <w:basedOn w:val="Normal"/>
    <w:next w:val="Normal"/>
    <w:link w:val="CaptionChar"/>
    <w:qFormat/>
    <w:pPr>
      <w:spacing w:before="60"/>
      <w:jc w:val="center"/>
    </w:pPr>
    <w:rPr>
      <w:rFonts w:ascii="CG Times (W1)" w:eastAsia="Times New Roman" w:hAnsi="CG Times (W1)"/>
      <w:sz w:val="20"/>
      <w:szCs w:val="20"/>
    </w:rPr>
  </w:style>
  <w:style w:type="paragraph" w:customStyle="1" w:styleId="Opmaakprofiel">
    <w:name w:val="Opmaakprofiel"/>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Base">
    <w:name w:val="Base"/>
    <w:pPr>
      <w:spacing w:before="60" w:after="60" w:line="240" w:lineRule="auto"/>
    </w:pPr>
    <w:rPr>
      <w:rFonts w:ascii="Times New Roman" w:eastAsia="Times New Roman" w:hAnsi="Times New Roman" w:cs="Times New Roman"/>
      <w:sz w:val="24"/>
      <w:szCs w:val="20"/>
    </w:rPr>
  </w:style>
  <w:style w:type="paragraph" w:styleId="NormalIndent">
    <w:name w:val="Normal Indent"/>
    <w:basedOn w:val="Base"/>
    <w:pPr>
      <w:ind w:left="1134"/>
    </w:pPr>
  </w:style>
  <w:style w:type="paragraph" w:styleId="Index7">
    <w:name w:val="index 7"/>
    <w:basedOn w:val="Index6"/>
    <w:next w:val="Normal"/>
    <w:pPr>
      <w:ind w:left="1698"/>
    </w:pPr>
  </w:style>
  <w:style w:type="paragraph" w:styleId="Index6">
    <w:name w:val="index 6"/>
    <w:basedOn w:val="Index5"/>
    <w:next w:val="Normal"/>
    <w:pPr>
      <w:ind w:left="1415"/>
    </w:pPr>
  </w:style>
  <w:style w:type="paragraph" w:styleId="Index5">
    <w:name w:val="index 5"/>
    <w:basedOn w:val="Index4"/>
    <w:next w:val="Normal"/>
    <w:pPr>
      <w:ind w:left="1132"/>
    </w:pPr>
  </w:style>
  <w:style w:type="paragraph" w:styleId="Index4">
    <w:name w:val="index 4"/>
    <w:basedOn w:val="Index3"/>
    <w:next w:val="Normal"/>
    <w:pPr>
      <w:ind w:left="849"/>
    </w:pPr>
  </w:style>
  <w:style w:type="paragraph" w:styleId="Index3">
    <w:name w:val="index 3"/>
    <w:basedOn w:val="Index2"/>
    <w:next w:val="Normal"/>
    <w:pPr>
      <w:ind w:left="566"/>
    </w:pPr>
  </w:style>
  <w:style w:type="paragraph" w:styleId="Index2">
    <w:name w:val="index 2"/>
    <w:basedOn w:val="Index1"/>
    <w:next w:val="Normal"/>
    <w:pPr>
      <w:ind w:left="283"/>
    </w:pPr>
  </w:style>
  <w:style w:type="paragraph" w:styleId="Index1">
    <w:name w:val="index 1"/>
    <w:basedOn w:val="Base"/>
    <w:next w:val="Normal"/>
  </w:style>
  <w:style w:type="paragraph" w:styleId="IndexHeading">
    <w:name w:val="index heading"/>
    <w:basedOn w:val="Base"/>
    <w:next w:val="Index1"/>
  </w:style>
  <w:style w:type="paragraph" w:customStyle="1" w:styleId="NormalItem">
    <w:name w:val="Normal Item"/>
    <w:basedOn w:val="Base"/>
    <w:pPr>
      <w:ind w:left="1134" w:hanging="284"/>
    </w:pPr>
  </w:style>
  <w:style w:type="paragraph" w:customStyle="1" w:styleId="NormalSubitem">
    <w:name w:val="Normal Subitem"/>
    <w:basedOn w:val="Base"/>
    <w:pPr>
      <w:ind w:left="1418" w:hanging="284"/>
    </w:pPr>
  </w:style>
  <w:style w:type="paragraph" w:customStyle="1" w:styleId="HangingIndent">
    <w:name w:val="Hanging Indent"/>
    <w:basedOn w:val="NormalIndent"/>
    <w:pPr>
      <w:ind w:hanging="567"/>
    </w:pPr>
  </w:style>
  <w:style w:type="paragraph" w:customStyle="1" w:styleId="Itembody">
    <w:name w:val="Item body"/>
    <w:basedOn w:val="NormalItem"/>
    <w:pPr>
      <w:ind w:firstLine="0"/>
    </w:pPr>
  </w:style>
  <w:style w:type="paragraph" w:customStyle="1" w:styleId="Pages">
    <w:name w:val="Pages"/>
    <w:basedOn w:val="Base"/>
    <w:pPr>
      <w:spacing w:before="0"/>
    </w:pPr>
    <w:rPr>
      <w:rFonts w:ascii="Arial" w:hAnsi="Arial"/>
      <w:sz w:val="28"/>
    </w:rPr>
  </w:style>
  <w:style w:type="paragraph" w:customStyle="1" w:styleId="Comments">
    <w:name w:val="Comments"/>
    <w:basedOn w:val="Base"/>
    <w:next w:val="Normal"/>
    <w:pPr>
      <w:spacing w:after="120"/>
    </w:pPr>
    <w:rPr>
      <w:rFonts w:ascii="Arial" w:hAnsi="Arial"/>
      <w:b/>
      <w:sz w:val="28"/>
    </w:rPr>
  </w:style>
  <w:style w:type="paragraph" w:customStyle="1" w:styleId="Italic">
    <w:name w:val="Italic"/>
    <w:basedOn w:val="Base"/>
    <w:pPr>
      <w:spacing w:before="0"/>
    </w:pPr>
    <w:rPr>
      <w:rFonts w:ascii="CG Times" w:hAnsi="CG Times"/>
      <w:b/>
      <w:i/>
      <w:sz w:val="20"/>
      <w:u w:val="single"/>
    </w:rPr>
  </w:style>
  <w:style w:type="paragraph" w:customStyle="1" w:styleId="DoubleIndent">
    <w:name w:val="Double Indent"/>
    <w:basedOn w:val="NormalIndent"/>
    <w:pPr>
      <w:tabs>
        <w:tab w:val="left" w:pos="2835"/>
      </w:tabs>
      <w:spacing w:before="0"/>
      <w:ind w:left="2268"/>
    </w:pPr>
  </w:style>
  <w:style w:type="paragraph" w:customStyle="1" w:styleId="NormalSubSubitem">
    <w:name w:val="Normal SubSubitem"/>
    <w:basedOn w:val="NormalSubitem"/>
    <w:pPr>
      <w:ind w:left="1985"/>
    </w:pPr>
  </w:style>
  <w:style w:type="paragraph" w:customStyle="1" w:styleId="DoubleHangingIndent">
    <w:name w:val="Double Hanging Indent"/>
    <w:basedOn w:val="DoubleIndent"/>
    <w:pPr>
      <w:ind w:hanging="567"/>
    </w:pPr>
    <w:rPr>
      <w:sz w:val="20"/>
    </w:rPr>
  </w:style>
  <w:style w:type="paragraph" w:customStyle="1" w:styleId="LongHangingIndent">
    <w:name w:val="Long Hanging Indent"/>
    <w:basedOn w:val="HangingIndent"/>
    <w:next w:val="Normal"/>
    <w:pPr>
      <w:ind w:left="3402" w:hanging="2268"/>
    </w:pPr>
    <w:rPr>
      <w:sz w:val="20"/>
    </w:rPr>
  </w:style>
  <w:style w:type="paragraph" w:customStyle="1" w:styleId="Verse">
    <w:name w:val="Verse"/>
    <w:basedOn w:val="Base"/>
    <w:pPr>
      <w:keepLines/>
      <w:tabs>
        <w:tab w:val="left" w:pos="2835"/>
      </w:tabs>
      <w:spacing w:after="240"/>
      <w:ind w:left="1701" w:right="851"/>
      <w:jc w:val="center"/>
    </w:pPr>
    <w:rPr>
      <w:b/>
      <w:i/>
      <w:sz w:val="20"/>
    </w:rPr>
  </w:style>
  <w:style w:type="paragraph" w:customStyle="1" w:styleId="NormSubitemBody">
    <w:name w:val="Norm Subitem Body"/>
    <w:basedOn w:val="NormalSubitem"/>
    <w:pPr>
      <w:spacing w:before="0"/>
      <w:ind w:left="1531" w:firstLine="0"/>
    </w:pPr>
  </w:style>
  <w:style w:type="paragraph" w:customStyle="1" w:styleId="Heading2TOC">
    <w:name w:val="Heading 2 TOC"/>
    <w:basedOn w:val="Heading2"/>
    <w:pPr>
      <w:keepLines/>
      <w:numPr>
        <w:ilvl w:val="0"/>
        <w:numId w:val="0"/>
      </w:numPr>
      <w:spacing w:before="0" w:after="480"/>
      <w:jc w:val="center"/>
      <w:outlineLvl w:val="9"/>
    </w:pPr>
    <w:rPr>
      <w:rFonts w:eastAsia="Times New Roman"/>
      <w:bCs w:val="0"/>
      <w:szCs w:val="24"/>
    </w:rPr>
  </w:style>
  <w:style w:type="paragraph" w:customStyle="1" w:styleId="NormalNItem">
    <w:name w:val="Normal N Item"/>
    <w:basedOn w:val="NormalItem"/>
    <w:next w:val="Itembody"/>
    <w:pPr>
      <w:keepNext/>
      <w:ind w:left="1135"/>
    </w:pPr>
  </w:style>
  <w:style w:type="paragraph" w:customStyle="1" w:styleId="SubitemBody">
    <w:name w:val="Subitem Body"/>
    <w:basedOn w:val="NormalSubitem"/>
  </w:style>
  <w:style w:type="paragraph" w:customStyle="1" w:styleId="t">
    <w:name w:val="t"/>
    <w:basedOn w:val="Heading1"/>
    <w:pPr>
      <w:numPr>
        <w:numId w:val="0"/>
      </w:numPr>
      <w:spacing w:before="240" w:after="240"/>
      <w:jc w:val="center"/>
      <w:outlineLvl w:val="9"/>
    </w:pPr>
    <w:rPr>
      <w:rFonts w:eastAsia="Times New Roman"/>
      <w:bCs w:val="0"/>
      <w:caps/>
      <w:smallCaps w:val="0"/>
      <w:spacing w:val="40"/>
      <w:sz w:val="36"/>
      <w:szCs w:val="20"/>
    </w:rPr>
  </w:style>
  <w:style w:type="paragraph" w:customStyle="1" w:styleId="Ital">
    <w:name w:val="Ital"/>
    <w:basedOn w:val="Base"/>
    <w:pPr>
      <w:pBdr>
        <w:top w:val="single" w:sz="6" w:space="3" w:color="auto"/>
        <w:left w:val="single" w:sz="6" w:space="3" w:color="auto"/>
        <w:bottom w:val="single" w:sz="6" w:space="3" w:color="auto"/>
        <w:right w:val="single" w:sz="6" w:space="3" w:color="auto"/>
      </w:pBdr>
      <w:ind w:right="113"/>
    </w:pPr>
    <w:rPr>
      <w:i/>
    </w:rPr>
  </w:style>
  <w:style w:type="paragraph" w:customStyle="1" w:styleId="ItalIndent">
    <w:name w:val="Ital Indent"/>
    <w:basedOn w:val="NormalIndent"/>
    <w:rPr>
      <w:i/>
    </w:rPr>
  </w:style>
  <w:style w:type="paragraph" w:customStyle="1" w:styleId="ItalItem">
    <w:name w:val="Ital Item"/>
    <w:basedOn w:val="Ital"/>
    <w:pPr>
      <w:ind w:left="851" w:hanging="284"/>
    </w:pPr>
    <w:rPr>
      <w:i w:val="0"/>
    </w:rPr>
  </w:style>
  <w:style w:type="paragraph" w:customStyle="1" w:styleId="indent2">
    <w:name w:val="indent 2"/>
    <w:basedOn w:val="indent1"/>
    <w:pPr>
      <w:ind w:left="1800"/>
    </w:pPr>
  </w:style>
  <w:style w:type="paragraph" w:customStyle="1" w:styleId="indent1">
    <w:name w:val="indent 1"/>
    <w:basedOn w:val="Base"/>
    <w:pPr>
      <w:keepLines/>
      <w:spacing w:before="0" w:after="240"/>
      <w:ind w:left="907"/>
    </w:pPr>
    <w:rPr>
      <w:sz w:val="20"/>
    </w:rPr>
  </w:style>
  <w:style w:type="character" w:styleId="EndnoteReference">
    <w:name w:val="endnote reference"/>
    <w:rPr>
      <w:rFonts w:cs="Times New Roman"/>
      <w:vertAlign w:val="superscript"/>
    </w:rPr>
  </w:style>
  <w:style w:type="paragraph" w:customStyle="1" w:styleId="Happ1">
    <w:name w:val="Happ1"/>
    <w:basedOn w:val="Base"/>
    <w:pPr>
      <w:keepNext/>
      <w:pageBreakBefore/>
      <w:numPr>
        <w:numId w:val="11"/>
      </w:numPr>
      <w:spacing w:before="240"/>
    </w:pPr>
    <w:rPr>
      <w:b/>
      <w:caps/>
      <w:sz w:val="32"/>
    </w:rPr>
  </w:style>
  <w:style w:type="character" w:styleId="FollowedHyperlink">
    <w:name w:val="FollowedHyperlink"/>
    <w:rPr>
      <w:rFonts w:cs="Times New Roman"/>
      <w:color w:val="800080"/>
      <w:u w:val="single"/>
    </w:rPr>
  </w:style>
  <w:style w:type="paragraph" w:customStyle="1" w:styleId="AnnexHeading2">
    <w:name w:val="Annex Heading 2"/>
    <w:basedOn w:val="Heading4"/>
    <w:pPr>
      <w:numPr>
        <w:ilvl w:val="1"/>
        <w:numId w:val="12"/>
      </w:numPr>
      <w:spacing w:before="240" w:after="240"/>
    </w:pPr>
    <w:rPr>
      <w:rFonts w:ascii="Courier New" w:eastAsia="Times New Roman" w:hAnsi="Courier New" w:cs="Courier New"/>
      <w:bCs w:val="0"/>
      <w:iCs w:val="0"/>
      <w:smallCaps/>
      <w:color w:val="0000FF"/>
      <w:w w:val="122"/>
      <w:szCs w:val="20"/>
    </w:rPr>
  </w:style>
  <w:style w:type="character" w:customStyle="1" w:styleId="BaseChar">
    <w:name w:val="Base Char"/>
    <w:rPr>
      <w:rFonts w:cs="Times New Roman"/>
      <w:sz w:val="24"/>
      <w:lang w:val="bg-BG" w:eastAsia="bg-BG" w:bidi="bg-BG"/>
    </w:rPr>
  </w:style>
  <w:style w:type="paragraph" w:customStyle="1" w:styleId="TableCell">
    <w:name w:val="TableCell"/>
    <w:basedOn w:val="Normal"/>
    <w:pPr>
      <w:spacing w:before="60" w:after="0"/>
      <w:jc w:val="left"/>
    </w:pPr>
    <w:rPr>
      <w:rFonts w:ascii="Arial" w:eastAsia="Times New Roman" w:hAnsi="Arial"/>
      <w:bCs/>
      <w:sz w:val="20"/>
      <w:szCs w:val="24"/>
    </w:rPr>
  </w:style>
  <w:style w:type="paragraph" w:styleId="BodyTextIndent2">
    <w:name w:val="Body Text Indent 2"/>
    <w:basedOn w:val="Normal"/>
    <w:link w:val="BodyTextIndent2Char"/>
    <w:pPr>
      <w:spacing w:before="0"/>
      <w:ind w:left="720"/>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customStyle="1" w:styleId="AppendixHeading1">
    <w:name w:val="Appendix Heading 1"/>
    <w:basedOn w:val="Normal"/>
    <w:next w:val="Normal"/>
    <w:pPr>
      <w:numPr>
        <w:numId w:val="9"/>
      </w:numPr>
      <w:spacing w:before="240" w:after="0"/>
      <w:ind w:left="851"/>
      <w:outlineLvl w:val="1"/>
    </w:pPr>
    <w:rPr>
      <w:rFonts w:ascii="Arial" w:eastAsia="Times New Roman" w:hAnsi="Arial"/>
      <w:b/>
      <w:smallCaps/>
      <w:color w:val="0000FF"/>
      <w:kern w:val="28"/>
      <w:sz w:val="32"/>
      <w:szCs w:val="20"/>
    </w:rPr>
  </w:style>
  <w:style w:type="character" w:customStyle="1" w:styleId="Text1Char">
    <w:name w:val="Text 1 Char"/>
    <w:rPr>
      <w:rFonts w:cs="Times New Roman"/>
      <w:sz w:val="22"/>
      <w:lang w:val="bg-BG" w:eastAsia="bg-BG" w:bidi="bg-BG"/>
    </w:rPr>
  </w:style>
  <w:style w:type="paragraph" w:styleId="BodyTextIndent">
    <w:name w:val="Body Text Indent"/>
    <w:basedOn w:val="Normal"/>
    <w:link w:val="BodyTextIndentChar"/>
    <w:pPr>
      <w:numPr>
        <w:numId w:val="10"/>
      </w:numPr>
      <w:spacing w:before="60"/>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lockText">
    <w:name w:val="Block Text"/>
    <w:basedOn w:val="Normal"/>
    <w:pPr>
      <w:widowControl w:val="0"/>
      <w:autoSpaceDE w:val="0"/>
      <w:autoSpaceDN w:val="0"/>
      <w:adjustRightInd w:val="0"/>
      <w:spacing w:before="0" w:after="0" w:line="244" w:lineRule="exact"/>
      <w:ind w:left="720" w:right="221"/>
    </w:pPr>
    <w:rPr>
      <w:rFonts w:ascii="Courier New" w:eastAsia="Times New Roman" w:hAnsi="Courier New" w:cs="Courier New"/>
      <w:sz w:val="22"/>
    </w:rPr>
  </w:style>
  <w:style w:type="paragraph" w:styleId="BodyTextIndent3">
    <w:name w:val="Body Text Indent 3"/>
    <w:basedOn w:val="Normal"/>
    <w:link w:val="BodyTextIndent3Char"/>
    <w:pPr>
      <w:spacing w:before="60"/>
      <w:ind w:left="720"/>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bg-BG"/>
    </w:rPr>
  </w:style>
  <w:style w:type="paragraph" w:customStyle="1" w:styleId="Heading0">
    <w:name w:val="Heading 0"/>
    <w:basedOn w:val="Normal"/>
    <w:pPr>
      <w:pageBreakBefore/>
      <w:spacing w:before="240" w:after="240"/>
      <w:ind w:left="142" w:right="284"/>
      <w:jc w:val="center"/>
    </w:pPr>
    <w:rPr>
      <w:rFonts w:eastAsia="Times New Roman"/>
      <w:b/>
      <w:caps/>
      <w:sz w:val="28"/>
      <w:szCs w:val="20"/>
    </w:rPr>
  </w:style>
  <w:style w:type="paragraph" w:styleId="BodyText2">
    <w:name w:val="Body Text 2"/>
    <w:basedOn w:val="Normal"/>
    <w:link w:val="BodyText2Char"/>
    <w:pPr>
      <w:autoSpaceDE w:val="0"/>
      <w:autoSpaceDN w:val="0"/>
      <w:adjustRightInd w:val="0"/>
      <w:spacing w:after="0"/>
      <w:jc w:val="left"/>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TableofFigures">
    <w:name w:val="table of figures"/>
    <w:basedOn w:val="Normal"/>
    <w:next w:val="Normal"/>
    <w:uiPriority w:val="99"/>
    <w:pPr>
      <w:spacing w:after="0"/>
      <w:jc w:val="left"/>
    </w:pPr>
    <w:rPr>
      <w:rFonts w:eastAsia="Times New Roman"/>
      <w:szCs w:val="20"/>
    </w:rPr>
  </w:style>
  <w:style w:type="paragraph" w:styleId="BodyText3">
    <w:name w:val="Body Text 3"/>
    <w:basedOn w:val="Normal"/>
    <w:link w:val="BodyText3Char"/>
    <w:pPr>
      <w:spacing w:after="0"/>
      <w:jc w:val="left"/>
    </w:pPr>
    <w:rPr>
      <w:rFonts w:eastAsia="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bg-BG"/>
    </w:rPr>
  </w:style>
  <w:style w:type="paragraph" w:customStyle="1" w:styleId="List2bullet">
    <w:name w:val="List_2_bullet"/>
    <w:basedOn w:val="Normal"/>
    <w:pPr>
      <w:numPr>
        <w:numId w:val="13"/>
      </w:numPr>
      <w:jc w:val="left"/>
    </w:pPr>
    <w:rPr>
      <w:rFonts w:eastAsia="Times New Roman"/>
      <w:szCs w:val="24"/>
    </w:rPr>
  </w:style>
  <w:style w:type="paragraph" w:customStyle="1" w:styleId="StyleTableofFigures20ptAllcaps">
    <w:name w:val="Style Table of Figures + 20 pt All caps"/>
    <w:basedOn w:val="TableofFigures"/>
    <w:autoRedefine/>
    <w:rPr>
      <w:caps/>
      <w:sz w:val="32"/>
    </w:rPr>
  </w:style>
  <w:style w:type="paragraph" w:styleId="DocumentMap">
    <w:name w:val="Document Map"/>
    <w:basedOn w:val="Normal"/>
    <w:link w:val="DocumentMapChar"/>
    <w:pPr>
      <w:shd w:val="clear" w:color="auto" w:fill="000080"/>
      <w:spacing w:after="0"/>
      <w:jc w:val="left"/>
    </w:pPr>
    <w:rPr>
      <w:rFonts w:eastAsia="Times New Roman"/>
      <w:sz w:val="2"/>
      <w:szCs w:val="20"/>
    </w:rPr>
  </w:style>
  <w:style w:type="character" w:customStyle="1" w:styleId="DocumentMapChar">
    <w:name w:val="Document Map Char"/>
    <w:basedOn w:val="DefaultParagraphFont"/>
    <w:link w:val="DocumentMap"/>
    <w:rPr>
      <w:rFonts w:ascii="Times New Roman" w:eastAsia="Times New Roman" w:hAnsi="Times New Roman" w:cs="Times New Roman"/>
      <w:sz w:val="2"/>
      <w:szCs w:val="20"/>
      <w:shd w:val="clear" w:color="auto" w:fill="000080"/>
      <w:lang w:val="bg-BG"/>
    </w:rPr>
  </w:style>
  <w:style w:type="character" w:styleId="Emphasis">
    <w:name w:val="Emphasis"/>
    <w:uiPriority w:val="20"/>
    <w:qFormat/>
    <w:rPr>
      <w:rFonts w:cs="Times New Roman"/>
      <w:i/>
      <w:iCs/>
    </w:rPr>
  </w:style>
  <w:style w:type="paragraph" w:customStyle="1" w:styleId="ZCom">
    <w:name w:val="Z_Com"/>
    <w:basedOn w:val="Normal"/>
    <w:next w:val="ZDGName"/>
    <w:pPr>
      <w:spacing w:before="0" w:after="0"/>
      <w:ind w:right="85"/>
    </w:pPr>
    <w:rPr>
      <w:rFonts w:ascii="Arial" w:eastAsia="Times New Roman" w:hAnsi="Arial"/>
      <w:sz w:val="22"/>
      <w:szCs w:val="20"/>
    </w:rPr>
  </w:style>
  <w:style w:type="paragraph" w:customStyle="1" w:styleId="ZDGName">
    <w:name w:val="Z_DGName"/>
    <w:basedOn w:val="Normal"/>
    <w:pPr>
      <w:spacing w:before="0" w:after="0"/>
      <w:ind w:right="85"/>
    </w:pPr>
    <w:rPr>
      <w:rFonts w:ascii="Arial" w:eastAsia="Times New Roman" w:hAnsi="Arial"/>
      <w:sz w:val="16"/>
      <w:szCs w:val="20"/>
    </w:rPr>
  </w:style>
  <w:style w:type="character" w:styleId="PageNumber">
    <w:name w:val="page number"/>
    <w:rPr>
      <w:rFonts w:cs="Times New Roman"/>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0"/>
    </w:rPr>
  </w:style>
  <w:style w:type="character" w:customStyle="1" w:styleId="FooterCoverPageChar">
    <w:name w:val="Footer Cover Page Char"/>
    <w:basedOn w:val="BodyTextChar"/>
    <w:link w:val="FooterCoverPage"/>
    <w:rPr>
      <w:rFonts w:ascii="Times New Roman" w:eastAsia="Times New Roman" w:hAnsi="Times New Roman" w:cs="Times New Roman"/>
      <w:sz w:val="24"/>
      <w:szCs w:val="20"/>
      <w:lang w:val="bg-BG"/>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0"/>
    </w:rPr>
  </w:style>
  <w:style w:type="character" w:customStyle="1" w:styleId="HeaderCoverPageChar">
    <w:name w:val="Header Cover Page Char"/>
    <w:basedOn w:val="BodyTextChar"/>
    <w:link w:val="HeaderCoverPage"/>
    <w:rPr>
      <w:rFonts w:ascii="Times New Roman" w:eastAsia="Times New Roman" w:hAnsi="Times New Roman" w:cs="Times New Roman"/>
      <w:sz w:val="24"/>
      <w:szCs w:val="20"/>
      <w:lang w:val="bg-BG"/>
    </w:rPr>
  </w:style>
  <w:style w:type="paragraph" w:customStyle="1" w:styleId="HeadingTOC">
    <w:name w:val="Heading TOC"/>
    <w:basedOn w:val="Base"/>
    <w:rPr>
      <w:b/>
      <w:sz w:val="40"/>
    </w:rPr>
  </w:style>
  <w:style w:type="paragraph" w:customStyle="1" w:styleId="App1">
    <w:name w:val="App1"/>
    <w:basedOn w:val="Base"/>
    <w:next w:val="App2"/>
    <w:pPr>
      <w:pageBreakBefore/>
      <w:spacing w:before="120" w:after="240"/>
    </w:pPr>
    <w:rPr>
      <w:b/>
      <w:caps/>
      <w:sz w:val="32"/>
    </w:rPr>
  </w:style>
  <w:style w:type="paragraph" w:customStyle="1" w:styleId="App2">
    <w:name w:val="App2"/>
    <w:basedOn w:val="App1"/>
    <w:pPr>
      <w:pageBreakBefore w:val="0"/>
      <w:spacing w:after="120"/>
    </w:pPr>
    <w:rPr>
      <w:caps w:val="0"/>
      <w:smallCaps/>
      <w:sz w:val="28"/>
    </w:rPr>
  </w:style>
  <w:style w:type="paragraph" w:customStyle="1" w:styleId="App3">
    <w:name w:val="App3"/>
    <w:basedOn w:val="App2"/>
    <w:rPr>
      <w:sz w:val="24"/>
    </w:rPr>
  </w:style>
  <w:style w:type="paragraph" w:customStyle="1" w:styleId="App4">
    <w:name w:val="App4"/>
    <w:basedOn w:val="App3"/>
    <w:rPr>
      <w:b w:val="0"/>
      <w:sz w:val="22"/>
    </w:rPr>
  </w:style>
  <w:style w:type="paragraph" w:customStyle="1" w:styleId="ListNumber1">
    <w:name w:val="List Number 1"/>
    <w:basedOn w:val="Normal"/>
    <w:pPr>
      <w:tabs>
        <w:tab w:val="num" w:pos="1191"/>
      </w:tabs>
      <w:spacing w:before="0" w:after="240"/>
      <w:ind w:left="1191" w:hanging="709"/>
    </w:pPr>
    <w:rPr>
      <w:rFonts w:eastAsia="Times New Roman"/>
      <w:sz w:val="22"/>
      <w:szCs w:val="20"/>
    </w:rPr>
  </w:style>
  <w:style w:type="paragraph" w:customStyle="1" w:styleId="ListNumber1Level2">
    <w:name w:val="List Number 1 (Level 2)"/>
    <w:basedOn w:val="Normal"/>
    <w:pPr>
      <w:tabs>
        <w:tab w:val="num" w:pos="1899"/>
      </w:tabs>
      <w:spacing w:before="0" w:after="240"/>
      <w:ind w:left="1899" w:hanging="708"/>
    </w:pPr>
    <w:rPr>
      <w:rFonts w:eastAsia="Times New Roman"/>
      <w:sz w:val="22"/>
      <w:szCs w:val="20"/>
    </w:rPr>
  </w:style>
  <w:style w:type="paragraph" w:customStyle="1" w:styleId="ListNumber1Level3">
    <w:name w:val="List Number 1 (Level 3)"/>
    <w:basedOn w:val="Normal"/>
    <w:pPr>
      <w:tabs>
        <w:tab w:val="num" w:pos="2608"/>
      </w:tabs>
      <w:spacing w:before="0" w:after="240"/>
      <w:ind w:left="2608" w:hanging="709"/>
    </w:pPr>
    <w:rPr>
      <w:rFonts w:eastAsia="Times New Roman"/>
      <w:sz w:val="22"/>
      <w:szCs w:val="20"/>
    </w:rPr>
  </w:style>
  <w:style w:type="paragraph" w:customStyle="1" w:styleId="ListNumber1Level4">
    <w:name w:val="List Number 1 (Level 4)"/>
    <w:basedOn w:val="Normal"/>
    <w:pPr>
      <w:tabs>
        <w:tab w:val="num" w:pos="3317"/>
      </w:tabs>
      <w:spacing w:before="0" w:after="240"/>
      <w:ind w:left="3317" w:hanging="709"/>
    </w:pPr>
    <w:rPr>
      <w:rFonts w:eastAsia="Times New Roman"/>
      <w:sz w:val="22"/>
      <w:szCs w:val="20"/>
    </w:rPr>
  </w:style>
  <w:style w:type="paragraph" w:customStyle="1" w:styleId="Participants">
    <w:name w:val="Participants"/>
    <w:basedOn w:val="Normal"/>
    <w:next w:val="Normal"/>
    <w:pPr>
      <w:tabs>
        <w:tab w:val="left" w:pos="2552"/>
        <w:tab w:val="left" w:pos="2835"/>
        <w:tab w:val="left" w:pos="5670"/>
        <w:tab w:val="left" w:pos="6379"/>
        <w:tab w:val="left" w:pos="6804"/>
      </w:tabs>
      <w:spacing w:before="480" w:after="60"/>
      <w:ind w:left="1985" w:hanging="1985"/>
      <w:jc w:val="left"/>
    </w:pPr>
    <w:rPr>
      <w:rFonts w:eastAsia="Times New Roman"/>
      <w:sz w:val="22"/>
      <w:szCs w:val="20"/>
    </w:rPr>
  </w:style>
  <w:style w:type="paragraph" w:customStyle="1" w:styleId="Keypointbold">
    <w:name w:val="Key point bold"/>
    <w:basedOn w:val="Normal"/>
    <w:pPr>
      <w:pBdr>
        <w:top w:val="single" w:sz="4" w:space="1" w:color="FF0000" w:shadow="1"/>
        <w:left w:val="single" w:sz="4" w:space="4" w:color="FF0000" w:shadow="1"/>
        <w:bottom w:val="single" w:sz="4" w:space="1" w:color="FF0000" w:shadow="1"/>
        <w:right w:val="single" w:sz="4" w:space="4" w:color="FF0000" w:shadow="1"/>
      </w:pBdr>
      <w:spacing w:before="0" w:after="60"/>
    </w:pPr>
    <w:rPr>
      <w:rFonts w:ascii="Arial Narrow" w:eastAsia="Times New Roman" w:hAnsi="Arial Narrow"/>
      <w:b/>
      <w:i/>
      <w:sz w:val="22"/>
      <w:szCs w:val="20"/>
    </w:rPr>
  </w:style>
  <w:style w:type="paragraph" w:styleId="PlainText">
    <w:name w:val="Plain Text"/>
    <w:basedOn w:val="Normal"/>
    <w:link w:val="PlainTextChar"/>
    <w:pPr>
      <w:spacing w:before="0" w:after="60"/>
      <w:jc w:val="left"/>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eastAsia="bg-BG"/>
    </w:rPr>
  </w:style>
  <w:style w:type="paragraph" w:customStyle="1" w:styleId="DefinitionList">
    <w:name w:val="Definition List"/>
    <w:basedOn w:val="Normal"/>
    <w:next w:val="Normal"/>
    <w:pPr>
      <w:spacing w:before="0" w:after="60"/>
      <w:ind w:left="360"/>
      <w:jc w:val="left"/>
    </w:pPr>
    <w:rPr>
      <w:rFonts w:eastAsia="Times New Roman"/>
      <w:snapToGrid w:val="0"/>
      <w:sz w:val="22"/>
      <w:szCs w:val="20"/>
    </w:rPr>
  </w:style>
  <w:style w:type="paragraph" w:customStyle="1" w:styleId="Figure">
    <w:name w:val="Figure"/>
    <w:basedOn w:val="Normal"/>
    <w:pPr>
      <w:widowControl w:val="0"/>
      <w:overflowPunct w:val="0"/>
      <w:autoSpaceDE w:val="0"/>
      <w:autoSpaceDN w:val="0"/>
      <w:adjustRightInd w:val="0"/>
      <w:spacing w:before="60"/>
      <w:jc w:val="center"/>
      <w:textAlignment w:val="baseline"/>
    </w:pPr>
    <w:rPr>
      <w:rFonts w:eastAsia="Times New Roman"/>
      <w:sz w:val="22"/>
      <w:szCs w:val="20"/>
    </w:rPr>
  </w:style>
  <w:style w:type="paragraph" w:customStyle="1" w:styleId="COVERTITLE">
    <w:name w:val="COVER TITLE"/>
    <w:basedOn w:val="Normal"/>
    <w:pPr>
      <w:tabs>
        <w:tab w:val="left" w:pos="1134"/>
        <w:tab w:val="left" w:pos="1701"/>
        <w:tab w:val="left" w:pos="2268"/>
      </w:tabs>
      <w:overflowPunct w:val="0"/>
      <w:autoSpaceDE w:val="0"/>
      <w:autoSpaceDN w:val="0"/>
      <w:adjustRightInd w:val="0"/>
      <w:spacing w:before="240" w:after="60"/>
      <w:ind w:left="567"/>
      <w:jc w:val="center"/>
      <w:textAlignment w:val="baseline"/>
    </w:pPr>
    <w:rPr>
      <w:rFonts w:eastAsia="Times New Roman"/>
      <w:b/>
      <w:smallCaps/>
      <w:sz w:val="32"/>
      <w:szCs w:val="20"/>
    </w:rPr>
  </w:style>
  <w:style w:type="paragraph" w:customStyle="1" w:styleId="Heading1Heading1CFMUPara1h1OS114pt">
    <w:name w:val="Heading 1Heading 1 CFMUPara 1h1OS1 + 14 pt"/>
    <w:basedOn w:val="Heading1"/>
    <w:pPr>
      <w:keepNext w:val="0"/>
      <w:keepLines/>
      <w:pageBreakBefore/>
      <w:numPr>
        <w:numId w:val="0"/>
      </w:numPr>
      <w:tabs>
        <w:tab w:val="num" w:pos="432"/>
      </w:tabs>
      <w:spacing w:before="120" w:after="240"/>
      <w:ind w:left="431" w:hanging="431"/>
      <w:jc w:val="left"/>
    </w:pPr>
    <w:rPr>
      <w:rFonts w:eastAsia="Times New Roman"/>
      <w:caps/>
      <w:smallCaps w:val="0"/>
      <w:sz w:val="28"/>
    </w:rPr>
  </w:style>
  <w:style w:type="paragraph" w:customStyle="1" w:styleId="bullet10">
    <w:name w:val="bullet1"/>
    <w:basedOn w:val="Normal"/>
    <w:pPr>
      <w:tabs>
        <w:tab w:val="num" w:pos="1080"/>
      </w:tabs>
      <w:spacing w:before="60" w:after="60"/>
      <w:ind w:left="1080" w:hanging="360"/>
      <w:jc w:val="left"/>
    </w:pPr>
    <w:rPr>
      <w:rFonts w:eastAsia="Times New Roman"/>
      <w:sz w:val="22"/>
      <w:szCs w:val="20"/>
    </w:rPr>
  </w:style>
  <w:style w:type="character" w:customStyle="1" w:styleId="normal1">
    <w:name w:val="normal1"/>
    <w:rPr>
      <w:rFonts w:ascii="Verdana" w:hAnsi="Verdana" w:hint="default"/>
      <w:b w:val="0"/>
      <w:bCs w:val="0"/>
      <w:sz w:val="17"/>
      <w:szCs w:val="17"/>
    </w:rPr>
  </w:style>
  <w:style w:type="paragraph" w:customStyle="1" w:styleId="Style1">
    <w:name w:val="Style1"/>
    <w:basedOn w:val="TOC1"/>
    <w:pPr>
      <w:tabs>
        <w:tab w:val="clear" w:pos="9071"/>
        <w:tab w:val="left" w:pos="960"/>
        <w:tab w:val="right" w:leader="dot" w:pos="9526"/>
      </w:tabs>
      <w:ind w:left="567" w:hanging="567"/>
    </w:pPr>
    <w:rPr>
      <w:rFonts w:eastAsia="Times New Roman"/>
      <w:b/>
      <w:smallCaps/>
      <w:noProof/>
      <w:sz w:val="28"/>
      <w:szCs w:val="28"/>
    </w:rPr>
  </w:style>
  <w:style w:type="paragraph" w:customStyle="1" w:styleId="NormalItemLast">
    <w:name w:val="Normal Item Last"/>
    <w:basedOn w:val="NormalItem"/>
    <w:next w:val="Normal"/>
    <w:pPr>
      <w:keepNext/>
      <w:keepLines/>
      <w:tabs>
        <w:tab w:val="num" w:pos="360"/>
      </w:tabs>
      <w:spacing w:before="0" w:after="120"/>
      <w:ind w:left="360" w:hanging="360"/>
      <w:jc w:val="both"/>
    </w:pPr>
    <w:rPr>
      <w:szCs w:val="24"/>
    </w:rPr>
  </w:style>
  <w:style w:type="paragraph" w:customStyle="1" w:styleId="NormalTitle">
    <w:name w:val="Normal Title"/>
    <w:basedOn w:val="Normal"/>
    <w:pPr>
      <w:spacing w:before="240" w:after="60"/>
      <w:ind w:left="2269" w:hanging="1702"/>
    </w:pPr>
    <w:rPr>
      <w:rFonts w:eastAsia="Times New Roman"/>
      <w:b/>
      <w:bCs/>
      <w:sz w:val="28"/>
      <w:szCs w:val="28"/>
    </w:rPr>
  </w:style>
  <w:style w:type="paragraph" w:customStyle="1" w:styleId="NormalCR">
    <w:name w:val="NormalCR"/>
    <w:basedOn w:val="Normal"/>
    <w:pPr>
      <w:spacing w:before="0" w:after="60"/>
      <w:jc w:val="left"/>
    </w:pPr>
    <w:rPr>
      <w:rFonts w:eastAsia="Times New Roman"/>
      <w:sz w:val="22"/>
    </w:rPr>
  </w:style>
  <w:style w:type="paragraph" w:customStyle="1" w:styleId="TableL01">
    <w:name w:val="Table L0.1"/>
    <w:basedOn w:val="Normal"/>
    <w:pPr>
      <w:spacing w:before="0" w:after="60"/>
      <w:ind w:left="113"/>
      <w:jc w:val="left"/>
    </w:pPr>
    <w:rPr>
      <w:rFonts w:eastAsia="Times New Roman"/>
      <w:iCs/>
      <w:sz w:val="22"/>
      <w:szCs w:val="18"/>
    </w:rPr>
  </w:style>
  <w:style w:type="paragraph" w:customStyle="1" w:styleId="TextTableCent">
    <w:name w:val="Text Table Cent"/>
    <w:basedOn w:val="Normal"/>
    <w:pPr>
      <w:keepNext/>
      <w:keepLines/>
      <w:spacing w:before="40" w:after="40" w:line="240" w:lineRule="exact"/>
      <w:jc w:val="center"/>
    </w:pPr>
    <w:rPr>
      <w:rFonts w:ascii="Arial" w:eastAsia="Times New Roman" w:hAnsi="Arial" w:cs="Arial"/>
      <w:sz w:val="18"/>
      <w:szCs w:val="18"/>
    </w:rPr>
  </w:style>
  <w:style w:type="paragraph" w:customStyle="1" w:styleId="TableCell0">
    <w:name w:val="Table Cell"/>
    <w:basedOn w:val="Normal"/>
    <w:pPr>
      <w:widowControl w:val="0"/>
      <w:spacing w:before="0" w:after="60"/>
    </w:pPr>
    <w:rPr>
      <w:rFonts w:eastAsia="Times New Roman"/>
      <w:sz w:val="22"/>
      <w:szCs w:val="20"/>
    </w:rPr>
  </w:style>
  <w:style w:type="paragraph" w:customStyle="1" w:styleId="Requirement">
    <w:name w:val="Requirement"/>
    <w:basedOn w:val="Normal"/>
    <w:pPr>
      <w:widowControl w:val="0"/>
      <w:tabs>
        <w:tab w:val="left" w:pos="840"/>
      </w:tabs>
      <w:spacing w:before="240" w:after="60"/>
      <w:ind w:right="80"/>
    </w:pPr>
    <w:rPr>
      <w:rFonts w:eastAsia="Times New Roman"/>
      <w:sz w:val="20"/>
      <w:szCs w:val="20"/>
    </w:rPr>
  </w:style>
  <w:style w:type="paragraph" w:customStyle="1" w:styleId="DGXXI">
    <w:name w:val="DGXXI"/>
    <w:basedOn w:val="Normal"/>
    <w:pPr>
      <w:widowControl w:val="0"/>
      <w:pBdr>
        <w:top w:val="double" w:sz="6" w:space="3" w:color="auto"/>
        <w:left w:val="double" w:sz="6" w:space="3" w:color="auto"/>
        <w:bottom w:val="double" w:sz="6" w:space="3" w:color="auto"/>
        <w:right w:val="double" w:sz="6" w:space="3" w:color="auto"/>
      </w:pBdr>
      <w:tabs>
        <w:tab w:val="left" w:pos="1134"/>
        <w:tab w:val="left" w:pos="1701"/>
        <w:tab w:val="left" w:pos="2268"/>
      </w:tabs>
      <w:spacing w:before="60" w:after="60"/>
      <w:ind w:left="1134"/>
    </w:pPr>
    <w:rPr>
      <w:rFonts w:eastAsia="Times New Roman"/>
      <w:color w:val="FF0000"/>
      <w:sz w:val="22"/>
      <w:szCs w:val="20"/>
    </w:rPr>
  </w:style>
  <w:style w:type="paragraph" w:customStyle="1" w:styleId="Tablespace">
    <w:name w:val="Table space"/>
    <w:basedOn w:val="Normal"/>
    <w:next w:val="Normal"/>
    <w:pPr>
      <w:keepLines/>
      <w:spacing w:before="0" w:after="60"/>
      <w:jc w:val="center"/>
    </w:pPr>
    <w:rPr>
      <w:rFonts w:ascii="Arial Narrow" w:eastAsia="Times New Roman" w:hAnsi="Arial Narrow"/>
      <w:sz w:val="22"/>
      <w:szCs w:val="20"/>
    </w:rPr>
  </w:style>
  <w:style w:type="paragraph" w:customStyle="1" w:styleId="TableHeaderStyleCFMU">
    <w:name w:val="TableHeaderStyle CFMU"/>
    <w:basedOn w:val="Normal"/>
    <w:pPr>
      <w:tabs>
        <w:tab w:val="left" w:pos="567"/>
        <w:tab w:val="left" w:pos="1134"/>
        <w:tab w:val="left" w:pos="1701"/>
        <w:tab w:val="left" w:pos="2268"/>
        <w:tab w:val="left" w:pos="2835"/>
      </w:tabs>
      <w:spacing w:before="240" w:after="240"/>
      <w:jc w:val="center"/>
    </w:pPr>
    <w:rPr>
      <w:rFonts w:ascii="Arial" w:eastAsia="Times New Roman" w:hAnsi="Arial"/>
      <w:b/>
      <w:sz w:val="20"/>
      <w:szCs w:val="20"/>
    </w:rPr>
  </w:style>
  <w:style w:type="paragraph" w:customStyle="1" w:styleId="TableColomnTitle">
    <w:name w:val="Table Colomn Title"/>
    <w:basedOn w:val="TableCell0"/>
    <w:pPr>
      <w:widowControl/>
      <w:spacing w:before="120" w:after="0"/>
    </w:pPr>
    <w:rPr>
      <w:b/>
    </w:rPr>
  </w:style>
  <w:style w:type="paragraph" w:customStyle="1" w:styleId="TableRowTitle">
    <w:name w:val="Table Row Title"/>
    <w:basedOn w:val="Normal"/>
    <w:pPr>
      <w:spacing w:before="60" w:after="60"/>
    </w:pPr>
    <w:rPr>
      <w:rFonts w:eastAsia="Times New Roman"/>
      <w:b/>
      <w:sz w:val="22"/>
      <w:szCs w:val="20"/>
    </w:rPr>
  </w:style>
  <w:style w:type="paragraph" w:customStyle="1" w:styleId="Normalcach">
    <w:name w:val="Normal caché"/>
    <w:basedOn w:val="Normal"/>
    <w:pPr>
      <w:spacing w:before="60" w:after="60"/>
    </w:pPr>
    <w:rPr>
      <w:rFonts w:eastAsia="Times New Roman"/>
      <w:vanish/>
      <w:sz w:val="22"/>
      <w:szCs w:val="20"/>
    </w:rPr>
  </w:style>
  <w:style w:type="paragraph" w:customStyle="1" w:styleId="FRSAbstract">
    <w:name w:val="FRS Abstract"/>
    <w:basedOn w:val="FRSDescription"/>
    <w:next w:val="FRSDescription"/>
    <w:rPr>
      <w:vanish/>
    </w:rPr>
  </w:style>
  <w:style w:type="paragraph" w:customStyle="1" w:styleId="FRSDescription">
    <w:name w:val="FRS Description"/>
    <w:basedOn w:val="Normal"/>
    <w:next w:val="Normal"/>
    <w:pPr>
      <w:spacing w:before="60" w:after="60"/>
      <w:ind w:left="1418" w:hanging="1418"/>
    </w:pPr>
    <w:rPr>
      <w:rFonts w:eastAsia="Times New Roman"/>
      <w:sz w:val="22"/>
      <w:szCs w:val="20"/>
    </w:rPr>
  </w:style>
  <w:style w:type="paragraph" w:customStyle="1" w:styleId="Code">
    <w:name w:val="Code"/>
    <w:basedOn w:val="Normal"/>
    <w:pPr>
      <w:tabs>
        <w:tab w:val="left" w:pos="426"/>
        <w:tab w:val="left" w:pos="851"/>
        <w:tab w:val="left" w:pos="1276"/>
        <w:tab w:val="left" w:pos="1701"/>
        <w:tab w:val="left" w:pos="2127"/>
        <w:tab w:val="left" w:pos="2410"/>
        <w:tab w:val="left" w:pos="2835"/>
      </w:tabs>
      <w:spacing w:before="60" w:after="60"/>
      <w:ind w:left="340"/>
    </w:pPr>
    <w:rPr>
      <w:rFonts w:ascii="Courier New" w:eastAsia="Times New Roman" w:hAnsi="Courier New"/>
      <w:noProof/>
      <w:sz w:val="18"/>
      <w:szCs w:val="20"/>
    </w:rPr>
  </w:style>
  <w:style w:type="paragraph" w:customStyle="1" w:styleId="indent3">
    <w:name w:val="indent 3"/>
    <w:basedOn w:val="indent2"/>
    <w:pPr>
      <w:keepLines w:val="0"/>
      <w:tabs>
        <w:tab w:val="left" w:pos="5954"/>
      </w:tabs>
      <w:spacing w:before="60" w:after="60"/>
      <w:ind w:left="1276" w:hanging="425"/>
      <w:jc w:val="both"/>
    </w:pPr>
    <w:rPr>
      <w:sz w:val="22"/>
    </w:rPr>
  </w:style>
  <w:style w:type="paragraph" w:customStyle="1" w:styleId="FRSReference">
    <w:name w:val="FRS Reference"/>
    <w:basedOn w:val="Normal"/>
    <w:next w:val="FRSAbstract"/>
    <w:pPr>
      <w:tabs>
        <w:tab w:val="left" w:pos="4111"/>
        <w:tab w:val="left" w:pos="6237"/>
      </w:tabs>
      <w:spacing w:before="60" w:after="60"/>
      <w:ind w:left="1418" w:hanging="1418"/>
    </w:pPr>
    <w:rPr>
      <w:rFonts w:eastAsia="Times New Roman"/>
      <w:sz w:val="22"/>
      <w:szCs w:val="20"/>
    </w:rPr>
  </w:style>
  <w:style w:type="paragraph" w:customStyle="1" w:styleId="normalbold14">
    <w:name w:val="normalbold14"/>
    <w:basedOn w:val="Normal"/>
    <w:pPr>
      <w:keepNext/>
      <w:tabs>
        <w:tab w:val="left" w:pos="1134"/>
        <w:tab w:val="left" w:pos="1701"/>
        <w:tab w:val="left" w:pos="2268"/>
      </w:tabs>
      <w:spacing w:before="240" w:after="60"/>
      <w:ind w:left="1134" w:hanging="1134"/>
    </w:pPr>
    <w:rPr>
      <w:rFonts w:eastAsia="Times New Roman"/>
      <w:b/>
      <w:sz w:val="28"/>
      <w:szCs w:val="20"/>
    </w:rPr>
  </w:style>
  <w:style w:type="paragraph" w:customStyle="1" w:styleId="NormalBold">
    <w:name w:val="NormalBold"/>
    <w:basedOn w:val="Normal"/>
    <w:pPr>
      <w:keepNext/>
      <w:tabs>
        <w:tab w:val="left" w:pos="1134"/>
        <w:tab w:val="left" w:pos="1701"/>
        <w:tab w:val="left" w:pos="2268"/>
      </w:tabs>
      <w:spacing w:before="240" w:after="60"/>
      <w:ind w:left="567"/>
    </w:pPr>
    <w:rPr>
      <w:rFonts w:eastAsia="Times New Roman"/>
      <w:b/>
      <w:sz w:val="22"/>
      <w:szCs w:val="20"/>
    </w:rPr>
  </w:style>
  <w:style w:type="paragraph" w:customStyle="1" w:styleId="NormalIndent1">
    <w:name w:val="Normal Indent 1"/>
    <w:basedOn w:val="Normal"/>
    <w:pPr>
      <w:spacing w:before="60" w:after="60"/>
      <w:ind w:left="284"/>
      <w:jc w:val="left"/>
    </w:pPr>
    <w:rPr>
      <w:rFonts w:eastAsia="Times New Roman"/>
      <w:sz w:val="22"/>
      <w:szCs w:val="20"/>
    </w:rPr>
  </w:style>
  <w:style w:type="paragraph" w:customStyle="1" w:styleId="Normalar">
    <w:name w:val="Normal_aéré"/>
    <w:basedOn w:val="Normal"/>
    <w:pPr>
      <w:spacing w:before="60"/>
    </w:pPr>
    <w:rPr>
      <w:rFonts w:eastAsia="Times New Roman"/>
      <w:sz w:val="22"/>
      <w:szCs w:val="20"/>
    </w:rPr>
  </w:style>
  <w:style w:type="paragraph" w:customStyle="1" w:styleId="indent10">
    <w:name w:val="indent1"/>
    <w:basedOn w:val="Normal"/>
    <w:pPr>
      <w:spacing w:before="72" w:after="60"/>
      <w:ind w:left="851" w:right="-2" w:hanging="284"/>
    </w:pPr>
    <w:rPr>
      <w:rFonts w:eastAsia="Times New Roman"/>
      <w:sz w:val="22"/>
      <w:szCs w:val="20"/>
    </w:rPr>
  </w:style>
  <w:style w:type="paragraph" w:customStyle="1" w:styleId="TitTabl1">
    <w:name w:val="Tit Tabl1"/>
    <w:basedOn w:val="Normal"/>
    <w:pPr>
      <w:keepNext/>
      <w:keepLines/>
      <w:spacing w:before="40" w:after="40" w:line="240" w:lineRule="exact"/>
      <w:jc w:val="center"/>
    </w:pPr>
    <w:rPr>
      <w:rFonts w:ascii="Arial" w:eastAsia="Times New Roman" w:hAnsi="Arial"/>
      <w:b/>
      <w:caps/>
      <w:color w:val="000080"/>
      <w:sz w:val="18"/>
      <w:szCs w:val="20"/>
    </w:rPr>
  </w:style>
  <w:style w:type="paragraph" w:customStyle="1" w:styleId="HeadingTemplate">
    <w:name w:val="HeadingTemplate"/>
    <w:basedOn w:val="Normal"/>
    <w:pPr>
      <w:keepNext/>
      <w:keepLines/>
      <w:spacing w:before="60"/>
      <w:jc w:val="left"/>
    </w:pPr>
    <w:rPr>
      <w:rFonts w:ascii="Arial" w:eastAsia="Times New Roman" w:hAnsi="Arial"/>
      <w:b/>
      <w:i/>
      <w:smallCaps/>
      <w:sz w:val="22"/>
      <w:szCs w:val="20"/>
    </w:rPr>
  </w:style>
  <w:style w:type="paragraph" w:customStyle="1" w:styleId="Retrait">
    <w:name w:val="Retrait"/>
    <w:basedOn w:val="Normal"/>
    <w:pPr>
      <w:tabs>
        <w:tab w:val="left" w:pos="1985"/>
      </w:tabs>
      <w:spacing w:before="72" w:after="60"/>
      <w:ind w:left="611" w:right="-2" w:hanging="283"/>
    </w:pPr>
    <w:rPr>
      <w:rFonts w:eastAsia="Times New Roman"/>
      <w:sz w:val="22"/>
      <w:szCs w:val="20"/>
    </w:rPr>
  </w:style>
  <w:style w:type="paragraph" w:customStyle="1" w:styleId="P1">
    <w:name w:val="P1"/>
    <w:basedOn w:val="Normal"/>
    <w:pPr>
      <w:keepLines/>
      <w:spacing w:before="80" w:after="80"/>
    </w:pPr>
    <w:rPr>
      <w:rFonts w:eastAsia="Times New Roman"/>
      <w:sz w:val="22"/>
      <w:szCs w:val="20"/>
    </w:rPr>
  </w:style>
  <w:style w:type="paragraph" w:customStyle="1" w:styleId="indent14">
    <w:name w:val="indent 14"/>
    <w:basedOn w:val="Normal"/>
    <w:pPr>
      <w:spacing w:before="0" w:after="60"/>
      <w:ind w:left="426" w:hanging="426"/>
    </w:pPr>
    <w:rPr>
      <w:rFonts w:eastAsia="Times New Roman"/>
      <w:sz w:val="22"/>
      <w:szCs w:val="20"/>
    </w:rPr>
  </w:style>
  <w:style w:type="paragraph" w:customStyle="1" w:styleId="entte">
    <w:name w:val="en tête"/>
    <w:basedOn w:val="Normal"/>
    <w:pPr>
      <w:tabs>
        <w:tab w:val="left" w:pos="5380"/>
        <w:tab w:val="left" w:pos="6280"/>
      </w:tabs>
      <w:spacing w:before="0" w:after="60"/>
      <w:ind w:right="-582"/>
    </w:pPr>
    <w:rPr>
      <w:rFonts w:ascii="Times" w:eastAsia="Times New Roman" w:hAnsi="Times"/>
      <w:sz w:val="20"/>
      <w:szCs w:val="20"/>
    </w:rPr>
  </w:style>
  <w:style w:type="character" w:customStyle="1" w:styleId="Normalit">
    <w:name w:val="Normal it"/>
  </w:style>
  <w:style w:type="paragraph" w:customStyle="1" w:styleId="case">
    <w:name w:val="case"/>
    <w:basedOn w:val="Normal"/>
    <w:pPr>
      <w:tabs>
        <w:tab w:val="left" w:pos="5120"/>
        <w:tab w:val="right" w:pos="9200"/>
      </w:tabs>
      <w:spacing w:before="0" w:after="60"/>
      <w:ind w:right="55"/>
      <w:jc w:val="center"/>
    </w:pPr>
    <w:rPr>
      <w:rFonts w:ascii="Times" w:eastAsia="Times New Roman" w:hAnsi="Times"/>
      <w:noProof/>
      <w:sz w:val="20"/>
      <w:szCs w:val="20"/>
    </w:rPr>
  </w:style>
  <w:style w:type="paragraph" w:customStyle="1" w:styleId="casetitre">
    <w:name w:val="case titre"/>
    <w:basedOn w:val="Normal"/>
    <w:pPr>
      <w:tabs>
        <w:tab w:val="left" w:pos="5120"/>
        <w:tab w:val="right" w:pos="9200"/>
      </w:tabs>
      <w:spacing w:before="60" w:after="60"/>
      <w:ind w:right="55"/>
      <w:jc w:val="left"/>
    </w:pPr>
    <w:rPr>
      <w:rFonts w:ascii="Times" w:eastAsia="Times New Roman" w:hAnsi="Times"/>
      <w:b/>
      <w:noProof/>
      <w:sz w:val="20"/>
      <w:szCs w:val="20"/>
      <w:u w:val="single"/>
    </w:rPr>
  </w:style>
  <w:style w:type="paragraph" w:customStyle="1" w:styleId="indent15">
    <w:name w:val="indent 15"/>
    <w:basedOn w:val="Normal"/>
    <w:pPr>
      <w:spacing w:before="0" w:after="60"/>
      <w:ind w:left="426" w:hanging="426"/>
    </w:pPr>
    <w:rPr>
      <w:rFonts w:eastAsia="Times New Roman"/>
      <w:sz w:val="22"/>
      <w:szCs w:val="20"/>
    </w:rPr>
  </w:style>
  <w:style w:type="paragraph" w:customStyle="1" w:styleId="ident-1">
    <w:name w:val="ident-1"/>
    <w:basedOn w:val="indent15"/>
    <w:pPr>
      <w:ind w:left="2835" w:hanging="2835"/>
    </w:pPr>
  </w:style>
  <w:style w:type="paragraph" w:customStyle="1" w:styleId="figure1">
    <w:name w:val="figure1"/>
    <w:basedOn w:val="Sous-retrait"/>
    <w:pPr>
      <w:spacing w:after="120"/>
      <w:ind w:left="0" w:hanging="8"/>
      <w:jc w:val="center"/>
    </w:pPr>
    <w:rPr>
      <w:b/>
      <w:sz w:val="28"/>
    </w:rPr>
  </w:style>
  <w:style w:type="paragraph" w:customStyle="1" w:styleId="Sous-retrait">
    <w:name w:val="Sous-retrait"/>
    <w:basedOn w:val="Normal"/>
    <w:pPr>
      <w:tabs>
        <w:tab w:val="left" w:pos="4253"/>
        <w:tab w:val="left" w:pos="5671"/>
      </w:tabs>
      <w:spacing w:before="72" w:after="60"/>
      <w:ind w:left="840" w:hanging="227"/>
    </w:pPr>
    <w:rPr>
      <w:rFonts w:eastAsia="Times New Roman"/>
      <w:sz w:val="22"/>
      <w:szCs w:val="20"/>
    </w:rPr>
  </w:style>
  <w:style w:type="paragraph" w:customStyle="1" w:styleId="indent26">
    <w:name w:val="indent 26"/>
    <w:basedOn w:val="Normal"/>
    <w:pPr>
      <w:tabs>
        <w:tab w:val="left" w:pos="5954"/>
      </w:tabs>
      <w:spacing w:before="0" w:after="60"/>
      <w:ind w:left="851" w:hanging="425"/>
    </w:pPr>
    <w:rPr>
      <w:rFonts w:eastAsia="Times New Roman"/>
      <w:sz w:val="22"/>
      <w:szCs w:val="20"/>
    </w:rPr>
  </w:style>
  <w:style w:type="paragraph" w:customStyle="1" w:styleId="Puce2">
    <w:name w:val="Puce 2"/>
    <w:basedOn w:val="Normal"/>
    <w:pPr>
      <w:tabs>
        <w:tab w:val="num" w:pos="426"/>
        <w:tab w:val="num" w:pos="1134"/>
      </w:tabs>
      <w:spacing w:before="240" w:after="60"/>
      <w:ind w:left="426" w:hanging="567"/>
      <w:jc w:val="left"/>
    </w:pPr>
    <w:rPr>
      <w:rFonts w:ascii="Arial" w:eastAsia="Times New Roman" w:hAnsi="Arial"/>
      <w:sz w:val="22"/>
      <w:szCs w:val="20"/>
    </w:rPr>
  </w:style>
  <w:style w:type="paragraph" w:customStyle="1" w:styleId="ControlPageTable">
    <w:name w:val="ControlPageTable"/>
    <w:basedOn w:val="Normal"/>
    <w:pPr>
      <w:tabs>
        <w:tab w:val="left" w:pos="567"/>
      </w:tabs>
      <w:spacing w:before="0" w:after="60"/>
      <w:jc w:val="left"/>
    </w:pPr>
    <w:rPr>
      <w:rFonts w:ascii="Arial" w:eastAsia="Times New Roman" w:hAnsi="Arial"/>
      <w:sz w:val="22"/>
      <w:szCs w:val="20"/>
    </w:rPr>
  </w:style>
  <w:style w:type="paragraph" w:customStyle="1" w:styleId="titre">
    <w:name w:val="titre"/>
    <w:basedOn w:val="Normal"/>
    <w:pPr>
      <w:spacing w:before="0"/>
      <w:ind w:right="284"/>
    </w:pPr>
    <w:rPr>
      <w:rFonts w:ascii="CG Times (W1)" w:eastAsia="Times New Roman" w:hAnsi="CG Times (W1)"/>
      <w:i/>
      <w:sz w:val="22"/>
      <w:szCs w:val="20"/>
    </w:rPr>
  </w:style>
  <w:style w:type="paragraph" w:customStyle="1" w:styleId="Normalgras">
    <w:name w:val="Normal gras"/>
    <w:basedOn w:val="Normal"/>
    <w:pPr>
      <w:spacing w:before="60" w:after="60"/>
    </w:pPr>
    <w:rPr>
      <w:rFonts w:ascii="CG Times (W1)" w:eastAsia="Times New Roman" w:hAnsi="CG Times (W1)"/>
      <w:b/>
      <w:sz w:val="22"/>
      <w:szCs w:val="20"/>
    </w:rPr>
  </w:style>
  <w:style w:type="paragraph" w:customStyle="1" w:styleId="ListBullet11">
    <w:name w:val="List Bullet 1.1"/>
    <w:basedOn w:val="Normal"/>
    <w:pPr>
      <w:keepLines/>
      <w:tabs>
        <w:tab w:val="num" w:pos="720"/>
      </w:tabs>
      <w:spacing w:before="60" w:after="60"/>
      <w:ind w:left="720" w:hanging="720"/>
    </w:pPr>
    <w:rPr>
      <w:rFonts w:eastAsia="Times New Roman"/>
      <w:sz w:val="22"/>
      <w:szCs w:val="20"/>
    </w:rPr>
  </w:style>
  <w:style w:type="paragraph" w:customStyle="1" w:styleId="Heading4Heading4CFMUPara4h41">
    <w:name w:val="Heading 4.Heading 4 CFMU.Para 4.h41"/>
    <w:basedOn w:val="Normal"/>
    <w:pPr>
      <w:spacing w:before="60" w:after="60"/>
    </w:pPr>
    <w:rPr>
      <w:rFonts w:eastAsia="Times New Roman"/>
      <w:sz w:val="22"/>
      <w:szCs w:val="20"/>
    </w:rPr>
  </w:style>
  <w:style w:type="paragraph" w:customStyle="1" w:styleId="HistoryLine1">
    <w:name w:val="History Line 1"/>
    <w:basedOn w:val="Normal"/>
    <w:next w:val="Normal"/>
    <w:pPr>
      <w:keepNext/>
      <w:keepLines/>
      <w:spacing w:before="60" w:after="60"/>
      <w:jc w:val="left"/>
    </w:pPr>
    <w:rPr>
      <w:rFonts w:ascii="Century Gothic" w:eastAsia="Times New Roman" w:hAnsi="Century Gothic"/>
      <w:b/>
      <w:i/>
      <w:caps/>
      <w:sz w:val="18"/>
      <w:szCs w:val="20"/>
    </w:rPr>
  </w:style>
  <w:style w:type="paragraph" w:customStyle="1" w:styleId="HistoryLine2">
    <w:name w:val="History Line 2"/>
    <w:basedOn w:val="HistoryLine1"/>
    <w:next w:val="Normal"/>
    <w:pPr>
      <w:spacing w:after="20"/>
    </w:pPr>
    <w:rPr>
      <w:b w:val="0"/>
      <w:caps w:val="0"/>
    </w:rPr>
  </w:style>
  <w:style w:type="paragraph" w:customStyle="1" w:styleId="HistoryLinen">
    <w:name w:val="History Line n"/>
    <w:basedOn w:val="HistoryLine2"/>
    <w:pPr>
      <w:spacing w:before="20"/>
    </w:pPr>
  </w:style>
  <w:style w:type="paragraph" w:customStyle="1" w:styleId="TextTableLeft">
    <w:name w:val="Text Table Left"/>
    <w:basedOn w:val="Normal"/>
    <w:pPr>
      <w:keepLines/>
      <w:spacing w:before="40" w:after="40"/>
      <w:jc w:val="left"/>
    </w:pPr>
    <w:rPr>
      <w:rFonts w:ascii="Arial" w:eastAsia="Times New Roman" w:hAnsi="Arial"/>
      <w:sz w:val="18"/>
      <w:szCs w:val="20"/>
    </w:rPr>
  </w:style>
  <w:style w:type="paragraph" w:customStyle="1" w:styleId="xl22">
    <w:name w:val="xl22"/>
    <w:basedOn w:val="Normal"/>
    <w:pPr>
      <w:pBdr>
        <w:left w:val="single" w:sz="4" w:space="0" w:color="000000"/>
      </w:pBdr>
      <w:spacing w:before="100" w:beforeAutospacing="1" w:after="100" w:afterAutospacing="1"/>
      <w:jc w:val="left"/>
    </w:pPr>
    <w:rPr>
      <w:rFonts w:ascii="Arial Unicode MS" w:eastAsia="Arial Unicode MS" w:hAnsi="Arial Unicode MS" w:cs="Arial Unicode MS"/>
      <w:sz w:val="22"/>
      <w:szCs w:val="24"/>
    </w:rPr>
  </w:style>
  <w:style w:type="paragraph" w:customStyle="1" w:styleId="xl23">
    <w:name w:val="xl23"/>
    <w:basedOn w:val="Normal"/>
    <w:pPr>
      <w:spacing w:before="100" w:beforeAutospacing="1" w:after="100" w:afterAutospacing="1"/>
      <w:jc w:val="left"/>
    </w:pPr>
    <w:rPr>
      <w:rFonts w:ascii="Arial Unicode MS" w:eastAsia="Arial Unicode MS" w:hAnsi="Arial Unicode MS" w:cs="Arial Unicode MS"/>
      <w:sz w:val="22"/>
      <w:szCs w:val="24"/>
    </w:rPr>
  </w:style>
  <w:style w:type="paragraph" w:customStyle="1" w:styleId="xl24">
    <w:name w:val="xl24"/>
    <w:basedOn w:val="Normal"/>
    <w:pPr>
      <w:spacing w:before="100" w:beforeAutospacing="1" w:after="100" w:afterAutospacing="1"/>
      <w:jc w:val="left"/>
    </w:pPr>
    <w:rPr>
      <w:rFonts w:ascii="Arial Unicode MS" w:eastAsia="Arial Unicode MS" w:hAnsi="Arial Unicode MS" w:cs="Arial Unicode MS"/>
      <w:sz w:val="22"/>
      <w:szCs w:val="24"/>
    </w:rPr>
  </w:style>
  <w:style w:type="paragraph" w:customStyle="1" w:styleId="xl25">
    <w:name w:val="xl25"/>
    <w:basedOn w:val="Normal"/>
    <w:pPr>
      <w:pBdr>
        <w:left w:val="single" w:sz="4" w:space="0" w:color="000000"/>
      </w:pBdr>
      <w:spacing w:before="100" w:beforeAutospacing="1" w:after="100" w:afterAutospacing="1"/>
      <w:jc w:val="left"/>
    </w:pPr>
    <w:rPr>
      <w:rFonts w:ascii="Arial Unicode MS" w:eastAsia="Arial Unicode MS" w:hAnsi="Arial Unicode MS" w:cs="Arial Unicode MS"/>
      <w:sz w:val="22"/>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36">
    <w:name w:val="xl36"/>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7">
    <w:name w:val="xl37"/>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38">
    <w:name w:val="xl38"/>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9">
    <w:name w:val="xl39"/>
    <w:basedOn w:val="Normal"/>
    <w:pPr>
      <w:pBdr>
        <w:left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1">
    <w:name w:val="xl41"/>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16"/>
      <w:szCs w:val="16"/>
    </w:rPr>
  </w:style>
  <w:style w:type="paragraph" w:customStyle="1" w:styleId="xl44">
    <w:name w:val="xl44"/>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5">
    <w:name w:val="xl45"/>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46">
    <w:name w:val="xl46"/>
    <w:basedOn w:val="Normal"/>
    <w:pPr>
      <w:pBdr>
        <w:top w:val="single" w:sz="4" w:space="0" w:color="auto"/>
        <w:left w:val="single" w:sz="4" w:space="0" w:color="auto"/>
        <w:bottom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7">
    <w:name w:val="xl47"/>
    <w:basedOn w:val="Normal"/>
    <w:pPr>
      <w:pBdr>
        <w:top w:val="single" w:sz="4" w:space="0" w:color="auto"/>
        <w:bottom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8">
    <w:name w:val="xl48"/>
    <w:basedOn w:val="Normal"/>
    <w:pPr>
      <w:pBdr>
        <w:top w:val="single" w:sz="4" w:space="0" w:color="auto"/>
        <w:bottom w:val="single" w:sz="4" w:space="0" w:color="auto"/>
        <w:right w:val="single" w:sz="4" w:space="0" w:color="auto"/>
      </w:pBdr>
      <w:shd w:val="clear" w:color="auto" w:fill="E6E6E6"/>
      <w:spacing w:before="100" w:beforeAutospacing="1" w:after="100" w:afterAutospacing="1"/>
      <w:jc w:val="left"/>
      <w:textAlignment w:val="center"/>
    </w:pPr>
    <w:rPr>
      <w:rFonts w:ascii="Arial" w:eastAsia="Arial Unicode MS" w:hAnsi="Arial" w:cs="Arial"/>
      <w:sz w:val="16"/>
      <w:szCs w:val="16"/>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rFonts w:ascii="Arial" w:eastAsia="Arial Unicode MS" w:hAnsi="Arial" w:cs="Arial"/>
      <w:sz w:val="16"/>
      <w:szCs w:val="16"/>
    </w:rPr>
  </w:style>
  <w:style w:type="paragraph" w:customStyle="1" w:styleId="xl50">
    <w:name w:val="xl50"/>
    <w:basedOn w:val="Normal"/>
    <w:pPr>
      <w:pBdr>
        <w:top w:val="single" w:sz="4" w:space="0" w:color="auto"/>
        <w:left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1">
    <w:name w:val="xl51"/>
    <w:basedOn w:val="Normal"/>
    <w:pPr>
      <w:pBdr>
        <w:left w:val="single" w:sz="4" w:space="0" w:color="auto"/>
        <w:bottom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pPr>
      <w:pBdr>
        <w:left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hd w:val="clear" w:color="auto" w:fill="3DEB3D"/>
      <w:spacing w:before="100" w:beforeAutospacing="1" w:after="100" w:afterAutospacing="1"/>
      <w:jc w:val="center"/>
      <w:textAlignment w:val="center"/>
    </w:pPr>
    <w:rPr>
      <w:rFonts w:ascii="Arial" w:eastAsia="Arial Unicode MS" w:hAnsi="Arial" w:cs="Arial"/>
      <w:sz w:val="16"/>
      <w:szCs w:val="16"/>
    </w:rPr>
  </w:style>
  <w:style w:type="paragraph" w:customStyle="1" w:styleId="xl54">
    <w:name w:val="xl54"/>
    <w:basedOn w:val="Normal"/>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55">
    <w:name w:val="xl5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ase0">
    <w:name w:val="base"/>
    <w:basedOn w:val="Normal"/>
    <w:pPr>
      <w:spacing w:before="100" w:beforeAutospacing="1" w:after="100" w:afterAutospacing="1"/>
      <w:jc w:val="left"/>
    </w:pPr>
    <w:rPr>
      <w:rFonts w:ascii="Arial Unicode MS" w:eastAsia="Arial Unicode MS" w:hAnsi="Arial Unicode MS" w:cs="Arial Unicode MS"/>
      <w:sz w:val="22"/>
      <w:szCs w:val="24"/>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z w:val="22"/>
      <w:szCs w:val="24"/>
    </w:rPr>
  </w:style>
  <w:style w:type="character" w:styleId="Strong">
    <w:name w:val="Strong"/>
    <w:qFormat/>
    <w:rPr>
      <w:b/>
      <w:bCs/>
    </w:rPr>
  </w:style>
  <w:style w:type="paragraph" w:customStyle="1" w:styleId="Normal10">
    <w:name w:val="Normal1"/>
    <w:basedOn w:val="Normal"/>
    <w:pPr>
      <w:spacing w:before="0" w:after="60"/>
    </w:pPr>
    <w:rPr>
      <w:rFonts w:eastAsia="Times New Roman"/>
      <w:sz w:val="22"/>
      <w:szCs w:val="20"/>
    </w:rPr>
  </w:style>
  <w:style w:type="paragraph" w:styleId="z-TopofForm">
    <w:name w:val="HTML Top of Form"/>
    <w:basedOn w:val="Normal"/>
    <w:next w:val="Normal"/>
    <w:hidden/>
    <w:pPr>
      <w:pBdr>
        <w:bottom w:val="single" w:sz="6" w:space="1" w:color="auto"/>
      </w:pBdr>
      <w:spacing w:before="0" w:after="60"/>
      <w:jc w:val="center"/>
    </w:pPr>
    <w:rPr>
      <w:rFonts w:ascii="Arial" w:eastAsia="Arial Unicode MS" w:hAnsi="Arial" w:cs="Arial"/>
      <w:vanish/>
      <w:sz w:val="16"/>
      <w:szCs w:val="16"/>
    </w:rPr>
  </w:style>
  <w:style w:type="character" w:customStyle="1" w:styleId="z-TopofFormChar">
    <w:name w:val="z-Top of Form Char"/>
    <w:basedOn w:val="DefaultParagraphFont"/>
    <w:rPr>
      <w:rFonts w:ascii="Arial" w:eastAsia="Arial Unicode MS" w:hAnsi="Arial" w:cs="Arial"/>
      <w:vanish/>
      <w:sz w:val="16"/>
      <w:szCs w:val="16"/>
      <w:lang w:val="bg-BG"/>
    </w:rPr>
  </w:style>
  <w:style w:type="paragraph" w:customStyle="1" w:styleId="xl58">
    <w:name w:val="xl58"/>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59">
    <w:name w:val="xl59"/>
    <w:basedOn w:val="Normal"/>
    <w:pP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60">
    <w:name w:val="xl60"/>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1">
    <w:name w:val="xl61"/>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2">
    <w:name w:val="xl62"/>
    <w:basedOn w:val="Normal"/>
    <w:pPr>
      <w:pBdr>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3">
    <w:name w:val="xl63"/>
    <w:basedOn w:val="Normal"/>
    <w:pPr>
      <w:pBdr>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4">
    <w:name w:val="xl64"/>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5">
    <w:name w:val="xl65"/>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66">
    <w:name w:val="xl66"/>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7">
    <w:name w:val="xl67"/>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8">
    <w:name w:val="xl68"/>
    <w:basedOn w:val="Normal"/>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69">
    <w:name w:val="xl69"/>
    <w:basedOn w:val="Normal"/>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1">
    <w:name w:val="xl71"/>
    <w:basedOn w:val="Normal"/>
    <w:pPr>
      <w:pBdr>
        <w:top w:val="single" w:sz="4" w:space="0" w:color="000000"/>
        <w:bottom w:val="single" w:sz="4" w:space="0" w:color="000000"/>
      </w:pBdr>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3">
    <w:name w:val="xl73"/>
    <w:basedOn w:val="Normal"/>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74">
    <w:name w:val="xl74"/>
    <w:basedOn w:val="Normal"/>
    <w:pPr>
      <w:pBdr>
        <w:top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5">
    <w:name w:val="xl75"/>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7">
    <w:name w:val="xl77"/>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w:eastAsia="Arial Unicode MS" w:hAnsi="Arial" w:cs="Arial"/>
      <w:sz w:val="18"/>
      <w:szCs w:val="18"/>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79">
    <w:name w:val="xl79"/>
    <w:basedOn w:val="Normal"/>
    <w:pPr>
      <w:pBdr>
        <w:top w:val="single" w:sz="4" w:space="0" w:color="000000"/>
        <w:lef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0">
    <w:name w:val="xl80"/>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81">
    <w:name w:val="xl81"/>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83">
    <w:name w:val="xl83"/>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84">
    <w:name w:val="xl84"/>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85">
    <w:name w:val="xl85"/>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86">
    <w:name w:val="xl86"/>
    <w:basedOn w:val="Normal"/>
    <w:pPr>
      <w:pBdr>
        <w:top w:val="single" w:sz="4" w:space="0" w:color="000000"/>
        <w:left w:val="single" w:sz="4" w:space="0" w:color="000000"/>
        <w:bottom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87">
    <w:name w:val="xl87"/>
    <w:basedOn w:val="Normal"/>
    <w:pPr>
      <w:shd w:val="clear" w:color="auto" w:fill="CCCCCC"/>
      <w:spacing w:before="100" w:beforeAutospacing="1" w:after="100" w:afterAutospacing="1"/>
      <w:jc w:val="center"/>
    </w:pPr>
    <w:rPr>
      <w:rFonts w:ascii="Arial" w:eastAsia="Arial Unicode MS" w:hAnsi="Arial" w:cs="Arial"/>
      <w:color w:val="000000"/>
      <w:sz w:val="18"/>
      <w:szCs w:val="18"/>
    </w:rPr>
  </w:style>
  <w:style w:type="paragraph" w:customStyle="1" w:styleId="xl88">
    <w:name w:val="xl88"/>
    <w:basedOn w:val="Normal"/>
    <w:pPr>
      <w:pBdr>
        <w:top w:val="single" w:sz="4" w:space="0" w:color="000000"/>
        <w:bottom w:val="single" w:sz="4" w:space="0" w:color="000000"/>
      </w:pBdr>
      <w:shd w:val="clear" w:color="auto" w:fill="CCCCCC"/>
      <w:spacing w:before="100" w:beforeAutospacing="1" w:after="100" w:afterAutospacing="1"/>
      <w:jc w:val="left"/>
      <w:textAlignment w:val="center"/>
    </w:pPr>
    <w:rPr>
      <w:rFonts w:ascii="Arial" w:eastAsia="Arial Unicode MS" w:hAnsi="Arial" w:cs="Arial"/>
      <w:color w:val="000000"/>
      <w:sz w:val="18"/>
      <w:szCs w:val="18"/>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b/>
      <w:bCs/>
      <w:color w:val="FF0000"/>
      <w:sz w:val="18"/>
      <w:szCs w:val="18"/>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b/>
      <w:bCs/>
      <w:color w:val="000000"/>
      <w:sz w:val="18"/>
      <w:szCs w:val="18"/>
    </w:rPr>
  </w:style>
  <w:style w:type="paragraph" w:customStyle="1" w:styleId="xl92">
    <w:name w:val="xl92"/>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93">
    <w:name w:val="xl93"/>
    <w:basedOn w:val="Normal"/>
    <w:pPr>
      <w:pBdr>
        <w:top w:val="single" w:sz="4" w:space="0" w:color="000000"/>
        <w:left w:val="single" w:sz="4" w:space="0" w:color="000000"/>
        <w:bottom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94">
    <w:name w:val="xl94"/>
    <w:basedOn w:val="Normal"/>
    <w:pPr>
      <w:pBdr>
        <w:top w:val="single" w:sz="4" w:space="0" w:color="000000"/>
        <w:bottom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95">
    <w:name w:val="xl95"/>
    <w:basedOn w:val="Normal"/>
    <w:pPr>
      <w:pBdr>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96">
    <w:name w:val="xl96"/>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w:eastAsia="Arial Unicode MS" w:hAnsi="Arial" w:cs="Arial"/>
      <w:i/>
      <w:iCs/>
      <w:color w:val="000000"/>
      <w:sz w:val="18"/>
      <w:szCs w:val="18"/>
    </w:rPr>
  </w:style>
  <w:style w:type="paragraph" w:customStyle="1" w:styleId="xl98">
    <w:name w:val="xl98"/>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99">
    <w:name w:val="xl99"/>
    <w:basedOn w:val="Normal"/>
    <w:pPr>
      <w:pBdr>
        <w:top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100">
    <w:name w:val="xl100"/>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01">
    <w:name w:val="xl101"/>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sz w:val="18"/>
      <w:szCs w:val="18"/>
    </w:rPr>
  </w:style>
  <w:style w:type="paragraph" w:customStyle="1" w:styleId="xl102">
    <w:name w:val="xl102"/>
    <w:basedOn w:val="Normal"/>
    <w:pPr>
      <w:pBdr>
        <w:top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3">
    <w:name w:val="xl103"/>
    <w:basedOn w:val="Normal"/>
    <w:pPr>
      <w:pBdr>
        <w:top w:val="single" w:sz="4" w:space="0" w:color="000000"/>
        <w:left w:val="single" w:sz="4" w:space="0" w:color="000000"/>
        <w:bottom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4">
    <w:name w:val="xl104"/>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5">
    <w:name w:val="xl105"/>
    <w:basedOn w:val="Normal"/>
    <w:pPr>
      <w:pBdr>
        <w:top w:val="single" w:sz="4" w:space="0" w:color="000000"/>
        <w:bottom w:val="single" w:sz="4" w:space="0" w:color="000000"/>
      </w:pBdr>
      <w:shd w:val="clear" w:color="auto" w:fill="33CCCC"/>
      <w:spacing w:before="100" w:beforeAutospacing="1" w:after="100" w:afterAutospacing="1"/>
      <w:jc w:val="left"/>
      <w:textAlignment w:val="center"/>
    </w:pPr>
    <w:rPr>
      <w:rFonts w:ascii="Arial" w:eastAsia="Arial Unicode MS" w:hAnsi="Arial" w:cs="Arial"/>
      <w:color w:val="000000"/>
      <w:sz w:val="18"/>
      <w:szCs w:val="18"/>
    </w:rPr>
  </w:style>
  <w:style w:type="paragraph" w:customStyle="1" w:styleId="xl106">
    <w:name w:val="xl106"/>
    <w:basedOn w:val="Normal"/>
    <w:pPr>
      <w:pBdr>
        <w:top w:val="single" w:sz="4" w:space="0" w:color="000000"/>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07">
    <w:name w:val="xl107"/>
    <w:basedOn w:val="Normal"/>
    <w:pPr>
      <w:pBdr>
        <w:top w:val="single" w:sz="4" w:space="0" w:color="000000"/>
        <w:left w:val="single" w:sz="4" w:space="0" w:color="000000"/>
        <w:bottom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08">
    <w:name w:val="xl10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09">
    <w:name w:val="xl10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Arial Unicode MS" w:hAnsi="Arial" w:cs="Arial"/>
      <w:color w:val="000000"/>
      <w:sz w:val="18"/>
      <w:szCs w:val="18"/>
    </w:rPr>
  </w:style>
  <w:style w:type="paragraph" w:customStyle="1" w:styleId="xl110">
    <w:name w:val="xl110"/>
    <w:basedOn w:val="Normal"/>
    <w:pPr>
      <w:pBdr>
        <w:top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1">
    <w:name w:val="xl111"/>
    <w:basedOn w:val="Normal"/>
    <w:pPr>
      <w:pBdr>
        <w:top w:val="single" w:sz="4" w:space="0" w:color="000000"/>
        <w:left w:val="single" w:sz="4" w:space="0" w:color="000000"/>
        <w:bottom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2">
    <w:name w:val="xl112"/>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3">
    <w:name w:val="xl113"/>
    <w:basedOn w:val="Normal"/>
    <w:pPr>
      <w:pBdr>
        <w:top w:val="single" w:sz="4" w:space="0" w:color="000000"/>
        <w:bottom w:val="single" w:sz="4" w:space="0" w:color="000000"/>
      </w:pBdr>
      <w:shd w:val="clear" w:color="auto" w:fill="CC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14">
    <w:name w:val="xl114"/>
    <w:basedOn w:val="Normal"/>
    <w:pPr>
      <w:pBdr>
        <w:top w:val="single" w:sz="4" w:space="0" w:color="000000"/>
        <w:left w:val="single" w:sz="4" w:space="0" w:color="000000"/>
        <w:bottom w:val="single" w:sz="4" w:space="0" w:color="000000"/>
        <w:right w:val="single" w:sz="4" w:space="0" w:color="000000"/>
      </w:pBdr>
      <w:shd w:val="clear" w:color="auto" w:fill="CC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15">
    <w:name w:val="xl115"/>
    <w:basedOn w:val="Normal"/>
    <w:pPr>
      <w:pBdr>
        <w:top w:val="single" w:sz="4" w:space="0" w:color="000000"/>
        <w:bottom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6">
    <w:name w:val="xl116"/>
    <w:basedOn w:val="Normal"/>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7">
    <w:name w:val="xl117"/>
    <w:basedOn w:val="Normal"/>
    <w:pPr>
      <w:pBdr>
        <w:top w:val="single" w:sz="4" w:space="0" w:color="000000"/>
        <w:bottom w:val="single" w:sz="4" w:space="0" w:color="000000"/>
      </w:pBdr>
      <w:spacing w:before="100" w:beforeAutospacing="1" w:after="100" w:afterAutospacing="1"/>
      <w:jc w:val="left"/>
      <w:textAlignment w:val="center"/>
    </w:pPr>
    <w:rPr>
      <w:rFonts w:ascii="Arial" w:eastAsia="Arial Unicode MS" w:hAnsi="Arial" w:cs="Arial"/>
      <w:sz w:val="18"/>
      <w:szCs w:val="18"/>
    </w:rPr>
  </w:style>
  <w:style w:type="paragraph" w:customStyle="1" w:styleId="xl118">
    <w:name w:val="xl11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19">
    <w:name w:val="xl11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color w:val="333333"/>
      <w:sz w:val="18"/>
      <w:szCs w:val="18"/>
    </w:rPr>
  </w:style>
  <w:style w:type="paragraph" w:customStyle="1" w:styleId="xl120">
    <w:name w:val="xl12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sz w:val="18"/>
      <w:szCs w:val="18"/>
    </w:rPr>
  </w:style>
  <w:style w:type="paragraph" w:customStyle="1" w:styleId="xl121">
    <w:name w:val="xl121"/>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Arial Unicode MS" w:hAnsi="Arial" w:cs="Arial"/>
      <w:b/>
      <w:bCs/>
      <w:color w:val="FF0000"/>
      <w:sz w:val="18"/>
      <w:szCs w:val="18"/>
    </w:rPr>
  </w:style>
  <w:style w:type="paragraph" w:customStyle="1" w:styleId="xl122">
    <w:name w:val="xl122"/>
    <w:basedOn w:val="Normal"/>
    <w:pPr>
      <w:pBdr>
        <w:top w:val="single" w:sz="4" w:space="0" w:color="000000"/>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3">
    <w:name w:val="xl123"/>
    <w:basedOn w:val="Normal"/>
    <w:pPr>
      <w:pBdr>
        <w:top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24">
    <w:name w:val="xl124"/>
    <w:basedOn w:val="Normal"/>
    <w:pPr>
      <w:pBdr>
        <w:top w:val="single" w:sz="4" w:space="0" w:color="000000"/>
        <w:lef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25">
    <w:name w:val="xl125"/>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26">
    <w:name w:val="xl126"/>
    <w:basedOn w:val="Normal"/>
    <w:pPr>
      <w:pBdr>
        <w:top w:val="single" w:sz="4" w:space="0" w:color="auto"/>
        <w:left w:val="single" w:sz="4" w:space="0" w:color="auto"/>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7">
    <w:name w:val="xl127"/>
    <w:basedOn w:val="Normal"/>
    <w:pPr>
      <w:pBdr>
        <w:top w:val="single" w:sz="4" w:space="0" w:color="auto"/>
        <w:left w:val="single" w:sz="4" w:space="0" w:color="000000"/>
        <w:right w:val="single" w:sz="4" w:space="0" w:color="auto"/>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8">
    <w:name w:val="xl128"/>
    <w:basedOn w:val="Normal"/>
    <w:pPr>
      <w:pBdr>
        <w:top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29">
    <w:name w:val="xl129"/>
    <w:basedOn w:val="Normal"/>
    <w:pPr>
      <w:pBdr>
        <w:top w:val="single" w:sz="4" w:space="0" w:color="auto"/>
        <w:right w:val="single" w:sz="4" w:space="0" w:color="auto"/>
      </w:pBdr>
      <w:shd w:val="clear" w:color="auto" w:fill="FF0000"/>
      <w:spacing w:before="100" w:beforeAutospacing="1" w:after="100" w:afterAutospacing="1"/>
      <w:jc w:val="left"/>
      <w:textAlignment w:val="center"/>
    </w:pPr>
    <w:rPr>
      <w:rFonts w:ascii="Arial" w:eastAsia="Arial Unicode MS" w:hAnsi="Arial" w:cs="Arial"/>
      <w:sz w:val="18"/>
      <w:szCs w:val="18"/>
    </w:rPr>
  </w:style>
  <w:style w:type="paragraph" w:customStyle="1" w:styleId="xl130">
    <w:name w:val="xl130"/>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31">
    <w:name w:val="xl131"/>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w:eastAsia="Arial Unicode MS" w:hAnsi="Arial" w:cs="Arial"/>
      <w:sz w:val="18"/>
      <w:szCs w:val="18"/>
    </w:rPr>
  </w:style>
  <w:style w:type="paragraph" w:customStyle="1" w:styleId="xl132">
    <w:name w:val="xl132"/>
    <w:basedOn w:val="Normal"/>
    <w:pPr>
      <w:pBdr>
        <w:top w:val="single" w:sz="4" w:space="0" w:color="000000"/>
        <w:left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3">
    <w:name w:val="xl133"/>
    <w:basedOn w:val="Normal"/>
    <w:pPr>
      <w:pBdr>
        <w:top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4">
    <w:name w:val="xl134"/>
    <w:basedOn w:val="Normal"/>
    <w:pPr>
      <w:pBdr>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5">
    <w:name w:val="xl135"/>
    <w:basedOn w:val="Normal"/>
    <w:pPr>
      <w:pBdr>
        <w:left w:val="single" w:sz="4" w:space="0" w:color="000000"/>
        <w:bottom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6">
    <w:name w:val="xl136"/>
    <w:basedOn w:val="Normal"/>
    <w:pPr>
      <w:pBdr>
        <w:bottom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37">
    <w:name w:val="xl137"/>
    <w:basedOn w:val="Normal"/>
    <w:pPr>
      <w:pBdr>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8">
    <w:name w:val="xl138"/>
    <w:basedOn w:val="Normal"/>
    <w:pPr>
      <w:pBdr>
        <w:top w:val="single" w:sz="4" w:space="0" w:color="000000"/>
        <w:lef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39">
    <w:name w:val="xl139"/>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0">
    <w:name w:val="xl140"/>
    <w:basedOn w:val="Normal"/>
    <w:pPr>
      <w:pBdr>
        <w:top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41">
    <w:name w:val="xl141"/>
    <w:basedOn w:val="Normal"/>
    <w:pPr>
      <w:pBdr>
        <w:top w:val="single" w:sz="4" w:space="0" w:color="000000"/>
        <w:left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2">
    <w:name w:val="xl142"/>
    <w:basedOn w:val="Normal"/>
    <w:pP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3">
    <w:name w:val="xl143"/>
    <w:basedOn w:val="Normal"/>
    <w:pPr>
      <w:pBdr>
        <w:top w:val="single" w:sz="4" w:space="0" w:color="auto"/>
        <w:left w:val="single" w:sz="4" w:space="0" w:color="000000"/>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4">
    <w:name w:val="xl144"/>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5">
    <w:name w:val="xl145"/>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46">
    <w:name w:val="xl146"/>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7">
    <w:name w:val="xl147"/>
    <w:basedOn w:val="Normal"/>
    <w:pPr>
      <w:pBdr>
        <w:left w:val="single" w:sz="4" w:space="0" w:color="000000"/>
        <w:bottom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8">
    <w:name w:val="xl148"/>
    <w:basedOn w:val="Normal"/>
    <w:pPr>
      <w:pBdr>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49">
    <w:name w:val="xl149"/>
    <w:basedOn w:val="Normal"/>
    <w:pPr>
      <w:pBdr>
        <w:bottom w:val="single" w:sz="4" w:space="0" w:color="000000"/>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0">
    <w:name w:val="xl150"/>
    <w:basedOn w:val="Normal"/>
    <w:pPr>
      <w:pBdr>
        <w:left w:val="single" w:sz="4" w:space="0" w:color="000000"/>
        <w:bottom w:val="single" w:sz="4" w:space="0" w:color="000000"/>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1">
    <w:name w:val="xl151"/>
    <w:basedOn w:val="Normal"/>
    <w:pPr>
      <w:pBdr>
        <w:top w:val="single" w:sz="4" w:space="0" w:color="000000"/>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2">
    <w:name w:val="xl152"/>
    <w:basedOn w:val="Normal"/>
    <w:pPr>
      <w:pBdr>
        <w:top w:val="single" w:sz="4" w:space="0" w:color="auto"/>
        <w:left w:val="single" w:sz="4" w:space="0" w:color="auto"/>
        <w:bottom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3">
    <w:name w:val="xl153"/>
    <w:basedOn w:val="Normal"/>
    <w:pPr>
      <w:pBdr>
        <w:top w:val="single" w:sz="4" w:space="0" w:color="auto"/>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4">
    <w:name w:val="xl154"/>
    <w:basedOn w:val="Normal"/>
    <w:pPr>
      <w:pBdr>
        <w:top w:val="single" w:sz="4" w:space="0" w:color="auto"/>
        <w:left w:val="single" w:sz="4" w:space="0" w:color="000000"/>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58">
    <w:name w:val="xl158"/>
    <w:basedOn w:val="Normal"/>
    <w:pP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59">
    <w:name w:val="xl159"/>
    <w:basedOn w:val="Normal"/>
    <w:pPr>
      <w:pBdr>
        <w:top w:val="single" w:sz="4" w:space="0" w:color="000000"/>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60">
    <w:name w:val="xl160"/>
    <w:basedOn w:val="Normal"/>
    <w:pPr>
      <w:pBdr>
        <w:top w:val="single" w:sz="4" w:space="0" w:color="000000"/>
        <w:left w:val="single" w:sz="4" w:space="0" w:color="auto"/>
        <w:bottom w:val="single" w:sz="4" w:space="0" w:color="auto"/>
        <w:right w:val="single" w:sz="4" w:space="0" w:color="000000"/>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1">
    <w:name w:val="xl161"/>
    <w:basedOn w:val="Normal"/>
    <w:pPr>
      <w:pBdr>
        <w:top w:val="single" w:sz="4" w:space="0" w:color="000000"/>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2">
    <w:name w:val="xl162"/>
    <w:basedOn w:val="Normal"/>
    <w:pPr>
      <w:pBdr>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3">
    <w:name w:val="xl163"/>
    <w:basedOn w:val="Normal"/>
    <w:pPr>
      <w:pBdr>
        <w:left w:val="single" w:sz="4" w:space="0" w:color="000000"/>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4">
    <w:name w:val="xl164"/>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left"/>
    </w:pPr>
    <w:rPr>
      <w:rFonts w:ascii="Arial" w:eastAsia="Arial Unicode MS" w:hAnsi="Arial" w:cs="Arial"/>
      <w:sz w:val="18"/>
      <w:szCs w:val="18"/>
    </w:rPr>
  </w:style>
  <w:style w:type="paragraph" w:customStyle="1" w:styleId="xl166">
    <w:name w:val="xl166"/>
    <w:basedOn w:val="Normal"/>
    <w:pPr>
      <w:pBdr>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7">
    <w:name w:val="xl167"/>
    <w:basedOn w:val="Normal"/>
    <w:pPr>
      <w:pBdr>
        <w:left w:val="single" w:sz="4" w:space="0" w:color="auto"/>
        <w:bottom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8">
    <w:name w:val="xl168"/>
    <w:basedOn w:val="Normal"/>
    <w:pPr>
      <w:pBdr>
        <w:top w:val="single" w:sz="4" w:space="0" w:color="000000"/>
        <w:left w:val="single" w:sz="4" w:space="0" w:color="000000"/>
        <w:bottom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69">
    <w:name w:val="xl169"/>
    <w:basedOn w:val="Normal"/>
    <w:pPr>
      <w:pBdr>
        <w:top w:val="single" w:sz="4" w:space="0" w:color="auto"/>
        <w:left w:val="single" w:sz="4" w:space="0" w:color="000000"/>
        <w:bottom w:val="single" w:sz="4" w:space="0" w:color="000000"/>
        <w:right w:val="single" w:sz="4" w:space="0" w:color="000000"/>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0">
    <w:name w:val="xl170"/>
    <w:basedOn w:val="Normal"/>
    <w:pPr>
      <w:pBdr>
        <w:left w:val="single" w:sz="4" w:space="0" w:color="auto"/>
        <w:bottom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71">
    <w:name w:val="xl171"/>
    <w:basedOn w:val="Normal"/>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2">
    <w:name w:val="xl172"/>
    <w:basedOn w:val="Normal"/>
    <w:pPr>
      <w:pBdr>
        <w:left w:val="single" w:sz="4" w:space="0" w:color="000000"/>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3">
    <w:name w:val="xl173"/>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4">
    <w:name w:val="xl174"/>
    <w:basedOn w:val="Norma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75">
    <w:name w:val="xl17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6">
    <w:name w:val="xl1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7">
    <w:name w:val="xl177"/>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8">
    <w:name w:val="xl178"/>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79">
    <w:name w:val="xl179"/>
    <w:basedOn w:val="Normal"/>
    <w:pPr>
      <w:pBdr>
        <w:top w:val="single" w:sz="4" w:space="0" w:color="000000"/>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0">
    <w:name w:val="xl180"/>
    <w:basedOn w:val="Normal"/>
    <w:pPr>
      <w:pBdr>
        <w:lef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1">
    <w:name w:val="xl181"/>
    <w:basedOn w:val="Normal"/>
    <w:pPr>
      <w:pBdr>
        <w:left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2">
    <w:name w:val="xl182"/>
    <w:basedOn w:val="Normal"/>
    <w:pPr>
      <w:pBdr>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3">
    <w:name w:val="xl183"/>
    <w:basedOn w:val="Normal"/>
    <w:pPr>
      <w:pBdr>
        <w:left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84">
    <w:name w:val="xl184"/>
    <w:basedOn w:val="Normal"/>
    <w:pPr>
      <w:pBdr>
        <w:left w:val="single" w:sz="4" w:space="0" w:color="auto"/>
        <w:bottom w:val="single" w:sz="4" w:space="0" w:color="000000"/>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5">
    <w:name w:val="xl185"/>
    <w:basedOn w:val="Normal"/>
    <w:pPr>
      <w:pBdr>
        <w:left w:val="single" w:sz="4" w:space="0" w:color="auto"/>
        <w:bottom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6">
    <w:name w:val="xl186"/>
    <w:basedOn w:val="Normal"/>
    <w:pPr>
      <w:pBdr>
        <w:left w:val="single" w:sz="4" w:space="0" w:color="000000"/>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7">
    <w:name w:val="xl187"/>
    <w:basedOn w:val="Normal"/>
    <w:pPr>
      <w:pBdr>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88">
    <w:name w:val="xl188"/>
    <w:basedOn w:val="Normal"/>
    <w:pPr>
      <w:pBdr>
        <w:left w:val="single" w:sz="4" w:space="0" w:color="auto"/>
        <w:bottom w:val="single" w:sz="4" w:space="0" w:color="auto"/>
        <w:right w:val="single" w:sz="4" w:space="0" w:color="auto"/>
      </w:pBdr>
      <w:shd w:val="clear" w:color="auto" w:fill="FF0000"/>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xl189">
    <w:name w:val="xl189"/>
    <w:basedOn w:val="Normal"/>
    <w:pPr>
      <w:pBdr>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0">
    <w:name w:val="xl190"/>
    <w:basedOn w:val="Normal"/>
    <w:pPr>
      <w:pBdr>
        <w:top w:val="single" w:sz="4" w:space="0" w:color="auto"/>
        <w:left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1">
    <w:name w:val="xl191"/>
    <w:basedOn w:val="Normal"/>
    <w:pPr>
      <w:pBdr>
        <w:left w:val="single" w:sz="4" w:space="0" w:color="auto"/>
        <w:right w:val="single" w:sz="4" w:space="0" w:color="auto"/>
      </w:pBdr>
      <w:shd w:val="clear" w:color="auto" w:fill="FF0000"/>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2">
    <w:name w:val="xl192"/>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color w:val="000000"/>
      <w:sz w:val="18"/>
      <w:szCs w:val="18"/>
    </w:rPr>
  </w:style>
  <w:style w:type="paragraph" w:customStyle="1" w:styleId="xl193">
    <w:name w:val="xl193"/>
    <w:basedOn w:val="Normal"/>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4">
    <w:name w:val="xl194"/>
    <w:basedOn w:val="Normal"/>
    <w:pPr>
      <w:pBdr>
        <w:top w:val="single" w:sz="4" w:space="0" w:color="auto"/>
        <w:left w:val="single" w:sz="4"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95">
    <w:name w:val="xl195"/>
    <w:basedOn w:val="Normal"/>
    <w:pPr>
      <w:pBdr>
        <w:top w:val="single" w:sz="4" w:space="0" w:color="auto"/>
        <w:left w:val="single" w:sz="4" w:space="0" w:color="auto"/>
        <w:right w:val="single" w:sz="4" w:space="0" w:color="auto"/>
      </w:pBdr>
      <w:shd w:val="clear" w:color="auto" w:fill="33CCCC"/>
      <w:spacing w:before="100" w:beforeAutospacing="1" w:after="100" w:afterAutospacing="1"/>
      <w:jc w:val="left"/>
      <w:textAlignment w:val="center"/>
    </w:pPr>
    <w:rPr>
      <w:rFonts w:ascii="Arial Unicode MS" w:eastAsia="Arial Unicode MS" w:hAnsi="Arial Unicode MS" w:cs="Arial Unicode MS"/>
      <w:color w:val="000000"/>
      <w:sz w:val="18"/>
      <w:szCs w:val="18"/>
    </w:rPr>
  </w:style>
  <w:style w:type="paragraph" w:customStyle="1" w:styleId="RD">
    <w:name w:val="RD"/>
    <w:basedOn w:val="Caption"/>
    <w:pPr>
      <w:keepNext/>
      <w:keepLines/>
      <w:spacing w:before="0" w:after="240"/>
      <w:jc w:val="left"/>
    </w:pPr>
    <w:rPr>
      <w:rFonts w:ascii="Times New Roman" w:hAnsi="Times New Roman"/>
      <w:smallCaps/>
    </w:rPr>
  </w:style>
  <w:style w:type="character" w:customStyle="1" w:styleId="fldtext">
    <w:name w:val="fldtext"/>
  </w:style>
  <w:style w:type="paragraph" w:customStyle="1" w:styleId="font5">
    <w:name w:val="font5"/>
    <w:basedOn w:val="Normal"/>
    <w:pPr>
      <w:spacing w:before="100" w:beforeAutospacing="1" w:after="100" w:afterAutospacing="1"/>
      <w:jc w:val="left"/>
    </w:pPr>
    <w:rPr>
      <w:rFonts w:ascii="Tahoma" w:eastAsia="Arial Unicode MS" w:hAnsi="Tahoma" w:cs="Tahoma"/>
      <w:color w:val="000000"/>
      <w:sz w:val="16"/>
      <w:szCs w:val="16"/>
    </w:rPr>
  </w:style>
  <w:style w:type="paragraph" w:customStyle="1" w:styleId="font6">
    <w:name w:val="font6"/>
    <w:basedOn w:val="Normal"/>
    <w:pPr>
      <w:spacing w:before="100" w:beforeAutospacing="1" w:after="100" w:afterAutospacing="1"/>
      <w:jc w:val="left"/>
    </w:pPr>
    <w:rPr>
      <w:rFonts w:ascii="Tahoma" w:eastAsia="Arial Unicode MS" w:hAnsi="Tahoma" w:cs="Tahoma"/>
      <w:b/>
      <w:bCs/>
      <w:color w:val="000000"/>
      <w:sz w:val="16"/>
      <w:szCs w:val="16"/>
    </w:rPr>
  </w:style>
  <w:style w:type="paragraph" w:styleId="BodyTextFirstIndent">
    <w:name w:val="Body Text First Indent"/>
    <w:basedOn w:val="BodyText"/>
    <w:link w:val="BodyTextFirstIndentChar"/>
    <w:pPr>
      <w:spacing w:before="0"/>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lang w:val="bg-BG"/>
    </w:rPr>
  </w:style>
  <w:style w:type="paragraph" w:styleId="BodyTextFirstIndent2">
    <w:name w:val="Body Text First Indent 2"/>
    <w:basedOn w:val="BodyTextIndent"/>
    <w:link w:val="BodyTextFirstIndent2Char"/>
    <w:pPr>
      <w:numPr>
        <w:numId w:val="0"/>
      </w:numPr>
      <w:spacing w:before="0"/>
      <w:ind w:left="283" w:firstLine="210"/>
      <w:jc w:val="left"/>
    </w:pPr>
    <w:rPr>
      <w:sz w:val="22"/>
      <w:szCs w:val="24"/>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4"/>
      <w:lang w:val="bg-BG"/>
    </w:rPr>
  </w:style>
  <w:style w:type="paragraph" w:styleId="Closing">
    <w:name w:val="Closing"/>
    <w:basedOn w:val="Normal"/>
    <w:link w:val="ClosingChar"/>
    <w:pPr>
      <w:spacing w:before="0" w:after="60"/>
      <w:ind w:left="4252"/>
      <w:jc w:val="left"/>
    </w:pPr>
    <w:rPr>
      <w:rFonts w:eastAsia="Times New Roman"/>
      <w:sz w:val="22"/>
      <w:szCs w:val="24"/>
    </w:rPr>
  </w:style>
  <w:style w:type="character" w:customStyle="1" w:styleId="ClosingChar">
    <w:name w:val="Closing Char"/>
    <w:basedOn w:val="DefaultParagraphFont"/>
    <w:link w:val="Closing"/>
    <w:rPr>
      <w:rFonts w:ascii="Times New Roman" w:eastAsia="Times New Roman" w:hAnsi="Times New Roman" w:cs="Times New Roman"/>
      <w:szCs w:val="24"/>
      <w:lang w:val="bg-BG"/>
    </w:rPr>
  </w:style>
  <w:style w:type="paragraph" w:styleId="E-mailSignature">
    <w:name w:val="E-mail Signature"/>
    <w:basedOn w:val="Normal"/>
    <w:link w:val="E-mailSignatureChar"/>
    <w:pPr>
      <w:spacing w:before="0" w:after="60"/>
      <w:jc w:val="left"/>
    </w:pPr>
    <w:rPr>
      <w:rFonts w:eastAsia="Times New Roman"/>
      <w:sz w:val="22"/>
      <w:szCs w:val="24"/>
    </w:rPr>
  </w:style>
  <w:style w:type="character" w:customStyle="1" w:styleId="E-mailSignatureChar">
    <w:name w:val="E-mail Signature Char"/>
    <w:basedOn w:val="DefaultParagraphFont"/>
    <w:link w:val="E-mailSignature"/>
    <w:rPr>
      <w:rFonts w:ascii="Times New Roman" w:eastAsia="Times New Roman" w:hAnsi="Times New Roman" w:cs="Times New Roman"/>
      <w:szCs w:val="24"/>
      <w:lang w:val="bg-BG"/>
    </w:rPr>
  </w:style>
  <w:style w:type="paragraph" w:styleId="EnvelopeAddress">
    <w:name w:val="envelope address"/>
    <w:basedOn w:val="Normal"/>
    <w:pPr>
      <w:framePr w:w="7920" w:h="1980" w:hRule="exact" w:hSpace="180" w:wrap="auto" w:hAnchor="page" w:xAlign="center" w:yAlign="bottom"/>
      <w:spacing w:before="0" w:after="60"/>
      <w:ind w:left="2880"/>
      <w:jc w:val="left"/>
    </w:pPr>
    <w:rPr>
      <w:rFonts w:ascii="Arial" w:eastAsia="Times New Roman" w:hAnsi="Arial" w:cs="Arial"/>
      <w:sz w:val="22"/>
      <w:szCs w:val="24"/>
    </w:rPr>
  </w:style>
  <w:style w:type="paragraph" w:styleId="EnvelopeReturn">
    <w:name w:val="envelope return"/>
    <w:basedOn w:val="Normal"/>
    <w:pPr>
      <w:spacing w:before="0" w:after="60"/>
      <w:jc w:val="left"/>
    </w:pPr>
    <w:rPr>
      <w:rFonts w:ascii="Arial" w:eastAsia="Times New Roman" w:hAnsi="Arial" w:cs="Arial"/>
      <w:sz w:val="20"/>
      <w:szCs w:val="20"/>
    </w:rPr>
  </w:style>
  <w:style w:type="paragraph" w:styleId="HTMLAddress">
    <w:name w:val="HTML Address"/>
    <w:basedOn w:val="Normal"/>
    <w:link w:val="HTMLAddressChar"/>
    <w:pPr>
      <w:spacing w:before="0" w:after="60"/>
      <w:jc w:val="left"/>
    </w:pPr>
    <w:rPr>
      <w:rFonts w:eastAsia="Times New Roman"/>
      <w:i/>
      <w:iCs/>
      <w:sz w:val="22"/>
      <w:szCs w:val="24"/>
    </w:rPr>
  </w:style>
  <w:style w:type="character" w:customStyle="1" w:styleId="HTMLAddressChar">
    <w:name w:val="HTML Address Char"/>
    <w:basedOn w:val="DefaultParagraphFont"/>
    <w:link w:val="HTMLAddress"/>
    <w:rPr>
      <w:rFonts w:ascii="Times New Roman" w:eastAsia="Times New Roman" w:hAnsi="Times New Roman" w:cs="Times New Roman"/>
      <w:i/>
      <w:iCs/>
      <w:szCs w:val="24"/>
      <w:lang w:val="bg-BG"/>
    </w:rPr>
  </w:style>
  <w:style w:type="paragraph" w:styleId="HTMLPreformatted">
    <w:name w:val="HTML Preformatted"/>
    <w:basedOn w:val="Normal"/>
    <w:link w:val="HTMLPreformattedChar"/>
    <w:pPr>
      <w:spacing w:before="0" w:after="6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bg-BG"/>
    </w:rPr>
  </w:style>
  <w:style w:type="paragraph" w:styleId="List">
    <w:name w:val="List"/>
    <w:basedOn w:val="Normal"/>
    <w:pPr>
      <w:spacing w:before="0" w:after="60"/>
      <w:ind w:left="283" w:hanging="283"/>
      <w:jc w:val="left"/>
    </w:pPr>
    <w:rPr>
      <w:rFonts w:eastAsia="Times New Roman"/>
      <w:sz w:val="22"/>
      <w:szCs w:val="24"/>
    </w:rPr>
  </w:style>
  <w:style w:type="paragraph" w:styleId="List2">
    <w:name w:val="List 2"/>
    <w:basedOn w:val="Normal"/>
    <w:pPr>
      <w:spacing w:before="0" w:after="60"/>
      <w:ind w:left="566" w:hanging="283"/>
      <w:jc w:val="left"/>
    </w:pPr>
    <w:rPr>
      <w:rFonts w:eastAsia="Times New Roman"/>
      <w:sz w:val="22"/>
      <w:szCs w:val="24"/>
    </w:rPr>
  </w:style>
  <w:style w:type="paragraph" w:styleId="List3">
    <w:name w:val="List 3"/>
    <w:basedOn w:val="Normal"/>
    <w:pPr>
      <w:spacing w:before="0" w:after="60"/>
      <w:ind w:left="849" w:hanging="283"/>
      <w:jc w:val="left"/>
    </w:pPr>
    <w:rPr>
      <w:rFonts w:eastAsia="Times New Roman"/>
      <w:sz w:val="22"/>
      <w:szCs w:val="24"/>
    </w:rPr>
  </w:style>
  <w:style w:type="paragraph" w:styleId="List4">
    <w:name w:val="List 4"/>
    <w:basedOn w:val="Normal"/>
    <w:pPr>
      <w:spacing w:before="0" w:after="60"/>
      <w:ind w:left="1132" w:hanging="283"/>
      <w:jc w:val="left"/>
    </w:pPr>
    <w:rPr>
      <w:rFonts w:eastAsia="Times New Roman"/>
      <w:sz w:val="22"/>
      <w:szCs w:val="24"/>
    </w:rPr>
  </w:style>
  <w:style w:type="paragraph" w:styleId="List5">
    <w:name w:val="List 5"/>
    <w:basedOn w:val="Normal"/>
    <w:pPr>
      <w:spacing w:before="0" w:after="60"/>
      <w:ind w:left="1415" w:hanging="283"/>
      <w:jc w:val="left"/>
    </w:pPr>
    <w:rPr>
      <w:rFonts w:eastAsia="Times New Roman"/>
      <w:sz w:val="22"/>
      <w:szCs w:val="24"/>
    </w:rPr>
  </w:style>
  <w:style w:type="paragraph" w:styleId="ListBullet5">
    <w:name w:val="List Bullet 5"/>
    <w:basedOn w:val="Normal"/>
    <w:autoRedefine/>
    <w:pPr>
      <w:tabs>
        <w:tab w:val="num" w:pos="1492"/>
      </w:tabs>
      <w:spacing w:before="0" w:after="60"/>
      <w:ind w:left="1492" w:hanging="360"/>
      <w:jc w:val="left"/>
    </w:pPr>
    <w:rPr>
      <w:rFonts w:eastAsia="Times New Roman"/>
      <w:sz w:val="22"/>
      <w:szCs w:val="24"/>
    </w:rPr>
  </w:style>
  <w:style w:type="paragraph" w:styleId="ListContinue">
    <w:name w:val="List Continue"/>
    <w:basedOn w:val="Normal"/>
    <w:pPr>
      <w:spacing w:before="0"/>
      <w:ind w:left="283"/>
      <w:jc w:val="left"/>
    </w:pPr>
    <w:rPr>
      <w:rFonts w:eastAsia="Times New Roman"/>
      <w:sz w:val="22"/>
      <w:szCs w:val="24"/>
    </w:rPr>
  </w:style>
  <w:style w:type="paragraph" w:styleId="ListContinue2">
    <w:name w:val="List Continue 2"/>
    <w:basedOn w:val="Normal"/>
    <w:pPr>
      <w:spacing w:before="0"/>
      <w:ind w:left="566"/>
      <w:jc w:val="left"/>
    </w:pPr>
    <w:rPr>
      <w:rFonts w:eastAsia="Times New Roman"/>
      <w:sz w:val="22"/>
      <w:szCs w:val="24"/>
    </w:rPr>
  </w:style>
  <w:style w:type="paragraph" w:styleId="ListContinue3">
    <w:name w:val="List Continue 3"/>
    <w:basedOn w:val="Normal"/>
    <w:pPr>
      <w:spacing w:before="0"/>
      <w:ind w:left="849"/>
      <w:jc w:val="left"/>
    </w:pPr>
    <w:rPr>
      <w:rFonts w:eastAsia="Times New Roman"/>
      <w:sz w:val="22"/>
      <w:szCs w:val="24"/>
    </w:rPr>
  </w:style>
  <w:style w:type="paragraph" w:styleId="ListContinue4">
    <w:name w:val="List Continue 4"/>
    <w:basedOn w:val="Normal"/>
    <w:pPr>
      <w:spacing w:before="0"/>
      <w:ind w:left="1132"/>
      <w:jc w:val="left"/>
    </w:pPr>
    <w:rPr>
      <w:rFonts w:eastAsia="Times New Roman"/>
      <w:sz w:val="22"/>
      <w:szCs w:val="24"/>
    </w:rPr>
  </w:style>
  <w:style w:type="paragraph" w:styleId="ListContinue5">
    <w:name w:val="List Continue 5"/>
    <w:basedOn w:val="Normal"/>
    <w:pPr>
      <w:spacing w:before="0"/>
      <w:ind w:left="1415"/>
      <w:jc w:val="left"/>
    </w:pPr>
    <w:rPr>
      <w:rFonts w:eastAsia="Times New Roman"/>
      <w:sz w:val="22"/>
      <w:szCs w:val="24"/>
    </w:rPr>
  </w:style>
  <w:style w:type="paragraph" w:styleId="ListNumber2">
    <w:name w:val="List Number 2"/>
    <w:basedOn w:val="Normal"/>
    <w:pPr>
      <w:tabs>
        <w:tab w:val="num" w:pos="643"/>
      </w:tabs>
      <w:spacing w:before="0" w:after="60"/>
      <w:ind w:left="643" w:hanging="360"/>
      <w:jc w:val="left"/>
    </w:pPr>
    <w:rPr>
      <w:rFonts w:eastAsia="Times New Roman"/>
      <w:sz w:val="22"/>
      <w:szCs w:val="24"/>
    </w:rPr>
  </w:style>
  <w:style w:type="paragraph" w:styleId="ListNumber4">
    <w:name w:val="List Number 4"/>
    <w:basedOn w:val="Normal"/>
    <w:pPr>
      <w:tabs>
        <w:tab w:val="num" w:pos="1209"/>
      </w:tabs>
      <w:spacing w:before="0" w:after="60"/>
      <w:ind w:left="1209" w:hanging="360"/>
      <w:jc w:val="left"/>
    </w:pPr>
    <w:rPr>
      <w:rFonts w:eastAsia="Times New Roman"/>
      <w:sz w:val="22"/>
      <w:szCs w:val="24"/>
    </w:rPr>
  </w:style>
  <w:style w:type="paragraph" w:styleId="ListNumber5">
    <w:name w:val="List Number 5"/>
    <w:basedOn w:val="Normal"/>
    <w:pPr>
      <w:tabs>
        <w:tab w:val="num" w:pos="1492"/>
      </w:tabs>
      <w:spacing w:before="0" w:after="60"/>
      <w:ind w:left="1492" w:hanging="360"/>
      <w:jc w:val="left"/>
    </w:pPr>
    <w:rPr>
      <w:rFonts w:eastAsia="Times New Roman"/>
      <w:sz w:val="22"/>
      <w:szCs w:val="24"/>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60"/>
      <w:ind w:left="1134" w:hanging="1134"/>
      <w:jc w:val="left"/>
    </w:pPr>
    <w:rPr>
      <w:rFonts w:ascii="Arial" w:eastAsia="Times New Roman" w:hAnsi="Arial" w:cs="Arial"/>
      <w:sz w:val="22"/>
      <w:szCs w:val="24"/>
    </w:rPr>
  </w:style>
  <w:style w:type="character" w:customStyle="1" w:styleId="MessageHeaderChar">
    <w:name w:val="Message Header Char"/>
    <w:basedOn w:val="DefaultParagraphFont"/>
    <w:link w:val="MessageHeader"/>
    <w:rPr>
      <w:rFonts w:ascii="Arial" w:eastAsia="Times New Roman" w:hAnsi="Arial" w:cs="Arial"/>
      <w:szCs w:val="24"/>
      <w:shd w:val="pct20" w:color="auto" w:fill="auto"/>
      <w:lang w:val="bg-BG"/>
    </w:rPr>
  </w:style>
  <w:style w:type="paragraph" w:styleId="NoteHeading">
    <w:name w:val="Note Heading"/>
    <w:basedOn w:val="Normal"/>
    <w:next w:val="Normal"/>
    <w:link w:val="NoteHeadingChar"/>
    <w:pPr>
      <w:spacing w:before="0" w:after="60"/>
      <w:jc w:val="left"/>
    </w:pPr>
    <w:rPr>
      <w:rFonts w:eastAsia="Times New Roman"/>
      <w:sz w:val="22"/>
      <w:szCs w:val="24"/>
    </w:rPr>
  </w:style>
  <w:style w:type="character" w:customStyle="1" w:styleId="NoteHeadingChar">
    <w:name w:val="Note Heading Char"/>
    <w:basedOn w:val="DefaultParagraphFont"/>
    <w:link w:val="NoteHeading"/>
    <w:rPr>
      <w:rFonts w:ascii="Times New Roman" w:eastAsia="Times New Roman" w:hAnsi="Times New Roman" w:cs="Times New Roman"/>
      <w:szCs w:val="24"/>
      <w:lang w:val="bg-BG"/>
    </w:rPr>
  </w:style>
  <w:style w:type="paragraph" w:styleId="Salutation">
    <w:name w:val="Salutation"/>
    <w:basedOn w:val="Normal"/>
    <w:next w:val="Normal"/>
    <w:link w:val="SalutationChar"/>
    <w:pPr>
      <w:spacing w:before="0" w:after="60"/>
      <w:jc w:val="left"/>
    </w:pPr>
    <w:rPr>
      <w:rFonts w:eastAsia="Times New Roman"/>
      <w:sz w:val="22"/>
      <w:szCs w:val="24"/>
    </w:rPr>
  </w:style>
  <w:style w:type="character" w:customStyle="1" w:styleId="SalutationChar">
    <w:name w:val="Salutation Char"/>
    <w:basedOn w:val="DefaultParagraphFont"/>
    <w:link w:val="Salutation"/>
    <w:rPr>
      <w:rFonts w:ascii="Times New Roman" w:eastAsia="Times New Roman" w:hAnsi="Times New Roman" w:cs="Times New Roman"/>
      <w:szCs w:val="24"/>
      <w:lang w:val="bg-BG"/>
    </w:rPr>
  </w:style>
  <w:style w:type="paragraph" w:styleId="Signature">
    <w:name w:val="Signature"/>
    <w:basedOn w:val="Normal"/>
    <w:link w:val="SignatureChar"/>
    <w:pPr>
      <w:spacing w:before="0" w:after="60"/>
      <w:ind w:left="4252"/>
      <w:jc w:val="left"/>
    </w:pPr>
    <w:rPr>
      <w:rFonts w:eastAsia="Times New Roman"/>
      <w:sz w:val="22"/>
      <w:szCs w:val="24"/>
    </w:rPr>
  </w:style>
  <w:style w:type="character" w:customStyle="1" w:styleId="SignatureChar">
    <w:name w:val="Signature Char"/>
    <w:basedOn w:val="DefaultParagraphFont"/>
    <w:link w:val="Signature"/>
    <w:rPr>
      <w:rFonts w:ascii="Times New Roman" w:eastAsia="Times New Roman" w:hAnsi="Times New Roman" w:cs="Times New Roman"/>
      <w:szCs w:val="24"/>
      <w:lang w:val="bg-BG"/>
    </w:rPr>
  </w:style>
  <w:style w:type="paragraph" w:styleId="Subtitle">
    <w:name w:val="Subtitle"/>
    <w:basedOn w:val="Normal"/>
    <w:link w:val="SubtitleChar"/>
    <w:qFormat/>
    <w:pPr>
      <w:spacing w:before="0" w:after="60"/>
      <w:jc w:val="center"/>
      <w:outlineLvl w:val="1"/>
    </w:pPr>
    <w:rPr>
      <w:rFonts w:ascii="Arial" w:eastAsia="Times New Roman" w:hAnsi="Arial" w:cs="Arial"/>
      <w:sz w:val="22"/>
      <w:szCs w:val="24"/>
    </w:rPr>
  </w:style>
  <w:style w:type="character" w:customStyle="1" w:styleId="SubtitleChar">
    <w:name w:val="Subtitle Char"/>
    <w:basedOn w:val="DefaultParagraphFont"/>
    <w:link w:val="Subtitle"/>
    <w:rPr>
      <w:rFonts w:ascii="Arial" w:eastAsia="Times New Roman" w:hAnsi="Arial" w:cs="Arial"/>
      <w:szCs w:val="24"/>
      <w:lang w:val="bg-BG"/>
    </w:rPr>
  </w:style>
  <w:style w:type="paragraph" w:styleId="Title">
    <w:name w:val="Title"/>
    <w:basedOn w:val="Normal"/>
    <w:link w:val="TitleChar"/>
    <w:qFormat/>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Pr>
      <w:rFonts w:ascii="Arial" w:eastAsia="Times New Roman" w:hAnsi="Arial" w:cs="Arial"/>
      <w:b/>
      <w:bCs/>
      <w:kern w:val="28"/>
      <w:sz w:val="32"/>
      <w:szCs w:val="32"/>
      <w:lang w:val="bg-BG"/>
    </w:rPr>
  </w:style>
  <w:style w:type="table" w:styleId="TableGrid7">
    <w:name w:val="Table Grid 7"/>
    <w:basedOn w:val="TableNormal"/>
    <w:pPr>
      <w:spacing w:after="0" w:line="240" w:lineRule="auto"/>
    </w:pPr>
    <w:rPr>
      <w:rFonts w:ascii="Times New Roman" w:eastAsia="Times New Roman" w:hAnsi="Times New Roman" w:cs="Times New Roman"/>
      <w:b/>
      <w:bCs/>
      <w:sz w:val="20"/>
      <w:szCs w:val="20"/>
      <w:lang w:val="en-GB" w:eastAsia="en-GB"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eading5Heading5CFMUPara5h5t5T5JustifiedBefore">
    <w:name w:val="Heading 5Heading 5 CFMUPara 5h5t5.T5 + Justified Before:..."/>
    <w:basedOn w:val="Heading5"/>
    <w:pPr>
      <w:keepNext/>
      <w:widowControl w:val="0"/>
      <w:tabs>
        <w:tab w:val="clear" w:pos="0"/>
        <w:tab w:val="num" w:pos="1008"/>
        <w:tab w:val="left" w:pos="1134"/>
      </w:tabs>
      <w:spacing w:before="360" w:after="240"/>
      <w:ind w:left="1008" w:hanging="1008"/>
      <w:jc w:val="left"/>
    </w:pPr>
    <w:rPr>
      <w:rFonts w:ascii="Times New Roman" w:hAnsi="Times New Roman"/>
      <w:bCs w:val="0"/>
      <w:i w:val="0"/>
      <w:iCs w:val="0"/>
      <w:sz w:val="24"/>
      <w:szCs w:val="22"/>
    </w:rPr>
  </w:style>
  <w:style w:type="paragraph" w:customStyle="1" w:styleId="TableauJVI">
    <w:name w:val="TableauJVI"/>
    <w:basedOn w:val="Normal"/>
    <w:pPr>
      <w:spacing w:before="0" w:after="60"/>
      <w:jc w:val="center"/>
    </w:pPr>
    <w:rPr>
      <w:rFonts w:eastAsia="Times New Roman"/>
      <w:sz w:val="22"/>
      <w:szCs w:val="24"/>
    </w:rPr>
  </w:style>
  <w:style w:type="paragraph" w:customStyle="1" w:styleId="Arial">
    <w:name w:val="Arial"/>
    <w:basedOn w:val="Normal"/>
    <w:pPr>
      <w:spacing w:before="60" w:after="60"/>
      <w:ind w:left="-142" w:right="-111"/>
      <w:jc w:val="left"/>
    </w:pPr>
    <w:rPr>
      <w:rFonts w:eastAsia="Times New Roman"/>
      <w:sz w:val="22"/>
      <w:szCs w:val="20"/>
    </w:rPr>
  </w:style>
  <w:style w:type="paragraph" w:customStyle="1" w:styleId="Tahoma">
    <w:name w:val="Tahoma"/>
    <w:basedOn w:val="Arial"/>
  </w:style>
  <w:style w:type="paragraph" w:customStyle="1" w:styleId="annex1">
    <w:name w:val="annex1"/>
    <w:basedOn w:val="Normal"/>
    <w:next w:val="Normal"/>
    <w:pPr>
      <w:numPr>
        <w:numId w:val="19"/>
      </w:numPr>
      <w:spacing w:before="160" w:after="0"/>
      <w:outlineLvl w:val="1"/>
    </w:pPr>
    <w:rPr>
      <w:rFonts w:eastAsia="Times New Roman"/>
      <w:b/>
      <w:smallCaps/>
      <w:szCs w:val="20"/>
    </w:rPr>
  </w:style>
  <w:style w:type="paragraph" w:customStyle="1" w:styleId="Annex">
    <w:name w:val="Annex"/>
    <w:basedOn w:val="Heading1"/>
    <w:pPr>
      <w:pageBreakBefore/>
      <w:widowControl w:val="0"/>
      <w:numPr>
        <w:numId w:val="0"/>
      </w:numPr>
      <w:spacing w:before="120" w:after="60"/>
    </w:pPr>
    <w:rPr>
      <w:rFonts w:eastAsia="Times New Roman"/>
      <w:bCs w:val="0"/>
      <w:sz w:val="28"/>
      <w:szCs w:val="20"/>
    </w:rPr>
  </w:style>
  <w:style w:type="paragraph" w:customStyle="1" w:styleId="annex2">
    <w:name w:val="annex2"/>
    <w:basedOn w:val="annex1"/>
    <w:pPr>
      <w:numPr>
        <w:ilvl w:val="1"/>
      </w:numPr>
      <w:tabs>
        <w:tab w:val="clear" w:pos="576"/>
        <w:tab w:val="num" w:pos="993"/>
      </w:tabs>
    </w:pPr>
  </w:style>
  <w:style w:type="character" w:customStyle="1" w:styleId="CaptionChar">
    <w:name w:val="Caption Char"/>
    <w:aliases w:val="CaptionCFMU Char,CaptionTLS Char"/>
    <w:link w:val="Caption"/>
    <w:rPr>
      <w:rFonts w:ascii="CG Times (W1)" w:eastAsia="Times New Roman" w:hAnsi="CG Times (W1)" w:cs="Times New Roman"/>
      <w:sz w:val="20"/>
      <w:szCs w:val="20"/>
      <w:lang w:val="bg-BG"/>
    </w:rPr>
  </w:style>
  <w:style w:type="character" w:styleId="PlaceholderText">
    <w:name w:val="Placeholder Text"/>
    <w:uiPriority w:val="99"/>
    <w:semiHidden/>
    <w:rPr>
      <w:color w:val="808080"/>
    </w:rPr>
  </w:style>
  <w:style w:type="character" w:customStyle="1" w:styleId="st">
    <w:name w:val="st"/>
  </w:style>
  <w:style w:type="character" w:customStyle="1" w:styleId="WW8Num1z0">
    <w:name w:val="WW8Num1z0"/>
    <w:rPr>
      <w:rFonts w:ascii="Symbol" w:hAnsi="Symbol" w:cs="Symbol"/>
    </w:rPr>
  </w:style>
  <w:style w:type="character" w:customStyle="1" w:styleId="UnresolvedMention1">
    <w:name w:val="Unresolved Mention1"/>
    <w:uiPriority w:val="99"/>
    <w:semiHidden/>
    <w:unhideWhenUsed/>
    <w:rPr>
      <w:color w:val="808080"/>
      <w:shd w:val="clear" w:color="auto" w:fill="E6E6E6"/>
    </w:rPr>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numbering" w:customStyle="1" w:styleId="NoList1111">
    <w:name w:val="No List1111"/>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 71"/>
    <w:basedOn w:val="TableNormal"/>
    <w:next w:val="TableGrid7"/>
    <w:pPr>
      <w:spacing w:after="0" w:line="240" w:lineRule="auto"/>
    </w:pPr>
    <w:rPr>
      <w:rFonts w:ascii="Times New Roman" w:eastAsia="Times New Roman" w:hAnsi="Times New Roman" w:cs="Times New Roman"/>
      <w:b/>
      <w:bCs/>
      <w:sz w:val="20"/>
      <w:szCs w:val="20"/>
      <w:lang w:val="en-GB" w:eastAsia="en-GB"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support@itsmtaxud.europa.eu" TargetMode="External"/><Relationship Id="rId26" Type="http://schemas.openxmlformats.org/officeDocument/2006/relationships/hyperlink" Target="https://itsmtaxud.europa.eu/sites/itsm-portal/home/publishing-platform.html?path=eJwVyMENgCAMAMBVXMB0BgNv4wpVizYpLYGi64vPO2js1IC95blYdRRILGNK34XbzXptgp6sZghhhWiviuE5LZVw6OiZ1NHZFCI9JFb--ACtrSEs" TargetMode="External"/><Relationship Id="rId3" Type="http://schemas.openxmlformats.org/officeDocument/2006/relationships/styles" Target="styles.xml"/><Relationship Id="rId21"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34" Type="http://schemas.openxmlformats.org/officeDocument/2006/relationships/hyperlink" Target="https://itsmtaxud.europa.eu/smt/ess.do"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33" Type="http://schemas.openxmlformats.org/officeDocument/2006/relationships/hyperlink" Target="http://portal.ccntc.ccncsi.int:8080/portal"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29"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32" Type="http://schemas.openxmlformats.org/officeDocument/2006/relationships/hyperlink" Target="mailto:support@itsmtaxud.europa.e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28"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31" Type="http://schemas.openxmlformats.org/officeDocument/2006/relationships/hyperlink" Target="https://itsmtaxud.europa.eu/sites/itsm-portal/home/publishing-platform.html?path=eJwNyMEJgDAMAMBVXEAyg1TwJ64QNdVAmpQmxfXt8w6cgxw4vMzVWqBAZhlT-ynsL-tzCEa2ViClHVb7VAzvaWmEQ1cvpIHBprCRUkP5ASt5H2c"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27"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30" Type="http://schemas.openxmlformats.org/officeDocument/2006/relationships/hyperlink" Target="https://itsmtaxud.europa.eu/sites/itsm-portal/home/publishing-platform.html?path=eJwdyMENgCAMAMBVXMB0BoJv4wpVQJuUltAS15f4vAMjzwbkVtem3ZGhEM9p42Syh-Q-GL1orxDjDpu-woppCT3j1DVqFkcnFQipkpB5__kBE4Qibw" TargetMode="External"/><Relationship Id="rId35" Type="http://schemas.openxmlformats.org/officeDocument/2006/relationships/hyperlink" Target="http://portal.ccntc.ccncsi.int:8080/port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ortal.ccntc.ccncsi.int:8080/portal/DesktopDefault.aspx?tabid=1" TargetMode="External"/><Relationship Id="rId2" Type="http://schemas.openxmlformats.org/officeDocument/2006/relationships/hyperlink" Target="http://www.best-management-practice.com/gempdf/itSMF_An_Introductory_Overview_of_ITIL_V3.pdf" TargetMode="External"/><Relationship Id="rId1" Type="http://schemas.openxmlformats.org/officeDocument/2006/relationships/hyperlink" Target="http://www.itil-officialsit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A513BEE-7820-46BF-BC41-C6317CF7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6</TotalTime>
  <Pages>39</Pages>
  <Words>9960</Words>
  <Characters>60463</Characters>
  <Application>Microsoft Office Word</Application>
  <DocSecurity>0</DocSecurity>
  <Lines>1832</Lines>
  <Paragraphs>1067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DQC</dc:creator>
  <cp:lastModifiedBy>DIGIT/C6</cp:lastModifiedBy>
  <cp:revision>8</cp:revision>
  <cp:lastPrinted>2018-10-29T14:56:00Z</cp:lastPrinted>
  <dcterms:created xsi:type="dcterms:W3CDTF">2018-12-07T17:57:00Z</dcterms:created>
  <dcterms:modified xsi:type="dcterms:W3CDTF">2018-12-10T14:51:00Z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