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0270CE2E-8221-47CD-966C-99FB83B37632" style="width:450.4pt;height:392.9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се отнася до решението за установяване на позицията, която да се заеме от името на Съюза в рамките на Съвместния комитет, създаден по силата на член 41</w:t>
      </w:r>
      <w:r>
        <w:t xml:space="preserve"> </w:t>
      </w:r>
      <w:r>
        <w:rPr>
          <w:noProof/>
        </w:rPr>
        <w:t>от Споразумението между</w:t>
      </w:r>
      <w:r>
        <w:t xml:space="preserve"> </w:t>
      </w:r>
      <w:r>
        <w:rPr>
          <w:noProof/>
        </w:rPr>
        <w:t xml:space="preserve">Европейския съюз и Кралство Норвегия за административното сътрудничество, борбата с измамите и събирането на вземания в областта на данъка върху добавената стойност (наричано по-долу „Споразумението“), съгласно член 5, член 41, параграф 2, букви г), д), е), ж) и з) и член 41, параграф 3 от Споразумението. 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 xml:space="preserve">Споразумението между Европейския съюз и Кралство Норвегия за административното сътрудничество, борбата с измамите и събирането на вземания в областта на данъка върху добавената стойност </w:t>
      </w:r>
    </w:p>
    <w:p>
      <w:pPr>
        <w:rPr>
          <w:rFonts w:eastAsia="Arial Unicode MS"/>
          <w:noProof/>
        </w:rPr>
      </w:pPr>
      <w:r>
        <w:rPr>
          <w:noProof/>
        </w:rPr>
        <w:t>Споразумението има за цел да осигури правилното установяване, определяне и събиране на данъка върху добавената стойност (ДДС) и събиране на вземанията по ДДС, да предотврати двойното облагане или необлагането с ДДС и да се бори с измамите с ДДС. Датата на влизане в сила на Споразумението е 1 септември 2018 г</w:t>
      </w:r>
      <w:r>
        <w:t>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Съвместният комитет</w:t>
      </w:r>
    </w:p>
    <w:p>
      <w:r>
        <w:rPr>
          <w:noProof/>
        </w:rPr>
        <w:t>Съвместният комитет е съставен от представители на Европейския съюз и на Кралство Норвегия (наричани по-долу „страните по Споразумението“) и осигурява правилното действие и изпълнение на Споразумението. Той отправя препоръки за постигането на целите на Споразумението и приема решения с единодушие. Съвместният комитет се председателства от всяка от страните по Споразумението чрез редуване. Европейският съюз се представлява от Комисията в съответствие с член 17, параграф 1 от Договора за Европейския съюз (ДЕС), като неговата позиция се предшества от решение на Съвета по предложение на Комисията. Представители на държавите — членки на Европейския съюз, могат също да участват в заседанията в качеството на наблюдатели.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Предвидени действия на</w:t>
      </w:r>
      <w:r>
        <w:t xml:space="preserve"> </w:t>
      </w:r>
      <w:r>
        <w:rPr>
          <w:noProof/>
        </w:rPr>
        <w:t>Съвместния комитет</w:t>
      </w:r>
    </w:p>
    <w:p>
      <w:pPr>
        <w:rPr>
          <w:rFonts w:eastAsia="Arial Unicode MS"/>
          <w:noProof/>
        </w:rPr>
      </w:pPr>
      <w:r>
        <w:rPr>
          <w:noProof/>
        </w:rPr>
        <w:t>На своето</w:t>
      </w:r>
      <w:r>
        <w:t xml:space="preserve"> </w:t>
      </w:r>
      <w:r>
        <w:rPr>
          <w:noProof/>
        </w:rPr>
        <w:t>първо заседание Съвместният комитет следва да:</w:t>
      </w:r>
    </w:p>
    <w:p>
      <w:pPr>
        <w:pStyle w:val="Tiret0"/>
        <w:numPr>
          <w:ilvl w:val="0"/>
          <w:numId w:val="5"/>
        </w:numPr>
        <w:rPr>
          <w:noProof/>
        </w:rPr>
      </w:pPr>
      <w:r>
        <w:rPr>
          <w:noProof/>
        </w:rPr>
        <w:t>приеме правилник за дейността си съгласно член 41, параграф 3 — Решение 1 на Съвместния комитет;</w:t>
      </w:r>
    </w:p>
    <w:p>
      <w:pPr>
        <w:pStyle w:val="Tiret0"/>
        <w:numPr>
          <w:ilvl w:val="0"/>
          <w:numId w:val="5"/>
        </w:numPr>
        <w:rPr>
          <w:noProof/>
        </w:rPr>
      </w:pPr>
      <w:r>
        <w:rPr>
          <w:noProof/>
        </w:rPr>
        <w:t xml:space="preserve">приеме стандартните формуляри за предаване на съобщения и за изпълнение на практическите ред и условия за организацията на връзките между централните звена за връзка съгласно член 41, параграф 2, букви г), д), ж) и з) — Решение 2 на Съвместния комитет; </w:t>
      </w:r>
    </w:p>
    <w:p>
      <w:pPr>
        <w:pStyle w:val="Tiret0"/>
        <w:numPr>
          <w:ilvl w:val="0"/>
          <w:numId w:val="5"/>
        </w:numPr>
        <w:rPr>
          <w:noProof/>
        </w:rPr>
      </w:pPr>
      <w:r>
        <w:rPr>
          <w:noProof/>
        </w:rPr>
        <w:t xml:space="preserve">приеме процедурата за сключване на споразумението за нивото на услугите съгласно член 41, параграф 2, буква й) от Споразумението — Решение 3 на Съвместния комитет; </w:t>
      </w:r>
    </w:p>
    <w:p>
      <w:pPr>
        <w:pStyle w:val="Tiret0"/>
        <w:numPr>
          <w:ilvl w:val="0"/>
          <w:numId w:val="5"/>
        </w:numPr>
        <w:rPr>
          <w:noProof/>
        </w:rPr>
      </w:pPr>
      <w:r>
        <w:rPr>
          <w:noProof/>
        </w:rPr>
        <w:t>приеме споразумението за нивото на услугите съгласно член 5 от Споразумението — Решения 4 и 5 на Съвместния комитет;</w:t>
      </w:r>
    </w:p>
    <w:p>
      <w:pPr>
        <w:pStyle w:val="Tiret0"/>
        <w:numPr>
          <w:ilvl w:val="0"/>
          <w:numId w:val="5"/>
        </w:numPr>
        <w:rPr>
          <w:noProof/>
        </w:rPr>
      </w:pPr>
      <w:r>
        <w:rPr>
          <w:noProof/>
        </w:rPr>
        <w:t>определи размера и условията по отношение на финансовата вноска, която Норвегия трябва да направи в общия бюджет на Съюза във връзка с разходите, възникващи поради участието ѝ в европейските информационни системи, съгласно член 41, параграф 2, буква е) от Споразумението — Решение 6 на Съвместния комитет.</w:t>
      </w:r>
    </w:p>
    <w:p>
      <w:pPr>
        <w:rPr>
          <w:rFonts w:eastAsia="Arial Unicode MS"/>
          <w:noProof/>
        </w:rPr>
      </w:pPr>
      <w:r>
        <w:rPr>
          <w:noProof/>
        </w:rPr>
        <w:t>Целта на предвидените действия е да се осигури правилното изпълнение на Споразумението.</w:t>
      </w:r>
      <w:r>
        <w:t xml:space="preserve"> 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 xml:space="preserve">Позиция, която да се заеме от името на Съюза </w:t>
      </w:r>
    </w:p>
    <w:p>
      <w:pPr>
        <w:rPr>
          <w:noProof/>
        </w:rPr>
      </w:pPr>
      <w:r>
        <w:rPr>
          <w:noProof/>
        </w:rPr>
        <w:t xml:space="preserve">Първото решение на Съвместния комитет ще бъде относно правилника за действие. С него се установяват правилата относно състава и председателството, наблюдателите и експертите, свикването на заседания, дневния ред, секретариата, съставянето и приемането на протоколи, процедурата за приемане на решения и препоръки, както и разходите. </w:t>
      </w:r>
    </w:p>
    <w:p>
      <w:pPr>
        <w:rPr>
          <w:noProof/>
        </w:rPr>
      </w:pPr>
      <w:r>
        <w:rPr>
          <w:noProof/>
        </w:rPr>
        <w:t xml:space="preserve">Споразумението е от изключителната компетентност на Съюза. Поради това Съюзът се представлява от Комисията. Държавите членки обаче могат по свое решение да участват в качеството на наблюдатели. </w:t>
      </w:r>
    </w:p>
    <w:p>
      <w:pPr>
        <w:rPr>
          <w:noProof/>
        </w:rPr>
      </w:pPr>
      <w:r>
        <w:rPr>
          <w:noProof/>
        </w:rPr>
        <w:t xml:space="preserve">Второто решение на Съвместния комитет е за приемане на стандартните формуляри, с които се установява начинът за предаване на съобщения и се изпълняват практическите ред и условия за организацията на връзките между централните звена за връзка. Правната уредба на Съюза вече предвижда благонадеждна система за изпълнение в контекста на Регламент (ЕС) № 904/2010 на Съвета относно административното сътрудничество и борбата с измамите в областта на ДДС и Директива 2010/24/ЕС на Съвета относно взаимната помощ при събиране на вземания, свързани с данъци, такси и други мерки. Решението на Съвместния комитет следва да предвижда, че за сътрудничеството с Норвегия ще се прилагат инструментите, въведени за целите на гореспоменатото законодателство на Съюза. </w:t>
      </w:r>
    </w:p>
    <w:p>
      <w:pPr>
        <w:rPr>
          <w:noProof/>
        </w:rPr>
      </w:pPr>
      <w:r>
        <w:rPr>
          <w:noProof/>
        </w:rPr>
        <w:t xml:space="preserve">С третото решение на Съвместния комитет ще се установи </w:t>
      </w:r>
      <w:r>
        <w:rPr>
          <w:b/>
          <w:noProof/>
        </w:rPr>
        <w:t>процедурата за сключване на споразумението за нивото на услугите</w:t>
      </w:r>
      <w:r>
        <w:rPr>
          <w:noProof/>
        </w:rPr>
        <w:t xml:space="preserve">, както и за евентуални бъдещи изменения. Четвъртото решение ще е за </w:t>
      </w:r>
      <w:r>
        <w:rPr>
          <w:b/>
          <w:noProof/>
        </w:rPr>
        <w:t xml:space="preserve">сключването на </w:t>
      </w:r>
      <w:r>
        <w:rPr>
          <w:noProof/>
        </w:rPr>
        <w:t xml:space="preserve">самото </w:t>
      </w:r>
      <w:r>
        <w:rPr>
          <w:b/>
          <w:noProof/>
        </w:rPr>
        <w:t>споразумение за нивото на услугите</w:t>
      </w:r>
      <w:r>
        <w:rPr>
          <w:noProof/>
        </w:rPr>
        <w:t xml:space="preserve">. </w:t>
      </w:r>
    </w:p>
    <w:p>
      <w:r>
        <w:rPr>
          <w:noProof/>
        </w:rPr>
        <w:t xml:space="preserve">И накрая, петото решение на Съвместния комитет ще урежда </w:t>
      </w:r>
      <w:r>
        <w:rPr>
          <w:b/>
          <w:noProof/>
        </w:rPr>
        <w:t>финансовата вноска</w:t>
      </w:r>
      <w:r>
        <w:rPr>
          <w:noProof/>
        </w:rPr>
        <w:t>, която Норвегия трябва да направи в общия бюджет на Съюза във връзка с разходите, възникващи поради участието ѝ в европейските информационни системи. Размерът, който Норвегия трябва да внесе, е изчислен като еднократна сума, покриваща разходите за свързването на Норвегия към системата на CCN/CSI и участието ѝ в нея в предложената конфигурация, както и за разработването, поддръжката и обновяването на информационно-технологични решения.</w:t>
      </w:r>
    </w:p>
    <w:p>
      <w:pPr>
        <w:pStyle w:val="Tiret0"/>
        <w:rPr>
          <w:rFonts w:eastAsia="Arial Unicode MS"/>
          <w:noProof/>
        </w:rPr>
      </w:pPr>
      <w:r>
        <w:rPr>
          <w:noProof/>
        </w:rPr>
        <w:t>На този етап не се налага приемане на решения на Съвместния комитет съгласно:</w:t>
      </w:r>
    </w:p>
    <w:p>
      <w:pPr>
        <w:pStyle w:val="Tiret0"/>
        <w:numPr>
          <w:ilvl w:val="0"/>
          <w:numId w:val="4"/>
        </w:numPr>
        <w:ind w:left="720" w:hanging="720"/>
        <w:rPr>
          <w:rFonts w:eastAsia="Arial Unicode MS"/>
          <w:noProof/>
        </w:rPr>
      </w:pPr>
      <w:r>
        <w:rPr>
          <w:noProof/>
        </w:rPr>
        <w:t>член 41, параграф 2, букви а), б) и в) относно автоматичния обмен на информация; страните ще решат дали това е необходимо след влизането в сила на Споразумението и оценка на ефикасността на останалите предвидени в него средства за сътрудничество;</w:t>
      </w:r>
    </w:p>
    <w:p>
      <w:pPr>
        <w:pStyle w:val="Tiret0"/>
        <w:numPr>
          <w:ilvl w:val="0"/>
          <w:numId w:val="4"/>
        </w:numPr>
        <w:ind w:left="720" w:hanging="720"/>
        <w:rPr>
          <w:rFonts w:eastAsia="Arial Unicode MS"/>
          <w:noProof/>
        </w:rPr>
      </w:pPr>
      <w:r>
        <w:rPr>
          <w:noProof/>
        </w:rPr>
        <w:t>член 41, параграф 2, буква и) относно разпоредбите за изпълнение във връзка с превръщането на сумите за събиране в друга валута и преводите на събраните суми, тъй като съгласно член 40, параграф 5 от Споразумението, „докато и доколкото няма приети подробни разпоредби от страна на Съвместния комитет за изпълнението на настоящия дял, компетентните органи трябва да ползват разпоредбите, в т.ч. стандартните формуляри, които вече са приети за изпълнението на Директива 2010/24/ЕС на Съвета, като ще се смята, че терминът „държава членка“ включва и Норвегия“;</w:t>
      </w:r>
    </w:p>
    <w:p>
      <w:pPr>
        <w:pStyle w:val="Tiret0"/>
        <w:numPr>
          <w:ilvl w:val="0"/>
          <w:numId w:val="4"/>
        </w:numPr>
        <w:ind w:hanging="720"/>
        <w:rPr>
          <w:noProof/>
        </w:rPr>
      </w:pPr>
      <w:r>
        <w:rPr>
          <w:noProof/>
        </w:rPr>
        <w:t>член 41, параграф 2, буква к) за изменение на препратките към правни актове на Съюза и Норвегия, съдържащи се в Споразумението, тъй като до момента не е възникнала такава необходимост.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rPr>
          <w:noProof/>
        </w:rPr>
      </w:pPr>
      <w:r>
        <w:rPr>
          <w:noProof/>
        </w:rPr>
        <w:t xml:space="preserve">Съгласно член 218, параграф 9 от Договора за функционирането на Европейския съюз (ДФЕС), Съветът по предложение на Комисията приема решение за установяване на позицията, която да бъде заета от името на Съюза в Съвместния комитет. </w:t>
      </w:r>
    </w:p>
    <w:p>
      <w:pPr>
        <w:rPr>
          <w:noProof/>
        </w:rPr>
      </w:pPr>
      <w:r>
        <w:rPr>
          <w:noProof/>
        </w:rPr>
        <w:t>Съгласно член 3, параграф 2 ДФЕС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предметът на международните споразумения (включително за административното сътрудничество между Съюза и Норвегия в областта на ДДС) е от изключителната компетентност на Съюза. В Съвместния комитет Съюзът ще се представлява от Комисията в съответствие с член 17, параграф 1 ДЕС.</w:t>
      </w:r>
    </w:p>
    <w:p>
      <w:pPr>
        <w:rPr>
          <w:noProof/>
        </w:rPr>
      </w:pPr>
      <w:r>
        <w:rPr>
          <w:noProof/>
        </w:rPr>
        <w:t xml:space="preserve">Освен това, съгласно член 113 от ДФЕС, за приемането на актове на Съюза, отнасящи се за административното сътрудничество в областта на ДДС, се изисква единодушие. Поради това отстояваната от Комисията позиция на Съюза за приемането на препоръки и решения на Съвместния комитет трябва да е предварително приета от Съвета с единодушие. </w:t>
      </w:r>
    </w:p>
    <w:p>
      <w:pPr>
        <w:rPr>
          <w:noProof/>
        </w:rPr>
      </w:pPr>
      <w:r>
        <w:rPr>
          <w:noProof/>
        </w:rPr>
        <w:t>Съвместният комитет трябва да уговори също така практическите ред и условия, например за съставяне на предварителния дневен ред и за приемане на протоколите от заседанията. Изпълнението на тези задачи е необходимо за нормалното администриране на Съвместния комитет и те не представляват решения или препоръки на Съвместния комитет съгласно член 41 от Споразумението. От страна на Съюза обаче, по всички гореспоменати задачи Европейската комисия ще се консултира предварително с работната група „Данъчни въпроси“ на Съвета.</w:t>
      </w:r>
    </w:p>
    <w:p>
      <w:pPr>
        <w:rPr>
          <w:noProof/>
        </w:rPr>
      </w:pPr>
      <w:r>
        <w:rPr>
          <w:noProof/>
        </w:rPr>
        <w:t>Решенията на Съвместния комитет по член 5 и член 41 от Споразумението съставляват актове с правно действие и са задължителни за страните съгласно международното право и в съответствие с член 46</w:t>
      </w:r>
      <w:r>
        <w:t xml:space="preserve"> </w:t>
      </w:r>
      <w:r>
        <w:rPr>
          <w:noProof/>
        </w:rPr>
        <w:t>от Споразумението.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2018/0422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се заеме от името на Европейския съюз в Съвместния комитет, създаден в съответствие с член 41, параграф 1 от Споразумението между Европейския съюз и Кралство Норвегия за административното сътрудничество, борбата с измамите и събирането на вземания в областта на данъка върху добавената стойност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 xml:space="preserve">като взе предвид Договора за функционирането на Европейския съюз, и по-специално член 113 във връзка с член 218, параграф 9 от него, 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между Европейския съюз и Кралство Норвегия за административното сътрудничество, борбата с измамите и събирането на вземания в областта на данъка върху добавената стойност („Споразумението“) беше сключено от Съюза с Решение (ЕС) 2018/1089 на Съвета</w:t>
      </w:r>
      <w:r>
        <w:rPr>
          <w:rStyle w:val="FootnoteReference"/>
          <w:noProof/>
        </w:rPr>
        <w:footnoteReference w:customMarkFollows="1" w:id="2"/>
        <w:t>1</w:t>
      </w:r>
      <w:r>
        <w:rPr>
          <w:noProof/>
        </w:rPr>
        <w:t xml:space="preserve"> и влезе в сила на 1 септември 2018 г.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Създаденият с това споразумение Съвместен комитет трябва да отправя препоръки и приема решения, за да осигурява правилното действие и изпълнение на Споразумението.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На своето първо заседание на </w:t>
      </w:r>
      <w:r>
        <w:t>[дата]</w:t>
      </w:r>
      <w:r>
        <w:rPr>
          <w:noProof/>
        </w:rPr>
        <w:t xml:space="preserve"> Съвместният комитет трябва да приеме правилника за дейността си, споразумението за нивото на услугите и други решения, имащи отношение към правилното изпълнение и действие на Споразумението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Уместно е да се установи позицията, която да се заеме от името на Съюза в Съвместния комитет</w:t>
      </w:r>
      <w:r>
        <w:t>,</w:t>
      </w:r>
      <w:r>
        <w:rPr>
          <w:noProof/>
        </w:rPr>
        <w:t xml:space="preserve"> тъй като споразумението за нивото на услугите и други решения ще бъдат обвързващи за Съюза.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Двустранното споразумение между Съюза и Норвегия осигурява благонадеждна правна рамка за сътрудничество в борбата с измамите и събирането на вземания в областта на данъка върху добавената стойност (ДДС). Това сътрудничество ще се ползва от същите инструменти, които понастоящем използват държавите членки за административно сътрудничество и събиране на вземания, като например електронните платформи и електронните формуляри.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В Съвместния съвет Съюзът се представлява от Комисията в съответствие с член 17, параграф 1 от Договора за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Позицията, която да се заеме от името на Съюза по време на първото заседание на Съвместния комитет, създаден със Споразумението между Европейския съюз и Кралство Норвегия за административното сътрудничество, борбата с измамите и събирането на вземания в областта на данъка върху добавената стойност, се основава на приложените проекторешения, които ще се приемат в съответствие с член 5, член 41, параграф 2, букви г), д), е), ж) и з) и член 41, параграф 3 от Споразумението.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i w:val="0"/>
          <w:noProof/>
        </w:rPr>
      </w:pPr>
      <w:r>
        <w:rPr>
          <w:noProof/>
        </w:rPr>
        <w:tab/>
        <w:t>Председател</w:t>
      </w:r>
      <w:bookmarkStart w:id="1" w:name="_Toc445210943"/>
      <w:bookmarkStart w:id="2" w:name="_Toc445210960"/>
      <w:bookmarkStart w:id="3" w:name="_Toc445217544"/>
      <w:bookmarkStart w:id="4" w:name="_Toc443382313"/>
      <w:bookmarkStart w:id="5" w:name="_Toc443382319"/>
      <w:bookmarkStart w:id="6" w:name="_Toc443382325"/>
      <w:bookmarkStart w:id="7" w:name="_Toc443382329"/>
      <w:bookmarkStart w:id="8" w:name="_Toc443382330"/>
      <w:bookmarkStart w:id="9" w:name="_Toc443382331"/>
      <w:bookmarkStart w:id="10" w:name="_Toc443382335"/>
      <w:bookmarkStart w:id="11" w:name="_Toc443382337"/>
      <w:bookmarkStart w:id="12" w:name="_Toc443382341"/>
      <w:bookmarkStart w:id="13" w:name="_Toc443382342"/>
      <w:bookmarkStart w:id="14" w:name="_Toc44338234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от 31 март 1971 г. по дело 22/70, </w:t>
      </w:r>
      <w:r>
        <w:rPr>
          <w:i/>
        </w:rPr>
        <w:t>Комисия срещу Съвет</w:t>
      </w:r>
      <w:r>
        <w:t>, Recueil 263, относно европейско споразумение за работата на екипажите на превозните средства, извършващи международен сухопътен транспорт (Accord européen de transport par route (AETR)).</w:t>
      </w:r>
    </w:p>
  </w:footnote>
  <w:footnote w:id="2">
    <w:p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  <w:t>Решение (ЕС) 2018/1089 на Съвета от 22 юни 2018 г. за сключване, от името на Съюза, на Споразумението между Европейския съюз и Кралство Норвегия за административното сътрудничество, борбата с измамите и събирането на вземания в областта на данъка върху добавената стойност (ОВ L 195, 1.8.2018 г., стр. 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3E68B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BD263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CE431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CEE4D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FA8721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9969A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4906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47AD1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"/>
  </w:num>
  <w:num w:numId="4">
    <w:abstractNumId w:val="18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8"/>
  </w:num>
  <w:num w:numId="21">
    <w:abstractNumId w:val="14"/>
  </w:num>
  <w:num w:numId="22">
    <w:abstractNumId w:val="16"/>
  </w:num>
  <w:num w:numId="23">
    <w:abstractNumId w:val="17"/>
  </w:num>
  <w:num w:numId="24">
    <w:abstractNumId w:val="10"/>
  </w:num>
  <w:num w:numId="25">
    <w:abstractNumId w:val="15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2-10 15:46:2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0270CE2E-8221-47CD-966C-99FB83B37632"/>
    <w:docVar w:name="LW_COVERPAGE_TYPE" w:val="1"/>
    <w:docVar w:name="LW_CROSSREFERENCE" w:val="&lt;UNUSED&gt;"/>
    <w:docVar w:name="LW_DocType" w:val="COM"/>
    <w:docVar w:name="LW_EMISSION" w:val="12.12.2018"/>
    <w:docVar w:name="LW_EMISSION_ISODATE" w:val="2018-12-12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422"/>
    <w:docVar w:name="LW_REF.II.NEW.CP_YEAR" w:val="2018"/>
    <w:docVar w:name="LW_REF.INST.NEW" w:val="COM"/>
    <w:docVar w:name="LW_REF.INST.NEW_ADOPTED" w:val="final"/>
    <w:docVar w:name="LW_REF.INST.NEW_TEXT" w:val="(2018) 83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57?\u1098?\u1074?\u1084?\u1077?\u1089?\u1090?\u1085?\u1080?\u1103? \u1082?\u1086?\u1084?\u1080?\u1090?\u1077?\u1090?, \u1089?\u1098?\u1079?\u1076?\u1072?\u1076?\u1077?\u1085? \u1074? \u1089?\u1098?\u1086?\u1090?\u1074?\u1077?\u1090?\u1089?\u1090?\u1074?\u1080?\u1077? \u1089? \u1095?\u1083?\u1077?\u1085? 41, \u1087?\u1072?\u1088?\u1072?\u1075?\u1088?\u1072?\u1092? 1 \u1086?\u1090? \u1057?\u1087?\u1086?\u1088?\u1072?\u1079?\u1091?\u1084?\u1077?\u1085?\u1080?\u1077?\u1090?\u1086? \u1084?\u1077?\u1078?\u1076?\u1091? \u1045?\u1074?\u1088?\u1086?\u1087?\u1077?\u1081?\u1089?\u1082?\u1080?\u1103? \u1089?\u1098?\u1102?\u1079? \u1080? \u1050?\u1088?\u1072?\u1083?\u1089?\u1090?\u1074?\u1086? \u1053?\u1086?\u1088?\u1074?\u1077?\u1075?\u1080?\u1103? \u1079?\u1072? \u1072?\u1076?\u1084?\u1080?\u1085?\u1080?\u1089?\u1090?\u1088?\u1072?\u1090?\u1080?\u1074?\u1085?\u1086?\u1090?\u1086? \u1089?\u1098?\u1090?\u1088?\u1091?\u1076?\u1085?\u1080?\u1095?\u1077?\u1089?\u1090?\u1074?\u1086?, \u1073?\u1086?\u1088?\u1073?\u1072?\u1090?\u1072? \u1089? \u1080?\u1079?\u1084?\u1072?\u1084?\u1080?\u1090?\u1077? \u1080? \u1089?\u1098?\u1073?\u1080?\u1088?\u1072?\u1085?\u1077?\u1090?\u1086? \u1085?\u1072? \u1074?\u1079?\u1077?\u1084?\u1072?\u1085?\u1080?\u1103? \u1074? \u1086?\u1073?\u1083?\u1072?\u1089?\u1090?\u1090?\u1072? \u1085?\u1072? \u1076?\u1072?\u1085?\u1098?\u1082?\u1072? \u1074?\u1098?\u1088?\u1093?\u1091? \u1076?\u1086?\u1073?\u1072?\u1074?\u1077?\u1085?\u1072?\u1090?\u1072? \u1089?\u1090?\u1086?\u1081?\u1085?\u1086?\u1089?\u109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pPr>
      <w:numPr>
        <w:numId w:val="3"/>
      </w:numPr>
    </w:pPr>
  </w:style>
  <w:style w:type="character" w:styleId="CommentReference">
    <w:name w:val="annotation reference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hAnsi="Times New Roman" w:cs="Times New Roman"/>
      <w:sz w:val="20"/>
      <w:szCs w:val="20"/>
      <w:lang w:val="bg-BG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pPr>
      <w:numPr>
        <w:numId w:val="3"/>
      </w:numPr>
    </w:pPr>
  </w:style>
  <w:style w:type="character" w:styleId="CommentReference">
    <w:name w:val="annotation reference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hAnsi="Times New Roman" w:cs="Times New Roman"/>
      <w:sz w:val="20"/>
      <w:szCs w:val="20"/>
      <w:lang w:val="bg-BG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5F58CFF-0C24-4CBD-A6A8-46278401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6</Pages>
  <Words>1544</Words>
  <Characters>8913</Characters>
  <Application>Microsoft Office Word</Application>
  <DocSecurity>0</DocSecurity>
  <Lines>171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18</cp:revision>
  <dcterms:created xsi:type="dcterms:W3CDTF">2018-12-07T17:24:00Z</dcterms:created>
  <dcterms:modified xsi:type="dcterms:W3CDTF">2018-12-10T14:46:00Z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