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alt="D1BBC1C4-7F96-4871-A772-522119A5B39B" style="width:450pt;height:321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pStyle w:val="Heading1"/>
        <w:rPr>
          <w:noProof/>
          <w:sz w:val="28"/>
          <w:szCs w:val="28"/>
        </w:rPr>
      </w:pPr>
      <w:bookmarkStart w:id="1" w:name="_Toc472077562"/>
      <w:bookmarkStart w:id="2" w:name="_Toc520120175"/>
      <w:bookmarkStart w:id="3" w:name="_Toc530049244"/>
      <w:bookmarkStart w:id="4" w:name="_GoBack"/>
      <w:bookmarkEnd w:id="4"/>
      <w:r>
        <w:rPr>
          <w:noProof/>
          <w:sz w:val="28"/>
        </w:rPr>
        <w:lastRenderedPageBreak/>
        <w:t>ВЪВЕДЕНИЕ</w:t>
      </w:r>
      <w:bookmarkEnd w:id="1"/>
      <w:bookmarkEnd w:id="2"/>
      <w:bookmarkEnd w:id="3"/>
    </w:p>
    <w:p>
      <w:pPr>
        <w:rPr>
          <w:noProof/>
        </w:rPr>
      </w:pPr>
    </w:p>
    <w:p>
      <w:pPr>
        <w:spacing w:line="360" w:lineRule="auto"/>
        <w:jc w:val="both"/>
        <w:rPr>
          <w:rFonts w:cs="Times New Roman"/>
          <w:noProof/>
        </w:rPr>
      </w:pPr>
      <w:r>
        <w:rPr>
          <w:noProof/>
        </w:rPr>
        <w:t>В настоящия доклад е представено изпълнението на годишната работна програма за 2015 г. (ГРП за 2015 г.) в рамките на Третата здравна програма (2014—2020 г.), създадена с Регламент (ЕС) № 282/2014 на Европейския парламент и на Съвета от 11 март 2014 г.</w:t>
      </w:r>
      <w:r>
        <w:rPr>
          <w:rStyle w:val="FootnoteReference"/>
          <w:noProof/>
        </w:rPr>
        <w:footnoteReference w:id="2"/>
      </w:r>
      <w:r>
        <w:rPr>
          <w:noProof/>
        </w:rPr>
        <w:t>.</w:t>
      </w:r>
    </w:p>
    <w:p>
      <w:pPr>
        <w:spacing w:line="360" w:lineRule="auto"/>
        <w:jc w:val="both"/>
        <w:rPr>
          <w:noProof/>
        </w:rPr>
      </w:pPr>
      <w:r>
        <w:rPr>
          <w:noProof/>
        </w:rPr>
        <w:t>Съгласно член 13 от регламента Комисията трябва да представя на Комитета по здравната програма, както и на Европейския парламент и на Съвета, доклади за изпълнението на всички действия, финансирани по линия на програмата. Настоящият доклад е изготвен в изпълнение на това изискване. Той предоставя подробна информация за бюджета за 2015 г. и за неговото изразходване. В доклада е взето под внимание и изменението на ГРП за 2015 г. за насочване на финансирането към държавите членки под особено голям миграционен натиск, които се нуждаят от подкрепа за посрещане на предизвикателствата, свързани със здравето.</w:t>
      </w:r>
    </w:p>
    <w:p>
      <w:pPr>
        <w:spacing w:line="360" w:lineRule="auto"/>
        <w:jc w:val="both"/>
        <w:rPr>
          <w:noProof/>
        </w:rPr>
      </w:pPr>
      <w:r>
        <w:rPr>
          <w:noProof/>
        </w:rPr>
        <w:t>В работния документ на службите на Комисията, приложен към настоящия доклад, са изложени редица примери за основни дейности, съфинансирани по линия на Втората</w:t>
      </w:r>
      <w:r>
        <w:rPr>
          <w:rStyle w:val="FootnoteReference"/>
          <w:noProof/>
        </w:rPr>
        <w:footnoteReference w:id="3"/>
      </w:r>
      <w:r>
        <w:rPr>
          <w:noProof/>
        </w:rPr>
        <w:t xml:space="preserve"> и Третата здравна програма, окончателните резултати от които станаха известни през 2015 г. В него също така са дадени примери за действия, финансирани в рамките на работната програма за 2015 г. в допълнителни области, като напр. оценяване и разпространение на резултатите. В доклада се съдържат и таблици с преглед на всички съфинансирани дейности и договори.</w:t>
      </w:r>
    </w:p>
    <w:p>
      <w:pPr>
        <w:spacing w:line="360" w:lineRule="auto"/>
        <w:jc w:val="both"/>
        <w:rPr>
          <w:noProof/>
        </w:rPr>
      </w:pPr>
      <w:r>
        <w:rPr>
          <w:noProof/>
        </w:rPr>
        <w:t>Вниманието в ГРП за 2015 г. беше насочено към иновациите в областта на здравето и здравното обслужване, като в доклада са изведени на преден план два потока на действия в тази връзка (здравни технологии и здраве на мигрантите). Комисията реши да внесе изменения в ГРП за 2015 г.</w:t>
      </w:r>
      <w:r>
        <w:rPr>
          <w:rStyle w:val="FootnoteReference"/>
          <w:noProof/>
        </w:rPr>
        <w:footnoteReference w:id="4"/>
      </w:r>
      <w:r>
        <w:rPr>
          <w:noProof/>
        </w:rPr>
        <w:t xml:space="preserve"> в отговор на големия поток от мигранти, явно нуждаещи се от международна закрила, и на необходимостта от предоставяне на финансово подпомагане на организации, имащи възможност да подкрепят държавите членки за справяне с тази извънредна ситуация.</w:t>
      </w:r>
    </w:p>
    <w:p>
      <w:pPr>
        <w:spacing w:line="360" w:lineRule="auto"/>
        <w:jc w:val="both"/>
        <w:rPr>
          <w:rFonts w:eastAsia="Times New Roman" w:cs="Times New Roman"/>
          <w:noProof/>
        </w:rPr>
      </w:pPr>
      <w:r>
        <w:rPr>
          <w:noProof/>
        </w:rPr>
        <w:t xml:space="preserve">Комисията гарантира, че изпълнението на Третата здравна програма се следи внимателно и че резултатите от нея се популяризират по-широко. Тя продължава освен това да насърчава всички държави членки и други държави, участващи в програмата, да се включват активно и продължава да търси полезни взаимодействия с други програми за финансиране на ЕС. </w:t>
      </w:r>
      <w:r>
        <w:rPr>
          <w:noProof/>
        </w:rPr>
        <w:br w:type="page"/>
      </w:r>
    </w:p>
    <w:bookmarkStart w:id="5" w:name="_Toc472077563" w:displacedByCustomXml="next"/>
    <w:sdt>
      <w:sdtPr>
        <w:rPr>
          <w:rFonts w:eastAsiaTheme="minorHAnsi" w:cstheme="minorBidi"/>
          <w:b w:val="0"/>
          <w:noProof/>
          <w:sz w:val="22"/>
          <w:szCs w:val="22"/>
        </w:rPr>
        <w:id w:val="4676546"/>
        <w:docPartObj>
          <w:docPartGallery w:val="Table of Contents"/>
          <w:docPartUnique/>
        </w:docPartObj>
      </w:sdtPr>
      <w:sdtContent>
        <w:p>
          <w:pPr>
            <w:pStyle w:val="TOCHeading"/>
            <w:rPr>
              <w:noProof/>
            </w:rPr>
          </w:pPr>
          <w:r>
            <w:rPr>
              <w:noProof/>
            </w:rPr>
            <w:t>СЪДЪРЖАНИЕ</w:t>
          </w:r>
        </w:p>
        <w:p>
          <w:pPr>
            <w:pStyle w:val="TOC1"/>
            <w:rPr>
              <w:rFonts w:asciiTheme="minorHAnsi" w:eastAsiaTheme="minorEastAsia" w:hAnsiTheme="minorHAnsi" w:cstheme="minorBidi"/>
              <w:sz w:val="22"/>
              <w:szCs w:val="22"/>
              <w:lang w:val="en-GB" w:eastAsia="en-GB" w:bidi="ar-SA"/>
            </w:rPr>
          </w:pPr>
          <w:r>
            <w:rPr>
              <w:sz w:val="22"/>
              <w:szCs w:val="22"/>
            </w:rPr>
            <w:fldChar w:fldCharType="begin"/>
          </w:r>
          <w:r>
            <w:rPr>
              <w:sz w:val="22"/>
              <w:szCs w:val="22"/>
            </w:rPr>
            <w:instrText xml:space="preserve"> TOC \o "1-3" \h \z \u </w:instrText>
          </w:r>
          <w:r>
            <w:rPr>
              <w:sz w:val="22"/>
              <w:szCs w:val="22"/>
            </w:rPr>
            <w:fldChar w:fldCharType="separate"/>
          </w:r>
          <w:hyperlink w:anchor="_Toc530049244" w:history="1">
            <w:r>
              <w:rPr>
                <w:rStyle w:val="Hyperlink"/>
              </w:rPr>
              <w:t>ВЪВЕДЕНИЕ</w:t>
            </w:r>
            <w:r>
              <w:rPr>
                <w:webHidden/>
              </w:rPr>
              <w:tab/>
            </w:r>
            <w:r>
              <w:rPr>
                <w:webHidden/>
              </w:rPr>
              <w:fldChar w:fldCharType="begin"/>
            </w:r>
            <w:r>
              <w:rPr>
                <w:webHidden/>
              </w:rPr>
              <w:instrText xml:space="preserve"> PAGEREF _Toc530049244 \h </w:instrText>
            </w:r>
            <w:r>
              <w:rPr>
                <w:webHidden/>
              </w:rPr>
            </w:r>
            <w:r>
              <w:rPr>
                <w:webHidden/>
              </w:rPr>
              <w:fldChar w:fldCharType="separate"/>
            </w:r>
            <w:r>
              <w:rPr>
                <w:webHidden/>
              </w:rPr>
              <w:t>1</w:t>
            </w:r>
            <w:r>
              <w:rPr>
                <w:webHidden/>
              </w:rPr>
              <w:fldChar w:fldCharType="end"/>
            </w:r>
          </w:hyperlink>
        </w:p>
        <w:p>
          <w:pPr>
            <w:pStyle w:val="TOC1"/>
            <w:rPr>
              <w:rFonts w:asciiTheme="minorHAnsi" w:eastAsiaTheme="minorEastAsia" w:hAnsiTheme="minorHAnsi" w:cstheme="minorBidi"/>
              <w:sz w:val="22"/>
              <w:szCs w:val="22"/>
              <w:lang w:val="en-GB" w:eastAsia="en-GB" w:bidi="ar-SA"/>
            </w:rPr>
          </w:pPr>
          <w:hyperlink w:anchor="_Toc530049245" w:history="1">
            <w:r>
              <w:rPr>
                <w:rStyle w:val="Hyperlink"/>
              </w:rPr>
              <w:t>ТЕМИ И ДЕЙСТВИЯ ЗА 2015 Г.</w:t>
            </w:r>
            <w:r>
              <w:rPr>
                <w:webHidden/>
              </w:rPr>
              <w:tab/>
            </w:r>
            <w:r>
              <w:rPr>
                <w:webHidden/>
              </w:rPr>
              <w:fldChar w:fldCharType="begin"/>
            </w:r>
            <w:r>
              <w:rPr>
                <w:webHidden/>
              </w:rPr>
              <w:instrText xml:space="preserve"> PAGEREF _Toc530049245 \h </w:instrText>
            </w:r>
            <w:r>
              <w:rPr>
                <w:webHidden/>
              </w:rPr>
            </w:r>
            <w:r>
              <w:rPr>
                <w:webHidden/>
              </w:rPr>
              <w:fldChar w:fldCharType="separate"/>
            </w:r>
            <w:r>
              <w:rPr>
                <w:webHidden/>
              </w:rPr>
              <w:t>3</w:t>
            </w:r>
            <w:r>
              <w:rPr>
                <w:webHidden/>
              </w:rPr>
              <w:fldChar w:fldCharType="end"/>
            </w:r>
          </w:hyperlink>
        </w:p>
        <w:p>
          <w:pPr>
            <w:pStyle w:val="TOC1"/>
            <w:rPr>
              <w:rFonts w:asciiTheme="minorHAnsi" w:eastAsiaTheme="minorEastAsia" w:hAnsiTheme="minorHAnsi" w:cstheme="minorBidi"/>
              <w:sz w:val="22"/>
              <w:szCs w:val="22"/>
              <w:lang w:val="en-GB" w:eastAsia="en-GB" w:bidi="ar-SA"/>
            </w:rPr>
          </w:pPr>
          <w:hyperlink w:anchor="_Toc530049246" w:history="1">
            <w:r>
              <w:rPr>
                <w:rStyle w:val="Hyperlink"/>
              </w:rPr>
              <w:t>ИЗПЪЛНЕНИЕ НА БЮДЖЕТА</w:t>
            </w:r>
            <w:r>
              <w:rPr>
                <w:webHidden/>
              </w:rPr>
              <w:tab/>
            </w:r>
            <w:r>
              <w:rPr>
                <w:webHidden/>
              </w:rPr>
              <w:fldChar w:fldCharType="begin"/>
            </w:r>
            <w:r>
              <w:rPr>
                <w:webHidden/>
              </w:rPr>
              <w:instrText xml:space="preserve"> PAGEREF _Toc530049246 \h </w:instrText>
            </w:r>
            <w:r>
              <w:rPr>
                <w:webHidden/>
              </w:rPr>
            </w:r>
            <w:r>
              <w:rPr>
                <w:webHidden/>
              </w:rPr>
              <w:fldChar w:fldCharType="separate"/>
            </w:r>
            <w:r>
              <w:rPr>
                <w:webHidden/>
              </w:rPr>
              <w:t>5</w:t>
            </w:r>
            <w:r>
              <w:rPr>
                <w:webHidden/>
              </w:rPr>
              <w:fldChar w:fldCharType="end"/>
            </w:r>
          </w:hyperlink>
        </w:p>
        <w:p>
          <w:pPr>
            <w:pStyle w:val="TOC2"/>
            <w:rPr>
              <w:rFonts w:asciiTheme="minorHAnsi" w:eastAsiaTheme="minorEastAsia" w:hAnsiTheme="minorHAnsi" w:cstheme="minorBidi"/>
              <w:sz w:val="22"/>
              <w:szCs w:val="22"/>
              <w:lang w:val="en-GB" w:eastAsia="en-GB" w:bidi="ar-SA"/>
            </w:rPr>
          </w:pPr>
          <w:hyperlink w:anchor="_Toc530049247" w:history="1">
            <w:r>
              <w:rPr>
                <w:rStyle w:val="Hyperlink"/>
              </w:rPr>
              <w:t>1.</w:t>
            </w:r>
            <w:r>
              <w:rPr>
                <w:rFonts w:asciiTheme="minorHAnsi" w:eastAsiaTheme="minorEastAsia" w:hAnsiTheme="minorHAnsi" w:cstheme="minorBidi"/>
                <w:sz w:val="22"/>
                <w:szCs w:val="22"/>
                <w:lang w:val="en-GB" w:eastAsia="en-GB" w:bidi="ar-SA"/>
              </w:rPr>
              <w:tab/>
            </w:r>
            <w:r>
              <w:rPr>
                <w:rStyle w:val="Hyperlink"/>
              </w:rPr>
              <w:t>Бюджет</w:t>
            </w:r>
            <w:r>
              <w:rPr>
                <w:webHidden/>
              </w:rPr>
              <w:tab/>
            </w:r>
            <w:r>
              <w:rPr>
                <w:webHidden/>
              </w:rPr>
              <w:fldChar w:fldCharType="begin"/>
            </w:r>
            <w:r>
              <w:rPr>
                <w:webHidden/>
              </w:rPr>
              <w:instrText xml:space="preserve"> PAGEREF _Toc530049247 \h </w:instrText>
            </w:r>
            <w:r>
              <w:rPr>
                <w:webHidden/>
              </w:rPr>
            </w:r>
            <w:r>
              <w:rPr>
                <w:webHidden/>
              </w:rPr>
              <w:fldChar w:fldCharType="separate"/>
            </w:r>
            <w:r>
              <w:rPr>
                <w:webHidden/>
              </w:rPr>
              <w:t>5</w:t>
            </w:r>
            <w:r>
              <w:rPr>
                <w:webHidden/>
              </w:rPr>
              <w:fldChar w:fldCharType="end"/>
            </w:r>
          </w:hyperlink>
        </w:p>
        <w:p>
          <w:pPr>
            <w:pStyle w:val="TOC2"/>
            <w:rPr>
              <w:rFonts w:asciiTheme="minorHAnsi" w:eastAsiaTheme="minorEastAsia" w:hAnsiTheme="minorHAnsi" w:cstheme="minorBidi"/>
              <w:sz w:val="22"/>
              <w:szCs w:val="22"/>
              <w:lang w:val="en-GB" w:eastAsia="en-GB" w:bidi="ar-SA"/>
            </w:rPr>
          </w:pPr>
          <w:hyperlink w:anchor="_Toc530049248" w:history="1">
            <w:r>
              <w:rPr>
                <w:rStyle w:val="Hyperlink"/>
              </w:rPr>
              <w:t>2.</w:t>
            </w:r>
            <w:r>
              <w:rPr>
                <w:rFonts w:asciiTheme="minorHAnsi" w:eastAsiaTheme="minorEastAsia" w:hAnsiTheme="minorHAnsi" w:cstheme="minorBidi"/>
                <w:sz w:val="22"/>
                <w:szCs w:val="22"/>
                <w:lang w:val="en-GB" w:eastAsia="en-GB" w:bidi="ar-SA"/>
              </w:rPr>
              <w:tab/>
            </w:r>
            <w:r>
              <w:rPr>
                <w:rStyle w:val="Hyperlink"/>
              </w:rPr>
              <w:t>Цели, приоритети и механизми за финансиране през 2015 г.</w:t>
            </w:r>
            <w:r>
              <w:rPr>
                <w:webHidden/>
              </w:rPr>
              <w:tab/>
            </w:r>
            <w:r>
              <w:rPr>
                <w:webHidden/>
              </w:rPr>
              <w:fldChar w:fldCharType="begin"/>
            </w:r>
            <w:r>
              <w:rPr>
                <w:webHidden/>
              </w:rPr>
              <w:instrText xml:space="preserve"> PAGEREF _Toc530049248 \h </w:instrText>
            </w:r>
            <w:r>
              <w:rPr>
                <w:webHidden/>
              </w:rPr>
            </w:r>
            <w:r>
              <w:rPr>
                <w:webHidden/>
              </w:rPr>
              <w:fldChar w:fldCharType="separate"/>
            </w:r>
            <w:r>
              <w:rPr>
                <w:webHidden/>
              </w:rPr>
              <w:t>7</w:t>
            </w:r>
            <w:r>
              <w:rPr>
                <w:webHidden/>
              </w:rPr>
              <w:fldChar w:fldCharType="end"/>
            </w:r>
          </w:hyperlink>
        </w:p>
        <w:p>
          <w:pPr>
            <w:pStyle w:val="TOC2"/>
            <w:rPr>
              <w:rFonts w:asciiTheme="minorHAnsi" w:eastAsiaTheme="minorEastAsia" w:hAnsiTheme="minorHAnsi" w:cstheme="minorBidi"/>
              <w:sz w:val="22"/>
              <w:szCs w:val="22"/>
              <w:lang w:val="en-GB" w:eastAsia="en-GB" w:bidi="ar-SA"/>
            </w:rPr>
          </w:pPr>
          <w:hyperlink w:anchor="_Toc530049249" w:history="1">
            <w:r>
              <w:rPr>
                <w:rStyle w:val="Hyperlink"/>
              </w:rPr>
              <w:t>3.</w:t>
            </w:r>
            <w:r>
              <w:rPr>
                <w:rFonts w:asciiTheme="minorHAnsi" w:eastAsiaTheme="minorEastAsia" w:hAnsiTheme="minorHAnsi" w:cstheme="minorBidi"/>
                <w:sz w:val="22"/>
                <w:szCs w:val="22"/>
                <w:lang w:val="en-GB" w:eastAsia="en-GB" w:bidi="ar-SA"/>
              </w:rPr>
              <w:tab/>
            </w:r>
            <w:r>
              <w:rPr>
                <w:rStyle w:val="Hyperlink"/>
              </w:rPr>
              <w:t>Изпълнение на оперативния бюджет по механизми за финансиране</w:t>
            </w:r>
            <w:r>
              <w:rPr>
                <w:webHidden/>
              </w:rPr>
              <w:tab/>
            </w:r>
            <w:r>
              <w:rPr>
                <w:webHidden/>
              </w:rPr>
              <w:fldChar w:fldCharType="begin"/>
            </w:r>
            <w:r>
              <w:rPr>
                <w:webHidden/>
              </w:rPr>
              <w:instrText xml:space="preserve"> PAGEREF _Toc530049249 \h </w:instrText>
            </w:r>
            <w:r>
              <w:rPr>
                <w:webHidden/>
              </w:rPr>
            </w:r>
            <w:r>
              <w:rPr>
                <w:webHidden/>
              </w:rPr>
              <w:fldChar w:fldCharType="separate"/>
            </w:r>
            <w:r>
              <w:rPr>
                <w:webHidden/>
              </w:rPr>
              <w:t>9</w:t>
            </w:r>
            <w:r>
              <w:rPr>
                <w:webHidden/>
              </w:rPr>
              <w:fldChar w:fldCharType="end"/>
            </w:r>
          </w:hyperlink>
        </w:p>
        <w:p>
          <w:pPr>
            <w:pStyle w:val="TOC2"/>
            <w:rPr>
              <w:rFonts w:asciiTheme="minorHAnsi" w:eastAsiaTheme="minorEastAsia" w:hAnsiTheme="minorHAnsi" w:cstheme="minorBidi"/>
              <w:sz w:val="22"/>
              <w:szCs w:val="22"/>
              <w:lang w:val="en-GB" w:eastAsia="en-GB" w:bidi="ar-SA"/>
            </w:rPr>
          </w:pPr>
          <w:hyperlink w:anchor="_Toc530049250" w:history="1">
            <w:r>
              <w:rPr>
                <w:rStyle w:val="Hyperlink"/>
              </w:rPr>
              <w:t>4.</w:t>
            </w:r>
            <w:r>
              <w:rPr>
                <w:rFonts w:asciiTheme="minorHAnsi" w:eastAsiaTheme="minorEastAsia" w:hAnsiTheme="minorHAnsi" w:cstheme="minorBidi"/>
                <w:sz w:val="22"/>
                <w:szCs w:val="22"/>
                <w:lang w:val="en-GB" w:eastAsia="en-GB" w:bidi="ar-SA"/>
              </w:rPr>
              <w:tab/>
            </w:r>
            <w:r>
              <w:rPr>
                <w:rStyle w:val="Hyperlink"/>
              </w:rPr>
              <w:t>Бенефициери</w:t>
            </w:r>
            <w:r>
              <w:rPr>
                <w:webHidden/>
              </w:rPr>
              <w:tab/>
            </w:r>
            <w:r>
              <w:rPr>
                <w:webHidden/>
              </w:rPr>
              <w:fldChar w:fldCharType="begin"/>
            </w:r>
            <w:r>
              <w:rPr>
                <w:webHidden/>
              </w:rPr>
              <w:instrText xml:space="preserve"> PAGEREF _Toc530049250 \h </w:instrText>
            </w:r>
            <w:r>
              <w:rPr>
                <w:webHidden/>
              </w:rPr>
            </w:r>
            <w:r>
              <w:rPr>
                <w:webHidden/>
              </w:rPr>
              <w:fldChar w:fldCharType="separate"/>
            </w:r>
            <w:r>
              <w:rPr>
                <w:webHidden/>
              </w:rPr>
              <w:t>11</w:t>
            </w:r>
            <w:r>
              <w:rPr>
                <w:webHidden/>
              </w:rPr>
              <w:fldChar w:fldCharType="end"/>
            </w:r>
          </w:hyperlink>
        </w:p>
        <w:p>
          <w:pPr>
            <w:pStyle w:val="TOC1"/>
            <w:rPr>
              <w:rFonts w:asciiTheme="minorHAnsi" w:eastAsiaTheme="minorEastAsia" w:hAnsiTheme="minorHAnsi" w:cstheme="minorBidi"/>
              <w:sz w:val="22"/>
              <w:szCs w:val="22"/>
              <w:lang w:val="en-GB" w:eastAsia="en-GB" w:bidi="ar-SA"/>
            </w:rPr>
          </w:pPr>
          <w:hyperlink w:anchor="_Toc530049251" w:history="1">
            <w:r>
              <w:rPr>
                <w:rStyle w:val="Hyperlink"/>
              </w:rPr>
              <w:t>ДРУГИ ОСНОВНИ ХАРАКТЕРИСТИКИ</w:t>
            </w:r>
            <w:r>
              <w:rPr>
                <w:webHidden/>
              </w:rPr>
              <w:tab/>
            </w:r>
            <w:r>
              <w:rPr>
                <w:webHidden/>
              </w:rPr>
              <w:fldChar w:fldCharType="begin"/>
            </w:r>
            <w:r>
              <w:rPr>
                <w:webHidden/>
              </w:rPr>
              <w:instrText xml:space="preserve"> PAGEREF _Toc530049251 \h </w:instrText>
            </w:r>
            <w:r>
              <w:rPr>
                <w:webHidden/>
              </w:rPr>
            </w:r>
            <w:r>
              <w:rPr>
                <w:webHidden/>
              </w:rPr>
              <w:fldChar w:fldCharType="separate"/>
            </w:r>
            <w:r>
              <w:rPr>
                <w:webHidden/>
              </w:rPr>
              <w:t>11</w:t>
            </w:r>
            <w:r>
              <w:rPr>
                <w:webHidden/>
              </w:rPr>
              <w:fldChar w:fldCharType="end"/>
            </w:r>
          </w:hyperlink>
        </w:p>
        <w:p>
          <w:pPr>
            <w:pStyle w:val="TOC1"/>
            <w:rPr>
              <w:rFonts w:asciiTheme="minorHAnsi" w:eastAsiaTheme="minorEastAsia" w:hAnsiTheme="minorHAnsi" w:cstheme="minorBidi"/>
              <w:sz w:val="22"/>
              <w:szCs w:val="22"/>
            </w:rPr>
          </w:pPr>
          <w:r>
            <w:fldChar w:fldCharType="end"/>
          </w:r>
        </w:p>
      </w:sdtContent>
    </w:sdt>
    <w:p>
      <w:pPr>
        <w:rPr>
          <w:rFonts w:eastAsia="Times New Roman" w:cs="Times New Roman"/>
          <w:b/>
          <w:bCs/>
          <w:smallCaps/>
          <w:noProof/>
          <w:sz w:val="32"/>
          <w:szCs w:val="24"/>
        </w:rPr>
      </w:pPr>
      <w:r>
        <w:rPr>
          <w:noProof/>
        </w:rPr>
        <w:br w:type="page"/>
      </w:r>
    </w:p>
    <w:p>
      <w:pPr>
        <w:pStyle w:val="Heading1"/>
        <w:rPr>
          <w:noProof/>
          <w:sz w:val="28"/>
        </w:rPr>
      </w:pPr>
      <w:bookmarkStart w:id="6" w:name="_Toc520120176"/>
      <w:bookmarkStart w:id="7" w:name="_Toc530049245"/>
      <w:r>
        <w:rPr>
          <w:noProof/>
          <w:sz w:val="28"/>
        </w:rPr>
        <w:t>ТЕМИ И ДЕЙСТВИЯ ЗА 2015 Г.</w:t>
      </w:r>
      <w:bookmarkEnd w:id="6"/>
      <w:bookmarkEnd w:id="7"/>
      <w:r>
        <w:rPr>
          <w:noProof/>
          <w:sz w:val="28"/>
        </w:rPr>
        <w:t xml:space="preserve"> </w:t>
      </w:r>
    </w:p>
    <w:bookmarkEnd w:id="5"/>
    <w:p>
      <w:pPr>
        <w:autoSpaceDE w:val="0"/>
        <w:autoSpaceDN w:val="0"/>
        <w:adjustRightInd w:val="0"/>
        <w:spacing w:after="0" w:line="360" w:lineRule="auto"/>
        <w:jc w:val="both"/>
        <w:rPr>
          <w:rFonts w:cs="Times New Roman"/>
          <w:noProof/>
          <w:color w:val="000000"/>
        </w:rPr>
      </w:pPr>
    </w:p>
    <w:p>
      <w:pPr>
        <w:autoSpaceDE w:val="0"/>
        <w:autoSpaceDN w:val="0"/>
        <w:adjustRightInd w:val="0"/>
        <w:spacing w:after="0" w:line="360" w:lineRule="auto"/>
        <w:jc w:val="both"/>
        <w:rPr>
          <w:rFonts w:cs="Times New Roman"/>
          <w:noProof/>
          <w:color w:val="000000"/>
        </w:rPr>
      </w:pPr>
      <w:r>
        <w:rPr>
          <w:noProof/>
          <w:color w:val="000000"/>
        </w:rPr>
        <w:t>Приоритетната здравна тема за ГРП за 2015 г. беше „</w:t>
      </w:r>
      <w:r>
        <w:rPr>
          <w:i/>
          <w:noProof/>
          <w:color w:val="000000"/>
        </w:rPr>
        <w:t>оценка на здравните технологии (ОЗТ) и иновации</w:t>
      </w:r>
      <w:r>
        <w:rPr>
          <w:noProof/>
          <w:color w:val="000000"/>
        </w:rPr>
        <w:t>“. На тази тема бяха посветени няколко действия, финансирани от различни механизми за финансиране и договорени през първото тримесечие на 2016 г., в повечето случаи —  за период от 3 години, което означава, че изпълнението им ще продължи до края на 2018 г., а в някои случаи — до 2020 г. Тези действия са:</w:t>
      </w:r>
    </w:p>
    <w:p>
      <w:pPr>
        <w:pStyle w:val="ListParagraph"/>
        <w:numPr>
          <w:ilvl w:val="0"/>
          <w:numId w:val="38"/>
        </w:numPr>
        <w:autoSpaceDE w:val="0"/>
        <w:autoSpaceDN w:val="0"/>
        <w:adjustRightInd w:val="0"/>
        <w:spacing w:after="0" w:line="360" w:lineRule="auto"/>
        <w:jc w:val="both"/>
        <w:rPr>
          <w:rFonts w:ascii="Times New Roman" w:hAnsi="Times New Roman"/>
          <w:noProof/>
        </w:rPr>
      </w:pPr>
      <w:r>
        <w:rPr>
          <w:rFonts w:ascii="Times New Roman" w:hAnsi="Times New Roman"/>
          <w:noProof/>
        </w:rPr>
        <w:t>новата съвместна дейност за ОЗТ, представляваща най-голямото досега участие на ЕС (11 999 798,74 ЕUR) по отделно направление на здравната политика в рамките на Третата здравна програма;</w:t>
      </w:r>
    </w:p>
    <w:p>
      <w:pPr>
        <w:pStyle w:val="ListParagraph"/>
        <w:numPr>
          <w:ilvl w:val="0"/>
          <w:numId w:val="38"/>
        </w:numPr>
        <w:autoSpaceDE w:val="0"/>
        <w:autoSpaceDN w:val="0"/>
        <w:adjustRightInd w:val="0"/>
        <w:spacing w:after="0" w:line="360" w:lineRule="auto"/>
        <w:jc w:val="both"/>
        <w:rPr>
          <w:rFonts w:ascii="Times New Roman" w:eastAsiaTheme="minorHAnsi" w:hAnsi="Times New Roman"/>
          <w:noProof/>
          <w:color w:val="000000"/>
        </w:rPr>
      </w:pPr>
      <w:r>
        <w:rPr>
          <w:rFonts w:ascii="Times New Roman" w:eastAsiaTheme="minorHAnsi" w:hAnsi="Times New Roman"/>
          <w:noProof/>
          <w:color w:val="000000"/>
        </w:rPr>
        <w:t>два проекта и една съвместна дейност в областта на интегрираните грижи (общо участие на ЕС в размер на 6 837 798,31 ЕUR); и</w:t>
      </w:r>
    </w:p>
    <w:p>
      <w:pPr>
        <w:pStyle w:val="ListParagraph"/>
        <w:numPr>
          <w:ilvl w:val="0"/>
          <w:numId w:val="38"/>
        </w:numPr>
        <w:autoSpaceDE w:val="0"/>
        <w:autoSpaceDN w:val="0"/>
        <w:adjustRightInd w:val="0"/>
        <w:spacing w:before="100" w:beforeAutospacing="1" w:after="100" w:afterAutospacing="1" w:line="360" w:lineRule="auto"/>
        <w:jc w:val="both"/>
        <w:rPr>
          <w:rFonts w:ascii="Times New Roman" w:eastAsiaTheme="minorHAnsi" w:hAnsi="Times New Roman"/>
          <w:noProof/>
          <w:color w:val="000000"/>
        </w:rPr>
      </w:pPr>
      <w:r>
        <w:rPr>
          <w:rFonts w:ascii="Times New Roman" w:eastAsiaTheme="minorHAnsi" w:hAnsi="Times New Roman"/>
          <w:noProof/>
          <w:color w:val="000000"/>
        </w:rPr>
        <w:t>подготвителната работа за създаване на Европейските референтни мрежи (381 372.23 EUR).</w:t>
      </w:r>
    </w:p>
    <w:p>
      <w:pPr>
        <w:pStyle w:val="NormalWeb"/>
        <w:shd w:val="clear" w:color="auto" w:fill="FFFFFF"/>
        <w:spacing w:after="0" w:line="360" w:lineRule="auto"/>
        <w:jc w:val="both"/>
        <w:rPr>
          <w:rFonts w:eastAsiaTheme="minorHAnsi"/>
          <w:noProof/>
          <w:color w:val="000000"/>
          <w:sz w:val="22"/>
          <w:szCs w:val="22"/>
        </w:rPr>
      </w:pPr>
      <w:r>
        <w:rPr>
          <w:rFonts w:eastAsiaTheme="minorHAnsi"/>
          <w:noProof/>
          <w:color w:val="000000"/>
          <w:sz w:val="22"/>
        </w:rPr>
        <w:t>Обща информация: новата съвместна дейност за ОЗТ е научно-техническият компонент на сътрудничеството на ЕС в тази област. Осъществяването ѝ започна през юни 2016 г. и ще продължи до 2020 г. В нея участват определени от правителствата организации (от държави от ЕС, от присъединяващи се към ЕС държави и от държави от ЕИП) и голям брой съответни регионални агенции и организации с нестопанска цел, които изготвят или допринасят за изготвянето на ОЗТ в Европа.</w:t>
      </w:r>
    </w:p>
    <w:p>
      <w:pPr>
        <w:pStyle w:val="NormalWeb"/>
        <w:shd w:val="clear" w:color="auto" w:fill="FFFFFF"/>
        <w:spacing w:after="0" w:line="360" w:lineRule="auto"/>
        <w:jc w:val="both"/>
        <w:rPr>
          <w:rFonts w:eastAsiaTheme="minorHAnsi"/>
          <w:noProof/>
          <w:color w:val="000000"/>
          <w:sz w:val="22"/>
          <w:szCs w:val="22"/>
        </w:rPr>
      </w:pPr>
    </w:p>
    <w:p>
      <w:pPr>
        <w:pStyle w:val="NormalWeb"/>
        <w:shd w:val="clear" w:color="auto" w:fill="FFFFFF"/>
        <w:spacing w:after="0" w:line="360" w:lineRule="auto"/>
        <w:jc w:val="both"/>
        <w:rPr>
          <w:rFonts w:eastAsiaTheme="minorHAnsi"/>
          <w:noProof/>
          <w:color w:val="000000"/>
          <w:sz w:val="22"/>
          <w:szCs w:val="22"/>
        </w:rPr>
      </w:pPr>
      <w:r>
        <w:rPr>
          <w:rFonts w:eastAsiaTheme="minorHAnsi"/>
          <w:noProof/>
          <w:color w:val="000000"/>
          <w:sz w:val="22"/>
        </w:rPr>
        <w:t>Цел: подпомагане на доброволното научно-техническо сътрудничество между органите за ОЗТ. Това сътрудничество следва да предостави база за разработването на модел на съвместна работа, която да продължи след приключване на финансирането, предоставяно от ЕС в рамките на Здравната програма.</w:t>
      </w:r>
    </w:p>
    <w:p>
      <w:pPr>
        <w:pStyle w:val="NormalWeb"/>
        <w:shd w:val="clear" w:color="auto" w:fill="FFFFFF"/>
        <w:spacing w:after="0" w:line="360" w:lineRule="auto"/>
        <w:jc w:val="both"/>
        <w:rPr>
          <w:rFonts w:eastAsiaTheme="minorHAnsi"/>
          <w:noProof/>
          <w:color w:val="000000"/>
          <w:sz w:val="22"/>
          <w:szCs w:val="22"/>
        </w:rPr>
      </w:pPr>
    </w:p>
    <w:p>
      <w:pPr>
        <w:pStyle w:val="NormalWeb"/>
        <w:shd w:val="clear" w:color="auto" w:fill="FFFFFF"/>
        <w:spacing w:after="360" w:line="360" w:lineRule="auto"/>
        <w:jc w:val="both"/>
        <w:rPr>
          <w:noProof/>
          <w:color w:val="000000"/>
        </w:rPr>
      </w:pPr>
      <w:r>
        <w:rPr>
          <w:rFonts w:eastAsiaTheme="minorHAnsi"/>
          <w:noProof/>
          <w:color w:val="000000"/>
          <w:sz w:val="22"/>
        </w:rPr>
        <w:t>Начини: поставя се силен акцент върху съвместното изготвяне на оценки на здравните технологии и върху ранното установяване на диалог относно резултатите и начините за прилагането им в национални условия. Ранният диалог, и по-специално провежданите успоредно консултации, бяха високо оценени от предприятията, нуждаещи се от съвети на ранен етап от процеса. До май 2018 г. от партньорите по тази съвместна дейност бяха получени 29 искания за такъв ранен диалог. При ОЗТ се извършва оценка и на други аспекти на здравните технологии, например на тяхното отражение върху разходите за пациента и на въздействието им върху организацията на системите за здравеопазване при предоставяне на грижи и лечение. Следователно става въпрос за мултидисциплинарен процес, при който систематично се извършва преглед на медицинските, икономическите, организационните, социалните и етичните въпроси, свързани с използването на здравните технологии.</w:t>
      </w:r>
    </w:p>
    <w:p>
      <w:pPr>
        <w:spacing w:after="120" w:line="360" w:lineRule="auto"/>
        <w:jc w:val="both"/>
        <w:rPr>
          <w:rFonts w:cs="Times New Roman"/>
          <w:noProof/>
          <w:color w:val="000000"/>
        </w:rPr>
      </w:pPr>
      <w:r>
        <w:rPr>
          <w:noProof/>
          <w:color w:val="000000"/>
        </w:rPr>
        <w:t>Обща информация: в областта на интегрираните грижи един съфинансиран проект обединява усилията на работещи за иновативно европейско здравно обслужване участници — региони, представители на промишлеността и на академичните кръгове  — в партньорство, което има потенциала да преобрази услугите за предоставяне на „лечение и грижи“. Проектът се състои от етап на пилотен проект и от по-мащабно прилагане на рутинни практики за грижи. В проекта участват 13 партньори от шест държави от ЕС (Германия, Гърция, Дания, Испания, Нидерландия и Обединеното кралство).</w:t>
      </w:r>
    </w:p>
    <w:p>
      <w:pPr>
        <w:spacing w:line="360" w:lineRule="auto"/>
        <w:jc w:val="both"/>
        <w:rPr>
          <w:rFonts w:cs="Times New Roman"/>
          <w:noProof/>
          <w:color w:val="000000" w:themeColor="text1"/>
        </w:rPr>
      </w:pPr>
      <w:r>
        <w:rPr>
          <w:noProof/>
          <w:color w:val="000000" w:themeColor="text1"/>
        </w:rPr>
        <w:t>Цел: общата цел е идентифициране, предаване и по-широко разпространение на съществуващата и оперативната координация на грижите и добрите дистанционни здравни практики с оглед да бъдат обхванати 75 000 получатели на грижи или пациенти в различни региони и програми в голям брой европейски държави. Очакват се две основни ползи от проекта:</w:t>
      </w:r>
    </w:p>
    <w:p>
      <w:pPr>
        <w:pStyle w:val="ListParagraph"/>
        <w:numPr>
          <w:ilvl w:val="0"/>
          <w:numId w:val="53"/>
        </w:numPr>
        <w:spacing w:line="360" w:lineRule="auto"/>
        <w:jc w:val="both"/>
        <w:rPr>
          <w:rFonts w:ascii="Times New Roman" w:eastAsiaTheme="minorHAnsi" w:hAnsi="Times New Roman"/>
          <w:noProof/>
          <w:color w:val="000000" w:themeColor="text1"/>
        </w:rPr>
      </w:pPr>
      <w:r>
        <w:rPr>
          <w:rFonts w:ascii="Times New Roman" w:eastAsiaTheme="minorHAnsi" w:hAnsi="Times New Roman"/>
          <w:noProof/>
          <w:color w:val="000000" w:themeColor="text1"/>
        </w:rPr>
        <w:t>солидна база за успешен туининг и коучинг в помощ на взаимното обучение;</w:t>
      </w:r>
    </w:p>
    <w:p>
      <w:pPr>
        <w:pStyle w:val="ListParagraph"/>
        <w:numPr>
          <w:ilvl w:val="0"/>
          <w:numId w:val="53"/>
        </w:numPr>
        <w:spacing w:line="360" w:lineRule="auto"/>
        <w:jc w:val="both"/>
        <w:rPr>
          <w:rFonts w:ascii="Times New Roman" w:eastAsiaTheme="minorHAnsi" w:hAnsi="Times New Roman"/>
          <w:noProof/>
          <w:color w:val="000000" w:themeColor="text1"/>
        </w:rPr>
      </w:pPr>
      <w:r>
        <w:rPr>
          <w:rFonts w:ascii="Times New Roman" w:eastAsiaTheme="minorHAnsi" w:hAnsi="Times New Roman"/>
          <w:noProof/>
          <w:color w:val="000000" w:themeColor="text1"/>
        </w:rPr>
        <w:t>практическа подкрепа за по-широко разпространение на добрите практики за насърчаване на активния живот на възрастните хора и остаряването в добро здраве, както и на активното участие на хората в напреднала възраст в местните общности. </w:t>
      </w:r>
    </w:p>
    <w:p>
      <w:pPr>
        <w:spacing w:line="360" w:lineRule="auto"/>
        <w:jc w:val="both"/>
        <w:rPr>
          <w:noProof/>
          <w:color w:val="000000" w:themeColor="text1"/>
        </w:rPr>
      </w:pPr>
      <w:r>
        <w:rPr>
          <w:noProof/>
          <w:color w:val="000000" w:themeColor="text1"/>
        </w:rPr>
        <w:t>В съчетание със съвместни дейности този проект би оказал съществен принос за подобряване на организацията и изпълнението на концепциите за интегрирани грижи в целия ЕС.</w:t>
      </w:r>
    </w:p>
    <w:p>
      <w:pPr>
        <w:autoSpaceDE w:val="0"/>
        <w:autoSpaceDN w:val="0"/>
        <w:adjustRightInd w:val="0"/>
        <w:spacing w:before="100" w:beforeAutospacing="1" w:after="100" w:afterAutospacing="1" w:line="360" w:lineRule="auto"/>
        <w:jc w:val="both"/>
        <w:rPr>
          <w:rFonts w:cs="Times New Roman"/>
          <w:noProof/>
          <w:color w:val="000000"/>
        </w:rPr>
      </w:pPr>
      <w:r>
        <w:rPr>
          <w:noProof/>
        </w:rPr>
        <w:t>Сред допълнителните дейности, предприети в отговор на миграционната криза през лятото на 2015 г. и след направеното по-късно изменение на ГРП за 2015 г., са следните:</w:t>
      </w:r>
    </w:p>
    <w:p>
      <w:pPr>
        <w:pStyle w:val="ListParagraph"/>
        <w:numPr>
          <w:ilvl w:val="0"/>
          <w:numId w:val="38"/>
        </w:numPr>
        <w:autoSpaceDE w:val="0"/>
        <w:autoSpaceDN w:val="0"/>
        <w:adjustRightInd w:val="0"/>
        <w:spacing w:before="100" w:beforeAutospacing="1" w:after="100" w:afterAutospacing="1" w:line="360" w:lineRule="auto"/>
        <w:jc w:val="both"/>
        <w:rPr>
          <w:rFonts w:ascii="Times New Roman" w:hAnsi="Times New Roman"/>
          <w:noProof/>
          <w:color w:val="000000"/>
        </w:rPr>
      </w:pPr>
      <w:r>
        <w:rPr>
          <w:rFonts w:ascii="Times New Roman" w:hAnsi="Times New Roman"/>
          <w:noProof/>
          <w:color w:val="000000"/>
        </w:rPr>
        <w:t>четири проекта относно здравето на мигрантите и бежанците (6 239 154 EUR);</w:t>
      </w:r>
    </w:p>
    <w:p>
      <w:pPr>
        <w:pStyle w:val="ListParagraph"/>
        <w:numPr>
          <w:ilvl w:val="0"/>
          <w:numId w:val="38"/>
        </w:numPr>
        <w:autoSpaceDE w:val="0"/>
        <w:autoSpaceDN w:val="0"/>
        <w:adjustRightInd w:val="0"/>
        <w:spacing w:before="100" w:beforeAutospacing="1" w:after="100" w:afterAutospacing="1" w:line="360" w:lineRule="auto"/>
        <w:jc w:val="both"/>
        <w:rPr>
          <w:rFonts w:ascii="Times New Roman" w:hAnsi="Times New Roman"/>
          <w:noProof/>
          <w:color w:val="000000"/>
        </w:rPr>
      </w:pPr>
      <w:r>
        <w:rPr>
          <w:rFonts w:ascii="Times New Roman" w:hAnsi="Times New Roman"/>
          <w:noProof/>
          <w:color w:val="000000"/>
        </w:rPr>
        <w:t>една мярка за предоставяне на преки безвъзмездни средства за Международната организация по миграция (МОМ) (1 000 000 EUR).</w:t>
      </w:r>
    </w:p>
    <w:p>
      <w:pPr>
        <w:autoSpaceDE w:val="0"/>
        <w:autoSpaceDN w:val="0"/>
        <w:adjustRightInd w:val="0"/>
        <w:spacing w:before="100" w:beforeAutospacing="1" w:after="100" w:afterAutospacing="1" w:line="360" w:lineRule="auto"/>
        <w:jc w:val="both"/>
        <w:rPr>
          <w:rFonts w:cs="Times New Roman"/>
          <w:noProof/>
          <w:color w:val="000000"/>
        </w:rPr>
      </w:pPr>
      <w:r>
        <w:rPr>
          <w:noProof/>
        </w:rPr>
        <w:t>Тези проекти имаха за цел да се окаже „</w:t>
      </w:r>
      <w:r>
        <w:rPr>
          <w:i/>
          <w:noProof/>
        </w:rPr>
        <w:t>подкрепа за държавите членки, изложени на особено голям миграционен натиск, с оглед справяне с трудностите, свързани със здравето, така че да се предостави конкретна помощ на организациите, действащи в този област, и да се съдейства за неутрализиране на въздействието върху общественото здраве в най-тежко засегнатите държави — членки на ЕС</w:t>
      </w:r>
      <w:r>
        <w:rPr>
          <w:noProof/>
        </w:rPr>
        <w:t>“</w:t>
      </w:r>
      <w:r>
        <w:rPr>
          <w:rStyle w:val="FootnoteReference"/>
          <w:noProof/>
          <w:color w:val="000000"/>
        </w:rPr>
        <w:footnoteReference w:id="5"/>
      </w:r>
      <w:r>
        <w:rPr>
          <w:noProof/>
        </w:rPr>
        <w:t>.</w:t>
      </w:r>
    </w:p>
    <w:p>
      <w:pPr>
        <w:spacing w:line="360" w:lineRule="auto"/>
        <w:jc w:val="both"/>
        <w:rPr>
          <w:rFonts w:eastAsia="Calibri" w:cs="Times New Roman"/>
          <w:noProof/>
        </w:rPr>
      </w:pPr>
      <w:r>
        <w:rPr>
          <w:noProof/>
          <w:color w:val="000000"/>
        </w:rPr>
        <w:t xml:space="preserve">Обща информация: </w:t>
      </w:r>
      <w:r>
        <w:rPr>
          <w:noProof/>
        </w:rPr>
        <w:t xml:space="preserve"> един проект, ръководен от Училището по обществено здравеопазване в Андалусия, обедини усилията на партньори от седем държави (Белгия, Дания, Испания, Италия, Нидерландия, Полша и Словакия).</w:t>
      </w:r>
    </w:p>
    <w:p>
      <w:pPr>
        <w:spacing w:line="360" w:lineRule="auto"/>
        <w:jc w:val="both"/>
        <w:rPr>
          <w:rFonts w:eastAsia="Calibri" w:cs="Times New Roman"/>
          <w:noProof/>
        </w:rPr>
      </w:pPr>
      <w:r>
        <w:rPr>
          <w:noProof/>
        </w:rPr>
        <w:t>Цел: да се окаже подкрепа на държавите членки за създаване или укрепване на механизъм за координация в сектора на здравеопазването за съгласуван и консолидиран национален и междудържавен отговор за справяне със свързаните със здравето проблеми на пристигащите мигранти (бежанци, лица, търсещи убежище, и други мигранти) при същевременно провеждане на профилактика и защита от потенциално заразни болести и трансгранични заплахи за здравето.</w:t>
      </w:r>
      <w:r>
        <w:rPr>
          <w:noProof/>
          <w:sz w:val="23"/>
        </w:rPr>
        <w:t xml:space="preserve"> Това беше постигнато чрез извършване на оценка на действащия механизъм за координация и чрез подобряване на координацията между здравните специалисти и на техните способности и умения. </w:t>
      </w:r>
    </w:p>
    <w:p>
      <w:pPr>
        <w:spacing w:line="360" w:lineRule="auto"/>
        <w:jc w:val="both"/>
        <w:rPr>
          <w:rFonts w:eastAsia="Calibri" w:cs="Times New Roman"/>
          <w:bCs/>
          <w:noProof/>
        </w:rPr>
      </w:pPr>
      <w:r>
        <w:rPr>
          <w:noProof/>
        </w:rPr>
        <w:t>Обща информация: в друг проект участваха осем партньори за оказване на подкрепа на здравните власти в 11 държави членки.</w:t>
      </w:r>
    </w:p>
    <w:p>
      <w:pPr>
        <w:spacing w:line="360" w:lineRule="auto"/>
        <w:jc w:val="both"/>
        <w:rPr>
          <w:rFonts w:eastAsia="Calibri" w:cs="Times New Roman"/>
          <w:noProof/>
        </w:rPr>
      </w:pPr>
      <w:r>
        <w:rPr>
          <w:noProof/>
        </w:rPr>
        <w:t xml:space="preserve">Цел: проектът беше насочен към извършване на оценки на здравословното състояние на пристигащите мигранти с помощта на общ инструмент, даващ възможност на държавите членки да откриват и преценяват потенциални заплахи, да раздават материали за промоция на здравето и да повишават осведомеността сред заинтересованите страни. </w:t>
      </w:r>
    </w:p>
    <w:p>
      <w:pPr>
        <w:autoSpaceDE w:val="0"/>
        <w:autoSpaceDN w:val="0"/>
        <w:adjustRightInd w:val="0"/>
        <w:spacing w:before="100" w:beforeAutospacing="1" w:after="100" w:afterAutospacing="1" w:line="360" w:lineRule="auto"/>
        <w:jc w:val="both"/>
        <w:rPr>
          <w:noProof/>
          <w:color w:val="000000"/>
        </w:rPr>
      </w:pPr>
      <w:r>
        <w:rPr>
          <w:noProof/>
          <w:color w:val="000000"/>
        </w:rPr>
        <w:t>Подробният преглед на всички дейности, финансирани по ГРП за 2015 г., е даден в работния документ на службите на Комисията, приложен към настоящия доклад.</w:t>
      </w:r>
    </w:p>
    <w:p>
      <w:pPr>
        <w:pStyle w:val="Heading1"/>
        <w:rPr>
          <w:noProof/>
          <w:sz w:val="28"/>
          <w:szCs w:val="28"/>
        </w:rPr>
      </w:pPr>
      <w:bookmarkStart w:id="8" w:name="_Toc518922810"/>
      <w:bookmarkStart w:id="9" w:name="_Toc518984355"/>
      <w:bookmarkStart w:id="10" w:name="_DV_M234"/>
      <w:bookmarkStart w:id="11" w:name="_DV_M235"/>
      <w:bookmarkStart w:id="12" w:name="_DV_M236"/>
      <w:bookmarkStart w:id="13" w:name="_DV_M237"/>
      <w:bookmarkStart w:id="14" w:name="_DV_M238"/>
      <w:bookmarkStart w:id="15" w:name="_DV_M240"/>
      <w:bookmarkStart w:id="16" w:name="_Toc472077567"/>
      <w:bookmarkStart w:id="17" w:name="_Toc520120177"/>
      <w:bookmarkStart w:id="18" w:name="_Toc530049246"/>
      <w:bookmarkEnd w:id="8"/>
      <w:bookmarkEnd w:id="9"/>
      <w:bookmarkEnd w:id="10"/>
      <w:bookmarkEnd w:id="11"/>
      <w:bookmarkEnd w:id="12"/>
      <w:bookmarkEnd w:id="13"/>
      <w:bookmarkEnd w:id="14"/>
      <w:bookmarkEnd w:id="15"/>
      <w:r>
        <w:rPr>
          <w:noProof/>
          <w:sz w:val="28"/>
        </w:rPr>
        <w:t>ИЗПЪЛНЕНИЕ НА БЮДЖЕТА</w:t>
      </w:r>
      <w:bookmarkEnd w:id="16"/>
      <w:bookmarkEnd w:id="17"/>
      <w:bookmarkEnd w:id="18"/>
    </w:p>
    <w:p>
      <w:pPr>
        <w:jc w:val="both"/>
        <w:rPr>
          <w:noProof/>
        </w:rPr>
      </w:pPr>
    </w:p>
    <w:p>
      <w:pPr>
        <w:pStyle w:val="ManualHeading2"/>
        <w:rPr>
          <w:noProof/>
        </w:rPr>
      </w:pPr>
      <w:bookmarkStart w:id="19" w:name="_Toc388355509"/>
      <w:bookmarkStart w:id="20" w:name="_Toc390420263"/>
      <w:bookmarkStart w:id="21" w:name="_Toc404756129"/>
      <w:bookmarkStart w:id="22" w:name="_Toc472077568"/>
      <w:bookmarkStart w:id="23" w:name="_Toc520120178"/>
      <w:bookmarkStart w:id="24" w:name="_Toc530049247"/>
      <w:r>
        <w:t>1.</w:t>
      </w:r>
      <w:r>
        <w:tab/>
      </w:r>
      <w:r>
        <w:rPr>
          <w:noProof/>
        </w:rPr>
        <w:t>Бюджет</w:t>
      </w:r>
      <w:bookmarkEnd w:id="19"/>
      <w:bookmarkEnd w:id="20"/>
      <w:bookmarkEnd w:id="21"/>
      <w:bookmarkEnd w:id="22"/>
      <w:bookmarkEnd w:id="23"/>
      <w:bookmarkEnd w:id="24"/>
    </w:p>
    <w:p>
      <w:pPr>
        <w:spacing w:line="360" w:lineRule="auto"/>
        <w:jc w:val="both"/>
        <w:rPr>
          <w:rFonts w:cs="Times New Roman"/>
          <w:noProof/>
        </w:rPr>
      </w:pPr>
      <w:r>
        <w:rPr>
          <w:noProof/>
        </w:rPr>
        <w:t>Общият бюджет на Третата здравна програма (2014—2020 г.) възлиза на 449,4 млн. евро. В тази сума са включени 30 млн. евро за функционирането на Изпълнителната агенция за потребителите, здравеопазването, селското стопанство и храните (Сhafea), на която Комисията възложи да управлява здравната програма за периода 2014—2020 г. От 2005 г. насам Сhafea предоставя на Комисията техническа, научна и административна помощ при изпълнението на здравната програма</w:t>
      </w:r>
      <w:r>
        <w:rPr>
          <w:rStyle w:val="FootnoteReference"/>
          <w:noProof/>
        </w:rPr>
        <w:footnoteReference w:id="6"/>
      </w:r>
      <w:r>
        <w:rPr>
          <w:noProof/>
        </w:rPr>
        <w:t>. Тя организира ежегодни покани за представяне на предложения, координира оценяването на кандидатурите и договаря, подписва и управлява свързаните с тях споразумения за отпускане на безвъзмездни средства, както и разпространява резултатите от дейностите. Тя отговаря и за много процедури за възлагане на обществени поръчки.</w:t>
      </w:r>
    </w:p>
    <w:p>
      <w:pPr>
        <w:spacing w:line="360" w:lineRule="auto"/>
        <w:jc w:val="both"/>
        <w:rPr>
          <w:rFonts w:cs="Times New Roman"/>
          <w:noProof/>
        </w:rPr>
      </w:pPr>
      <w:r>
        <w:rPr>
          <w:noProof/>
        </w:rPr>
        <w:t>Бюджетът, заложен в работния план за ГРП за 2015 г.</w:t>
      </w:r>
      <w:r>
        <w:rPr>
          <w:rStyle w:val="FootnoteReference"/>
          <w:noProof/>
        </w:rPr>
        <w:footnoteReference w:id="7"/>
      </w:r>
      <w:r>
        <w:rPr>
          <w:noProof/>
        </w:rPr>
        <w:t>, беше в размер на 59 750 000 EUR, разпределени, както следва:</w:t>
      </w:r>
    </w:p>
    <w:p>
      <w:pPr>
        <w:pStyle w:val="ListParagraph"/>
        <w:numPr>
          <w:ilvl w:val="0"/>
          <w:numId w:val="27"/>
        </w:numPr>
        <w:spacing w:line="360" w:lineRule="auto"/>
        <w:ind w:left="714" w:hanging="357"/>
        <w:contextualSpacing w:val="0"/>
        <w:jc w:val="both"/>
        <w:rPr>
          <w:rFonts w:ascii="Times New Roman" w:hAnsi="Times New Roman"/>
          <w:noProof/>
        </w:rPr>
      </w:pPr>
      <w:r>
        <w:rPr>
          <w:rFonts w:ascii="Times New Roman" w:hAnsi="Times New Roman"/>
          <w:noProof/>
        </w:rPr>
        <w:t xml:space="preserve">оперативни разходи: 54 041 000 ЕUR, съответстващи на </w:t>
      </w:r>
      <w:r>
        <w:rPr>
          <w:rFonts w:ascii="AdvTT82cee651.BI" w:hAnsi="AdvTT82cee651.BI"/>
          <w:noProof/>
          <w:color w:val="231F20"/>
        </w:rPr>
        <w:t xml:space="preserve">Третата програма за действие на Съюза в областта на здравето (2014—2020 г.), </w:t>
      </w:r>
      <w:r>
        <w:rPr>
          <w:rFonts w:ascii="Times New Roman" w:hAnsi="Times New Roman"/>
          <w:noProof/>
        </w:rPr>
        <w:t>бюджетен ред 17 03 01</w:t>
      </w:r>
      <w:r>
        <w:rPr>
          <w:noProof/>
        </w:rPr>
        <w:t xml:space="preserve"> (</w:t>
      </w:r>
      <w:r>
        <w:rPr>
          <w:rFonts w:ascii="Times New Roman" w:hAnsi="Times New Roman"/>
          <w:i/>
          <w:noProof/>
        </w:rPr>
        <w:t>„Насърчаване на иновациите в здравния сектор, повишаване на устойчивостта на системите за здравеопазване и защита на гражданите на Съюза от сериозни трансгранични заплахи за здравето“</w:t>
      </w:r>
      <w:r>
        <w:rPr>
          <w:rFonts w:ascii="AdvTTd832f767" w:hAnsi="AdvTTd832f767"/>
          <w:noProof/>
          <w:color w:val="231F20"/>
        </w:rPr>
        <w:t>);</w:t>
      </w:r>
    </w:p>
    <w:p>
      <w:pPr>
        <w:pStyle w:val="ListParagraph"/>
        <w:numPr>
          <w:ilvl w:val="0"/>
          <w:numId w:val="27"/>
        </w:numPr>
        <w:autoSpaceDE w:val="0"/>
        <w:autoSpaceDN w:val="0"/>
        <w:adjustRightInd w:val="0"/>
        <w:spacing w:line="360" w:lineRule="auto"/>
        <w:ind w:left="714" w:hanging="357"/>
        <w:contextualSpacing w:val="0"/>
        <w:jc w:val="both"/>
        <w:rPr>
          <w:rFonts w:ascii="Times New Roman" w:hAnsi="Times New Roman"/>
          <w:noProof/>
        </w:rPr>
      </w:pPr>
      <w:r>
        <w:rPr>
          <w:rFonts w:ascii="Times New Roman" w:hAnsi="Times New Roman"/>
          <w:noProof/>
        </w:rPr>
        <w:t xml:space="preserve">административни разходи: 1 500 000 EUR, съответстващи на разходите за подкрепа по </w:t>
      </w:r>
      <w:r>
        <w:rPr>
          <w:rFonts w:ascii="AdvTT82cee651.BI" w:hAnsi="AdvTT82cee651.BI"/>
          <w:noProof/>
          <w:color w:val="231F20"/>
        </w:rPr>
        <w:t xml:space="preserve">Третата програма за действие на Съюза в областта на здравето (2014—2020 г.), </w:t>
      </w:r>
      <w:r>
        <w:rPr>
          <w:rFonts w:ascii="Times New Roman" w:hAnsi="Times New Roman"/>
          <w:noProof/>
        </w:rPr>
        <w:t>бюджетен ред 17 01 04 02.</w:t>
      </w:r>
    </w:p>
    <w:p>
      <w:pPr>
        <w:jc w:val="both"/>
        <w:rPr>
          <w:noProof/>
        </w:rPr>
      </w:pPr>
      <w:r>
        <w:rPr>
          <w:noProof/>
        </w:rPr>
        <w:t>Общият оперативен бюджет беше в размер на 55 629 805 EUR, а общият административен бюджет — 1 551 822,66 EUR. Включени са бюджетните кредити от ЕАСТ/ЕИП, както и кредитите за възстановяване от предходни бюджетни години.</w:t>
      </w:r>
    </w:p>
    <w:p>
      <w:pPr>
        <w:pStyle w:val="CommentText"/>
        <w:spacing w:line="360" w:lineRule="auto"/>
        <w:jc w:val="both"/>
        <w:rPr>
          <w:rFonts w:ascii="Times New Roman" w:hAnsi="Times New Roman"/>
          <w:noProof/>
          <w:sz w:val="22"/>
          <w:szCs w:val="22"/>
        </w:rPr>
      </w:pPr>
      <w:r>
        <w:rPr>
          <w:rFonts w:ascii="Times New Roman" w:hAnsi="Times New Roman"/>
          <w:noProof/>
          <w:sz w:val="22"/>
        </w:rPr>
        <w:t>През 2015 г. Chafea извърши плащания в размер на 47 967 105,24 EUR от оперативния бюджет, а Генерална дирекция „Здравеопазване и безопасност на храните“ към Европейската комисия — на 6 810 913,51 ЕUR за обществени поръчки, преки безвъзмездни средства и други мерки; плащанията възлязоха общо на 54 778 018,75 ЕUR.</w:t>
      </w:r>
    </w:p>
    <w:p>
      <w:pPr>
        <w:spacing w:line="360" w:lineRule="auto"/>
        <w:jc w:val="both"/>
        <w:rPr>
          <w:rFonts w:cs="Times New Roman"/>
          <w:noProof/>
        </w:rPr>
      </w:pPr>
      <w:r>
        <w:rPr>
          <w:noProof/>
        </w:rPr>
        <w:br w:type="column"/>
      </w:r>
    </w:p>
    <w:p>
      <w:pPr>
        <w:pStyle w:val="ManualHeading2"/>
        <w:rPr>
          <w:noProof/>
        </w:rPr>
      </w:pPr>
      <w:bookmarkStart w:id="25" w:name="_Toc388355510"/>
      <w:bookmarkStart w:id="26" w:name="_Toc390420264"/>
      <w:bookmarkStart w:id="27" w:name="_Toc404756130"/>
      <w:bookmarkStart w:id="28" w:name="_Toc472077569"/>
      <w:bookmarkStart w:id="29" w:name="_Toc520120179"/>
      <w:bookmarkStart w:id="30" w:name="_Toc530049248"/>
      <w:r>
        <w:t>2.</w:t>
      </w:r>
      <w:r>
        <w:tab/>
      </w:r>
      <w:r>
        <w:rPr>
          <w:noProof/>
        </w:rPr>
        <w:t>Цели, приоритети и механизми за финансиране</w:t>
      </w:r>
      <w:bookmarkEnd w:id="25"/>
      <w:bookmarkEnd w:id="26"/>
      <w:bookmarkEnd w:id="27"/>
      <w:bookmarkEnd w:id="28"/>
      <w:r>
        <w:rPr>
          <w:noProof/>
        </w:rPr>
        <w:t xml:space="preserve"> през 2015 г.</w:t>
      </w:r>
      <w:bookmarkEnd w:id="29"/>
      <w:bookmarkEnd w:id="30"/>
    </w:p>
    <w:p>
      <w:pPr>
        <w:spacing w:before="100" w:beforeAutospacing="1" w:after="100" w:afterAutospacing="1" w:line="360" w:lineRule="auto"/>
        <w:jc w:val="both"/>
        <w:rPr>
          <w:rFonts w:eastAsia="Times New Roman" w:cs="Times New Roman"/>
          <w:noProof/>
        </w:rPr>
      </w:pPr>
      <w:r>
        <w:rPr>
          <w:noProof/>
        </w:rPr>
        <w:t>През 2015 г. общият оперативен бюджет беше разпределен между четирите специфични цели на програмата, както следва:</w:t>
      </w:r>
    </w:p>
    <w:p>
      <w:pPr>
        <w:numPr>
          <w:ilvl w:val="0"/>
          <w:numId w:val="25"/>
        </w:numPr>
        <w:spacing w:before="100" w:beforeAutospacing="1" w:after="100" w:afterAutospacing="1" w:line="360" w:lineRule="auto"/>
        <w:jc w:val="both"/>
        <w:rPr>
          <w:rFonts w:eastAsia="Times New Roman" w:cs="Times New Roman"/>
          <w:b/>
          <w:i/>
          <w:noProof/>
        </w:rPr>
      </w:pPr>
      <w:r>
        <w:rPr>
          <w:b/>
          <w:noProof/>
        </w:rPr>
        <w:t>Промоция на здравето:</w:t>
      </w:r>
      <w:r>
        <w:rPr>
          <w:noProof/>
        </w:rPr>
        <w:t xml:space="preserve"> </w:t>
      </w:r>
      <w:r>
        <w:rPr>
          <w:b/>
          <w:i/>
          <w:noProof/>
        </w:rPr>
        <w:t xml:space="preserve">15 669 170,92 EUR (29 % от оперативния бюджет през 2015 г.) </w:t>
      </w:r>
      <w:r>
        <w:rPr>
          <w:noProof/>
        </w:rPr>
        <w:t>за промоция на здравето, профилактика на болестите и създаване на среда, благоприятстваща здравословен начин на живот при отчитане на принципа „здраве във всички политики“.</w:t>
      </w:r>
    </w:p>
    <w:p>
      <w:pPr>
        <w:numPr>
          <w:ilvl w:val="0"/>
          <w:numId w:val="25"/>
        </w:numPr>
        <w:spacing w:before="100" w:beforeAutospacing="1" w:after="100" w:afterAutospacing="1" w:line="360" w:lineRule="auto"/>
        <w:jc w:val="both"/>
        <w:rPr>
          <w:rFonts w:eastAsia="Times New Roman" w:cs="Times New Roman"/>
          <w:b/>
          <w:i/>
          <w:noProof/>
        </w:rPr>
      </w:pPr>
      <w:r>
        <w:rPr>
          <w:b/>
          <w:noProof/>
        </w:rPr>
        <w:t>Заплахи за здравето:</w:t>
      </w:r>
      <w:r>
        <w:rPr>
          <w:noProof/>
        </w:rPr>
        <w:t xml:space="preserve"> </w:t>
      </w:r>
      <w:r>
        <w:rPr>
          <w:b/>
          <w:i/>
          <w:noProof/>
        </w:rPr>
        <w:t xml:space="preserve">5 016 028,59 ЕUR (9 % от оперативния бюджет през 2015 г.) </w:t>
      </w:r>
      <w:r>
        <w:rPr>
          <w:noProof/>
        </w:rPr>
        <w:t>за защита на гражданите на ЕС от сериозни трансгранични заплахи за здравето.</w:t>
      </w:r>
    </w:p>
    <w:p>
      <w:pPr>
        <w:numPr>
          <w:ilvl w:val="0"/>
          <w:numId w:val="25"/>
        </w:numPr>
        <w:spacing w:before="100" w:beforeAutospacing="1" w:after="100" w:afterAutospacing="1" w:line="360" w:lineRule="auto"/>
        <w:jc w:val="both"/>
        <w:rPr>
          <w:rFonts w:eastAsia="Times New Roman" w:cs="Times New Roman"/>
          <w:b/>
          <w:i/>
          <w:noProof/>
        </w:rPr>
      </w:pPr>
      <w:r>
        <w:rPr>
          <w:b/>
          <w:noProof/>
        </w:rPr>
        <w:t>Системи за здравеопазване:</w:t>
      </w:r>
      <w:r>
        <w:rPr>
          <w:noProof/>
        </w:rPr>
        <w:t xml:space="preserve"> </w:t>
      </w:r>
      <w:r>
        <w:rPr>
          <w:b/>
          <w:i/>
          <w:noProof/>
        </w:rPr>
        <w:t>25 106 924,35 ЕUR (46 % от оперативния бюджет през 2015 г.)</w:t>
      </w:r>
      <w:r>
        <w:rPr>
          <w:noProof/>
        </w:rPr>
        <w:t xml:space="preserve"> за принос за новаторски, ефикасни и устойчиви системи за здравеопазване.</w:t>
      </w:r>
    </w:p>
    <w:p>
      <w:pPr>
        <w:numPr>
          <w:ilvl w:val="0"/>
          <w:numId w:val="25"/>
        </w:numPr>
        <w:spacing w:before="100" w:beforeAutospacing="1" w:after="100" w:afterAutospacing="1" w:line="360" w:lineRule="auto"/>
        <w:jc w:val="both"/>
        <w:rPr>
          <w:rFonts w:eastAsia="Times New Roman" w:cs="Times New Roman"/>
          <w:b/>
          <w:i/>
          <w:noProof/>
        </w:rPr>
      </w:pPr>
      <w:r>
        <w:rPr>
          <w:b/>
          <w:noProof/>
        </w:rPr>
        <w:t>По-добро и по-безопасно здравно обслужване:</w:t>
      </w:r>
      <w:r>
        <w:rPr>
          <w:noProof/>
        </w:rPr>
        <w:t xml:space="preserve"> </w:t>
      </w:r>
      <w:r>
        <w:rPr>
          <w:b/>
          <w:i/>
          <w:noProof/>
        </w:rPr>
        <w:t xml:space="preserve">6 127 923,17 ЕUR (11 % от оперативния бюджет през 2015 г.) </w:t>
      </w:r>
      <w:r>
        <w:rPr>
          <w:noProof/>
        </w:rPr>
        <w:t>за оказване на помощ на гражданите на ЕС да получат достъп до по-добро и по-безопасно здравно обслужване.</w:t>
      </w:r>
    </w:p>
    <w:p>
      <w:pPr>
        <w:spacing w:before="120" w:after="120" w:line="360" w:lineRule="auto"/>
        <w:jc w:val="both"/>
        <w:rPr>
          <w:noProof/>
        </w:rPr>
      </w:pPr>
      <w:r>
        <w:rPr>
          <w:noProof/>
        </w:rPr>
        <w:t>Конкретният призив да се окаже „</w:t>
      </w:r>
      <w:r>
        <w:rPr>
          <w:i/>
          <w:noProof/>
        </w:rPr>
        <w:t>подкрепа за държавите членки, изложени на особено голям миграционен натиск, с оглед справяне с трудностите, свързани със здравето</w:t>
      </w:r>
      <w:r>
        <w:rPr>
          <w:noProof/>
        </w:rPr>
        <w:t>“ беше хоризонтално действие, свързано с цели 1 (промоция на здравето) и 2 (заплахи за здравето). Съответната сума в размер на </w:t>
      </w:r>
      <w:r>
        <w:rPr>
          <w:noProof/>
          <w:color w:val="000000"/>
        </w:rPr>
        <w:t xml:space="preserve">7 234 199,58 ЕUR </w:t>
      </w:r>
      <w:r>
        <w:rPr>
          <w:noProof/>
        </w:rPr>
        <w:t xml:space="preserve">(13 % от оперативния бюджет през 2015 г.) </w:t>
      </w:r>
      <w:r>
        <w:rPr>
          <w:noProof/>
          <w:color w:val="000000"/>
        </w:rPr>
        <w:t>беше разпределена равномерно между цел 1 и цел 2 и така се стигна до горните изчисления.</w:t>
      </w:r>
    </w:p>
    <w:p>
      <w:pPr>
        <w:spacing w:before="100" w:beforeAutospacing="1" w:after="100" w:afterAutospacing="1" w:line="360" w:lineRule="auto"/>
        <w:jc w:val="both"/>
        <w:rPr>
          <w:rFonts w:eastAsia="Times New Roman" w:cs="Times New Roman"/>
          <w:b/>
          <w:i/>
          <w:noProof/>
        </w:rPr>
      </w:pPr>
      <w:r>
        <w:rPr>
          <w:noProof/>
        </w:rPr>
        <w:t xml:space="preserve">В допълнение </w:t>
      </w:r>
      <w:r>
        <w:rPr>
          <w:b/>
          <w:noProof/>
        </w:rPr>
        <w:t>хоризонталните действия (ИT, комуникационни дейности)</w:t>
      </w:r>
      <w:r>
        <w:rPr>
          <w:noProof/>
        </w:rPr>
        <w:t xml:space="preserve"> възлязоха на </w:t>
      </w:r>
      <w:r>
        <w:rPr>
          <w:b/>
          <w:i/>
          <w:noProof/>
        </w:rPr>
        <w:t>2 857 971,72 ЕUR (5 % от оперативния бюджет през 2015 г.).</w:t>
      </w:r>
    </w:p>
    <w:p>
      <w:pPr>
        <w:spacing w:before="100" w:beforeAutospacing="1" w:after="100" w:afterAutospacing="1" w:line="360" w:lineRule="auto"/>
        <w:rPr>
          <w:rFonts w:eastAsia="Times New Roman" w:cs="Times New Roman"/>
          <w:noProof/>
        </w:rPr>
      </w:pPr>
    </w:p>
    <w:p>
      <w:pPr>
        <w:keepNext/>
        <w:spacing w:before="120" w:after="120" w:line="360" w:lineRule="auto"/>
        <w:jc w:val="center"/>
        <w:rPr>
          <w:rFonts w:cs="Times New Roman"/>
          <w:b/>
          <w:noProof/>
        </w:rPr>
      </w:pPr>
      <w:r>
        <w:rPr>
          <w:b/>
          <w:noProof/>
        </w:rPr>
        <w:t xml:space="preserve">Фигура 1:  Оперативен бюджет по цели на Третата здравна програма през 2015 г. </w:t>
      </w:r>
    </w:p>
    <w:p>
      <w:pPr>
        <w:spacing w:before="100" w:beforeAutospacing="1" w:after="100" w:afterAutospacing="1" w:line="360" w:lineRule="auto"/>
        <w:jc w:val="center"/>
        <w:rPr>
          <w:rFonts w:eastAsia="Times New Roman" w:cs="Times New Roman"/>
          <w:noProof/>
        </w:rPr>
      </w:pPr>
      <w:r>
        <w:rPr>
          <w:noProof/>
          <w:lang w:val="en-GB" w:eastAsia="en-GB" w:bidi="ar-SA"/>
        </w:rPr>
        <w:drawing>
          <wp:inline distT="0" distB="0" distL="0" distR="0">
            <wp:extent cx="3810000" cy="2387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387600"/>
                    </a:xfrm>
                    <a:prstGeom prst="rect">
                      <a:avLst/>
                    </a:prstGeom>
                    <a:noFill/>
                    <a:ln>
                      <a:noFill/>
                    </a:ln>
                  </pic:spPr>
                </pic:pic>
              </a:graphicData>
            </a:graphic>
          </wp:inline>
        </w:drawing>
      </w:r>
    </w:p>
    <w:p>
      <w:pPr>
        <w:spacing w:before="100" w:beforeAutospacing="1" w:after="100" w:afterAutospacing="1" w:line="360" w:lineRule="auto"/>
        <w:rPr>
          <w:rFonts w:eastAsia="Times New Roman" w:cs="Times New Roman"/>
          <w:noProof/>
        </w:rPr>
      </w:pPr>
      <w:r>
        <w:rPr>
          <w:noProof/>
        </w:rPr>
        <w:t>На следващата фигура е дадена информация относно кредитите за Третата програма, инвестирани като участие на ЕС по различните тематични приоритети през 2015 г.</w:t>
      </w:r>
    </w:p>
    <w:p>
      <w:pPr>
        <w:keepNext/>
        <w:spacing w:before="120" w:after="120" w:line="360" w:lineRule="auto"/>
        <w:jc w:val="center"/>
        <w:rPr>
          <w:b/>
          <w:noProof/>
        </w:rPr>
      </w:pPr>
      <w:r>
        <w:rPr>
          <w:b/>
          <w:noProof/>
        </w:rPr>
        <w:t xml:space="preserve">Фигура 2:  Оперативен бюджет по тематични приоритети през 2015 г. </w:t>
      </w:r>
    </w:p>
    <w:p>
      <w:pPr>
        <w:keepNext/>
        <w:spacing w:before="120" w:after="120" w:line="360" w:lineRule="auto"/>
        <w:jc w:val="center"/>
        <w:rPr>
          <w:rFonts w:cs="Times New Roman"/>
          <w:b/>
          <w:noProof/>
        </w:rPr>
      </w:pPr>
      <w:r>
        <w:rPr>
          <w:noProof/>
          <w:lang w:val="en-GB" w:eastAsia="en-GB" w:bidi="ar-SA"/>
        </w:rPr>
        <w:drawing>
          <wp:inline distT="0" distB="0" distL="0" distR="0">
            <wp:extent cx="5661643" cy="36893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63245" cy="3690394"/>
                    </a:xfrm>
                    <a:prstGeom prst="rect">
                      <a:avLst/>
                    </a:prstGeom>
                    <a:noFill/>
                    <a:ln>
                      <a:noFill/>
                    </a:ln>
                  </pic:spPr>
                </pic:pic>
              </a:graphicData>
            </a:graphic>
          </wp:inline>
        </w:drawing>
      </w:r>
    </w:p>
    <w:p>
      <w:pPr>
        <w:spacing w:before="100" w:beforeAutospacing="1" w:after="100" w:afterAutospacing="1" w:line="360" w:lineRule="auto"/>
        <w:rPr>
          <w:rFonts w:eastAsia="Times New Roman" w:cs="Times New Roman"/>
          <w:noProof/>
        </w:rPr>
      </w:pPr>
    </w:p>
    <w:p>
      <w:pPr>
        <w:spacing w:line="360" w:lineRule="auto"/>
        <w:jc w:val="both"/>
        <w:rPr>
          <w:rFonts w:eastAsia="Times New Roman" w:cs="Times New Roman"/>
          <w:noProof/>
        </w:rPr>
      </w:pPr>
      <w:r>
        <w:rPr>
          <w:noProof/>
        </w:rPr>
        <w:t>Програмата се изпълнява чрез широк набор от финансови инструменти. Те са:</w:t>
      </w:r>
    </w:p>
    <w:p>
      <w:pPr>
        <w:pStyle w:val="ListParagraph"/>
        <w:numPr>
          <w:ilvl w:val="0"/>
          <w:numId w:val="26"/>
        </w:numPr>
        <w:spacing w:line="360" w:lineRule="auto"/>
        <w:jc w:val="both"/>
        <w:rPr>
          <w:rFonts w:ascii="Times New Roman" w:hAnsi="Times New Roman"/>
          <w:noProof/>
        </w:rPr>
      </w:pPr>
      <w:r>
        <w:rPr>
          <w:rFonts w:ascii="Times New Roman" w:hAnsi="Times New Roman"/>
          <w:noProof/>
        </w:rPr>
        <w:t>действия, съфинансирани с органите на държавите членки (съвместни действия);</w:t>
      </w:r>
    </w:p>
    <w:p>
      <w:pPr>
        <w:pStyle w:val="ListParagraph"/>
        <w:numPr>
          <w:ilvl w:val="0"/>
          <w:numId w:val="26"/>
        </w:numPr>
        <w:spacing w:line="360" w:lineRule="auto"/>
        <w:jc w:val="both"/>
        <w:rPr>
          <w:rFonts w:ascii="Times New Roman" w:hAnsi="Times New Roman"/>
          <w:noProof/>
        </w:rPr>
      </w:pPr>
      <w:r>
        <w:rPr>
          <w:rFonts w:ascii="Times New Roman" w:hAnsi="Times New Roman"/>
          <w:noProof/>
        </w:rPr>
        <w:t>безвъзмездни средства за изпълнение на проекти;</w:t>
      </w:r>
    </w:p>
    <w:p>
      <w:pPr>
        <w:pStyle w:val="ListParagraph"/>
        <w:numPr>
          <w:ilvl w:val="0"/>
          <w:numId w:val="26"/>
        </w:numPr>
        <w:spacing w:line="360" w:lineRule="auto"/>
        <w:jc w:val="both"/>
        <w:rPr>
          <w:rFonts w:ascii="Times New Roman" w:hAnsi="Times New Roman"/>
          <w:noProof/>
        </w:rPr>
      </w:pPr>
      <w:r>
        <w:rPr>
          <w:rFonts w:ascii="Times New Roman" w:hAnsi="Times New Roman"/>
          <w:noProof/>
        </w:rPr>
        <w:t>безвъзмездни средства за оперативни разходи в подкрепа на неправителствените организации;</w:t>
      </w:r>
    </w:p>
    <w:p>
      <w:pPr>
        <w:pStyle w:val="ListParagraph"/>
        <w:numPr>
          <w:ilvl w:val="0"/>
          <w:numId w:val="26"/>
        </w:numPr>
        <w:spacing w:line="360" w:lineRule="auto"/>
        <w:jc w:val="both"/>
        <w:rPr>
          <w:rFonts w:ascii="Times New Roman" w:hAnsi="Times New Roman"/>
          <w:noProof/>
        </w:rPr>
      </w:pPr>
      <w:r>
        <w:rPr>
          <w:rFonts w:ascii="Times New Roman" w:hAnsi="Times New Roman"/>
          <w:noProof/>
        </w:rPr>
        <w:t>споразумения с международни организации за отпускане на преки безвъзмездни средства;</w:t>
      </w:r>
    </w:p>
    <w:p>
      <w:pPr>
        <w:pStyle w:val="ListParagraph"/>
        <w:numPr>
          <w:ilvl w:val="0"/>
          <w:numId w:val="26"/>
        </w:numPr>
        <w:spacing w:line="360" w:lineRule="auto"/>
        <w:jc w:val="both"/>
        <w:rPr>
          <w:rFonts w:ascii="Times New Roman" w:hAnsi="Times New Roman"/>
          <w:noProof/>
        </w:rPr>
      </w:pPr>
      <w:r>
        <w:rPr>
          <w:rFonts w:ascii="Times New Roman" w:hAnsi="Times New Roman"/>
          <w:noProof/>
        </w:rPr>
        <w:t>възлагане на обществени поръчки;</w:t>
      </w:r>
    </w:p>
    <w:p>
      <w:pPr>
        <w:pStyle w:val="ListParagraph"/>
        <w:numPr>
          <w:ilvl w:val="0"/>
          <w:numId w:val="26"/>
        </w:numPr>
        <w:spacing w:line="360" w:lineRule="auto"/>
        <w:jc w:val="both"/>
        <w:rPr>
          <w:rFonts w:ascii="Times New Roman" w:hAnsi="Times New Roman"/>
          <w:noProof/>
        </w:rPr>
      </w:pPr>
      <w:r>
        <w:rPr>
          <w:rFonts w:ascii="Times New Roman" w:hAnsi="Times New Roman"/>
          <w:noProof/>
        </w:rPr>
        <w:t>други действия, като работа на научни комитети, административни споразумения със Съвместния изследователски център и предоставяне на безвъзмездни средства за конференции на председателствата на Съвета.</w:t>
      </w:r>
    </w:p>
    <w:p>
      <w:pPr>
        <w:spacing w:line="360" w:lineRule="auto"/>
        <w:jc w:val="both"/>
        <w:rPr>
          <w:rFonts w:cs="Times New Roman"/>
          <w:noProof/>
        </w:rPr>
      </w:pPr>
      <w:r>
        <w:rPr>
          <w:noProof/>
        </w:rPr>
        <w:t>При подбора на инициативи за финансиране бяха използвани конкурсни процедури за подбор и възлагане. Те обаче не се използват при съвместни действия, споразумения за отпускане на преки безвъзмездни средства, нито при конференции, организирани от председателствата на Съвета, тъй като в тези случаи конкурсните процедури или не са разрешени съгласно конкретните правила, или не се използват на практика, например поради монополно положение.</w:t>
      </w:r>
    </w:p>
    <w:p>
      <w:pPr>
        <w:spacing w:line="360" w:lineRule="auto"/>
        <w:jc w:val="both"/>
        <w:rPr>
          <w:rFonts w:cs="Times New Roman"/>
          <w:noProof/>
        </w:rPr>
      </w:pPr>
      <w:r>
        <w:rPr>
          <w:noProof/>
        </w:rPr>
        <w:t>Кредитите за административни дейности покриваха разходи за проучвания, заседания на експерти, разходи за информация и публикации, както и техническа и административна помощ за ИТ системите.</w:t>
      </w:r>
    </w:p>
    <w:p>
      <w:pPr>
        <w:pStyle w:val="ManualHeading2"/>
        <w:rPr>
          <w:noProof/>
        </w:rPr>
      </w:pPr>
      <w:bookmarkStart w:id="31" w:name="_Toc388355511"/>
      <w:bookmarkStart w:id="32" w:name="_Toc390420265"/>
      <w:bookmarkStart w:id="33" w:name="_Toc404756131"/>
      <w:bookmarkStart w:id="34" w:name="_Toc472077570"/>
      <w:bookmarkStart w:id="35" w:name="_Toc520120180"/>
      <w:bookmarkStart w:id="36" w:name="_Toc530049249"/>
      <w:r>
        <w:t>3.</w:t>
      </w:r>
      <w:r>
        <w:tab/>
      </w:r>
      <w:r>
        <w:rPr>
          <w:noProof/>
        </w:rPr>
        <w:t>Изпълнение на оперативния бюджет по механизми за финансиране</w:t>
      </w:r>
      <w:bookmarkEnd w:id="31"/>
      <w:bookmarkEnd w:id="32"/>
      <w:bookmarkEnd w:id="33"/>
      <w:bookmarkEnd w:id="34"/>
      <w:bookmarkEnd w:id="35"/>
      <w:bookmarkEnd w:id="36"/>
    </w:p>
    <w:tbl>
      <w:tblPr>
        <w:tblStyle w:val="TableGrid"/>
        <w:tblW w:w="9464" w:type="dxa"/>
        <w:tblLook w:val="0000" w:firstRow="0" w:lastRow="0" w:firstColumn="0" w:lastColumn="0" w:noHBand="0" w:noVBand="0"/>
      </w:tblPr>
      <w:tblGrid>
        <w:gridCol w:w="4361"/>
        <w:gridCol w:w="2551"/>
        <w:gridCol w:w="2552"/>
      </w:tblGrid>
      <w:tr>
        <w:trPr>
          <w:trHeight w:val="1020"/>
        </w:trPr>
        <w:tc>
          <w:tcPr>
            <w:tcW w:w="4361" w:type="dxa"/>
            <w:noWrap/>
          </w:tcPr>
          <w:p>
            <w:pPr>
              <w:spacing w:line="360" w:lineRule="auto"/>
              <w:jc w:val="both"/>
              <w:rPr>
                <w:b/>
                <w:noProof/>
                <w:sz w:val="22"/>
                <w:szCs w:val="22"/>
              </w:rPr>
            </w:pPr>
            <w:r>
              <w:rPr>
                <w:b/>
                <w:noProof/>
                <w:sz w:val="22"/>
              </w:rPr>
              <w:t>Вид механизъм за финансиране</w:t>
            </w:r>
          </w:p>
        </w:tc>
        <w:tc>
          <w:tcPr>
            <w:tcW w:w="2551" w:type="dxa"/>
            <w:noWrap/>
          </w:tcPr>
          <w:p>
            <w:pPr>
              <w:spacing w:line="360" w:lineRule="auto"/>
              <w:jc w:val="both"/>
              <w:rPr>
                <w:b/>
                <w:noProof/>
                <w:sz w:val="22"/>
                <w:szCs w:val="22"/>
              </w:rPr>
            </w:pPr>
            <w:r>
              <w:rPr>
                <w:b/>
                <w:noProof/>
                <w:sz w:val="22"/>
              </w:rPr>
              <w:t>Изпълнение (EUR)</w:t>
            </w:r>
            <w:r>
              <w:rPr>
                <w:b/>
                <w:noProof/>
                <w:sz w:val="22"/>
                <w:szCs w:val="22"/>
              </w:rPr>
              <w:br/>
            </w:r>
            <w:r>
              <w:rPr>
                <w:b/>
                <w:noProof/>
                <w:sz w:val="22"/>
              </w:rPr>
              <w:t>Поети задължения</w:t>
            </w:r>
          </w:p>
        </w:tc>
        <w:tc>
          <w:tcPr>
            <w:tcW w:w="2552" w:type="dxa"/>
            <w:noWrap/>
          </w:tcPr>
          <w:p>
            <w:pPr>
              <w:spacing w:line="360" w:lineRule="auto"/>
              <w:rPr>
                <w:b/>
                <w:noProof/>
                <w:sz w:val="22"/>
                <w:szCs w:val="22"/>
              </w:rPr>
            </w:pPr>
            <w:r>
              <w:rPr>
                <w:b/>
                <w:noProof/>
                <w:sz w:val="22"/>
              </w:rPr>
              <w:t>Дял на механизма в общия изпълнен бюджет (поети задължения)</w:t>
            </w:r>
          </w:p>
        </w:tc>
      </w:tr>
      <w:tr>
        <w:trPr>
          <w:trHeight w:val="340"/>
        </w:trPr>
        <w:tc>
          <w:tcPr>
            <w:tcW w:w="4361" w:type="dxa"/>
            <w:noWrap/>
          </w:tcPr>
          <w:p>
            <w:pPr>
              <w:spacing w:line="360" w:lineRule="auto"/>
              <w:jc w:val="both"/>
              <w:rPr>
                <w:b/>
                <w:noProof/>
                <w:sz w:val="22"/>
                <w:szCs w:val="22"/>
              </w:rPr>
            </w:pPr>
            <w:r>
              <w:rPr>
                <w:b/>
                <w:noProof/>
                <w:sz w:val="22"/>
              </w:rPr>
              <w:t>Покани за представяне на предложения:</w:t>
            </w:r>
          </w:p>
        </w:tc>
        <w:tc>
          <w:tcPr>
            <w:tcW w:w="2551" w:type="dxa"/>
            <w:noWrap/>
          </w:tcPr>
          <w:p>
            <w:pPr>
              <w:spacing w:line="360" w:lineRule="auto"/>
              <w:jc w:val="right"/>
              <w:rPr>
                <w:b/>
                <w:noProof/>
                <w:sz w:val="22"/>
                <w:szCs w:val="22"/>
              </w:rPr>
            </w:pPr>
          </w:p>
        </w:tc>
        <w:tc>
          <w:tcPr>
            <w:tcW w:w="2552" w:type="dxa"/>
            <w:noWrap/>
          </w:tcPr>
          <w:p>
            <w:pPr>
              <w:tabs>
                <w:tab w:val="decimal" w:pos="792"/>
              </w:tabs>
              <w:spacing w:line="360" w:lineRule="auto"/>
              <w:jc w:val="right"/>
              <w:rPr>
                <w:b/>
                <w:noProof/>
                <w:sz w:val="22"/>
                <w:szCs w:val="22"/>
              </w:rPr>
            </w:pPr>
          </w:p>
        </w:tc>
      </w:tr>
      <w:tr>
        <w:trPr>
          <w:trHeight w:val="340"/>
        </w:trPr>
        <w:tc>
          <w:tcPr>
            <w:tcW w:w="4361" w:type="dxa"/>
            <w:noWrap/>
          </w:tcPr>
          <w:p>
            <w:pPr>
              <w:spacing w:line="360" w:lineRule="auto"/>
              <w:jc w:val="both"/>
              <w:rPr>
                <w:bCs/>
                <w:noProof/>
                <w:sz w:val="22"/>
                <w:szCs w:val="22"/>
              </w:rPr>
            </w:pPr>
            <w:r>
              <w:rPr>
                <w:noProof/>
                <w:sz w:val="22"/>
              </w:rPr>
              <w:t>Безвъзмездни средства за изпълнение на проекти</w:t>
            </w:r>
          </w:p>
        </w:tc>
        <w:tc>
          <w:tcPr>
            <w:tcW w:w="2551" w:type="dxa"/>
            <w:noWrap/>
          </w:tcPr>
          <w:p>
            <w:pPr>
              <w:spacing w:line="360" w:lineRule="auto"/>
              <w:jc w:val="right"/>
              <w:rPr>
                <w:bCs/>
                <w:noProof/>
                <w:sz w:val="22"/>
                <w:szCs w:val="22"/>
              </w:rPr>
            </w:pPr>
            <w:r>
              <w:rPr>
                <w:noProof/>
                <w:sz w:val="22"/>
              </w:rPr>
              <w:t>14 944 000,04</w:t>
            </w:r>
          </w:p>
        </w:tc>
        <w:tc>
          <w:tcPr>
            <w:tcW w:w="2552" w:type="dxa"/>
            <w:noWrap/>
          </w:tcPr>
          <w:p>
            <w:pPr>
              <w:tabs>
                <w:tab w:val="decimal" w:pos="792"/>
              </w:tabs>
              <w:spacing w:line="360" w:lineRule="auto"/>
              <w:jc w:val="right"/>
              <w:rPr>
                <w:noProof/>
                <w:sz w:val="22"/>
                <w:szCs w:val="22"/>
              </w:rPr>
            </w:pPr>
            <w:r>
              <w:rPr>
                <w:noProof/>
                <w:sz w:val="22"/>
              </w:rPr>
              <w:t>27,3 %</w:t>
            </w:r>
          </w:p>
        </w:tc>
      </w:tr>
      <w:tr>
        <w:trPr>
          <w:trHeight w:val="340"/>
        </w:trPr>
        <w:tc>
          <w:tcPr>
            <w:tcW w:w="4361" w:type="dxa"/>
            <w:noWrap/>
          </w:tcPr>
          <w:p>
            <w:pPr>
              <w:spacing w:line="360" w:lineRule="auto"/>
              <w:jc w:val="both"/>
              <w:rPr>
                <w:bCs/>
                <w:noProof/>
                <w:sz w:val="22"/>
                <w:szCs w:val="22"/>
              </w:rPr>
            </w:pPr>
            <w:r>
              <w:rPr>
                <w:noProof/>
                <w:sz w:val="22"/>
              </w:rPr>
              <w:t>Безвъзмездни средства за оперативни разходи</w:t>
            </w:r>
          </w:p>
        </w:tc>
        <w:tc>
          <w:tcPr>
            <w:tcW w:w="2551" w:type="dxa"/>
            <w:noWrap/>
          </w:tcPr>
          <w:p>
            <w:pPr>
              <w:spacing w:line="360" w:lineRule="auto"/>
              <w:jc w:val="right"/>
              <w:rPr>
                <w:bCs/>
                <w:noProof/>
                <w:sz w:val="22"/>
                <w:szCs w:val="22"/>
              </w:rPr>
            </w:pPr>
            <w:r>
              <w:rPr>
                <w:noProof/>
                <w:sz w:val="22"/>
              </w:rPr>
              <w:t>5 005 520,00</w:t>
            </w:r>
          </w:p>
        </w:tc>
        <w:tc>
          <w:tcPr>
            <w:tcW w:w="2552" w:type="dxa"/>
            <w:noWrap/>
          </w:tcPr>
          <w:p>
            <w:pPr>
              <w:tabs>
                <w:tab w:val="decimal" w:pos="792"/>
              </w:tabs>
              <w:spacing w:line="360" w:lineRule="auto"/>
              <w:jc w:val="right"/>
              <w:rPr>
                <w:noProof/>
                <w:sz w:val="22"/>
                <w:szCs w:val="22"/>
              </w:rPr>
            </w:pPr>
            <w:r>
              <w:rPr>
                <w:noProof/>
                <w:sz w:val="22"/>
              </w:rPr>
              <w:t>9,1 %</w:t>
            </w:r>
          </w:p>
        </w:tc>
      </w:tr>
      <w:tr>
        <w:trPr>
          <w:trHeight w:val="699"/>
        </w:trPr>
        <w:tc>
          <w:tcPr>
            <w:tcW w:w="4361" w:type="dxa"/>
            <w:noWrap/>
          </w:tcPr>
          <w:p>
            <w:pPr>
              <w:spacing w:line="360" w:lineRule="auto"/>
              <w:jc w:val="both"/>
              <w:rPr>
                <w:b/>
                <w:bCs/>
                <w:noProof/>
                <w:sz w:val="22"/>
                <w:szCs w:val="22"/>
              </w:rPr>
            </w:pPr>
            <w:r>
              <w:rPr>
                <w:b/>
                <w:noProof/>
                <w:sz w:val="22"/>
              </w:rPr>
              <w:t>Безвъзмездни средства за съвместни действия</w:t>
            </w:r>
          </w:p>
        </w:tc>
        <w:tc>
          <w:tcPr>
            <w:tcW w:w="2551" w:type="dxa"/>
            <w:noWrap/>
          </w:tcPr>
          <w:p>
            <w:pPr>
              <w:spacing w:line="360" w:lineRule="auto"/>
              <w:jc w:val="right"/>
              <w:rPr>
                <w:b/>
                <w:bCs/>
                <w:noProof/>
                <w:sz w:val="22"/>
                <w:szCs w:val="22"/>
              </w:rPr>
            </w:pPr>
            <w:r>
              <w:rPr>
                <w:b/>
                <w:noProof/>
                <w:sz w:val="22"/>
              </w:rPr>
              <w:t>17 791 725,60</w:t>
            </w:r>
          </w:p>
        </w:tc>
        <w:tc>
          <w:tcPr>
            <w:tcW w:w="2552" w:type="dxa"/>
            <w:noWrap/>
          </w:tcPr>
          <w:p>
            <w:pPr>
              <w:tabs>
                <w:tab w:val="decimal" w:pos="792"/>
              </w:tabs>
              <w:spacing w:line="360" w:lineRule="auto"/>
              <w:jc w:val="right"/>
              <w:rPr>
                <w:b/>
                <w:noProof/>
                <w:sz w:val="22"/>
                <w:szCs w:val="22"/>
              </w:rPr>
            </w:pPr>
            <w:r>
              <w:rPr>
                <w:b/>
                <w:noProof/>
                <w:sz w:val="22"/>
              </w:rPr>
              <w:t>32,5 %</w:t>
            </w:r>
          </w:p>
        </w:tc>
      </w:tr>
      <w:tr>
        <w:trPr>
          <w:trHeight w:val="517"/>
        </w:trPr>
        <w:tc>
          <w:tcPr>
            <w:tcW w:w="4361" w:type="dxa"/>
            <w:noWrap/>
          </w:tcPr>
          <w:p>
            <w:pPr>
              <w:spacing w:line="360" w:lineRule="auto"/>
              <w:rPr>
                <w:b/>
                <w:bCs/>
                <w:noProof/>
                <w:sz w:val="22"/>
                <w:szCs w:val="22"/>
              </w:rPr>
            </w:pPr>
            <w:r>
              <w:rPr>
                <w:b/>
                <w:noProof/>
                <w:sz w:val="22"/>
              </w:rPr>
              <w:t xml:space="preserve">Безвъзмездни средства за организиране на конференции, предоставяни на държавите членки, осигуряващи председателството на ЕС </w:t>
            </w:r>
          </w:p>
        </w:tc>
        <w:tc>
          <w:tcPr>
            <w:tcW w:w="2551" w:type="dxa"/>
            <w:noWrap/>
          </w:tcPr>
          <w:p>
            <w:pPr>
              <w:spacing w:line="360" w:lineRule="auto"/>
              <w:jc w:val="right"/>
              <w:rPr>
                <w:b/>
                <w:noProof/>
                <w:sz w:val="22"/>
                <w:szCs w:val="22"/>
              </w:rPr>
            </w:pPr>
            <w:r>
              <w:rPr>
                <w:b/>
                <w:noProof/>
                <w:sz w:val="22"/>
              </w:rPr>
              <w:t>120 434,90</w:t>
            </w:r>
          </w:p>
        </w:tc>
        <w:tc>
          <w:tcPr>
            <w:tcW w:w="2552" w:type="dxa"/>
            <w:noWrap/>
          </w:tcPr>
          <w:p>
            <w:pPr>
              <w:tabs>
                <w:tab w:val="decimal" w:pos="792"/>
              </w:tabs>
              <w:spacing w:line="360" w:lineRule="auto"/>
              <w:jc w:val="right"/>
              <w:rPr>
                <w:b/>
                <w:noProof/>
                <w:sz w:val="22"/>
                <w:szCs w:val="22"/>
              </w:rPr>
            </w:pPr>
            <w:r>
              <w:rPr>
                <w:b/>
                <w:noProof/>
                <w:sz w:val="22"/>
              </w:rPr>
              <w:t>0,2 %</w:t>
            </w:r>
          </w:p>
        </w:tc>
      </w:tr>
      <w:tr>
        <w:trPr>
          <w:trHeight w:val="340"/>
        </w:trPr>
        <w:tc>
          <w:tcPr>
            <w:tcW w:w="4361" w:type="dxa"/>
            <w:noWrap/>
          </w:tcPr>
          <w:p>
            <w:pPr>
              <w:spacing w:line="360" w:lineRule="auto"/>
              <w:jc w:val="both"/>
              <w:rPr>
                <w:b/>
                <w:bCs/>
                <w:noProof/>
                <w:sz w:val="22"/>
                <w:szCs w:val="22"/>
              </w:rPr>
            </w:pPr>
            <w:r>
              <w:rPr>
                <w:b/>
                <w:noProof/>
                <w:sz w:val="22"/>
              </w:rPr>
              <w:t>Споразумения за отпускане на преки безвъзмездни средства</w:t>
            </w:r>
          </w:p>
        </w:tc>
        <w:tc>
          <w:tcPr>
            <w:tcW w:w="2551" w:type="dxa"/>
            <w:noWrap/>
          </w:tcPr>
          <w:p>
            <w:pPr>
              <w:spacing w:line="360" w:lineRule="auto"/>
              <w:jc w:val="right"/>
              <w:rPr>
                <w:b/>
                <w:bCs/>
                <w:noProof/>
                <w:sz w:val="22"/>
                <w:szCs w:val="22"/>
              </w:rPr>
            </w:pPr>
          </w:p>
        </w:tc>
        <w:tc>
          <w:tcPr>
            <w:tcW w:w="2552" w:type="dxa"/>
            <w:noWrap/>
          </w:tcPr>
          <w:p>
            <w:pPr>
              <w:tabs>
                <w:tab w:val="decimal" w:pos="792"/>
              </w:tabs>
              <w:spacing w:line="360" w:lineRule="auto"/>
              <w:jc w:val="right"/>
              <w:rPr>
                <w:b/>
                <w:noProof/>
                <w:sz w:val="22"/>
                <w:szCs w:val="22"/>
              </w:rPr>
            </w:pPr>
          </w:p>
        </w:tc>
      </w:tr>
      <w:tr>
        <w:trPr>
          <w:trHeight w:val="631"/>
        </w:trPr>
        <w:tc>
          <w:tcPr>
            <w:tcW w:w="4361" w:type="dxa"/>
            <w:noWrap/>
          </w:tcPr>
          <w:p>
            <w:pPr>
              <w:spacing w:line="360" w:lineRule="auto"/>
              <w:jc w:val="right"/>
              <w:rPr>
                <w:b/>
                <w:bCs/>
                <w:i/>
                <w:noProof/>
                <w:sz w:val="22"/>
                <w:szCs w:val="22"/>
              </w:rPr>
            </w:pPr>
            <w:r>
              <w:rPr>
                <w:b/>
                <w:i/>
                <w:noProof/>
                <w:sz w:val="22"/>
              </w:rPr>
              <w:t>Управлявани от CHAFEA</w:t>
            </w:r>
          </w:p>
          <w:p>
            <w:pPr>
              <w:spacing w:line="360" w:lineRule="auto"/>
              <w:jc w:val="right"/>
              <w:rPr>
                <w:b/>
                <w:bCs/>
                <w:i/>
                <w:noProof/>
                <w:sz w:val="22"/>
                <w:szCs w:val="22"/>
              </w:rPr>
            </w:pPr>
          </w:p>
        </w:tc>
        <w:tc>
          <w:tcPr>
            <w:tcW w:w="2551" w:type="dxa"/>
            <w:noWrap/>
          </w:tcPr>
          <w:p>
            <w:pPr>
              <w:spacing w:line="360" w:lineRule="auto"/>
              <w:jc w:val="right"/>
              <w:rPr>
                <w:b/>
                <w:bCs/>
                <w:noProof/>
                <w:sz w:val="22"/>
                <w:szCs w:val="22"/>
              </w:rPr>
            </w:pPr>
            <w:r>
              <w:rPr>
                <w:b/>
                <w:noProof/>
                <w:sz w:val="22"/>
              </w:rPr>
              <w:t>3 715 000,00</w:t>
            </w:r>
          </w:p>
        </w:tc>
        <w:tc>
          <w:tcPr>
            <w:tcW w:w="2552" w:type="dxa"/>
            <w:noWrap/>
          </w:tcPr>
          <w:p>
            <w:pPr>
              <w:tabs>
                <w:tab w:val="decimal" w:pos="792"/>
              </w:tabs>
              <w:spacing w:line="360" w:lineRule="auto"/>
              <w:jc w:val="right"/>
              <w:rPr>
                <w:b/>
                <w:noProof/>
                <w:sz w:val="22"/>
                <w:szCs w:val="22"/>
              </w:rPr>
            </w:pPr>
            <w:r>
              <w:rPr>
                <w:b/>
                <w:noProof/>
                <w:sz w:val="22"/>
              </w:rPr>
              <w:t>6,8 %</w:t>
            </w:r>
          </w:p>
        </w:tc>
      </w:tr>
      <w:tr>
        <w:trPr>
          <w:trHeight w:val="631"/>
        </w:trPr>
        <w:tc>
          <w:tcPr>
            <w:tcW w:w="4361" w:type="dxa"/>
            <w:noWrap/>
          </w:tcPr>
          <w:p>
            <w:pPr>
              <w:spacing w:line="360" w:lineRule="auto"/>
              <w:jc w:val="right"/>
              <w:rPr>
                <w:b/>
                <w:bCs/>
                <w:i/>
                <w:noProof/>
                <w:sz w:val="22"/>
                <w:szCs w:val="22"/>
              </w:rPr>
            </w:pPr>
            <w:r>
              <w:rPr>
                <w:b/>
                <w:i/>
                <w:noProof/>
                <w:sz w:val="22"/>
              </w:rPr>
              <w:t>Управлявани от ГД „Здравеопазване и безопасност на храните“</w:t>
            </w:r>
          </w:p>
        </w:tc>
        <w:tc>
          <w:tcPr>
            <w:tcW w:w="2551" w:type="dxa"/>
            <w:noWrap/>
          </w:tcPr>
          <w:p>
            <w:pPr>
              <w:spacing w:line="360" w:lineRule="auto"/>
              <w:jc w:val="right"/>
              <w:rPr>
                <w:b/>
                <w:bCs/>
                <w:noProof/>
                <w:sz w:val="22"/>
                <w:szCs w:val="22"/>
              </w:rPr>
            </w:pPr>
            <w:r>
              <w:rPr>
                <w:b/>
                <w:noProof/>
                <w:sz w:val="22"/>
              </w:rPr>
              <w:t>120 747,29</w:t>
            </w:r>
          </w:p>
        </w:tc>
        <w:tc>
          <w:tcPr>
            <w:tcW w:w="2552" w:type="dxa"/>
            <w:noWrap/>
          </w:tcPr>
          <w:p>
            <w:pPr>
              <w:tabs>
                <w:tab w:val="decimal" w:pos="792"/>
              </w:tabs>
              <w:spacing w:line="360" w:lineRule="auto"/>
              <w:jc w:val="right"/>
              <w:rPr>
                <w:b/>
                <w:noProof/>
                <w:sz w:val="22"/>
                <w:szCs w:val="22"/>
              </w:rPr>
            </w:pPr>
            <w:r>
              <w:rPr>
                <w:b/>
                <w:noProof/>
                <w:sz w:val="22"/>
              </w:rPr>
              <w:t>0,2 %</w:t>
            </w:r>
          </w:p>
        </w:tc>
      </w:tr>
      <w:tr>
        <w:trPr>
          <w:trHeight w:val="631"/>
        </w:trPr>
        <w:tc>
          <w:tcPr>
            <w:tcW w:w="4361" w:type="dxa"/>
            <w:noWrap/>
          </w:tcPr>
          <w:p>
            <w:pPr>
              <w:spacing w:line="360" w:lineRule="auto"/>
              <w:jc w:val="both"/>
              <w:rPr>
                <w:b/>
                <w:bCs/>
                <w:noProof/>
                <w:sz w:val="22"/>
                <w:szCs w:val="22"/>
              </w:rPr>
            </w:pPr>
            <w:r>
              <w:rPr>
                <w:b/>
                <w:noProof/>
                <w:sz w:val="22"/>
              </w:rPr>
              <w:t>Обществени поръчки (договори за услуги)</w:t>
            </w:r>
          </w:p>
        </w:tc>
        <w:tc>
          <w:tcPr>
            <w:tcW w:w="2551" w:type="dxa"/>
            <w:noWrap/>
          </w:tcPr>
          <w:p>
            <w:pPr>
              <w:spacing w:line="360" w:lineRule="auto"/>
              <w:jc w:val="right"/>
              <w:rPr>
                <w:b/>
                <w:bCs/>
                <w:noProof/>
                <w:sz w:val="22"/>
                <w:szCs w:val="22"/>
              </w:rPr>
            </w:pPr>
          </w:p>
        </w:tc>
        <w:tc>
          <w:tcPr>
            <w:tcW w:w="2552" w:type="dxa"/>
            <w:noWrap/>
          </w:tcPr>
          <w:p>
            <w:pPr>
              <w:tabs>
                <w:tab w:val="decimal" w:pos="792"/>
              </w:tabs>
              <w:spacing w:line="360" w:lineRule="auto"/>
              <w:jc w:val="right"/>
              <w:rPr>
                <w:b/>
                <w:noProof/>
                <w:sz w:val="22"/>
                <w:szCs w:val="22"/>
              </w:rPr>
            </w:pPr>
          </w:p>
        </w:tc>
      </w:tr>
      <w:tr>
        <w:trPr>
          <w:trHeight w:val="340"/>
        </w:trPr>
        <w:tc>
          <w:tcPr>
            <w:tcW w:w="4361" w:type="dxa"/>
            <w:noWrap/>
          </w:tcPr>
          <w:p>
            <w:pPr>
              <w:spacing w:line="360" w:lineRule="auto"/>
              <w:jc w:val="right"/>
              <w:rPr>
                <w:b/>
                <w:bCs/>
                <w:i/>
                <w:noProof/>
                <w:sz w:val="22"/>
                <w:szCs w:val="22"/>
              </w:rPr>
            </w:pPr>
            <w:r>
              <w:rPr>
                <w:b/>
                <w:i/>
                <w:noProof/>
                <w:sz w:val="22"/>
              </w:rPr>
              <w:t>Управлявани от CHAFEA</w:t>
            </w:r>
          </w:p>
        </w:tc>
        <w:tc>
          <w:tcPr>
            <w:tcW w:w="2551" w:type="dxa"/>
            <w:noWrap/>
          </w:tcPr>
          <w:p>
            <w:pPr>
              <w:spacing w:line="360" w:lineRule="auto"/>
              <w:jc w:val="right"/>
              <w:rPr>
                <w:noProof/>
                <w:sz w:val="22"/>
                <w:szCs w:val="22"/>
              </w:rPr>
            </w:pPr>
            <w:r>
              <w:rPr>
                <w:noProof/>
                <w:sz w:val="22"/>
              </w:rPr>
              <w:t>5 890 424,70</w:t>
            </w:r>
          </w:p>
        </w:tc>
        <w:tc>
          <w:tcPr>
            <w:tcW w:w="2552" w:type="dxa"/>
            <w:noWrap/>
          </w:tcPr>
          <w:p>
            <w:pPr>
              <w:tabs>
                <w:tab w:val="decimal" w:pos="792"/>
              </w:tabs>
              <w:spacing w:line="360" w:lineRule="auto"/>
              <w:jc w:val="right"/>
              <w:rPr>
                <w:noProof/>
                <w:sz w:val="22"/>
                <w:szCs w:val="22"/>
              </w:rPr>
            </w:pPr>
            <w:r>
              <w:rPr>
                <w:noProof/>
                <w:sz w:val="22"/>
              </w:rPr>
              <w:t>10,8 %</w:t>
            </w:r>
          </w:p>
        </w:tc>
      </w:tr>
      <w:tr>
        <w:trPr>
          <w:trHeight w:val="340"/>
        </w:trPr>
        <w:tc>
          <w:tcPr>
            <w:tcW w:w="4361" w:type="dxa"/>
            <w:noWrap/>
          </w:tcPr>
          <w:p>
            <w:pPr>
              <w:spacing w:line="360" w:lineRule="auto"/>
              <w:jc w:val="right"/>
              <w:rPr>
                <w:b/>
                <w:bCs/>
                <w:i/>
                <w:noProof/>
                <w:sz w:val="22"/>
                <w:szCs w:val="22"/>
              </w:rPr>
            </w:pPr>
            <w:r>
              <w:rPr>
                <w:b/>
                <w:i/>
                <w:noProof/>
                <w:sz w:val="22"/>
              </w:rPr>
              <w:t>Управлявани от ГД „Здравеопазване и безопасност на храните“</w:t>
            </w:r>
          </w:p>
        </w:tc>
        <w:tc>
          <w:tcPr>
            <w:tcW w:w="2551" w:type="dxa"/>
            <w:noWrap/>
          </w:tcPr>
          <w:p>
            <w:pPr>
              <w:spacing w:line="360" w:lineRule="auto"/>
              <w:jc w:val="right"/>
              <w:rPr>
                <w:noProof/>
                <w:sz w:val="22"/>
                <w:szCs w:val="22"/>
              </w:rPr>
            </w:pPr>
            <w:r>
              <w:rPr>
                <w:noProof/>
                <w:sz w:val="22"/>
              </w:rPr>
              <w:t>5 744 988,82</w:t>
            </w:r>
          </w:p>
        </w:tc>
        <w:tc>
          <w:tcPr>
            <w:tcW w:w="2552" w:type="dxa"/>
            <w:noWrap/>
          </w:tcPr>
          <w:p>
            <w:pPr>
              <w:tabs>
                <w:tab w:val="decimal" w:pos="792"/>
              </w:tabs>
              <w:spacing w:line="360" w:lineRule="auto"/>
              <w:jc w:val="right"/>
              <w:rPr>
                <w:noProof/>
                <w:sz w:val="22"/>
                <w:szCs w:val="22"/>
              </w:rPr>
            </w:pPr>
            <w:r>
              <w:rPr>
                <w:noProof/>
                <w:sz w:val="22"/>
              </w:rPr>
              <w:t>10,5 %</w:t>
            </w:r>
          </w:p>
        </w:tc>
      </w:tr>
      <w:tr>
        <w:trPr>
          <w:trHeight w:val="517"/>
        </w:trPr>
        <w:tc>
          <w:tcPr>
            <w:tcW w:w="4361" w:type="dxa"/>
            <w:noWrap/>
          </w:tcPr>
          <w:p>
            <w:pPr>
              <w:spacing w:line="360" w:lineRule="auto"/>
              <w:rPr>
                <w:b/>
                <w:bCs/>
                <w:noProof/>
                <w:sz w:val="22"/>
                <w:szCs w:val="22"/>
              </w:rPr>
            </w:pPr>
            <w:r>
              <w:rPr>
                <w:b/>
                <w:noProof/>
                <w:sz w:val="22"/>
              </w:rPr>
              <w:t xml:space="preserve">Други действия </w:t>
            </w:r>
          </w:p>
        </w:tc>
        <w:tc>
          <w:tcPr>
            <w:tcW w:w="2551" w:type="dxa"/>
            <w:noWrap/>
          </w:tcPr>
          <w:p>
            <w:pPr>
              <w:spacing w:line="360" w:lineRule="auto"/>
              <w:jc w:val="right"/>
              <w:rPr>
                <w:b/>
                <w:noProof/>
                <w:sz w:val="22"/>
                <w:szCs w:val="22"/>
              </w:rPr>
            </w:pPr>
          </w:p>
        </w:tc>
        <w:tc>
          <w:tcPr>
            <w:tcW w:w="2552" w:type="dxa"/>
            <w:noWrap/>
          </w:tcPr>
          <w:p>
            <w:pPr>
              <w:tabs>
                <w:tab w:val="decimal" w:pos="792"/>
              </w:tabs>
              <w:spacing w:line="360" w:lineRule="auto"/>
              <w:jc w:val="right"/>
              <w:rPr>
                <w:b/>
                <w:noProof/>
                <w:sz w:val="22"/>
                <w:szCs w:val="22"/>
              </w:rPr>
            </w:pPr>
          </w:p>
        </w:tc>
      </w:tr>
      <w:tr>
        <w:trPr>
          <w:trHeight w:val="517"/>
        </w:trPr>
        <w:tc>
          <w:tcPr>
            <w:tcW w:w="4361" w:type="dxa"/>
            <w:noWrap/>
          </w:tcPr>
          <w:p>
            <w:pPr>
              <w:spacing w:line="360" w:lineRule="auto"/>
              <w:jc w:val="right"/>
              <w:rPr>
                <w:b/>
                <w:bCs/>
                <w:noProof/>
                <w:sz w:val="22"/>
                <w:szCs w:val="22"/>
              </w:rPr>
            </w:pPr>
            <w:r>
              <w:rPr>
                <w:b/>
                <w:i/>
                <w:noProof/>
                <w:sz w:val="22"/>
              </w:rPr>
              <w:t>Управлявани от CHAFEA</w:t>
            </w:r>
          </w:p>
        </w:tc>
        <w:tc>
          <w:tcPr>
            <w:tcW w:w="2551" w:type="dxa"/>
            <w:noWrap/>
          </w:tcPr>
          <w:p>
            <w:pPr>
              <w:spacing w:line="360" w:lineRule="auto"/>
              <w:jc w:val="right"/>
              <w:rPr>
                <w:bCs/>
                <w:noProof/>
                <w:sz w:val="22"/>
                <w:szCs w:val="22"/>
              </w:rPr>
            </w:pPr>
            <w:r>
              <w:rPr>
                <w:noProof/>
                <w:sz w:val="22"/>
              </w:rPr>
              <w:t>500 000,00</w:t>
            </w:r>
          </w:p>
        </w:tc>
        <w:tc>
          <w:tcPr>
            <w:tcW w:w="2552" w:type="dxa"/>
            <w:noWrap/>
          </w:tcPr>
          <w:p>
            <w:pPr>
              <w:tabs>
                <w:tab w:val="decimal" w:pos="792"/>
              </w:tabs>
              <w:spacing w:line="360" w:lineRule="auto"/>
              <w:jc w:val="right"/>
              <w:rPr>
                <w:bCs/>
                <w:noProof/>
                <w:sz w:val="22"/>
                <w:szCs w:val="22"/>
              </w:rPr>
            </w:pPr>
            <w:r>
              <w:rPr>
                <w:noProof/>
                <w:sz w:val="22"/>
              </w:rPr>
              <w:t>0,9 %</w:t>
            </w:r>
          </w:p>
        </w:tc>
      </w:tr>
      <w:tr>
        <w:trPr>
          <w:trHeight w:val="517"/>
        </w:trPr>
        <w:tc>
          <w:tcPr>
            <w:tcW w:w="4361" w:type="dxa"/>
            <w:noWrap/>
          </w:tcPr>
          <w:p>
            <w:pPr>
              <w:spacing w:line="360" w:lineRule="auto"/>
              <w:jc w:val="right"/>
              <w:rPr>
                <w:b/>
                <w:bCs/>
                <w:noProof/>
                <w:sz w:val="22"/>
                <w:szCs w:val="22"/>
              </w:rPr>
            </w:pPr>
            <w:r>
              <w:rPr>
                <w:b/>
                <w:i/>
                <w:noProof/>
                <w:sz w:val="22"/>
              </w:rPr>
              <w:t>Управлявани от ГД „Здравеопазване и безопасност на храните“</w:t>
            </w:r>
          </w:p>
        </w:tc>
        <w:tc>
          <w:tcPr>
            <w:tcW w:w="2551" w:type="dxa"/>
            <w:noWrap/>
          </w:tcPr>
          <w:p>
            <w:pPr>
              <w:spacing w:line="360" w:lineRule="auto"/>
              <w:jc w:val="right"/>
              <w:rPr>
                <w:bCs/>
                <w:noProof/>
                <w:sz w:val="22"/>
                <w:szCs w:val="22"/>
              </w:rPr>
            </w:pPr>
            <w:r>
              <w:rPr>
                <w:noProof/>
                <w:sz w:val="22"/>
              </w:rPr>
              <w:t>945 177,40</w:t>
            </w:r>
          </w:p>
        </w:tc>
        <w:tc>
          <w:tcPr>
            <w:tcW w:w="2552" w:type="dxa"/>
            <w:noWrap/>
          </w:tcPr>
          <w:p>
            <w:pPr>
              <w:tabs>
                <w:tab w:val="decimal" w:pos="792"/>
              </w:tabs>
              <w:spacing w:line="360" w:lineRule="auto"/>
              <w:jc w:val="right"/>
              <w:rPr>
                <w:bCs/>
                <w:noProof/>
                <w:sz w:val="22"/>
                <w:szCs w:val="22"/>
              </w:rPr>
            </w:pPr>
            <w:r>
              <w:rPr>
                <w:noProof/>
                <w:sz w:val="22"/>
              </w:rPr>
              <w:t>1,7 %</w:t>
            </w:r>
          </w:p>
        </w:tc>
      </w:tr>
      <w:tr>
        <w:trPr>
          <w:trHeight w:val="340"/>
        </w:trPr>
        <w:tc>
          <w:tcPr>
            <w:tcW w:w="4361" w:type="dxa"/>
            <w:noWrap/>
          </w:tcPr>
          <w:p>
            <w:pPr>
              <w:spacing w:line="360" w:lineRule="auto"/>
              <w:jc w:val="both"/>
              <w:rPr>
                <w:b/>
                <w:bCs/>
                <w:noProof/>
                <w:sz w:val="22"/>
                <w:szCs w:val="22"/>
              </w:rPr>
            </w:pPr>
            <w:r>
              <w:rPr>
                <w:b/>
                <w:noProof/>
                <w:sz w:val="22"/>
              </w:rPr>
              <w:t>Усвояване на бюджета през 2015 г.</w:t>
            </w:r>
          </w:p>
        </w:tc>
        <w:tc>
          <w:tcPr>
            <w:tcW w:w="2551" w:type="dxa"/>
            <w:noWrap/>
          </w:tcPr>
          <w:p>
            <w:pPr>
              <w:spacing w:line="360" w:lineRule="auto"/>
              <w:jc w:val="right"/>
              <w:rPr>
                <w:b/>
                <w:noProof/>
                <w:sz w:val="22"/>
                <w:szCs w:val="22"/>
              </w:rPr>
            </w:pPr>
            <w:r>
              <w:rPr>
                <w:b/>
                <w:noProof/>
                <w:sz w:val="22"/>
              </w:rPr>
              <w:t>54 778 018,75</w:t>
            </w:r>
          </w:p>
        </w:tc>
        <w:tc>
          <w:tcPr>
            <w:tcW w:w="2552" w:type="dxa"/>
            <w:noWrap/>
          </w:tcPr>
          <w:p>
            <w:pPr>
              <w:tabs>
                <w:tab w:val="decimal" w:pos="792"/>
              </w:tabs>
              <w:spacing w:line="360" w:lineRule="auto"/>
              <w:jc w:val="right"/>
              <w:rPr>
                <w:noProof/>
                <w:sz w:val="22"/>
                <w:szCs w:val="22"/>
              </w:rPr>
            </w:pPr>
            <w:r>
              <w:rPr>
                <w:noProof/>
                <w:sz w:val="22"/>
              </w:rPr>
              <w:t>100 %</w:t>
            </w:r>
          </w:p>
        </w:tc>
      </w:tr>
      <w:tr>
        <w:trPr>
          <w:trHeight w:val="340"/>
        </w:trPr>
        <w:tc>
          <w:tcPr>
            <w:tcW w:w="4361" w:type="dxa"/>
            <w:noWrap/>
          </w:tcPr>
          <w:p>
            <w:pPr>
              <w:spacing w:line="360" w:lineRule="auto"/>
              <w:jc w:val="both"/>
              <w:rPr>
                <w:b/>
                <w:bCs/>
                <w:noProof/>
                <w:sz w:val="22"/>
                <w:szCs w:val="22"/>
              </w:rPr>
            </w:pPr>
            <w:r>
              <w:rPr>
                <w:b/>
                <w:noProof/>
                <w:sz w:val="22"/>
              </w:rPr>
              <w:t>Общ разполагаем бюджет</w:t>
            </w:r>
          </w:p>
        </w:tc>
        <w:tc>
          <w:tcPr>
            <w:tcW w:w="2551" w:type="dxa"/>
            <w:noWrap/>
          </w:tcPr>
          <w:p>
            <w:pPr>
              <w:spacing w:line="360" w:lineRule="auto"/>
              <w:ind w:left="-108" w:right="33"/>
              <w:jc w:val="right"/>
              <w:rPr>
                <w:b/>
                <w:noProof/>
                <w:sz w:val="22"/>
                <w:szCs w:val="22"/>
              </w:rPr>
            </w:pPr>
            <w:r>
              <w:rPr>
                <w:b/>
                <w:noProof/>
                <w:sz w:val="22"/>
              </w:rPr>
              <w:t xml:space="preserve">         55 629 805,00</w:t>
            </w:r>
          </w:p>
        </w:tc>
        <w:tc>
          <w:tcPr>
            <w:tcW w:w="2552" w:type="dxa"/>
            <w:noWrap/>
          </w:tcPr>
          <w:p>
            <w:pPr>
              <w:spacing w:line="360" w:lineRule="auto"/>
              <w:jc w:val="both"/>
              <w:rPr>
                <w:noProof/>
                <w:sz w:val="22"/>
                <w:szCs w:val="22"/>
              </w:rPr>
            </w:pPr>
          </w:p>
        </w:tc>
      </w:tr>
      <w:tr>
        <w:trPr>
          <w:trHeight w:val="255"/>
        </w:trPr>
        <w:tc>
          <w:tcPr>
            <w:tcW w:w="4361" w:type="dxa"/>
            <w:noWrap/>
          </w:tcPr>
          <w:p>
            <w:pPr>
              <w:spacing w:line="360" w:lineRule="auto"/>
              <w:jc w:val="both"/>
              <w:rPr>
                <w:bCs/>
                <w:noProof/>
                <w:sz w:val="22"/>
                <w:szCs w:val="22"/>
              </w:rPr>
            </w:pPr>
            <w:r>
              <w:rPr>
                <w:b/>
                <w:noProof/>
                <w:sz w:val="22"/>
              </w:rPr>
              <w:t>Неусвоени кредити</w:t>
            </w:r>
            <w:r>
              <w:rPr>
                <w:rStyle w:val="FootnoteReference"/>
                <w:b/>
                <w:noProof/>
                <w:sz w:val="22"/>
              </w:rPr>
              <w:footnoteReference w:id="8"/>
            </w:r>
            <w:r>
              <w:rPr>
                <w:noProof/>
                <w:sz w:val="22"/>
              </w:rPr>
              <w:t xml:space="preserve"> </w:t>
            </w:r>
          </w:p>
        </w:tc>
        <w:tc>
          <w:tcPr>
            <w:tcW w:w="2551" w:type="dxa"/>
            <w:noWrap/>
          </w:tcPr>
          <w:p>
            <w:pPr>
              <w:spacing w:line="360" w:lineRule="auto"/>
              <w:jc w:val="right"/>
              <w:rPr>
                <w:b/>
                <w:noProof/>
                <w:sz w:val="22"/>
                <w:szCs w:val="22"/>
              </w:rPr>
            </w:pPr>
          </w:p>
        </w:tc>
        <w:tc>
          <w:tcPr>
            <w:tcW w:w="2552" w:type="dxa"/>
            <w:noWrap/>
          </w:tcPr>
          <w:p>
            <w:pPr>
              <w:spacing w:line="360" w:lineRule="auto"/>
              <w:jc w:val="both"/>
              <w:rPr>
                <w:noProof/>
                <w:sz w:val="22"/>
                <w:szCs w:val="22"/>
              </w:rPr>
            </w:pPr>
          </w:p>
        </w:tc>
      </w:tr>
      <w:tr>
        <w:trPr>
          <w:trHeight w:val="517"/>
        </w:trPr>
        <w:tc>
          <w:tcPr>
            <w:tcW w:w="4361" w:type="dxa"/>
            <w:noWrap/>
          </w:tcPr>
          <w:p>
            <w:pPr>
              <w:spacing w:line="360" w:lineRule="auto"/>
              <w:jc w:val="right"/>
              <w:rPr>
                <w:b/>
                <w:bCs/>
                <w:noProof/>
                <w:sz w:val="22"/>
                <w:szCs w:val="22"/>
              </w:rPr>
            </w:pPr>
            <w:r>
              <w:rPr>
                <w:b/>
                <w:i/>
                <w:noProof/>
                <w:sz w:val="22"/>
              </w:rPr>
              <w:t>от CHAFEA</w:t>
            </w:r>
          </w:p>
        </w:tc>
        <w:tc>
          <w:tcPr>
            <w:tcW w:w="2551" w:type="dxa"/>
            <w:noWrap/>
          </w:tcPr>
          <w:p>
            <w:pPr>
              <w:spacing w:line="360" w:lineRule="auto"/>
              <w:jc w:val="right"/>
              <w:rPr>
                <w:bCs/>
                <w:noProof/>
                <w:sz w:val="22"/>
                <w:szCs w:val="22"/>
              </w:rPr>
            </w:pPr>
            <w:r>
              <w:rPr>
                <w:noProof/>
                <w:sz w:val="22"/>
              </w:rPr>
              <w:t>218 478,65</w:t>
            </w:r>
          </w:p>
        </w:tc>
        <w:tc>
          <w:tcPr>
            <w:tcW w:w="2552" w:type="dxa"/>
            <w:noWrap/>
          </w:tcPr>
          <w:p>
            <w:pPr>
              <w:tabs>
                <w:tab w:val="decimal" w:pos="792"/>
              </w:tabs>
              <w:spacing w:line="360" w:lineRule="auto"/>
              <w:jc w:val="right"/>
              <w:rPr>
                <w:bCs/>
                <w:noProof/>
                <w:sz w:val="22"/>
                <w:szCs w:val="22"/>
              </w:rPr>
            </w:pPr>
          </w:p>
        </w:tc>
      </w:tr>
      <w:tr>
        <w:trPr>
          <w:trHeight w:val="517"/>
        </w:trPr>
        <w:tc>
          <w:tcPr>
            <w:tcW w:w="4361" w:type="dxa"/>
            <w:noWrap/>
          </w:tcPr>
          <w:p>
            <w:pPr>
              <w:spacing w:line="360" w:lineRule="auto"/>
              <w:jc w:val="right"/>
              <w:rPr>
                <w:b/>
                <w:bCs/>
                <w:noProof/>
                <w:sz w:val="22"/>
                <w:szCs w:val="22"/>
              </w:rPr>
            </w:pPr>
            <w:r>
              <w:rPr>
                <w:b/>
                <w:i/>
                <w:noProof/>
                <w:sz w:val="22"/>
              </w:rPr>
              <w:t xml:space="preserve"> от ГД „Здравеопазване и безопасност на храните“</w:t>
            </w:r>
          </w:p>
        </w:tc>
        <w:tc>
          <w:tcPr>
            <w:tcW w:w="2551" w:type="dxa"/>
            <w:noWrap/>
          </w:tcPr>
          <w:p>
            <w:pPr>
              <w:spacing w:line="360" w:lineRule="auto"/>
              <w:jc w:val="right"/>
              <w:rPr>
                <w:bCs/>
                <w:noProof/>
                <w:sz w:val="22"/>
                <w:szCs w:val="22"/>
              </w:rPr>
            </w:pPr>
            <w:r>
              <w:rPr>
                <w:noProof/>
                <w:sz w:val="22"/>
              </w:rPr>
              <w:t>633 307,60</w:t>
            </w:r>
          </w:p>
        </w:tc>
        <w:tc>
          <w:tcPr>
            <w:tcW w:w="2552" w:type="dxa"/>
            <w:noWrap/>
          </w:tcPr>
          <w:p>
            <w:pPr>
              <w:tabs>
                <w:tab w:val="decimal" w:pos="792"/>
              </w:tabs>
              <w:spacing w:line="360" w:lineRule="auto"/>
              <w:jc w:val="right"/>
              <w:rPr>
                <w:bCs/>
                <w:noProof/>
                <w:sz w:val="22"/>
                <w:szCs w:val="22"/>
              </w:rPr>
            </w:pPr>
          </w:p>
        </w:tc>
      </w:tr>
    </w:tbl>
    <w:p>
      <w:pPr>
        <w:rPr>
          <w:rFonts w:eastAsia="Calibri" w:cs="Times New Roman"/>
          <w:b/>
          <w:bCs/>
          <w:noProof/>
          <w:kern w:val="32"/>
          <w:sz w:val="28"/>
          <w:szCs w:val="28"/>
        </w:rPr>
      </w:pPr>
      <w:bookmarkStart w:id="37" w:name="_Toc472077575"/>
      <w:r>
        <w:rPr>
          <w:noProof/>
        </w:rPr>
        <w:br w:type="page"/>
      </w:r>
    </w:p>
    <w:p>
      <w:pPr>
        <w:pStyle w:val="ManualHeading2"/>
        <w:rPr>
          <w:noProof/>
        </w:rPr>
      </w:pPr>
      <w:bookmarkStart w:id="38" w:name="_Toc520120181"/>
      <w:bookmarkStart w:id="39" w:name="_Toc530049250"/>
      <w:r>
        <w:t>4.</w:t>
      </w:r>
      <w:r>
        <w:tab/>
      </w:r>
      <w:r>
        <w:rPr>
          <w:noProof/>
        </w:rPr>
        <w:t>Бенефициери</w:t>
      </w:r>
      <w:bookmarkEnd w:id="37"/>
      <w:bookmarkEnd w:id="38"/>
      <w:bookmarkEnd w:id="39"/>
    </w:p>
    <w:p>
      <w:pPr>
        <w:spacing w:line="360" w:lineRule="auto"/>
        <w:jc w:val="both"/>
        <w:rPr>
          <w:rFonts w:cs="Times New Roman"/>
          <w:noProof/>
        </w:rPr>
      </w:pPr>
      <w:r>
        <w:rPr>
          <w:noProof/>
        </w:rPr>
        <w:t>През 2015 г. бяха подписани над 200</w:t>
      </w:r>
      <w:r>
        <w:rPr>
          <w:rStyle w:val="FootnoteReference"/>
          <w:noProof/>
        </w:rPr>
        <w:footnoteReference w:id="9"/>
      </w:r>
      <w:r>
        <w:rPr>
          <w:noProof/>
        </w:rPr>
        <w:t> различни споразумения за отпускане на безвъзмездни средства и договори за предоставяне на услуги с различни бенефициери и доставчици на услуги, включващи от правителствени и неправителствени организации до академични институции и частни дружества. Категорията „други“ включва бенефициери, като например доставчици на здравно обслужване и международни организации. На фигура 3 е представен общ преглед на различните групи бенефициери.</w:t>
      </w:r>
    </w:p>
    <w:p>
      <w:pPr>
        <w:spacing w:before="120" w:after="120" w:line="360" w:lineRule="auto"/>
        <w:jc w:val="center"/>
        <w:rPr>
          <w:rFonts w:cs="Times New Roman"/>
          <w:b/>
          <w:noProof/>
        </w:rPr>
      </w:pPr>
      <w:r>
        <w:rPr>
          <w:b/>
          <w:noProof/>
        </w:rPr>
        <w:t>Фигура 3:  Видове бенефициери по Третата здравна програма през 2015 г.</w:t>
      </w:r>
    </w:p>
    <w:p>
      <w:pPr>
        <w:spacing w:line="360" w:lineRule="auto"/>
        <w:jc w:val="center"/>
        <w:rPr>
          <w:rFonts w:cs="Times New Roman"/>
          <w:noProof/>
        </w:rPr>
      </w:pPr>
      <w:r>
        <w:rPr>
          <w:noProof/>
          <w:lang w:val="en-GB" w:eastAsia="en-GB" w:bidi="ar-SA"/>
        </w:rPr>
        <w:drawing>
          <wp:inline distT="0" distB="0" distL="0" distR="0">
            <wp:extent cx="4038600" cy="2559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38600" cy="2559050"/>
                    </a:xfrm>
                    <a:prstGeom prst="rect">
                      <a:avLst/>
                    </a:prstGeom>
                    <a:noFill/>
                    <a:ln>
                      <a:noFill/>
                    </a:ln>
                  </pic:spPr>
                </pic:pic>
              </a:graphicData>
            </a:graphic>
          </wp:inline>
        </w:drawing>
      </w:r>
    </w:p>
    <w:p>
      <w:pPr>
        <w:pStyle w:val="Heading1"/>
        <w:rPr>
          <w:rFonts w:eastAsia="Calibri"/>
          <w:noProof/>
          <w:sz w:val="28"/>
          <w:szCs w:val="28"/>
        </w:rPr>
      </w:pPr>
      <w:bookmarkStart w:id="40" w:name="_Toc472077576"/>
    </w:p>
    <w:p>
      <w:pPr>
        <w:pStyle w:val="Heading1"/>
        <w:spacing w:before="240"/>
        <w:rPr>
          <w:rFonts w:eastAsia="Calibri"/>
          <w:noProof/>
        </w:rPr>
      </w:pPr>
      <w:bookmarkStart w:id="41" w:name="_Toc520120182"/>
      <w:bookmarkStart w:id="42" w:name="_Toc530049251"/>
      <w:r>
        <w:rPr>
          <w:noProof/>
          <w:sz w:val="28"/>
        </w:rPr>
        <w:t>ДРУГИ ОСНОВНИ ХАРАКТЕРИСТИКИ</w:t>
      </w:r>
      <w:bookmarkEnd w:id="40"/>
      <w:bookmarkEnd w:id="41"/>
      <w:bookmarkEnd w:id="42"/>
    </w:p>
    <w:p>
      <w:pPr>
        <w:spacing w:before="240" w:line="360" w:lineRule="auto"/>
        <w:jc w:val="both"/>
        <w:rPr>
          <w:rFonts w:cs="Times New Roman"/>
          <w:noProof/>
        </w:rPr>
      </w:pPr>
      <w:r>
        <w:rPr>
          <w:noProof/>
        </w:rPr>
        <w:t xml:space="preserve">2015 беше втората година от провеждането на Третата здравна програма, която беше сериозно засегната от натиска, причинен от безпрецедентния приток от бежанци към Европа. Това положение постави на изпитание гъвкавостта на програмата за бързо адаптиране към новите нужди на политиките, както и способността на Chafea да реагира адекватно и да изпълнява решенията във връзка с ГРП. </w:t>
      </w:r>
      <w:r>
        <w:rPr>
          <w:noProof/>
          <w:color w:val="000000"/>
        </w:rPr>
        <w:t>Chafea започна процедурите по предоставяне на съответните преки безвъзмездни средства и отправи поканата за представяне на предложения за проекти в рекорден срок и успя да подпише подбраните споразумения за отпускане на безвъзмездни средства по-малко от 3 месеца след изменението на ГРП за 2015 г.</w:t>
      </w:r>
    </w:p>
    <w:p>
      <w:pPr>
        <w:spacing w:before="240" w:line="360" w:lineRule="auto"/>
        <w:jc w:val="both"/>
        <w:rPr>
          <w:rFonts w:cs="Times New Roman"/>
          <w:noProof/>
        </w:rPr>
      </w:pPr>
      <w:r>
        <w:rPr>
          <w:noProof/>
        </w:rPr>
        <w:t xml:space="preserve">За това помогнаха опростените административни процедури, въведени през 2014 г., и порталът за участниците, даващ възможност за подаване на предложенията онлайн, както и онлайн оценяването и подписването чрез електронен подпис на споразуменията за отпускане на безвъзмездни средства. Въпреки някои малки пречки в системата така бе съкратено времето, необходимо за подписване на тези споразумения. </w:t>
      </w:r>
    </w:p>
    <w:p>
      <w:pPr>
        <w:spacing w:line="360" w:lineRule="auto"/>
        <w:jc w:val="both"/>
        <w:rPr>
          <w:rFonts w:cs="Times New Roman"/>
          <w:noProof/>
        </w:rPr>
      </w:pPr>
      <w:r>
        <w:rPr>
          <w:noProof/>
        </w:rPr>
        <w:t>Броят на участниците в съвместни действия продължи да бъде сравнително висок, какъвто беше случаят и с Втората здравна програма и с първата година от Третата здравна програма. През 2015 г. броят на партньорите (бенефициерите) в съвместните действия беше между 10 и 45. Този голям брой представляваше предизвикателство за общото управление и координиране на програмата, тъй като всички партньори трябваше да подпишат споразумението за отпускане на безвъзмездни средства.</w:t>
      </w:r>
    </w:p>
    <w:p>
      <w:pPr>
        <w:spacing w:line="360" w:lineRule="auto"/>
        <w:jc w:val="both"/>
        <w:rPr>
          <w:rFonts w:cs="Times New Roman"/>
          <w:noProof/>
        </w:rPr>
      </w:pPr>
      <w:r>
        <w:rPr>
          <w:noProof/>
        </w:rPr>
        <w:t>В резултат на препоръките, отправени при последващата оценка на Втората здравна програма (2008—2014 г.)</w:t>
      </w:r>
      <w:r>
        <w:rPr>
          <w:rStyle w:val="FootnoteReference"/>
          <w:noProof/>
        </w:rPr>
        <w:footnoteReference w:id="10"/>
      </w:r>
      <w:r>
        <w:rPr>
          <w:noProof/>
        </w:rPr>
        <w:t xml:space="preserve"> и междинната оценка на Третата здравна програма</w:t>
      </w:r>
      <w:r>
        <w:rPr>
          <w:rStyle w:val="FootnoteReference"/>
          <w:noProof/>
        </w:rPr>
        <w:footnoteReference w:id="11"/>
      </w:r>
      <w:r>
        <w:rPr>
          <w:noProof/>
        </w:rPr>
        <w:t>, Chafea инвестира значителни ресурси в дейности за предоставяне на информация и разпространение на резултатите в тясно сътрудничество с ГД „Здравеопазване и безопасност на храните“ и с мрежата на националните звена за контакт по въпросите на здравната програма. Chafea организира няколко работни форума, помогна за организирането на големи национални и международни конференции и организира отделни събития в сътрудничество с националните органи в държавите членки. По-подробно описание на дейностите за разпространение през 2015 г. е дадено в работния документ на службите на Комисията, приложен към настоящия доклад.</w:t>
      </w:r>
    </w:p>
    <w:p>
      <w:pPr>
        <w:spacing w:line="360" w:lineRule="auto"/>
        <w:jc w:val="both"/>
        <w:rPr>
          <w:rFonts w:cs="Times New Roman"/>
          <w:noProof/>
        </w:rPr>
      </w:pPr>
      <w:r>
        <w:rPr>
          <w:noProof/>
        </w:rPr>
        <w:t>Въз основа на процесите и инструментите, разработени в рамките на Третата здравна програма, за спестяване на време и за двете страни беше въведено електронно наблюдение и докладване. В резултат както бенефициерите, така и Сhafea работиха без документи на хартиен носител, по-конкретно в случая със споразуменията за отпускане на безвъзмездни средства.  Системата СОRDA</w:t>
      </w:r>
      <w:r>
        <w:rPr>
          <w:rStyle w:val="FootnoteReference"/>
          <w:noProof/>
        </w:rPr>
        <w:footnoteReference w:id="12"/>
      </w:r>
      <w:r>
        <w:rPr>
          <w:noProof/>
        </w:rPr>
        <w:t xml:space="preserve">, въведена от Общия център за подкрепа за програмата на ЕС за научни изследвания и иновации, обобщава данните, събрани за всички съфинансирани действия, ръководени от Сhafea и следени с помощта на електронните инструменти на „Хоризонт 2020“. Тази система е основният източник на информация, осъществяващ обратна връзка относно това дали са постигнати целите и приоритетите на програмата и за видовете съфинансирани действия и организации. </w:t>
      </w:r>
    </w:p>
    <w:p>
      <w:pPr>
        <w:spacing w:line="360" w:lineRule="auto"/>
        <w:jc w:val="both"/>
        <w:rPr>
          <w:rFonts w:cs="Times New Roman"/>
          <w:noProof/>
        </w:rPr>
      </w:pPr>
      <w:r>
        <w:rPr>
          <w:noProof/>
        </w:rPr>
        <w:t>Предстои въвеждането на допълнителни подобрения през следващите години, сред които са подобрена система за електронно наблюдение и докладване, както и по-добро и по-целенасочено разпространение. Ще продължат освен това усилията за по-широко участие на организации и институции от държавите, които до момента са били слабо представени сред бенефициерите.</w:t>
      </w:r>
    </w:p>
    <w:p>
      <w:pPr>
        <w:spacing w:line="360" w:lineRule="auto"/>
        <w:jc w:val="both"/>
        <w:rPr>
          <w:noProof/>
        </w:rPr>
      </w:pPr>
      <w:r>
        <w:rPr>
          <w:noProof/>
        </w:rPr>
        <w:t>Определянето на ключови приоритетни области за всяка година от програмата доказа добавената стойност от осигуряване на приемственост между годишните работни програми. Това доведе до подобряване на общата съгласуваност и последователност на Третата здравна програма и допринесе за използването на достиженията и резултатите от предходните цикли на финансиране.</w:t>
      </w:r>
    </w:p>
    <w:sectPr>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70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dvTT82cee651.BI">
    <w:panose1 w:val="00000000000000000000"/>
    <w:charset w:val="00"/>
    <w:family w:val="roman"/>
    <w:notTrueType/>
    <w:pitch w:val="default"/>
    <w:sig w:usb0="00000003" w:usb1="00000000" w:usb2="00000000" w:usb3="00000000" w:csb0="00000001" w:csb1="00000000"/>
  </w:font>
  <w:font w:name="AdvTTd832f767">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BG</w:t>
    </w:r>
    <w:r>
      <w:rPr>
        <w:rFonts w:ascii="Arial" w:hAnsi="Arial" w:cs="Arial"/>
        <w:b/>
        <w:sz w:val="48"/>
      </w:rPr>
      <w:tab/>
    </w:r>
    <w:r>
      <w:rPr>
        <w:rFonts w:ascii="Arial" w:hAnsi="Arial" w:cs="Arial"/>
        <w:b/>
        <w:sz w:val="48"/>
      </w:rPr>
      <w:tab/>
    </w:r>
    <w:r>
      <w:tab/>
    </w:r>
    <w:r>
      <w:rPr>
        <w:rFonts w:ascii="Arial" w:hAnsi="Arial" w:cs="Arial"/>
        <w:b/>
        <w:sz w:val="48"/>
      </w:rPr>
      <w:t>BG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4097951"/>
      <w:docPartObj>
        <w:docPartGallery w:val="Page Numbers (Bottom of Page)"/>
        <w:docPartUnique/>
      </w:docPartObj>
    </w:sdtPr>
    <w:sdtContent>
      <w:p>
        <w:pPr>
          <w:pStyle w:val="Footer"/>
          <w:jc w:val="right"/>
        </w:pPr>
        <w:r>
          <w:fldChar w:fldCharType="begin"/>
        </w:r>
        <w:r>
          <w:instrText xml:space="preserve"> PAGE   \* MERGEFORMAT </w:instrText>
        </w:r>
        <w:r>
          <w:fldChar w:fldCharType="separate"/>
        </w:r>
        <w:r>
          <w:rPr>
            <w:noProof/>
          </w:rPr>
          <w:t>13</w:t>
        </w:r>
        <w: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spacing w:after="0"/>
        <w:rPr>
          <w:rFonts w:asciiTheme="minorHAnsi" w:hAnsiTheme="minorHAnsi"/>
          <w:lang w:val="pl-PL"/>
        </w:rPr>
      </w:pPr>
      <w:r>
        <w:rPr>
          <w:rStyle w:val="FootnoteReference"/>
          <w:rFonts w:asciiTheme="minorHAnsi" w:hAnsiTheme="minorHAnsi"/>
        </w:rPr>
        <w:footnoteRef/>
      </w:r>
      <w:r>
        <w:rPr>
          <w:rFonts w:asciiTheme="minorHAnsi" w:hAnsiTheme="minorHAnsi"/>
        </w:rPr>
        <w:t xml:space="preserve"> OВ L 86, 21.3.2014 г., стр. 1.</w:t>
      </w:r>
    </w:p>
  </w:footnote>
  <w:footnote w:id="3">
    <w:p>
      <w:pPr>
        <w:pStyle w:val="FootnoteText"/>
        <w:spacing w:after="0"/>
        <w:rPr>
          <w:rFonts w:asciiTheme="minorHAnsi" w:hAnsiTheme="minorHAnsi"/>
          <w:lang w:val="pl-PL"/>
        </w:rPr>
      </w:pPr>
      <w:r>
        <w:rPr>
          <w:rStyle w:val="FootnoteReference"/>
          <w:rFonts w:asciiTheme="minorHAnsi" w:hAnsiTheme="minorHAnsi"/>
        </w:rPr>
        <w:footnoteRef/>
      </w:r>
      <w:r>
        <w:rPr>
          <w:rFonts w:asciiTheme="minorHAnsi" w:hAnsiTheme="minorHAnsi"/>
        </w:rPr>
        <w:t xml:space="preserve"> ОВ L 301, 20.11.2007 г., стр. 3.</w:t>
      </w:r>
    </w:p>
  </w:footnote>
  <w:footnote w:id="4">
    <w:p>
      <w:pPr>
        <w:pStyle w:val="FootnoteText"/>
        <w:rPr>
          <w:lang w:val="pl-PL"/>
        </w:rPr>
      </w:pPr>
      <w:r>
        <w:rPr>
          <w:rStyle w:val="FootnoteReference"/>
          <w:rFonts w:asciiTheme="minorHAnsi" w:hAnsiTheme="minorHAnsi"/>
        </w:rPr>
        <w:footnoteRef/>
      </w:r>
      <w:r>
        <w:rPr>
          <w:rFonts w:asciiTheme="minorHAnsi" w:hAnsiTheme="minorHAnsi"/>
        </w:rPr>
        <w:t xml:space="preserve"> </w:t>
      </w:r>
      <w:hyperlink r:id="rId1">
        <w:r>
          <w:rPr>
            <w:rStyle w:val="Hyperlink"/>
            <w:rFonts w:asciiTheme="minorHAnsi" w:hAnsiTheme="minorHAnsi"/>
          </w:rPr>
          <w:t>https://ec.europa.eu/health/sites/health/files/programme/docs/wp2015_amendment_en.pdf</w:t>
        </w:r>
      </w:hyperlink>
    </w:p>
  </w:footnote>
  <w:footnote w:id="5">
    <w:p>
      <w:pPr>
        <w:pStyle w:val="FootnoteText"/>
      </w:pPr>
      <w:r>
        <w:rPr>
          <w:rStyle w:val="FootnoteReference"/>
        </w:rPr>
        <w:footnoteRef/>
      </w:r>
      <w:r>
        <w:t xml:space="preserve"> </w:t>
      </w:r>
      <w:r>
        <w:rPr>
          <w:rStyle w:val="Hyperlink"/>
          <w:rFonts w:asciiTheme="minorHAnsi" w:hAnsiTheme="minorHAnsi"/>
        </w:rPr>
        <w:t>Поканата за представяне на предложения беше публикувана през октомври 2015 г.</w:t>
      </w:r>
    </w:p>
  </w:footnote>
  <w:footnote w:id="6">
    <w:p>
      <w:pPr>
        <w:pStyle w:val="FootnoteText"/>
        <w:spacing w:after="0" w:line="240" w:lineRule="auto"/>
        <w:jc w:val="both"/>
        <w:rPr>
          <w:rFonts w:asciiTheme="minorHAnsi" w:hAnsiTheme="minorHAnsi"/>
        </w:rPr>
      </w:pPr>
      <w:r>
        <w:rPr>
          <w:rStyle w:val="FootnoteReference"/>
          <w:rFonts w:asciiTheme="minorHAnsi" w:hAnsiTheme="minorHAnsi"/>
        </w:rPr>
        <w:footnoteRef/>
      </w:r>
      <w:r>
        <w:rPr>
          <w:rFonts w:asciiTheme="minorHAnsi" w:hAnsiTheme="minorHAnsi"/>
        </w:rPr>
        <w:t xml:space="preserve"> Решение 2004/858/ЕО от 15 декември 2004 г. (OВ L 369, 16.12.2005 г., стр. 73), изменено с Решение 2008/544/ЕО от 20 юни 2008 г. (OВ L 173, 3.7.2008 г., стр. 27). От декември 2014 г. насам </w:t>
      </w:r>
      <w:r>
        <w:rPr>
          <w:rStyle w:val="Strong"/>
          <w:rFonts w:asciiTheme="minorHAnsi" w:hAnsiTheme="minorHAnsi"/>
          <w:b w:val="0"/>
        </w:rPr>
        <w:t>Chafea</w:t>
      </w:r>
      <w:r>
        <w:rPr>
          <w:rFonts w:asciiTheme="minorHAnsi" w:hAnsiTheme="minorHAnsi"/>
        </w:rPr>
        <w:t xml:space="preserve"> замени Изпълнителната агенция за здравеопазване и въпроси, свързани с потребителите (ЕАНС) по силата на </w:t>
      </w:r>
      <w:hyperlink r:id="rId2">
        <w:r>
          <w:rPr>
            <w:rStyle w:val="Hyperlink"/>
            <w:rFonts w:asciiTheme="minorHAnsi" w:hAnsiTheme="minorHAnsi"/>
          </w:rPr>
          <w:t>Решение за изпълнение 2014/927/EС на Комисията</w:t>
        </w:r>
      </w:hyperlink>
      <w:r>
        <w:t>.</w:t>
      </w:r>
    </w:p>
  </w:footnote>
  <w:footnote w:id="7">
    <w:p>
      <w:pPr>
        <w:pStyle w:val="FootnoteText"/>
        <w:spacing w:after="0" w:line="240" w:lineRule="auto"/>
        <w:jc w:val="both"/>
        <w:rPr>
          <w:rFonts w:ascii="Times New Roman" w:hAnsi="Times New Roman"/>
        </w:rPr>
      </w:pPr>
      <w:r>
        <w:rPr>
          <w:rStyle w:val="FootnoteReference"/>
          <w:rFonts w:asciiTheme="minorHAnsi" w:hAnsiTheme="minorHAnsi"/>
        </w:rPr>
        <w:footnoteRef/>
      </w:r>
      <w:r>
        <w:rPr>
          <w:rFonts w:asciiTheme="minorHAnsi" w:hAnsiTheme="minorHAnsi"/>
        </w:rPr>
        <w:t xml:space="preserve"> </w:t>
      </w:r>
      <w:hyperlink r:id="rId3">
        <w:r>
          <w:rPr>
            <w:rStyle w:val="Hyperlink"/>
            <w:rFonts w:asciiTheme="minorHAnsi" w:hAnsiTheme="minorHAnsi"/>
          </w:rPr>
          <w:t>Решение C(2015) 3594 на Комисията от 2 юни 2015 г.</w:t>
        </w:r>
        <w:r>
          <w:rPr>
            <w:rStyle w:val="Hyperlink"/>
            <w:rFonts w:ascii="Times New Roman" w:hAnsi="Times New Roman"/>
          </w:rPr>
          <w:t xml:space="preserve"> </w:t>
        </w:r>
      </w:hyperlink>
      <w:r>
        <w:rPr>
          <w:rStyle w:val="Hyperlink"/>
          <w:rFonts w:ascii="Times New Roman" w:hAnsi="Times New Roman"/>
        </w:rPr>
        <w:t xml:space="preserve">(вж на следния адрес: </w:t>
      </w:r>
      <w:hyperlink r:id="rId4">
        <w:r>
          <w:rPr>
            <w:rStyle w:val="Hyperlink"/>
            <w:rFonts w:ascii="Times New Roman" w:hAnsi="Times New Roman"/>
          </w:rPr>
          <w:t>https://ec.europa.eu/health/sites/health/files/programmes/docs/wp2015_en.pdf</w:t>
        </w:r>
      </w:hyperlink>
      <w:r>
        <w:rPr>
          <w:rFonts w:ascii="Times New Roman" w:hAnsi="Times New Roman"/>
        </w:rPr>
        <w:t>.</w:t>
      </w:r>
    </w:p>
  </w:footnote>
  <w:footnote w:id="8">
    <w:p>
      <w:pPr>
        <w:pStyle w:val="FootnoteText"/>
        <w:spacing w:after="0"/>
        <w:rPr>
          <w:rFonts w:asciiTheme="minorHAnsi" w:hAnsiTheme="minorHAnsi"/>
        </w:rPr>
      </w:pPr>
      <w:r>
        <w:rPr>
          <w:rStyle w:val="FootnoteReference"/>
          <w:rFonts w:asciiTheme="minorHAnsi" w:hAnsiTheme="minorHAnsi"/>
        </w:rPr>
        <w:footnoteRef/>
      </w:r>
      <w:r>
        <w:rPr>
          <w:rFonts w:asciiTheme="minorHAnsi" w:hAnsiTheme="minorHAnsi"/>
        </w:rPr>
        <w:t xml:space="preserve"> Неусвоени все още предприсъединителни кредити, водещи до разлики между сумите в решението за възлагане на поръчката и действително договорените суми.</w:t>
      </w:r>
    </w:p>
  </w:footnote>
  <w:footnote w:id="9">
    <w:p>
      <w:pPr>
        <w:pStyle w:val="FootnoteText"/>
        <w:rPr>
          <w:rFonts w:asciiTheme="minorHAnsi" w:hAnsiTheme="minorHAnsi"/>
        </w:rPr>
      </w:pPr>
      <w:r>
        <w:rPr>
          <w:rStyle w:val="FootnoteReference"/>
          <w:rFonts w:asciiTheme="minorHAnsi" w:hAnsiTheme="minorHAnsi"/>
        </w:rPr>
        <w:footnoteRef/>
      </w:r>
      <w:r>
        <w:rPr>
          <w:rFonts w:asciiTheme="minorHAnsi" w:hAnsiTheme="minorHAnsi"/>
        </w:rPr>
        <w:t xml:space="preserve"> Това изключва договори, подписани с отделни експерти, напр. участващите в научните комитети.</w:t>
      </w:r>
    </w:p>
  </w:footnote>
  <w:footnote w:id="10">
    <w:p>
      <w:pPr>
        <w:pStyle w:val="FootnoteText"/>
      </w:pPr>
      <w:r>
        <w:rPr>
          <w:rStyle w:val="FootnoteReference"/>
        </w:rPr>
        <w:footnoteRef/>
      </w:r>
      <w:r>
        <w:t xml:space="preserve"> COM(2016) 243 final от 10.5.2016 г.</w:t>
      </w:r>
    </w:p>
  </w:footnote>
  <w:footnote w:id="11">
    <w:p>
      <w:pPr>
        <w:pStyle w:val="FootnoteText"/>
      </w:pPr>
      <w:r>
        <w:rPr>
          <w:rStyle w:val="FootnoteReference"/>
        </w:rPr>
        <w:footnoteRef/>
      </w:r>
      <w:r>
        <w:t xml:space="preserve"> COM(2017) 586 final от 11.10.2017 г.</w:t>
      </w:r>
    </w:p>
  </w:footnote>
  <w:footnote w:id="12">
    <w:p>
      <w:pPr>
        <w:pStyle w:val="FootnoteText"/>
      </w:pPr>
      <w:r>
        <w:rPr>
          <w:rStyle w:val="FootnoteReference"/>
        </w:rPr>
        <w:footnoteRef/>
      </w:r>
      <w:r>
        <w:t xml:space="preserve"> CORDA е общата база данни за научни изследвания, т.е. мястото за съхраняване на цялата информация относно проектите, финансирани от ЕС, и техните резултати. Започнала като база данни за сравнение при научни изследвания, финансирани от ЕС, още от 1990 г., днес тя включва действията, съфинансирани по Третата здравна програма, които се управляват посредством инструментите на „Хоризонт 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68" w:type="dxa"/>
      <w:tblLayout w:type="fixed"/>
      <w:tblCellMar>
        <w:left w:w="0" w:type="dxa"/>
        <w:right w:w="0" w:type="dxa"/>
      </w:tblCellMar>
      <w:tblLook w:val="0000" w:firstRow="0" w:lastRow="0" w:firstColumn="0" w:lastColumn="0" w:noHBand="0" w:noVBand="0"/>
    </w:tblPr>
    <w:tblGrid>
      <w:gridCol w:w="9468"/>
    </w:tblGrid>
    <w:tr>
      <w:trPr>
        <w:trHeight w:val="426"/>
      </w:trPr>
      <w:tc>
        <w:tcPr>
          <w:tcW w:w="9468" w:type="dxa"/>
          <w:tcBorders>
            <w:top w:val="nil"/>
            <w:left w:val="nil"/>
            <w:bottom w:val="nil"/>
            <w:right w:val="nil"/>
          </w:tcBorders>
        </w:tcPr>
        <w:p>
          <w:pPr>
            <w:widowControl w:val="0"/>
            <w:autoSpaceDE w:val="0"/>
            <w:autoSpaceDN w:val="0"/>
            <w:spacing w:after="0"/>
            <w:ind w:right="85"/>
            <w:jc w:val="center"/>
            <w:rPr>
              <w:rFonts w:ascii="Arial" w:hAnsi="Arial" w:cs="Arial"/>
              <w:sz w:val="16"/>
              <w:szCs w:val="16"/>
            </w:rPr>
          </w:pPr>
        </w:p>
      </w:tc>
    </w:tr>
  </w:tbl>
  <w:p>
    <w:pPr>
      <w:pStyle w:val="Header"/>
    </w:pPr>
    <w:r>
      <w:object w:dxaOrig="9072" w:dyaOrig="124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5.25pt;height:621.75pt" o:ole="">
          <v:imagedata r:id="rId1" o:title=""/>
        </v:shape>
        <o:OLEObject Type="Embed" ProgID="Word.Document.12" ShapeID="_x0000_i1026" DrawAspect="Content" ObjectID="_1606116364" r:id="rId2">
          <o:FieldCodes>\s</o:FieldCodes>
        </o:OLEObject>
      </w:obje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A09AA66C"/>
    <w:lvl w:ilvl="0">
      <w:start w:val="1"/>
      <w:numFmt w:val="decimal"/>
      <w:pStyle w:val="ListNumber4"/>
      <w:lvlText w:val="%1."/>
      <w:lvlJc w:val="left"/>
      <w:pPr>
        <w:tabs>
          <w:tab w:val="num" w:pos="1209"/>
        </w:tabs>
        <w:ind w:left="1209" w:hanging="360"/>
      </w:pPr>
    </w:lvl>
  </w:abstractNum>
  <w:abstractNum w:abstractNumId="1">
    <w:nsid w:val="FFFFFF7E"/>
    <w:multiLevelType w:val="singleLevel"/>
    <w:tmpl w:val="B6FC6470"/>
    <w:lvl w:ilvl="0">
      <w:start w:val="1"/>
      <w:numFmt w:val="decimal"/>
      <w:pStyle w:val="ListNumber3"/>
      <w:lvlText w:val="%1."/>
      <w:lvlJc w:val="left"/>
      <w:pPr>
        <w:tabs>
          <w:tab w:val="num" w:pos="926"/>
        </w:tabs>
        <w:ind w:left="926" w:hanging="360"/>
      </w:pPr>
    </w:lvl>
  </w:abstractNum>
  <w:abstractNum w:abstractNumId="2">
    <w:nsid w:val="FFFFFF7F"/>
    <w:multiLevelType w:val="singleLevel"/>
    <w:tmpl w:val="42A06A8A"/>
    <w:lvl w:ilvl="0">
      <w:start w:val="1"/>
      <w:numFmt w:val="decimal"/>
      <w:pStyle w:val="ListNumber2"/>
      <w:lvlText w:val="%1."/>
      <w:lvlJc w:val="left"/>
      <w:pPr>
        <w:tabs>
          <w:tab w:val="num" w:pos="643"/>
        </w:tabs>
        <w:ind w:left="643" w:hanging="360"/>
      </w:pPr>
    </w:lvl>
  </w:abstractNum>
  <w:abstractNum w:abstractNumId="3">
    <w:nsid w:val="FFFFFF81"/>
    <w:multiLevelType w:val="singleLevel"/>
    <w:tmpl w:val="2F36B926"/>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FFFFFF82"/>
    <w:multiLevelType w:val="singleLevel"/>
    <w:tmpl w:val="288CFC56"/>
    <w:lvl w:ilvl="0">
      <w:start w:val="1"/>
      <w:numFmt w:val="bullet"/>
      <w:pStyle w:val="ListBullet3"/>
      <w:lvlText w:val=""/>
      <w:lvlJc w:val="left"/>
      <w:pPr>
        <w:tabs>
          <w:tab w:val="num" w:pos="926"/>
        </w:tabs>
        <w:ind w:left="926" w:hanging="360"/>
      </w:pPr>
      <w:rPr>
        <w:rFonts w:ascii="Symbol" w:hAnsi="Symbol" w:hint="default"/>
      </w:rPr>
    </w:lvl>
  </w:abstractNum>
  <w:abstractNum w:abstractNumId="5">
    <w:nsid w:val="FFFFFF83"/>
    <w:multiLevelType w:val="singleLevel"/>
    <w:tmpl w:val="4F8CFFA0"/>
    <w:lvl w:ilvl="0">
      <w:start w:val="1"/>
      <w:numFmt w:val="bullet"/>
      <w:pStyle w:val="ListBullet2"/>
      <w:lvlText w:val=""/>
      <w:lvlJc w:val="left"/>
      <w:pPr>
        <w:tabs>
          <w:tab w:val="num" w:pos="643"/>
        </w:tabs>
        <w:ind w:left="643" w:hanging="360"/>
      </w:pPr>
      <w:rPr>
        <w:rFonts w:ascii="Symbol" w:hAnsi="Symbol" w:hint="default"/>
      </w:rPr>
    </w:lvl>
  </w:abstractNum>
  <w:abstractNum w:abstractNumId="6">
    <w:nsid w:val="FFFFFF88"/>
    <w:multiLevelType w:val="singleLevel"/>
    <w:tmpl w:val="31F6387E"/>
    <w:lvl w:ilvl="0">
      <w:start w:val="1"/>
      <w:numFmt w:val="decimal"/>
      <w:pStyle w:val="ListNumber"/>
      <w:lvlText w:val="%1."/>
      <w:lvlJc w:val="left"/>
      <w:pPr>
        <w:tabs>
          <w:tab w:val="num" w:pos="360"/>
        </w:tabs>
        <w:ind w:left="360" w:hanging="360"/>
      </w:pPr>
    </w:lvl>
  </w:abstractNum>
  <w:abstractNum w:abstractNumId="7">
    <w:nsid w:val="FFFFFF89"/>
    <w:multiLevelType w:val="singleLevel"/>
    <w:tmpl w:val="E0329818"/>
    <w:name w:val="0,4131542"/>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02DC5A10"/>
    <w:multiLevelType w:val="hybridMultilevel"/>
    <w:tmpl w:val="CB40EE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7A91BA6"/>
    <w:multiLevelType w:val="hybridMultilevel"/>
    <w:tmpl w:val="CAFE0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7CF4D7F"/>
    <w:multiLevelType w:val="hybridMultilevel"/>
    <w:tmpl w:val="20547F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D300D85"/>
    <w:multiLevelType w:val="hybridMultilevel"/>
    <w:tmpl w:val="B16C0F40"/>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08323A3"/>
    <w:multiLevelType w:val="hybridMultilevel"/>
    <w:tmpl w:val="CBA86206"/>
    <w:lvl w:ilvl="0" w:tplc="08090011">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3">
    <w:nsid w:val="128F2C54"/>
    <w:multiLevelType w:val="multilevel"/>
    <w:tmpl w:val="ADECC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16062B06"/>
    <w:multiLevelType w:val="multilevel"/>
    <w:tmpl w:val="7592CA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1A741B3C"/>
    <w:multiLevelType w:val="hybridMultilevel"/>
    <w:tmpl w:val="91B68C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B3C78B8"/>
    <w:multiLevelType w:val="multilevel"/>
    <w:tmpl w:val="2ED4F4D0"/>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7">
    <w:nsid w:val="1C5D40E1"/>
    <w:multiLevelType w:val="hybridMultilevel"/>
    <w:tmpl w:val="722CA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D4922DC"/>
    <w:multiLevelType w:val="hybridMultilevel"/>
    <w:tmpl w:val="6048F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2320986"/>
    <w:multiLevelType w:val="hybridMultilevel"/>
    <w:tmpl w:val="373A0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7132B5D"/>
    <w:multiLevelType w:val="hybridMultilevel"/>
    <w:tmpl w:val="6A6C25EA"/>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282419EC"/>
    <w:multiLevelType w:val="hybridMultilevel"/>
    <w:tmpl w:val="3234604E"/>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3">
    <w:nsid w:val="2A0967B8"/>
    <w:multiLevelType w:val="multilevel"/>
    <w:tmpl w:val="5178F132"/>
    <w:lvl w:ilvl="0">
      <w:start w:val="1"/>
      <w:numFmt w:val="decimal"/>
      <w:lvlText w:val="%1"/>
      <w:lvlJc w:val="left"/>
      <w:pPr>
        <w:ind w:left="432" w:hanging="432"/>
      </w:pPr>
      <w:rPr>
        <w:b/>
      </w:rPr>
    </w:lvl>
    <w:lvl w:ilvl="1">
      <w:start w:val="1"/>
      <w:numFmt w:val="decimal"/>
      <w:pStyle w:val="Heading2"/>
      <w:lvlText w:val="%2."/>
      <w:lvlJc w:val="left"/>
      <w:pPr>
        <w:ind w:left="860" w:hanging="576"/>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nsid w:val="2C656211"/>
    <w:multiLevelType w:val="hybridMultilevel"/>
    <w:tmpl w:val="AECAED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5">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26">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27">
    <w:nsid w:val="2F6E5929"/>
    <w:multiLevelType w:val="hybridMultilevel"/>
    <w:tmpl w:val="62B65536"/>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8">
    <w:nsid w:val="32327534"/>
    <w:multiLevelType w:val="hybridMultilevel"/>
    <w:tmpl w:val="4DE81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3545D84"/>
    <w:multiLevelType w:val="hybridMultilevel"/>
    <w:tmpl w:val="D304E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84D2CF2"/>
    <w:multiLevelType w:val="multilevel"/>
    <w:tmpl w:val="0AACAD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AC54519"/>
    <w:multiLevelType w:val="multilevel"/>
    <w:tmpl w:val="19FAFD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33">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34">
    <w:nsid w:val="44DA2072"/>
    <w:multiLevelType w:val="hybridMultilevel"/>
    <w:tmpl w:val="E39C9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36">
    <w:nsid w:val="51B54209"/>
    <w:multiLevelType w:val="hybridMultilevel"/>
    <w:tmpl w:val="145C6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2391591"/>
    <w:multiLevelType w:val="multilevel"/>
    <w:tmpl w:val="C8305900"/>
    <w:styleLink w:val="111111"/>
    <w:lvl w:ilvl="0">
      <w:start w:val="1"/>
      <w:numFmt w:val="decimal"/>
      <w:lvlText w:val="%1."/>
      <w:lvlJc w:val="left"/>
      <w:pPr>
        <w:tabs>
          <w:tab w:val="num" w:pos="360"/>
        </w:tabs>
        <w:ind w:left="360" w:hanging="360"/>
      </w:pPr>
    </w:lvl>
    <w:lvl w:ilvl="1">
      <w:start w:val="1"/>
      <w:numFmt w:val="decimal"/>
      <w:lvlText w:val="%1.%2."/>
      <w:lvlJc w:val="left"/>
      <w:pPr>
        <w:tabs>
          <w:tab w:val="num" w:pos="1260"/>
        </w:tabs>
        <w:ind w:left="97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8">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39">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40">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41">
    <w:nsid w:val="5C4B6584"/>
    <w:multiLevelType w:val="multilevel"/>
    <w:tmpl w:val="9B3CC870"/>
    <w:lvl w:ilvl="0">
      <w:start w:val="1"/>
      <w:numFmt w:val="decimal"/>
      <w:lvlText w:val="%1."/>
      <w:lvlJc w:val="left"/>
      <w:pPr>
        <w:tabs>
          <w:tab w:val="num" w:pos="720"/>
        </w:tabs>
        <w:ind w:left="720" w:hanging="360"/>
      </w:pPr>
      <w:rPr>
        <w:rFonts w:cs="Times New Roman"/>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43">
    <w:nsid w:val="64A12FA4"/>
    <w:multiLevelType w:val="multilevel"/>
    <w:tmpl w:val="E9B68C2E"/>
    <w:lvl w:ilvl="0">
      <w:start w:val="1"/>
      <w:numFmt w:val="decimal"/>
      <w:lvlText w:val="%1"/>
      <w:lvlJc w:val="left"/>
      <w:pPr>
        <w:ind w:left="432" w:hanging="432"/>
      </w:pPr>
      <w:rPr>
        <w:b/>
      </w:rPr>
    </w:lvl>
    <w:lvl w:ilvl="1">
      <w:start w:val="1"/>
      <w:numFmt w:val="decimal"/>
      <w:lvlText w:val="%1.%2"/>
      <w:lvlJc w:val="left"/>
      <w:pPr>
        <w:ind w:left="860" w:hanging="576"/>
      </w:pPr>
      <w:rPr>
        <w:color w:val="auto"/>
        <w:sz w:val="24"/>
        <w:szCs w:val="24"/>
      </w:rPr>
    </w:lvl>
    <w:lvl w:ilvl="2">
      <w:start w:val="1"/>
      <w:numFmt w:val="decimal"/>
      <w:pStyle w:val="Heading3"/>
      <w:lvlText w:val="%1.%2.%3"/>
      <w:lvlJc w:val="left"/>
      <w:pPr>
        <w:ind w:left="720" w:hanging="720"/>
      </w:pPr>
      <w:rPr>
        <w:color w:val="auto"/>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4">
    <w:nsid w:val="663977AF"/>
    <w:multiLevelType w:val="hybridMultilevel"/>
    <w:tmpl w:val="789A437E"/>
    <w:name w:val="0,8244091"/>
    <w:lvl w:ilvl="0" w:tplc="1F86C700">
      <w:start w:val="1"/>
      <w:numFmt w:val="bullet"/>
      <w:lvlRestart w:val="0"/>
      <w:pStyle w:val="ListDash"/>
      <w:lvlText w:val="–"/>
      <w:lvlJc w:val="left"/>
      <w:pPr>
        <w:tabs>
          <w:tab w:val="num" w:pos="283"/>
        </w:tabs>
        <w:ind w:left="283" w:hanging="283"/>
      </w:pPr>
      <w:rPr>
        <w:rFonts w:ascii="Times New Roman" w:hAnsi="Times New Roman"/>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nsid w:val="670D2527"/>
    <w:multiLevelType w:val="hybridMultilevel"/>
    <w:tmpl w:val="B1349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47">
    <w:nsid w:val="6AB15973"/>
    <w:multiLevelType w:val="multilevel"/>
    <w:tmpl w:val="0AF6C76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F3E6E66"/>
    <w:multiLevelType w:val="hybridMultilevel"/>
    <w:tmpl w:val="1BCA7430"/>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49">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num w:numId="1">
    <w:abstractNumId w:val="43"/>
  </w:num>
  <w:num w:numId="2">
    <w:abstractNumId w:val="42"/>
  </w:num>
  <w:num w:numId="3">
    <w:abstractNumId w:val="32"/>
  </w:num>
  <w:num w:numId="4">
    <w:abstractNumId w:val="46"/>
  </w:num>
  <w:num w:numId="5">
    <w:abstractNumId w:val="26"/>
  </w:num>
  <w:num w:numId="6">
    <w:abstractNumId w:val="33"/>
  </w:num>
  <w:num w:numId="7">
    <w:abstractNumId w:val="20"/>
  </w:num>
  <w:num w:numId="8">
    <w:abstractNumId w:val="35"/>
  </w:num>
  <w:num w:numId="9">
    <w:abstractNumId w:val="39"/>
  </w:num>
  <w:num w:numId="10">
    <w:abstractNumId w:val="40"/>
  </w:num>
  <w:num w:numId="11">
    <w:abstractNumId w:val="25"/>
  </w:num>
  <w:num w:numId="12">
    <w:abstractNumId w:val="38"/>
  </w:num>
  <w:num w:numId="13">
    <w:abstractNumId w:val="49"/>
  </w:num>
  <w:num w:numId="14">
    <w:abstractNumId w:val="7"/>
  </w:num>
  <w:num w:numId="15">
    <w:abstractNumId w:val="5"/>
  </w:num>
  <w:num w:numId="16">
    <w:abstractNumId w:val="4"/>
  </w:num>
  <w:num w:numId="17">
    <w:abstractNumId w:val="3"/>
  </w:num>
  <w:num w:numId="18">
    <w:abstractNumId w:val="44"/>
  </w:num>
  <w:num w:numId="19">
    <w:abstractNumId w:val="37"/>
  </w:num>
  <w:num w:numId="20">
    <w:abstractNumId w:val="16"/>
  </w:num>
  <w:num w:numId="21">
    <w:abstractNumId w:val="6"/>
  </w:num>
  <w:num w:numId="22">
    <w:abstractNumId w:val="2"/>
  </w:num>
  <w:num w:numId="23">
    <w:abstractNumId w:val="1"/>
  </w:num>
  <w:num w:numId="24">
    <w:abstractNumId w:val="0"/>
  </w:num>
  <w:num w:numId="25">
    <w:abstractNumId w:val="47"/>
  </w:num>
  <w:num w:numId="26">
    <w:abstractNumId w:val="19"/>
  </w:num>
  <w:num w:numId="27">
    <w:abstractNumId w:val="9"/>
  </w:num>
  <w:num w:numId="28">
    <w:abstractNumId w:val="48"/>
  </w:num>
  <w:num w:numId="29">
    <w:abstractNumId w:val="21"/>
  </w:num>
  <w:num w:numId="30">
    <w:abstractNumId w:val="28"/>
  </w:num>
  <w:num w:numId="31">
    <w:abstractNumId w:val="22"/>
  </w:num>
  <w:num w:numId="32">
    <w:abstractNumId w:val="8"/>
  </w:num>
  <w:num w:numId="33">
    <w:abstractNumId w:val="27"/>
  </w:num>
  <w:num w:numId="34">
    <w:abstractNumId w:val="15"/>
  </w:num>
  <w:num w:numId="35">
    <w:abstractNumId w:val="23"/>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num>
  <w:num w:numId="39">
    <w:abstractNumId w:val="10"/>
  </w:num>
  <w:num w:numId="40">
    <w:abstractNumId w:val="11"/>
  </w:num>
  <w:num w:numId="41">
    <w:abstractNumId w:val="30"/>
  </w:num>
  <w:num w:numId="42">
    <w:abstractNumId w:val="14"/>
  </w:num>
  <w:num w:numId="43">
    <w:abstractNumId w:val="23"/>
  </w:num>
  <w:num w:numId="44">
    <w:abstractNumId w:val="23"/>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
  </w:num>
  <w:num w:numId="47">
    <w:abstractNumId w:val="24"/>
  </w:num>
  <w:num w:numId="48">
    <w:abstractNumId w:val="13"/>
  </w:num>
  <w:num w:numId="49">
    <w:abstractNumId w:val="41"/>
    <w:lvlOverride w:ilvl="0">
      <w:startOverride w:val="1"/>
    </w:lvlOverride>
    <w:lvlOverride w:ilvl="1"/>
    <w:lvlOverride w:ilvl="2"/>
    <w:lvlOverride w:ilvl="3"/>
    <w:lvlOverride w:ilvl="4"/>
    <w:lvlOverride w:ilvl="5"/>
    <w:lvlOverride w:ilvl="6"/>
    <w:lvlOverride w:ilvl="7"/>
    <w:lvlOverride w:ilvl="8"/>
  </w:num>
  <w:num w:numId="50">
    <w:abstractNumId w:val="12"/>
  </w:num>
  <w:num w:numId="51">
    <w:abstractNumId w:val="34"/>
  </w:num>
  <w:num w:numId="52">
    <w:abstractNumId w:val="17"/>
  </w:num>
  <w:num w:numId="53">
    <w:abstractNumId w:val="45"/>
  </w:num>
  <w:num w:numId="54">
    <w:abstractNumId w:val="29"/>
  </w:num>
  <w:num w:numId="55">
    <w:abstractNumId w:val="3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hyphenationZone w:val="425"/>
  <w:drawingGridHorizontalSpacing w:val="110"/>
  <w:displayHorizontalDrawingGridEvery w:val="2"/>
  <w:characterSpacingControl w:val="doNotCompress"/>
  <w:hdrShapeDefaults>
    <o:shapedefaults v:ext="edit" spidmax="14338"/>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FigNum" w:val="1"/>
    <w:docVar w:name="LW_CORRIGENDUM" w:val="&lt;UNUSED&gt;"/>
    <w:docVar w:name="LW_COVERPAGE_EXISTS" w:val="True"/>
    <w:docVar w:name="LW_COVERPAGE_GUID" w:val="D1BBC1C4-7F96-4871-A772-522119A5B39B"/>
    <w:docVar w:name="LW_COVERPAGE_TYPE" w:val="1"/>
    <w:docVar w:name="LW_CROSSREFERENCE" w:val="{SWD(2018) 489 final}"/>
    <w:docVar w:name="LW_DocType" w:val="NORMAL"/>
    <w:docVar w:name="LW_EMISSION" w:val="12.12.2018"/>
    <w:docVar w:name="LW_EMISSION_ISODATE" w:val="2018-12-12"/>
    <w:docVar w:name="LW_EMISSION_LOCATION" w:val="BRX"/>
    <w:docVar w:name="LW_EMISSION_PREFIX" w:val="Брюксел, "/>
    <w:docVar w:name="LW_EMISSION_SUFFIX" w:val=" \u1075?."/>
    <w:docVar w:name="LW_ID_DOCTYPE_NONLW" w:val="CP-006"/>
    <w:docVar w:name="LW_LANGUE" w:val="BG"/>
    <w:docVar w:name="LW_LEVEL_OF_SENSITIVITY" w:val="Standard treatment"/>
    <w:docVar w:name="LW_NOM.INST" w:val="\u1045?\u1042?\u1056?\u1054?\u1055?\u1045?\u1049?\u1057?\u1050?\u1040? \u1050?\u1054?\u1052?\u1048?\u1057?\u1048?\u1071?"/>
    <w:docVar w:name="LW_NOM.INST_JOINTDOC" w:val="&lt;EMPTY&gt;"/>
    <w:docVar w:name="LW_PART_NBR" w:val="1"/>
    <w:docVar w:name="LW_PART_NBR_TOTAL" w:val="1"/>
    <w:docVar w:name="LW_REF.INST.NEW" w:val="COM"/>
    <w:docVar w:name="LW_REF.INST.NEW_ADOPTED" w:val="final"/>
    <w:docVar w:name="LW_REF.INST.NEW_TEXT" w:val="(2018) 81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OUS.TITRE.OBJ.CP" w:val="&lt;UNUSED&gt;"/>
    <w:docVar w:name="LW_SUPERTITRE" w:val="&lt;UNUSED&gt;"/>
    <w:docVar w:name="LW_TITRE.OBJ.CP" w:val="\u1048?\u1079?\u1087?\u1098?\u1083?\u1085?\u1077?\u1085?\u1080?\u1077? \u1085?\u1072? \u1058?\u1088?\u1077?\u1090?\u1072?\u1090?\u1072? \u1087?\u1088?\u1086?\u1075?\u1088?\u1072?\u1084?\u1072? \u1079?\u1072? \u1076?\u1077?\u1081?\u1089?\u1090?\u1074?\u1080?\u1077? \u1085?\u1072? \u1057?\u1098?\u1102?\u1079?\u1072? \u1074? \u1086?\u1073?\u1083?\u1072?\u1089?\u1090?\u1090?\u1072? \u1085?\u1072? \u1079?\u1076?\u1088?\u1072?\u1074?\u1077?\u1090?\u1086? \u1087?\u1088?\u1077?\u1079? 2015 \u1075?\u1086?\u1076?\u1080?\u1085?\u1072?"/>
    <w:docVar w:name="LW_TYPE.DOC.CP" w:val="\u1044?\u1054?\u1050?\u1051?\u1040?\u1044? \u1053?\u1040? \u1050?\u1054?\u1052?\u1048?\u1057?\u1048?\u1071?\u1058?\u1040? \u1044?\u1054? \u1045?\u1042?\u1056?\u1054?\u1055?\u1045?\u1049?\u1057?\u1050?\u1048?\u1071? \u1055?\u1040?\u1056?\u1051?\u1040?\u1052?\u1045?\u1053?\u1058? \u1048? \u1057?\u1066?\u1042?\u1045?\u1058?\u1040?"/>
    <w:docVar w:name="Stamp" w:val="\\dossiers.dgt.cec.eu.int\dossiers\SANTE\SANTE-2018-11157\SANTE-2018-11157-00-00-EN-EDT-00.201809171739266421595.DOCX"/>
  </w:docVar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bg-BG" w:bidi="bg-BG"/>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table of figures" w:uiPriority="0"/>
    <w:lsdException w:name="footnote reference" w:uiPriority="0"/>
    <w:lsdException w:name="page number" w:uiPriority="0"/>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rPr>
  </w:style>
  <w:style w:type="paragraph" w:styleId="Heading1">
    <w:name w:val="heading 1"/>
    <w:basedOn w:val="Normal"/>
    <w:next w:val="Normal"/>
    <w:link w:val="Heading1Char"/>
    <w:qFormat/>
    <w:pPr>
      <w:keepNext/>
      <w:spacing w:before="360" w:after="120" w:line="240" w:lineRule="auto"/>
      <w:jc w:val="both"/>
      <w:outlineLvl w:val="0"/>
    </w:pPr>
    <w:rPr>
      <w:rFonts w:eastAsia="Times New Roman" w:cs="Times New Roman"/>
      <w:b/>
      <w:bCs/>
      <w:kern w:val="32"/>
      <w:sz w:val="32"/>
      <w:szCs w:val="32"/>
    </w:rPr>
  </w:style>
  <w:style w:type="paragraph" w:styleId="Heading2">
    <w:name w:val="heading 2"/>
    <w:basedOn w:val="Normal"/>
    <w:next w:val="Normal"/>
    <w:link w:val="Heading2Char"/>
    <w:qFormat/>
    <w:pPr>
      <w:keepNext/>
      <w:numPr>
        <w:ilvl w:val="1"/>
        <w:numId w:val="35"/>
      </w:numPr>
      <w:spacing w:after="240" w:line="240" w:lineRule="auto"/>
      <w:jc w:val="both"/>
      <w:outlineLvl w:val="1"/>
    </w:pPr>
    <w:rPr>
      <w:rFonts w:eastAsia="Times New Roman" w:cs="Times New Roman"/>
      <w:b/>
      <w:bCs/>
      <w:i/>
      <w:iCs/>
      <w:sz w:val="28"/>
      <w:szCs w:val="28"/>
    </w:rPr>
  </w:style>
  <w:style w:type="paragraph" w:styleId="Heading3">
    <w:name w:val="heading 3"/>
    <w:basedOn w:val="Normal"/>
    <w:next w:val="Normal"/>
    <w:link w:val="Heading3Char"/>
    <w:qFormat/>
    <w:pPr>
      <w:keepNext/>
      <w:numPr>
        <w:ilvl w:val="2"/>
        <w:numId w:val="1"/>
      </w:numPr>
      <w:spacing w:before="120" w:after="120" w:line="240" w:lineRule="auto"/>
      <w:jc w:val="both"/>
      <w:outlineLvl w:val="2"/>
    </w:pPr>
    <w:rPr>
      <w:rFonts w:eastAsia="Times New Roman" w:cs="Times New Roman"/>
      <w:bCs/>
      <w:i/>
      <w:sz w:val="24"/>
      <w:szCs w:val="26"/>
    </w:rPr>
  </w:style>
  <w:style w:type="paragraph" w:styleId="Heading4">
    <w:name w:val="heading 4"/>
    <w:basedOn w:val="Normal"/>
    <w:next w:val="Normal"/>
    <w:link w:val="Heading4Char"/>
    <w:qFormat/>
    <w:pPr>
      <w:keepNext/>
      <w:numPr>
        <w:ilvl w:val="3"/>
        <w:numId w:val="1"/>
      </w:numPr>
      <w:spacing w:before="120" w:after="120" w:line="240" w:lineRule="auto"/>
      <w:jc w:val="both"/>
      <w:outlineLvl w:val="3"/>
    </w:pPr>
    <w:rPr>
      <w:rFonts w:eastAsia="Times New Roman" w:cs="Times New Roman"/>
      <w:bCs/>
      <w:sz w:val="24"/>
      <w:szCs w:val="28"/>
    </w:rPr>
  </w:style>
  <w:style w:type="paragraph" w:styleId="Heading5">
    <w:name w:val="heading 5"/>
    <w:basedOn w:val="Normal"/>
    <w:next w:val="Normal"/>
    <w:link w:val="Heading5Char"/>
    <w:uiPriority w:val="9"/>
    <w:semiHidden/>
    <w:unhideWhenUsed/>
    <w:qFormat/>
    <w:pPr>
      <w:numPr>
        <w:ilvl w:val="4"/>
        <w:numId w:val="1"/>
      </w:numPr>
      <w:spacing w:before="240" w:after="6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semiHidden/>
    <w:unhideWhenUsed/>
    <w:qFormat/>
    <w:pPr>
      <w:numPr>
        <w:ilvl w:val="5"/>
        <w:numId w:val="1"/>
      </w:numPr>
      <w:spacing w:before="240" w:after="60"/>
      <w:outlineLvl w:val="5"/>
    </w:pPr>
    <w:rPr>
      <w:rFonts w:ascii="Calibri" w:eastAsia="Times New Roman" w:hAnsi="Calibri" w:cs="Times New Roman"/>
      <w:b/>
      <w:bCs/>
    </w:rPr>
  </w:style>
  <w:style w:type="paragraph" w:styleId="Heading7">
    <w:name w:val="heading 7"/>
    <w:basedOn w:val="Normal"/>
    <w:next w:val="Normal"/>
    <w:link w:val="Heading7Char"/>
    <w:uiPriority w:val="9"/>
    <w:semiHidden/>
    <w:unhideWhenUsed/>
    <w:qFormat/>
    <w:pPr>
      <w:numPr>
        <w:ilvl w:val="6"/>
        <w:numId w:val="1"/>
      </w:numPr>
      <w:spacing w:before="240" w:after="60"/>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semiHidden/>
    <w:unhideWhenUsed/>
    <w:qFormat/>
    <w:pPr>
      <w:numPr>
        <w:ilvl w:val="7"/>
        <w:numId w:val="1"/>
      </w:numPr>
      <w:spacing w:before="240" w:after="60"/>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semiHidden/>
    <w:unhideWhenUsed/>
    <w:qFormat/>
    <w:pPr>
      <w:numPr>
        <w:ilvl w:val="8"/>
        <w:numId w:val="1"/>
      </w:numPr>
      <w:spacing w:before="240" w:after="60"/>
      <w:outlineLvl w:val="8"/>
    </w:pPr>
    <w:rPr>
      <w:rFonts w:ascii="Cambria" w:eastAsia="Times New Roman" w:hAnsi="Cambria"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sz w:val="24"/>
    </w:rPr>
  </w:style>
  <w:style w:type="character" w:customStyle="1" w:styleId="FooterCoverPageChar">
    <w:name w:val="Footer Cover Page Char"/>
    <w:basedOn w:val="DefaultParagraphFont"/>
    <w:link w:val="FooterCoverPage"/>
    <w:rPr>
      <w:rFonts w:ascii="Times New Roman" w:hAnsi="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sz w:val="24"/>
    </w:rPr>
  </w:style>
  <w:style w:type="character" w:customStyle="1" w:styleId="HeaderCoverPageChar">
    <w:name w:val="Header Cover Page Char"/>
    <w:basedOn w:val="DefaultParagraphFont"/>
    <w:link w:val="HeaderCoverPage"/>
    <w:rPr>
      <w:rFonts w:ascii="Times New Roman" w:hAnsi="Times New Roman"/>
      <w:sz w:val="24"/>
    </w:rPr>
  </w:style>
  <w:style w:type="character" w:customStyle="1" w:styleId="Heading1Char">
    <w:name w:val="Heading 1 Char"/>
    <w:basedOn w:val="DefaultParagraphFont"/>
    <w:link w:val="Heading1"/>
    <w:rPr>
      <w:rFonts w:ascii="Times New Roman" w:eastAsia="Times New Roman" w:hAnsi="Times New Roman" w:cs="Times New Roman"/>
      <w:b/>
      <w:bCs/>
      <w:kern w:val="32"/>
      <w:sz w:val="32"/>
      <w:szCs w:val="32"/>
    </w:rPr>
  </w:style>
  <w:style w:type="character" w:customStyle="1" w:styleId="Heading2Char">
    <w:name w:val="Heading 2 Char"/>
    <w:basedOn w:val="DefaultParagraphFont"/>
    <w:link w:val="Heading2"/>
    <w:rPr>
      <w:rFonts w:ascii="Times New Roman" w:eastAsia="Times New Roman" w:hAnsi="Times New Roman" w:cs="Times New Roman"/>
      <w:b/>
      <w:bCs/>
      <w:i/>
      <w:iCs/>
      <w:sz w:val="28"/>
      <w:szCs w:val="28"/>
    </w:rPr>
  </w:style>
  <w:style w:type="character" w:customStyle="1" w:styleId="Heading3Char">
    <w:name w:val="Heading 3 Char"/>
    <w:basedOn w:val="DefaultParagraphFont"/>
    <w:link w:val="Heading3"/>
    <w:rPr>
      <w:rFonts w:ascii="Times New Roman" w:eastAsia="Times New Roman" w:hAnsi="Times New Roman" w:cs="Times New Roman"/>
      <w:bCs/>
      <w:i/>
      <w:sz w:val="24"/>
      <w:szCs w:val="26"/>
    </w:rPr>
  </w:style>
  <w:style w:type="character" w:customStyle="1" w:styleId="Heading4Char">
    <w:name w:val="Heading 4 Char"/>
    <w:basedOn w:val="DefaultParagraphFont"/>
    <w:link w:val="Heading4"/>
    <w:rPr>
      <w:rFonts w:ascii="Times New Roman" w:eastAsia="Times New Roman" w:hAnsi="Times New Roman" w:cs="Times New Roman"/>
      <w:bCs/>
      <w:sz w:val="24"/>
      <w:szCs w:val="28"/>
    </w:rPr>
  </w:style>
  <w:style w:type="character" w:customStyle="1" w:styleId="Heading5Char">
    <w:name w:val="Heading 5 Char"/>
    <w:basedOn w:val="DefaultParagraphFont"/>
    <w:link w:val="Heading5"/>
    <w:uiPriority w:val="9"/>
    <w:semiHidden/>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Pr>
      <w:rFonts w:ascii="Calibri" w:eastAsia="Times New Roman" w:hAnsi="Calibri" w:cs="Times New Roman"/>
      <w:b/>
      <w:bCs/>
    </w:rPr>
  </w:style>
  <w:style w:type="character" w:customStyle="1" w:styleId="Heading7Char">
    <w:name w:val="Heading 7 Char"/>
    <w:basedOn w:val="DefaultParagraphFont"/>
    <w:link w:val="Heading7"/>
    <w:uiPriority w:val="9"/>
    <w:semiHidden/>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Pr>
      <w:rFonts w:ascii="Cambria" w:eastAsia="Times New Roman" w:hAnsi="Cambria" w:cs="Times New Roman"/>
    </w:rPr>
  </w:style>
  <w:style w:type="paragraph" w:styleId="TOC1">
    <w:name w:val="toc 1"/>
    <w:basedOn w:val="Normal"/>
    <w:next w:val="Normal"/>
    <w:autoRedefine/>
    <w:uiPriority w:val="39"/>
    <w:unhideWhenUsed/>
    <w:pPr>
      <w:tabs>
        <w:tab w:val="left" w:pos="440"/>
        <w:tab w:val="right" w:leader="dot" w:pos="9063"/>
      </w:tabs>
    </w:pPr>
    <w:rPr>
      <w:rFonts w:eastAsia="Calibri" w:cs="Times New Roman"/>
      <w:noProof/>
      <w:sz w:val="24"/>
      <w:szCs w:val="24"/>
    </w:rPr>
  </w:style>
  <w:style w:type="paragraph" w:styleId="TOC3">
    <w:name w:val="toc 3"/>
    <w:basedOn w:val="Normal"/>
    <w:next w:val="Normal"/>
    <w:autoRedefine/>
    <w:uiPriority w:val="39"/>
    <w:unhideWhenUsed/>
    <w:pPr>
      <w:ind w:left="440"/>
    </w:pPr>
    <w:rPr>
      <w:rFonts w:ascii="Calibri" w:eastAsia="Calibri" w:hAnsi="Calibri" w:cs="Times New Roman"/>
    </w:rPr>
  </w:style>
  <w:style w:type="paragraph" w:styleId="TOC2">
    <w:name w:val="toc 2"/>
    <w:basedOn w:val="Normal"/>
    <w:next w:val="Normal"/>
    <w:autoRedefine/>
    <w:uiPriority w:val="39"/>
    <w:unhideWhenUsed/>
    <w:pPr>
      <w:tabs>
        <w:tab w:val="left" w:pos="880"/>
        <w:tab w:val="right" w:leader="dot" w:pos="9063"/>
      </w:tabs>
      <w:spacing w:after="100"/>
      <w:ind w:left="142"/>
    </w:pPr>
    <w:rPr>
      <w:rFonts w:eastAsia="Arial Unicode MS" w:cs="Times New Roman"/>
      <w:noProof/>
      <w:sz w:val="24"/>
      <w:szCs w:val="24"/>
    </w:rPr>
  </w:style>
  <w:style w:type="paragraph" w:styleId="TOC4">
    <w:name w:val="toc 4"/>
    <w:basedOn w:val="Normal"/>
    <w:next w:val="Normal"/>
    <w:autoRedefine/>
    <w:uiPriority w:val="39"/>
    <w:unhideWhenUsed/>
    <w:pPr>
      <w:spacing w:after="100"/>
      <w:ind w:left="660"/>
    </w:pPr>
    <w:rPr>
      <w:rFonts w:ascii="Calibri" w:eastAsia="Times New Roman" w:hAnsi="Calibri" w:cs="Times New Roman"/>
    </w:rPr>
  </w:style>
  <w:style w:type="paragraph" w:styleId="TOC5">
    <w:name w:val="toc 5"/>
    <w:basedOn w:val="Normal"/>
    <w:next w:val="Normal"/>
    <w:autoRedefine/>
    <w:uiPriority w:val="39"/>
    <w:unhideWhenUsed/>
    <w:pPr>
      <w:spacing w:after="100"/>
      <w:ind w:left="880"/>
    </w:pPr>
    <w:rPr>
      <w:rFonts w:ascii="Calibri" w:eastAsia="Times New Roman" w:hAnsi="Calibri" w:cs="Times New Roman"/>
    </w:rPr>
  </w:style>
  <w:style w:type="paragraph" w:styleId="TOC6">
    <w:name w:val="toc 6"/>
    <w:basedOn w:val="Normal"/>
    <w:next w:val="Normal"/>
    <w:autoRedefine/>
    <w:uiPriority w:val="39"/>
    <w:unhideWhenUsed/>
    <w:pPr>
      <w:spacing w:after="100"/>
      <w:ind w:left="1100"/>
    </w:pPr>
    <w:rPr>
      <w:rFonts w:ascii="Calibri" w:eastAsia="Times New Roman" w:hAnsi="Calibri" w:cs="Times New Roman"/>
    </w:rPr>
  </w:style>
  <w:style w:type="paragraph" w:styleId="TOC7">
    <w:name w:val="toc 7"/>
    <w:basedOn w:val="Normal"/>
    <w:next w:val="Normal"/>
    <w:autoRedefine/>
    <w:uiPriority w:val="39"/>
    <w:unhideWhenUsed/>
    <w:pPr>
      <w:spacing w:after="100"/>
      <w:ind w:left="1320"/>
    </w:pPr>
    <w:rPr>
      <w:rFonts w:ascii="Calibri" w:eastAsia="Times New Roman" w:hAnsi="Calibri" w:cs="Times New Roman"/>
    </w:rPr>
  </w:style>
  <w:style w:type="paragraph" w:styleId="TOC8">
    <w:name w:val="toc 8"/>
    <w:basedOn w:val="Normal"/>
    <w:next w:val="Normal"/>
    <w:autoRedefine/>
    <w:uiPriority w:val="39"/>
    <w:unhideWhenUsed/>
    <w:pPr>
      <w:spacing w:after="100"/>
      <w:ind w:left="1540"/>
    </w:pPr>
    <w:rPr>
      <w:rFonts w:ascii="Calibri" w:eastAsia="Times New Roman" w:hAnsi="Calibri" w:cs="Times New Roman"/>
    </w:rPr>
  </w:style>
  <w:style w:type="paragraph" w:styleId="TOC9">
    <w:name w:val="toc 9"/>
    <w:basedOn w:val="Normal"/>
    <w:next w:val="Normal"/>
    <w:autoRedefine/>
    <w:uiPriority w:val="39"/>
    <w:unhideWhenUsed/>
    <w:pPr>
      <w:spacing w:after="100"/>
      <w:ind w:left="1760"/>
    </w:pPr>
    <w:rPr>
      <w:rFonts w:ascii="Calibri" w:eastAsia="Times New Roman" w:hAnsi="Calibri" w:cs="Times New Roman"/>
    </w:rPr>
  </w:style>
  <w:style w:type="character" w:styleId="Hyperlink">
    <w:name w:val="Hyperlink"/>
    <w:uiPriority w:val="99"/>
    <w:unhideWhenUsed/>
    <w:rPr>
      <w:color w:val="0000FF"/>
      <w:u w:val="single"/>
    </w:rPr>
  </w:style>
  <w:style w:type="paragraph" w:styleId="PlainText">
    <w:name w:val="Plain Text"/>
    <w:basedOn w:val="Normal"/>
    <w:link w:val="PlainTextChar"/>
    <w:pPr>
      <w:spacing w:after="240" w:line="240" w:lineRule="auto"/>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rPr>
      <w:rFonts w:ascii="Courier New" w:eastAsia="Times New Roman" w:hAnsi="Courier New" w:cs="Times New Roman"/>
      <w:sz w:val="20"/>
      <w:szCs w:val="20"/>
    </w:rPr>
  </w:style>
  <w:style w:type="character" w:styleId="FollowedHyperlink">
    <w:name w:val="FollowedHyperlink"/>
    <w:unhideWhenUsed/>
    <w:rPr>
      <w:color w:val="800080"/>
      <w:u w:val="single"/>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nhideWhenUsed/>
    <w:rPr>
      <w:rFonts w:ascii="Calibri" w:eastAsia="Calibri" w:hAnsi="Calibri" w:cs="Times New Roman"/>
      <w:sz w:val="20"/>
      <w:szCs w:val="20"/>
    </w:rPr>
  </w:style>
  <w:style w:type="character" w:customStyle="1" w:styleId="CommentTextChar">
    <w:name w:val="Comment Text Char"/>
    <w:basedOn w:val="DefaultParagraphFont"/>
    <w:link w:val="CommentText"/>
    <w:rPr>
      <w:rFonts w:ascii="Calibri" w:eastAsia="Calibri" w:hAnsi="Calibri" w:cs="Times New Roman"/>
      <w:sz w:val="20"/>
      <w:szCs w:val="20"/>
    </w:rPr>
  </w:style>
  <w:style w:type="paragraph" w:styleId="CommentSubject">
    <w:name w:val="annotation subject"/>
    <w:basedOn w:val="CommentText"/>
    <w:next w:val="CommentText"/>
    <w:link w:val="CommentSubjectChar"/>
    <w:unhideWhenUsed/>
    <w:rPr>
      <w:b/>
      <w:bCs/>
    </w:rPr>
  </w:style>
  <w:style w:type="character" w:customStyle="1" w:styleId="CommentSubjectChar">
    <w:name w:val="Comment Subject Char"/>
    <w:basedOn w:val="CommentTextChar"/>
    <w:link w:val="CommentSubject"/>
    <w:rPr>
      <w:rFonts w:ascii="Calibri" w:eastAsia="Calibri" w:hAnsi="Calibri" w:cs="Times New Roman"/>
      <w:b/>
      <w:bCs/>
      <w:sz w:val="20"/>
      <w:szCs w:val="20"/>
    </w:rPr>
  </w:style>
  <w:style w:type="paragraph" w:styleId="BalloonText">
    <w:name w:val="Balloon Text"/>
    <w:basedOn w:val="Normal"/>
    <w:link w:val="BalloonTextChar"/>
    <w:uiPriority w:val="99"/>
    <w:unhideWhenUsed/>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rPr>
      <w:rFonts w:ascii="Tahoma" w:eastAsia="Calibri" w:hAnsi="Tahoma" w:cs="Tahoma"/>
      <w:sz w:val="16"/>
      <w:szCs w:val="16"/>
    </w:rPr>
  </w:style>
  <w:style w:type="paragraph" w:styleId="FootnoteText">
    <w:name w:val="footnote text"/>
    <w:basedOn w:val="Normal"/>
    <w:semiHidden/>
    <w:unhideWhenUsed/>
    <w:rPr>
      <w:rFonts w:ascii="Calibri" w:eastAsia="Calibri" w:hAnsi="Calibri" w:cs="Times New Roman"/>
      <w:sz w:val="20"/>
      <w:szCs w:val="20"/>
    </w:rPr>
  </w:style>
  <w:style w:type="character" w:customStyle="1" w:styleId="FootnoteTextChar">
    <w:name w:val="Footnote Text Char"/>
    <w:basedOn w:val="DefaultParagraphFont"/>
    <w:semiHidden/>
    <w:rPr>
      <w:rFonts w:ascii="Calibri" w:eastAsia="Calibri" w:hAnsi="Calibri" w:cs="Times New Roman"/>
      <w:sz w:val="20"/>
      <w:szCs w:val="20"/>
    </w:rPr>
  </w:style>
  <w:style w:type="character" w:styleId="FootnoteReference">
    <w:name w:val="footnote reference"/>
    <w:aliases w:val="Footnote symbol,Footnote,Voetnootverwijzing,Times 10 Point,Exposant 3 Point,Appel note de bas de p,BVI fnr,Footnote Refernece,Fußnotenzeichen_Raxen,callout,Footnote Reference Number,SUPERS,Footnote reference number,note TESI,fr,o"/>
    <w:unhideWhenUsed/>
    <w:rPr>
      <w:vertAlign w:val="superscript"/>
    </w:rPr>
  </w:style>
  <w:style w:type="paragraph" w:customStyle="1" w:styleId="HeaderLandscape">
    <w:name w:val="HeaderLandscape"/>
    <w:basedOn w:val="Normal"/>
    <w:pPr>
      <w:tabs>
        <w:tab w:val="center" w:pos="7285"/>
        <w:tab w:val="right" w:pos="14003"/>
      </w:tabs>
      <w:spacing w:after="120" w:line="240" w:lineRule="auto"/>
      <w:jc w:val="both"/>
    </w:pPr>
    <w:rPr>
      <w:rFonts w:cs="Times New Roman"/>
      <w:sz w:val="24"/>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cs="Times New Roman"/>
      <w:sz w:val="24"/>
    </w:rPr>
  </w:style>
  <w:style w:type="paragraph" w:customStyle="1" w:styleId="Text1">
    <w:name w:val="Text 1"/>
    <w:basedOn w:val="Normal"/>
    <w:pPr>
      <w:spacing w:before="120" w:after="120" w:line="240" w:lineRule="auto"/>
      <w:ind w:left="850"/>
      <w:jc w:val="both"/>
    </w:pPr>
    <w:rPr>
      <w:rFonts w:eastAsia="Times New Roman" w:cs="Times New Roman"/>
      <w:sz w:val="24"/>
      <w:szCs w:val="24"/>
    </w:rPr>
  </w:style>
  <w:style w:type="paragraph" w:customStyle="1" w:styleId="Text2">
    <w:name w:val="Text 2"/>
    <w:basedOn w:val="Normal"/>
    <w:pPr>
      <w:spacing w:before="120" w:after="120" w:line="240" w:lineRule="auto"/>
      <w:ind w:left="1417"/>
      <w:jc w:val="both"/>
    </w:pPr>
    <w:rPr>
      <w:rFonts w:eastAsia="Times New Roman" w:cs="Times New Roman"/>
      <w:sz w:val="24"/>
      <w:szCs w:val="24"/>
    </w:rPr>
  </w:style>
  <w:style w:type="paragraph" w:customStyle="1" w:styleId="Text3">
    <w:name w:val="Text 3"/>
    <w:basedOn w:val="Normal"/>
    <w:pPr>
      <w:spacing w:before="120" w:after="120" w:line="240" w:lineRule="auto"/>
      <w:ind w:left="1984"/>
      <w:jc w:val="both"/>
    </w:pPr>
    <w:rPr>
      <w:rFonts w:eastAsia="Times New Roman" w:cs="Times New Roman"/>
      <w:sz w:val="24"/>
      <w:szCs w:val="24"/>
    </w:rPr>
  </w:style>
  <w:style w:type="paragraph" w:customStyle="1" w:styleId="Text4">
    <w:name w:val="Text 4"/>
    <w:basedOn w:val="Normal"/>
    <w:pPr>
      <w:spacing w:before="120" w:after="120" w:line="240" w:lineRule="auto"/>
      <w:ind w:left="2551"/>
      <w:jc w:val="both"/>
    </w:pPr>
    <w:rPr>
      <w:rFonts w:eastAsia="Times New Roman" w:cs="Times New Roman"/>
      <w:sz w:val="24"/>
      <w:szCs w:val="24"/>
    </w:rPr>
  </w:style>
  <w:style w:type="paragraph" w:customStyle="1" w:styleId="NormalCentered">
    <w:name w:val="Normal Centered"/>
    <w:basedOn w:val="Normal"/>
    <w:pPr>
      <w:spacing w:before="120" w:after="120" w:line="240" w:lineRule="auto"/>
      <w:jc w:val="center"/>
    </w:pPr>
    <w:rPr>
      <w:rFonts w:eastAsia="Times New Roman" w:cs="Times New Roman"/>
      <w:sz w:val="24"/>
      <w:szCs w:val="24"/>
    </w:rPr>
  </w:style>
  <w:style w:type="paragraph" w:customStyle="1" w:styleId="NormalLeft">
    <w:name w:val="Normal Left"/>
    <w:basedOn w:val="Normal"/>
    <w:pPr>
      <w:spacing w:before="120" w:after="120" w:line="240" w:lineRule="auto"/>
    </w:pPr>
    <w:rPr>
      <w:rFonts w:eastAsia="Times New Roman" w:cs="Times New Roman"/>
      <w:sz w:val="24"/>
      <w:szCs w:val="24"/>
    </w:rPr>
  </w:style>
  <w:style w:type="paragraph" w:customStyle="1" w:styleId="NormalRight">
    <w:name w:val="Normal Right"/>
    <w:basedOn w:val="Normal"/>
    <w:pPr>
      <w:spacing w:before="120" w:after="120" w:line="240" w:lineRule="auto"/>
      <w:jc w:val="right"/>
    </w:pPr>
    <w:rPr>
      <w:rFonts w:eastAsia="Times New Roman" w:cs="Times New Roman"/>
      <w:sz w:val="24"/>
      <w:szCs w:val="24"/>
    </w:rPr>
  </w:style>
  <w:style w:type="paragraph" w:customStyle="1" w:styleId="QuotedText">
    <w:name w:val="Quoted Text"/>
    <w:basedOn w:val="Normal"/>
    <w:pPr>
      <w:spacing w:before="120" w:after="120" w:line="240" w:lineRule="auto"/>
      <w:ind w:left="1417"/>
      <w:jc w:val="both"/>
    </w:pPr>
    <w:rPr>
      <w:rFonts w:eastAsia="Times New Roman" w:cs="Times New Roman"/>
      <w:sz w:val="24"/>
      <w:szCs w:val="24"/>
    </w:rPr>
  </w:style>
  <w:style w:type="paragraph" w:customStyle="1" w:styleId="Point0">
    <w:name w:val="Point 0"/>
    <w:basedOn w:val="Normal"/>
    <w:pPr>
      <w:spacing w:before="120" w:after="120" w:line="240" w:lineRule="auto"/>
      <w:ind w:left="850" w:hanging="850"/>
      <w:jc w:val="both"/>
    </w:pPr>
    <w:rPr>
      <w:rFonts w:eastAsia="Times New Roman" w:cs="Times New Roman"/>
      <w:sz w:val="24"/>
      <w:szCs w:val="24"/>
    </w:rPr>
  </w:style>
  <w:style w:type="paragraph" w:customStyle="1" w:styleId="Point1">
    <w:name w:val="Point 1"/>
    <w:basedOn w:val="Normal"/>
    <w:pPr>
      <w:spacing w:before="120" w:after="120" w:line="240" w:lineRule="auto"/>
      <w:ind w:left="1417" w:hanging="567"/>
      <w:jc w:val="both"/>
    </w:pPr>
    <w:rPr>
      <w:rFonts w:eastAsia="Times New Roman" w:cs="Times New Roman"/>
      <w:sz w:val="24"/>
      <w:szCs w:val="24"/>
    </w:rPr>
  </w:style>
  <w:style w:type="paragraph" w:customStyle="1" w:styleId="Point2">
    <w:name w:val="Point 2"/>
    <w:basedOn w:val="Normal"/>
    <w:pPr>
      <w:spacing w:before="120" w:after="120" w:line="240" w:lineRule="auto"/>
      <w:ind w:left="1984" w:hanging="567"/>
      <w:jc w:val="both"/>
    </w:pPr>
    <w:rPr>
      <w:rFonts w:eastAsia="Times New Roman" w:cs="Times New Roman"/>
      <w:sz w:val="24"/>
      <w:szCs w:val="24"/>
    </w:rPr>
  </w:style>
  <w:style w:type="paragraph" w:customStyle="1" w:styleId="Point3">
    <w:name w:val="Point 3"/>
    <w:basedOn w:val="Normal"/>
    <w:pPr>
      <w:spacing w:before="120" w:after="120" w:line="240" w:lineRule="auto"/>
      <w:ind w:left="2551" w:hanging="567"/>
      <w:jc w:val="both"/>
    </w:pPr>
    <w:rPr>
      <w:rFonts w:eastAsia="Times New Roman" w:cs="Times New Roman"/>
      <w:sz w:val="24"/>
      <w:szCs w:val="24"/>
    </w:rPr>
  </w:style>
  <w:style w:type="paragraph" w:customStyle="1" w:styleId="Point4">
    <w:name w:val="Point 4"/>
    <w:basedOn w:val="Normal"/>
    <w:pPr>
      <w:spacing w:before="120" w:after="120" w:line="240" w:lineRule="auto"/>
      <w:ind w:left="3118" w:hanging="567"/>
      <w:jc w:val="both"/>
    </w:pPr>
    <w:rPr>
      <w:rFonts w:eastAsia="Times New Roman" w:cs="Times New Roman"/>
      <w:sz w:val="24"/>
      <w:szCs w:val="24"/>
    </w:rPr>
  </w:style>
  <w:style w:type="paragraph" w:customStyle="1" w:styleId="Tiret0">
    <w:name w:val="Tiret 0"/>
    <w:basedOn w:val="Point0"/>
    <w:pPr>
      <w:numPr>
        <w:numId w:val="2"/>
      </w:numPr>
    </w:pPr>
  </w:style>
  <w:style w:type="paragraph" w:customStyle="1" w:styleId="Tiret1">
    <w:name w:val="Tiret 1"/>
    <w:basedOn w:val="Point1"/>
    <w:pPr>
      <w:numPr>
        <w:numId w:val="3"/>
      </w:numPr>
    </w:pPr>
  </w:style>
  <w:style w:type="paragraph" w:customStyle="1" w:styleId="Tiret2">
    <w:name w:val="Tiret 2"/>
    <w:basedOn w:val="Point2"/>
    <w:pPr>
      <w:numPr>
        <w:numId w:val="4"/>
      </w:numPr>
    </w:pPr>
  </w:style>
  <w:style w:type="paragraph" w:customStyle="1" w:styleId="Tiret3">
    <w:name w:val="Tiret 3"/>
    <w:basedOn w:val="Point3"/>
    <w:pPr>
      <w:numPr>
        <w:numId w:val="5"/>
      </w:numPr>
    </w:pPr>
  </w:style>
  <w:style w:type="paragraph" w:customStyle="1" w:styleId="Tiret4">
    <w:name w:val="Tiret 4"/>
    <w:basedOn w:val="Point4"/>
    <w:pPr>
      <w:numPr>
        <w:numId w:val="6"/>
      </w:numPr>
    </w:pPr>
  </w:style>
  <w:style w:type="paragraph" w:customStyle="1" w:styleId="PointDouble0">
    <w:name w:val="PointDouble 0"/>
    <w:basedOn w:val="Normal"/>
    <w:pPr>
      <w:tabs>
        <w:tab w:val="left" w:pos="850"/>
      </w:tabs>
      <w:spacing w:before="120" w:after="120" w:line="240" w:lineRule="auto"/>
      <w:ind w:left="1417" w:hanging="1417"/>
      <w:jc w:val="both"/>
    </w:pPr>
    <w:rPr>
      <w:rFonts w:eastAsia="Times New Roman" w:cs="Times New Roman"/>
      <w:sz w:val="24"/>
      <w:szCs w:val="24"/>
    </w:rPr>
  </w:style>
  <w:style w:type="paragraph" w:customStyle="1" w:styleId="PointDouble1">
    <w:name w:val="PointDouble 1"/>
    <w:basedOn w:val="Normal"/>
    <w:pPr>
      <w:tabs>
        <w:tab w:val="left" w:pos="1417"/>
      </w:tabs>
      <w:spacing w:before="120" w:after="120" w:line="240" w:lineRule="auto"/>
      <w:ind w:left="1984" w:hanging="1134"/>
      <w:jc w:val="both"/>
    </w:pPr>
    <w:rPr>
      <w:rFonts w:eastAsia="Times New Roman" w:cs="Times New Roman"/>
      <w:sz w:val="24"/>
      <w:szCs w:val="24"/>
    </w:rPr>
  </w:style>
  <w:style w:type="paragraph" w:customStyle="1" w:styleId="PointDouble2">
    <w:name w:val="PointDouble 2"/>
    <w:basedOn w:val="Normal"/>
    <w:pPr>
      <w:tabs>
        <w:tab w:val="left" w:pos="1984"/>
      </w:tabs>
      <w:spacing w:before="120" w:after="120" w:line="240" w:lineRule="auto"/>
      <w:ind w:left="2551" w:hanging="1134"/>
      <w:jc w:val="both"/>
    </w:pPr>
    <w:rPr>
      <w:rFonts w:eastAsia="Times New Roman" w:cs="Times New Roman"/>
      <w:sz w:val="24"/>
      <w:szCs w:val="24"/>
    </w:rPr>
  </w:style>
  <w:style w:type="paragraph" w:customStyle="1" w:styleId="PointDouble3">
    <w:name w:val="PointDouble 3"/>
    <w:basedOn w:val="Normal"/>
    <w:pPr>
      <w:tabs>
        <w:tab w:val="left" w:pos="2551"/>
      </w:tabs>
      <w:spacing w:before="120" w:after="120" w:line="240" w:lineRule="auto"/>
      <w:ind w:left="3118" w:hanging="1134"/>
      <w:jc w:val="both"/>
    </w:pPr>
    <w:rPr>
      <w:rFonts w:eastAsia="Times New Roman" w:cs="Times New Roman"/>
      <w:sz w:val="24"/>
      <w:szCs w:val="24"/>
    </w:rPr>
  </w:style>
  <w:style w:type="paragraph" w:customStyle="1" w:styleId="PointDouble4">
    <w:name w:val="PointDouble 4"/>
    <w:basedOn w:val="Normal"/>
    <w:pPr>
      <w:tabs>
        <w:tab w:val="left" w:pos="3118"/>
      </w:tabs>
      <w:spacing w:before="120" w:after="120" w:line="240" w:lineRule="auto"/>
      <w:ind w:left="3685" w:hanging="1134"/>
      <w:jc w:val="both"/>
    </w:pPr>
    <w:rPr>
      <w:rFonts w:eastAsia="Times New Roman" w:cs="Times New Roman"/>
      <w:sz w:val="24"/>
      <w:szCs w:val="24"/>
    </w:rPr>
  </w:style>
  <w:style w:type="paragraph" w:customStyle="1" w:styleId="PointTriple0">
    <w:name w:val="PointTriple 0"/>
    <w:basedOn w:val="Normal"/>
    <w:pPr>
      <w:tabs>
        <w:tab w:val="left" w:pos="850"/>
        <w:tab w:val="left" w:pos="1417"/>
      </w:tabs>
      <w:spacing w:before="120" w:after="120" w:line="240" w:lineRule="auto"/>
      <w:ind w:left="1984" w:hanging="1984"/>
      <w:jc w:val="both"/>
    </w:pPr>
    <w:rPr>
      <w:rFonts w:eastAsia="Times New Roman" w:cs="Times New Roman"/>
      <w:sz w:val="24"/>
      <w:szCs w:val="24"/>
    </w:rPr>
  </w:style>
  <w:style w:type="paragraph" w:customStyle="1" w:styleId="PointTriple1">
    <w:name w:val="PointTriple 1"/>
    <w:basedOn w:val="Normal"/>
    <w:pPr>
      <w:tabs>
        <w:tab w:val="left" w:pos="1417"/>
        <w:tab w:val="left" w:pos="1984"/>
      </w:tabs>
      <w:spacing w:before="120" w:after="120" w:line="240" w:lineRule="auto"/>
      <w:ind w:left="2551" w:hanging="1701"/>
      <w:jc w:val="both"/>
    </w:pPr>
    <w:rPr>
      <w:rFonts w:eastAsia="Times New Roman" w:cs="Times New Roman"/>
      <w:sz w:val="24"/>
      <w:szCs w:val="24"/>
    </w:rPr>
  </w:style>
  <w:style w:type="paragraph" w:customStyle="1" w:styleId="PointTriple2">
    <w:name w:val="PointTriple 2"/>
    <w:basedOn w:val="Normal"/>
    <w:pPr>
      <w:tabs>
        <w:tab w:val="left" w:pos="1984"/>
        <w:tab w:val="left" w:pos="2551"/>
      </w:tabs>
      <w:spacing w:before="120" w:after="120" w:line="240" w:lineRule="auto"/>
      <w:ind w:left="3118" w:hanging="1701"/>
      <w:jc w:val="both"/>
    </w:pPr>
    <w:rPr>
      <w:rFonts w:eastAsia="Times New Roman" w:cs="Times New Roman"/>
      <w:sz w:val="24"/>
      <w:szCs w:val="24"/>
    </w:rPr>
  </w:style>
  <w:style w:type="paragraph" w:customStyle="1" w:styleId="PointTriple3">
    <w:name w:val="PointTriple 3"/>
    <w:basedOn w:val="Normal"/>
    <w:pPr>
      <w:tabs>
        <w:tab w:val="left" w:pos="2551"/>
        <w:tab w:val="left" w:pos="3118"/>
      </w:tabs>
      <w:spacing w:before="120" w:after="120" w:line="240" w:lineRule="auto"/>
      <w:ind w:left="3685" w:hanging="1701"/>
      <w:jc w:val="both"/>
    </w:pPr>
    <w:rPr>
      <w:rFonts w:eastAsia="Times New Roman" w:cs="Times New Roman"/>
      <w:sz w:val="24"/>
      <w:szCs w:val="24"/>
    </w:rPr>
  </w:style>
  <w:style w:type="paragraph" w:customStyle="1" w:styleId="PointTriple4">
    <w:name w:val="PointTriple 4"/>
    <w:basedOn w:val="Normal"/>
    <w:pPr>
      <w:tabs>
        <w:tab w:val="left" w:pos="3118"/>
        <w:tab w:val="left" w:pos="3685"/>
      </w:tabs>
      <w:spacing w:before="120" w:after="120" w:line="240" w:lineRule="auto"/>
      <w:ind w:left="4252" w:hanging="1701"/>
      <w:jc w:val="both"/>
    </w:pPr>
    <w:rPr>
      <w:rFonts w:eastAsia="Times New Roman" w:cs="Times New Roman"/>
      <w:sz w:val="24"/>
      <w:szCs w:val="24"/>
    </w:rPr>
  </w:style>
  <w:style w:type="paragraph" w:customStyle="1" w:styleId="NumPar1">
    <w:name w:val="NumPar 1"/>
    <w:basedOn w:val="Normal"/>
    <w:next w:val="Text1"/>
    <w:pPr>
      <w:numPr>
        <w:numId w:val="7"/>
      </w:numPr>
      <w:spacing w:before="120" w:after="120" w:line="240" w:lineRule="auto"/>
      <w:jc w:val="both"/>
    </w:pPr>
    <w:rPr>
      <w:rFonts w:eastAsia="Times New Roman" w:cs="Times New Roman"/>
      <w:sz w:val="24"/>
      <w:szCs w:val="24"/>
    </w:rPr>
  </w:style>
  <w:style w:type="paragraph" w:customStyle="1" w:styleId="NumPar2">
    <w:name w:val="NumPar 2"/>
    <w:basedOn w:val="Normal"/>
    <w:next w:val="Text1"/>
    <w:pPr>
      <w:numPr>
        <w:ilvl w:val="1"/>
        <w:numId w:val="7"/>
      </w:numPr>
      <w:spacing w:before="120" w:after="120" w:line="240" w:lineRule="auto"/>
      <w:jc w:val="both"/>
    </w:pPr>
    <w:rPr>
      <w:rFonts w:eastAsia="Times New Roman" w:cs="Times New Roman"/>
      <w:sz w:val="24"/>
      <w:szCs w:val="24"/>
    </w:rPr>
  </w:style>
  <w:style w:type="paragraph" w:customStyle="1" w:styleId="NumPar3">
    <w:name w:val="NumPar 3"/>
    <w:basedOn w:val="Normal"/>
    <w:next w:val="Text1"/>
    <w:pPr>
      <w:numPr>
        <w:ilvl w:val="2"/>
        <w:numId w:val="7"/>
      </w:numPr>
      <w:spacing w:before="120" w:after="120" w:line="240" w:lineRule="auto"/>
      <w:jc w:val="both"/>
    </w:pPr>
    <w:rPr>
      <w:rFonts w:eastAsia="Times New Roman" w:cs="Times New Roman"/>
      <w:sz w:val="24"/>
      <w:szCs w:val="24"/>
    </w:rPr>
  </w:style>
  <w:style w:type="paragraph" w:customStyle="1" w:styleId="NumPar4">
    <w:name w:val="NumPar 4"/>
    <w:basedOn w:val="Normal"/>
    <w:next w:val="Text1"/>
    <w:pPr>
      <w:numPr>
        <w:ilvl w:val="3"/>
        <w:numId w:val="7"/>
      </w:numPr>
      <w:spacing w:before="120" w:after="120" w:line="240" w:lineRule="auto"/>
      <w:jc w:val="both"/>
    </w:pPr>
    <w:rPr>
      <w:rFonts w:eastAsia="Times New Roman" w:cs="Times New Roman"/>
      <w:sz w:val="24"/>
      <w:szCs w:val="24"/>
    </w:rPr>
  </w:style>
  <w:style w:type="paragraph" w:customStyle="1" w:styleId="ManualNumPar1">
    <w:name w:val="Manual NumPar 1"/>
    <w:basedOn w:val="Normal"/>
    <w:next w:val="Text1"/>
    <w:pPr>
      <w:spacing w:before="120" w:after="120" w:line="240" w:lineRule="auto"/>
      <w:ind w:left="850" w:hanging="850"/>
      <w:jc w:val="both"/>
    </w:pPr>
    <w:rPr>
      <w:rFonts w:eastAsia="Times New Roman" w:cs="Times New Roman"/>
      <w:sz w:val="24"/>
      <w:szCs w:val="24"/>
    </w:rPr>
  </w:style>
  <w:style w:type="paragraph" w:customStyle="1" w:styleId="ManualNumPar2">
    <w:name w:val="Manual NumPar 2"/>
    <w:basedOn w:val="Normal"/>
    <w:next w:val="Text1"/>
    <w:pPr>
      <w:spacing w:before="120" w:after="120" w:line="240" w:lineRule="auto"/>
      <w:ind w:left="850" w:hanging="850"/>
      <w:jc w:val="both"/>
    </w:pPr>
    <w:rPr>
      <w:rFonts w:eastAsia="Times New Roman" w:cs="Times New Roman"/>
      <w:sz w:val="24"/>
      <w:szCs w:val="24"/>
    </w:rPr>
  </w:style>
  <w:style w:type="paragraph" w:customStyle="1" w:styleId="ManualNumPar3">
    <w:name w:val="Manual NumPar 3"/>
    <w:basedOn w:val="Normal"/>
    <w:next w:val="Text1"/>
    <w:pPr>
      <w:spacing w:before="120" w:after="120" w:line="240" w:lineRule="auto"/>
      <w:ind w:left="850" w:hanging="850"/>
      <w:jc w:val="both"/>
    </w:pPr>
    <w:rPr>
      <w:rFonts w:eastAsia="Times New Roman" w:cs="Times New Roman"/>
      <w:sz w:val="24"/>
      <w:szCs w:val="24"/>
    </w:rPr>
  </w:style>
  <w:style w:type="paragraph" w:customStyle="1" w:styleId="ManualNumPar4">
    <w:name w:val="Manual NumPar 4"/>
    <w:basedOn w:val="Normal"/>
    <w:next w:val="Text1"/>
    <w:pPr>
      <w:spacing w:before="120" w:after="120" w:line="240" w:lineRule="auto"/>
      <w:ind w:left="850" w:hanging="850"/>
      <w:jc w:val="both"/>
    </w:pPr>
    <w:rPr>
      <w:rFonts w:eastAsia="Times New Roman" w:cs="Times New Roman"/>
      <w:sz w:val="24"/>
      <w:szCs w:val="24"/>
    </w:rPr>
  </w:style>
  <w:style w:type="paragraph" w:customStyle="1" w:styleId="QuotedNumPar">
    <w:name w:val="Quoted NumPar"/>
    <w:basedOn w:val="Normal"/>
    <w:pPr>
      <w:spacing w:before="120" w:after="120" w:line="240" w:lineRule="auto"/>
      <w:ind w:left="1417" w:hanging="567"/>
      <w:jc w:val="both"/>
    </w:pPr>
    <w:rPr>
      <w:rFonts w:eastAsia="Times New Roman" w:cs="Times New Roman"/>
      <w:sz w:val="24"/>
      <w:szCs w:val="24"/>
    </w:rPr>
  </w:style>
  <w:style w:type="paragraph" w:customStyle="1" w:styleId="ManualHeading1">
    <w:name w:val="Manual Heading 1"/>
    <w:basedOn w:val="Normal"/>
    <w:next w:val="Text1"/>
    <w:pPr>
      <w:keepNext/>
      <w:tabs>
        <w:tab w:val="left" w:pos="850"/>
      </w:tabs>
      <w:spacing w:before="360" w:after="120" w:line="240" w:lineRule="auto"/>
      <w:ind w:left="850" w:hanging="850"/>
      <w:jc w:val="both"/>
      <w:outlineLvl w:val="0"/>
    </w:pPr>
    <w:rPr>
      <w:rFonts w:eastAsia="Times New Roman" w:cs="Times New Roman"/>
      <w:b/>
      <w:smallCaps/>
      <w:sz w:val="24"/>
      <w:szCs w:val="24"/>
    </w:rPr>
  </w:style>
  <w:style w:type="paragraph" w:customStyle="1" w:styleId="ManualHeading2">
    <w:name w:val="Manual Heading 2"/>
    <w:basedOn w:val="Normal"/>
    <w:next w:val="Text1"/>
    <w:pPr>
      <w:keepNext/>
      <w:tabs>
        <w:tab w:val="left" w:pos="850"/>
      </w:tabs>
      <w:spacing w:before="120" w:after="120" w:line="240" w:lineRule="auto"/>
      <w:ind w:left="850" w:hanging="850"/>
      <w:jc w:val="both"/>
      <w:outlineLvl w:val="1"/>
    </w:pPr>
    <w:rPr>
      <w:rFonts w:eastAsia="Times New Roman" w:cs="Times New Roman"/>
      <w:b/>
      <w:sz w:val="24"/>
      <w:szCs w:val="24"/>
    </w:rPr>
  </w:style>
  <w:style w:type="paragraph" w:customStyle="1" w:styleId="ManualHeading3">
    <w:name w:val="Manual Heading 3"/>
    <w:basedOn w:val="Normal"/>
    <w:next w:val="Text1"/>
    <w:pPr>
      <w:keepNext/>
      <w:tabs>
        <w:tab w:val="left" w:pos="850"/>
      </w:tabs>
      <w:spacing w:before="120" w:after="120" w:line="240" w:lineRule="auto"/>
      <w:ind w:left="850" w:hanging="850"/>
      <w:jc w:val="both"/>
      <w:outlineLvl w:val="2"/>
    </w:pPr>
    <w:rPr>
      <w:rFonts w:eastAsia="Times New Roman" w:cs="Times New Roman"/>
      <w:i/>
      <w:sz w:val="24"/>
      <w:szCs w:val="24"/>
    </w:rPr>
  </w:style>
  <w:style w:type="paragraph" w:customStyle="1" w:styleId="ManualHeading4">
    <w:name w:val="Manual Heading 4"/>
    <w:basedOn w:val="Normal"/>
    <w:next w:val="Text1"/>
    <w:pPr>
      <w:keepNext/>
      <w:tabs>
        <w:tab w:val="left" w:pos="850"/>
      </w:tabs>
      <w:spacing w:before="120" w:after="120" w:line="240" w:lineRule="auto"/>
      <w:ind w:left="850" w:hanging="850"/>
      <w:jc w:val="both"/>
      <w:outlineLvl w:val="3"/>
    </w:pPr>
    <w:rPr>
      <w:rFonts w:eastAsia="Times New Roman" w:cs="Times New Roman"/>
      <w:sz w:val="24"/>
      <w:szCs w:val="24"/>
    </w:rPr>
  </w:style>
  <w:style w:type="paragraph" w:customStyle="1" w:styleId="ChapterTitle">
    <w:name w:val="ChapterTitle"/>
    <w:basedOn w:val="Normal"/>
    <w:next w:val="Normal"/>
    <w:pPr>
      <w:keepNext/>
      <w:spacing w:before="120" w:after="360" w:line="240" w:lineRule="auto"/>
      <w:jc w:val="center"/>
    </w:pPr>
    <w:rPr>
      <w:rFonts w:eastAsia="Times New Roman" w:cs="Times New Roman"/>
      <w:b/>
      <w:sz w:val="32"/>
      <w:szCs w:val="24"/>
    </w:rPr>
  </w:style>
  <w:style w:type="paragraph" w:customStyle="1" w:styleId="PartTitle">
    <w:name w:val="PartTitle"/>
    <w:basedOn w:val="Normal"/>
    <w:next w:val="ChapterTitle"/>
    <w:pPr>
      <w:keepNext/>
      <w:pageBreakBefore/>
      <w:spacing w:before="120" w:after="360" w:line="240" w:lineRule="auto"/>
      <w:jc w:val="center"/>
    </w:pPr>
    <w:rPr>
      <w:rFonts w:eastAsia="Times New Roman" w:cs="Times New Roman"/>
      <w:b/>
      <w:sz w:val="36"/>
      <w:szCs w:val="24"/>
    </w:rPr>
  </w:style>
  <w:style w:type="paragraph" w:customStyle="1" w:styleId="SectionTitle">
    <w:name w:val="SectionTitle"/>
    <w:basedOn w:val="Normal"/>
    <w:next w:val="Heading1"/>
    <w:pPr>
      <w:keepNext/>
      <w:spacing w:before="120" w:after="360" w:line="240" w:lineRule="auto"/>
      <w:jc w:val="center"/>
    </w:pPr>
    <w:rPr>
      <w:rFonts w:eastAsia="Times New Roman" w:cs="Times New Roman"/>
      <w:b/>
      <w:smallCaps/>
      <w:sz w:val="28"/>
      <w:szCs w:val="24"/>
    </w:rPr>
  </w:style>
  <w:style w:type="paragraph" w:customStyle="1" w:styleId="TableTitle">
    <w:name w:val="Table Title"/>
    <w:basedOn w:val="Normal"/>
    <w:next w:val="Normal"/>
    <w:pPr>
      <w:spacing w:before="120" w:after="120" w:line="240" w:lineRule="auto"/>
      <w:jc w:val="center"/>
    </w:pPr>
    <w:rPr>
      <w:rFonts w:eastAsia="Times New Roman" w:cs="Times New Roman"/>
      <w:b/>
      <w:sz w:val="24"/>
      <w:szCs w:val="24"/>
    </w:rPr>
  </w:style>
  <w:style w:type="character" w:customStyle="1" w:styleId="Marker1">
    <w:name w:val="Marker1"/>
    <w:rPr>
      <w:color w:val="008000"/>
      <w:shd w:val="clear" w:color="auto" w:fill="auto"/>
    </w:rPr>
  </w:style>
  <w:style w:type="character" w:customStyle="1" w:styleId="Marker2">
    <w:name w:val="Marker2"/>
    <w:rPr>
      <w:color w:val="FF0000"/>
      <w:shd w:val="clear" w:color="auto" w:fill="auto"/>
    </w:rPr>
  </w:style>
  <w:style w:type="paragraph" w:styleId="TOCHeading">
    <w:name w:val="TOC Heading"/>
    <w:basedOn w:val="Normal"/>
    <w:next w:val="Normal"/>
    <w:uiPriority w:val="39"/>
    <w:qFormat/>
    <w:pPr>
      <w:spacing w:before="120" w:after="240" w:line="240" w:lineRule="auto"/>
    </w:pPr>
    <w:rPr>
      <w:rFonts w:eastAsia="Times New Roman" w:cs="Times New Roman"/>
      <w:b/>
      <w:sz w:val="28"/>
      <w:szCs w:val="24"/>
    </w:rPr>
  </w:style>
  <w:style w:type="paragraph" w:customStyle="1" w:styleId="Point0number">
    <w:name w:val="Point 0 (number)"/>
    <w:basedOn w:val="Normal"/>
    <w:pPr>
      <w:numPr>
        <w:numId w:val="20"/>
      </w:numPr>
      <w:spacing w:before="120" w:after="120" w:line="240" w:lineRule="auto"/>
      <w:jc w:val="both"/>
    </w:pPr>
    <w:rPr>
      <w:rFonts w:eastAsia="Times New Roman" w:cs="Times New Roman"/>
      <w:sz w:val="24"/>
      <w:szCs w:val="24"/>
    </w:rPr>
  </w:style>
  <w:style w:type="paragraph" w:customStyle="1" w:styleId="Point1number">
    <w:name w:val="Point 1 (number)"/>
    <w:basedOn w:val="Normal"/>
    <w:pPr>
      <w:numPr>
        <w:ilvl w:val="2"/>
        <w:numId w:val="20"/>
      </w:numPr>
      <w:spacing w:before="120" w:after="120" w:line="240" w:lineRule="auto"/>
      <w:jc w:val="both"/>
    </w:pPr>
    <w:rPr>
      <w:rFonts w:eastAsia="Times New Roman" w:cs="Times New Roman"/>
      <w:sz w:val="24"/>
      <w:szCs w:val="24"/>
    </w:rPr>
  </w:style>
  <w:style w:type="paragraph" w:customStyle="1" w:styleId="Point2number">
    <w:name w:val="Point 2 (number)"/>
    <w:basedOn w:val="Normal"/>
    <w:pPr>
      <w:numPr>
        <w:ilvl w:val="4"/>
        <w:numId w:val="20"/>
      </w:numPr>
      <w:spacing w:before="120" w:after="120" w:line="240" w:lineRule="auto"/>
      <w:jc w:val="both"/>
    </w:pPr>
    <w:rPr>
      <w:rFonts w:eastAsia="Times New Roman" w:cs="Times New Roman"/>
      <w:sz w:val="24"/>
      <w:szCs w:val="24"/>
    </w:rPr>
  </w:style>
  <w:style w:type="paragraph" w:customStyle="1" w:styleId="Point3number">
    <w:name w:val="Point 3 (number)"/>
    <w:basedOn w:val="Normal"/>
    <w:pPr>
      <w:numPr>
        <w:ilvl w:val="6"/>
        <w:numId w:val="20"/>
      </w:numPr>
      <w:spacing w:before="120" w:after="120" w:line="240" w:lineRule="auto"/>
      <w:jc w:val="both"/>
    </w:pPr>
    <w:rPr>
      <w:rFonts w:eastAsia="Times New Roman" w:cs="Times New Roman"/>
      <w:sz w:val="24"/>
      <w:szCs w:val="24"/>
    </w:rPr>
  </w:style>
  <w:style w:type="paragraph" w:customStyle="1" w:styleId="Point0letter">
    <w:name w:val="Point 0 (letter)"/>
    <w:basedOn w:val="Normal"/>
    <w:pPr>
      <w:numPr>
        <w:ilvl w:val="1"/>
        <w:numId w:val="20"/>
      </w:numPr>
      <w:spacing w:before="120" w:after="120" w:line="240" w:lineRule="auto"/>
      <w:jc w:val="both"/>
    </w:pPr>
    <w:rPr>
      <w:rFonts w:eastAsia="Times New Roman" w:cs="Times New Roman"/>
      <w:sz w:val="24"/>
      <w:szCs w:val="24"/>
    </w:rPr>
  </w:style>
  <w:style w:type="paragraph" w:customStyle="1" w:styleId="Point1letter">
    <w:name w:val="Point 1 (letter)"/>
    <w:basedOn w:val="Normal"/>
    <w:pPr>
      <w:numPr>
        <w:ilvl w:val="3"/>
        <w:numId w:val="20"/>
      </w:numPr>
      <w:spacing w:before="120" w:after="120" w:line="240" w:lineRule="auto"/>
      <w:jc w:val="both"/>
    </w:pPr>
    <w:rPr>
      <w:rFonts w:eastAsia="Times New Roman" w:cs="Times New Roman"/>
      <w:sz w:val="24"/>
      <w:szCs w:val="24"/>
    </w:rPr>
  </w:style>
  <w:style w:type="paragraph" w:customStyle="1" w:styleId="Point2letter">
    <w:name w:val="Point 2 (letter)"/>
    <w:basedOn w:val="Normal"/>
    <w:pPr>
      <w:numPr>
        <w:ilvl w:val="5"/>
        <w:numId w:val="20"/>
      </w:numPr>
      <w:spacing w:before="120" w:after="120" w:line="240" w:lineRule="auto"/>
      <w:jc w:val="both"/>
    </w:pPr>
    <w:rPr>
      <w:rFonts w:eastAsia="Times New Roman" w:cs="Times New Roman"/>
      <w:sz w:val="24"/>
      <w:szCs w:val="24"/>
    </w:rPr>
  </w:style>
  <w:style w:type="paragraph" w:customStyle="1" w:styleId="Point3letter">
    <w:name w:val="Point 3 (letter)"/>
    <w:basedOn w:val="Normal"/>
    <w:pPr>
      <w:numPr>
        <w:ilvl w:val="7"/>
        <w:numId w:val="20"/>
      </w:numPr>
      <w:spacing w:before="120" w:after="120" w:line="240" w:lineRule="auto"/>
      <w:jc w:val="both"/>
    </w:pPr>
    <w:rPr>
      <w:rFonts w:eastAsia="Times New Roman" w:cs="Times New Roman"/>
      <w:sz w:val="24"/>
      <w:szCs w:val="24"/>
    </w:rPr>
  </w:style>
  <w:style w:type="paragraph" w:customStyle="1" w:styleId="Point4letter">
    <w:name w:val="Point 4 (letter)"/>
    <w:basedOn w:val="Normal"/>
    <w:pPr>
      <w:numPr>
        <w:ilvl w:val="8"/>
        <w:numId w:val="20"/>
      </w:numPr>
      <w:spacing w:before="120" w:after="120" w:line="240" w:lineRule="auto"/>
      <w:jc w:val="both"/>
    </w:pPr>
    <w:rPr>
      <w:rFonts w:eastAsia="Times New Roman" w:cs="Times New Roman"/>
      <w:sz w:val="24"/>
      <w:szCs w:val="24"/>
    </w:rPr>
  </w:style>
  <w:style w:type="paragraph" w:customStyle="1" w:styleId="Bullet0">
    <w:name w:val="Bullet 0"/>
    <w:basedOn w:val="Normal"/>
    <w:pPr>
      <w:numPr>
        <w:numId w:val="8"/>
      </w:numPr>
      <w:spacing w:before="120" w:after="120" w:line="240" w:lineRule="auto"/>
      <w:jc w:val="both"/>
    </w:pPr>
    <w:rPr>
      <w:rFonts w:eastAsia="Times New Roman" w:cs="Times New Roman"/>
      <w:sz w:val="24"/>
      <w:szCs w:val="24"/>
    </w:rPr>
  </w:style>
  <w:style w:type="paragraph" w:customStyle="1" w:styleId="Bullet1">
    <w:name w:val="Bullet 1"/>
    <w:basedOn w:val="Normal"/>
    <w:pPr>
      <w:numPr>
        <w:numId w:val="9"/>
      </w:numPr>
      <w:spacing w:before="120" w:after="120" w:line="240" w:lineRule="auto"/>
      <w:jc w:val="both"/>
    </w:pPr>
    <w:rPr>
      <w:rFonts w:eastAsia="Times New Roman" w:cs="Times New Roman"/>
      <w:sz w:val="24"/>
      <w:szCs w:val="24"/>
    </w:rPr>
  </w:style>
  <w:style w:type="paragraph" w:customStyle="1" w:styleId="Bullet2">
    <w:name w:val="Bullet 2"/>
    <w:basedOn w:val="Normal"/>
    <w:pPr>
      <w:numPr>
        <w:numId w:val="10"/>
      </w:numPr>
      <w:spacing w:before="120" w:after="120" w:line="240" w:lineRule="auto"/>
      <w:jc w:val="both"/>
    </w:pPr>
    <w:rPr>
      <w:rFonts w:eastAsia="Times New Roman" w:cs="Times New Roman"/>
      <w:sz w:val="24"/>
      <w:szCs w:val="24"/>
    </w:rPr>
  </w:style>
  <w:style w:type="paragraph" w:customStyle="1" w:styleId="Bullet3">
    <w:name w:val="Bullet 3"/>
    <w:basedOn w:val="Normal"/>
    <w:pPr>
      <w:numPr>
        <w:numId w:val="11"/>
      </w:numPr>
      <w:spacing w:before="120" w:after="120" w:line="240" w:lineRule="auto"/>
      <w:jc w:val="both"/>
    </w:pPr>
    <w:rPr>
      <w:rFonts w:eastAsia="Times New Roman" w:cs="Times New Roman"/>
      <w:sz w:val="24"/>
      <w:szCs w:val="24"/>
    </w:rPr>
  </w:style>
  <w:style w:type="paragraph" w:customStyle="1" w:styleId="Bullet4">
    <w:name w:val="Bullet 4"/>
    <w:basedOn w:val="Normal"/>
    <w:pPr>
      <w:numPr>
        <w:numId w:val="12"/>
      </w:numPr>
      <w:spacing w:before="120" w:after="120" w:line="240" w:lineRule="auto"/>
      <w:jc w:val="both"/>
    </w:pPr>
    <w:rPr>
      <w:rFonts w:eastAsia="Times New Roman" w:cs="Times New Roman"/>
      <w:sz w:val="24"/>
      <w:szCs w:val="24"/>
    </w:rPr>
  </w:style>
  <w:style w:type="paragraph" w:customStyle="1" w:styleId="Annexetitreexpos">
    <w:name w:val="Annexe titre (exposé)"/>
    <w:basedOn w:val="Normal"/>
    <w:next w:val="Normal"/>
    <w:pPr>
      <w:spacing w:before="120" w:after="120" w:line="240" w:lineRule="auto"/>
      <w:jc w:val="center"/>
    </w:pPr>
    <w:rPr>
      <w:rFonts w:eastAsia="Times New Roman" w:cs="Times New Roman"/>
      <w:b/>
      <w:sz w:val="24"/>
      <w:szCs w:val="24"/>
      <w:u w:val="single"/>
    </w:rPr>
  </w:style>
  <w:style w:type="paragraph" w:customStyle="1" w:styleId="Annexetitre">
    <w:name w:val="Annexe titre"/>
    <w:basedOn w:val="Normal"/>
    <w:next w:val="Normal"/>
    <w:pPr>
      <w:spacing w:before="120" w:after="120" w:line="240" w:lineRule="auto"/>
      <w:jc w:val="center"/>
    </w:pPr>
    <w:rPr>
      <w:rFonts w:eastAsia="Times New Roman" w:cs="Times New Roman"/>
      <w:b/>
      <w:sz w:val="24"/>
      <w:szCs w:val="24"/>
      <w:u w:val="single"/>
    </w:rPr>
  </w:style>
  <w:style w:type="paragraph" w:customStyle="1" w:styleId="Annexetitrefichefinancire">
    <w:name w:val="Annexe titre (fiche financière)"/>
    <w:basedOn w:val="Normal"/>
    <w:next w:val="Normal"/>
    <w:pPr>
      <w:spacing w:before="120" w:after="120" w:line="240" w:lineRule="auto"/>
      <w:jc w:val="center"/>
    </w:pPr>
    <w:rPr>
      <w:rFonts w:eastAsia="Times New Roman" w:cs="Times New Roman"/>
      <w:b/>
      <w:sz w:val="24"/>
      <w:szCs w:val="24"/>
      <w:u w:val="single"/>
    </w:rPr>
  </w:style>
  <w:style w:type="paragraph" w:customStyle="1" w:styleId="Applicationdirecte">
    <w:name w:val="Application directe"/>
    <w:basedOn w:val="Normal"/>
    <w:next w:val="Fait"/>
    <w:pPr>
      <w:spacing w:before="480" w:after="120" w:line="240" w:lineRule="auto"/>
      <w:jc w:val="both"/>
    </w:pPr>
    <w:rPr>
      <w:rFonts w:eastAsia="Times New Roman" w:cs="Times New Roman"/>
      <w:sz w:val="24"/>
      <w:szCs w:val="24"/>
    </w:rPr>
  </w:style>
  <w:style w:type="paragraph" w:customStyle="1" w:styleId="Avertissementtitre">
    <w:name w:val="Avertissement titre"/>
    <w:basedOn w:val="Normal"/>
    <w:next w:val="Normal"/>
    <w:pPr>
      <w:keepNext/>
      <w:spacing w:before="480" w:after="120" w:line="240" w:lineRule="auto"/>
      <w:jc w:val="both"/>
    </w:pPr>
    <w:rPr>
      <w:rFonts w:eastAsia="Times New Roman" w:cs="Times New Roman"/>
      <w:sz w:val="24"/>
      <w:szCs w:val="24"/>
      <w:u w:val="single"/>
    </w:rPr>
  </w:style>
  <w:style w:type="paragraph" w:customStyle="1" w:styleId="Confidence">
    <w:name w:val="Confidence"/>
    <w:basedOn w:val="Normal"/>
    <w:next w:val="Normal"/>
    <w:pPr>
      <w:spacing w:before="360" w:after="120" w:line="240" w:lineRule="auto"/>
      <w:jc w:val="center"/>
    </w:pPr>
    <w:rPr>
      <w:rFonts w:eastAsia="Times New Roman" w:cs="Times New Roman"/>
      <w:sz w:val="24"/>
      <w:szCs w:val="24"/>
    </w:rPr>
  </w:style>
  <w:style w:type="paragraph" w:customStyle="1" w:styleId="Confidentialit">
    <w:name w:val="Confidentialité"/>
    <w:basedOn w:val="Normal"/>
    <w:next w:val="TypedudocumentPagedecouverture"/>
    <w:pPr>
      <w:spacing w:before="240" w:after="240" w:line="240" w:lineRule="auto"/>
      <w:ind w:left="5103"/>
      <w:jc w:val="both"/>
    </w:pPr>
    <w:rPr>
      <w:rFonts w:eastAsia="Times New Roman" w:cs="Times New Roman"/>
      <w:i/>
      <w:sz w:val="32"/>
      <w:szCs w:val="24"/>
    </w:rPr>
  </w:style>
  <w:style w:type="paragraph" w:customStyle="1" w:styleId="Considrant">
    <w:name w:val="Considérant"/>
    <w:basedOn w:val="Normal"/>
    <w:pPr>
      <w:numPr>
        <w:numId w:val="13"/>
      </w:numPr>
      <w:spacing w:before="120" w:after="120" w:line="240" w:lineRule="auto"/>
      <w:jc w:val="both"/>
    </w:pPr>
    <w:rPr>
      <w:rFonts w:eastAsia="Times New Roman" w:cs="Times New Roman"/>
      <w:sz w:val="24"/>
      <w:szCs w:val="24"/>
    </w:rPr>
  </w:style>
  <w:style w:type="paragraph" w:customStyle="1" w:styleId="Corrigendum">
    <w:name w:val="Corrigendum"/>
    <w:basedOn w:val="Normal"/>
    <w:next w:val="Normal"/>
    <w:pPr>
      <w:spacing w:after="240" w:line="240" w:lineRule="auto"/>
    </w:pPr>
    <w:rPr>
      <w:rFonts w:eastAsia="Times New Roman" w:cs="Times New Roman"/>
      <w:sz w:val="24"/>
      <w:szCs w:val="24"/>
    </w:rPr>
  </w:style>
  <w:style w:type="paragraph" w:customStyle="1" w:styleId="Datedadoption">
    <w:name w:val="Date d'adoption"/>
    <w:basedOn w:val="Normal"/>
    <w:next w:val="Titreobjet"/>
    <w:pPr>
      <w:spacing w:before="360" w:after="0" w:line="240" w:lineRule="auto"/>
      <w:jc w:val="center"/>
    </w:pPr>
    <w:rPr>
      <w:rFonts w:eastAsia="Times New Roman" w:cs="Times New Roman"/>
      <w:b/>
      <w:sz w:val="24"/>
      <w:szCs w:val="24"/>
    </w:rPr>
  </w:style>
  <w:style w:type="paragraph" w:customStyle="1" w:styleId="Emission">
    <w:name w:val="Emission"/>
    <w:basedOn w:val="Normal"/>
    <w:next w:val="Rfrenceinstitutionnelle"/>
    <w:pPr>
      <w:spacing w:after="0" w:line="240" w:lineRule="auto"/>
      <w:ind w:left="5103"/>
    </w:pPr>
    <w:rPr>
      <w:rFonts w:eastAsia="Times New Roman" w:cs="Times New Roman"/>
      <w:sz w:val="24"/>
      <w:szCs w:val="24"/>
    </w:rPr>
  </w:style>
  <w:style w:type="paragraph" w:customStyle="1" w:styleId="Exposdesmotifstitre">
    <w:name w:val="Exposé des motifs titre"/>
    <w:basedOn w:val="Normal"/>
    <w:next w:val="Normal"/>
    <w:pPr>
      <w:spacing w:before="120" w:after="120" w:line="240" w:lineRule="auto"/>
      <w:jc w:val="center"/>
    </w:pPr>
    <w:rPr>
      <w:rFonts w:eastAsia="Times New Roman" w:cs="Times New Roman"/>
      <w:b/>
      <w:sz w:val="24"/>
      <w:szCs w:val="24"/>
      <w:u w:val="single"/>
    </w:rPr>
  </w:style>
  <w:style w:type="paragraph" w:customStyle="1" w:styleId="Fait">
    <w:name w:val="Fait à"/>
    <w:basedOn w:val="Normal"/>
    <w:next w:val="Institutionquisigne"/>
    <w:pPr>
      <w:keepNext/>
      <w:spacing w:before="120" w:after="0" w:line="240" w:lineRule="auto"/>
      <w:jc w:val="both"/>
    </w:pPr>
    <w:rPr>
      <w:rFonts w:eastAsia="Times New Roman" w:cs="Times New Roman"/>
      <w:sz w:val="24"/>
      <w:szCs w:val="24"/>
    </w:rPr>
  </w:style>
  <w:style w:type="paragraph" w:customStyle="1" w:styleId="Formuledadoption">
    <w:name w:val="Formule d'adoption"/>
    <w:basedOn w:val="Normal"/>
    <w:next w:val="Titrearticle"/>
    <w:pPr>
      <w:keepNext/>
      <w:spacing w:before="120" w:after="120" w:line="240" w:lineRule="auto"/>
      <w:jc w:val="both"/>
    </w:pPr>
    <w:rPr>
      <w:rFonts w:eastAsia="Times New Roman" w:cs="Times New Roman"/>
      <w:sz w:val="24"/>
      <w:szCs w:val="24"/>
    </w:rPr>
  </w:style>
  <w:style w:type="paragraph" w:customStyle="1" w:styleId="Institutionquiagit">
    <w:name w:val="Institution qui agit"/>
    <w:basedOn w:val="Normal"/>
    <w:next w:val="Normal"/>
    <w:pPr>
      <w:keepNext/>
      <w:spacing w:before="600" w:after="120" w:line="240" w:lineRule="auto"/>
      <w:jc w:val="both"/>
    </w:pPr>
    <w:rPr>
      <w:rFonts w:eastAsia="Times New Roman" w:cs="Times New Roman"/>
      <w:sz w:val="24"/>
      <w:szCs w:val="24"/>
    </w:rPr>
  </w:style>
  <w:style w:type="paragraph" w:customStyle="1" w:styleId="Institutionquisigne">
    <w:name w:val="Institution qui signe"/>
    <w:basedOn w:val="Normal"/>
    <w:next w:val="Personnequisigne"/>
    <w:pPr>
      <w:keepNext/>
      <w:tabs>
        <w:tab w:val="left" w:pos="4252"/>
      </w:tabs>
      <w:spacing w:before="720" w:after="0" w:line="240" w:lineRule="auto"/>
      <w:jc w:val="both"/>
    </w:pPr>
    <w:rPr>
      <w:rFonts w:eastAsia="Times New Roman" w:cs="Times New Roman"/>
      <w:i/>
      <w:sz w:val="24"/>
      <w:szCs w:val="24"/>
    </w:rPr>
  </w:style>
  <w:style w:type="paragraph" w:customStyle="1" w:styleId="Langue">
    <w:name w:val="Langue"/>
    <w:basedOn w:val="Normal"/>
    <w:next w:val="Rfrenceinterne"/>
    <w:pPr>
      <w:framePr w:wrap="around" w:vAnchor="page" w:hAnchor="text" w:xAlign="center" w:y="14741"/>
      <w:spacing w:after="600" w:line="240" w:lineRule="auto"/>
      <w:jc w:val="center"/>
    </w:pPr>
    <w:rPr>
      <w:rFonts w:eastAsia="Times New Roman" w:cs="Times New Roman"/>
      <w:b/>
      <w:caps/>
      <w:sz w:val="24"/>
      <w:szCs w:val="24"/>
    </w:rPr>
  </w:style>
  <w:style w:type="paragraph" w:customStyle="1" w:styleId="ManualConsidrant">
    <w:name w:val="Manual Considérant"/>
    <w:basedOn w:val="Normal"/>
    <w:pPr>
      <w:spacing w:before="120" w:after="120" w:line="240" w:lineRule="auto"/>
      <w:ind w:left="709" w:hanging="709"/>
      <w:jc w:val="both"/>
    </w:pPr>
    <w:rPr>
      <w:rFonts w:eastAsia="Times New Roman" w:cs="Times New Roman"/>
      <w:sz w:val="24"/>
      <w:szCs w:val="24"/>
    </w:rPr>
  </w:style>
  <w:style w:type="paragraph" w:customStyle="1" w:styleId="Nomdelinstitution">
    <w:name w:val="Nom de l'institution"/>
    <w:basedOn w:val="Normal"/>
    <w:next w:val="Emission"/>
    <w:pPr>
      <w:spacing w:after="0" w:line="240" w:lineRule="auto"/>
    </w:pPr>
    <w:rPr>
      <w:rFonts w:ascii="Arial" w:eastAsia="Times New Roman" w:hAnsi="Arial" w:cs="Arial"/>
      <w:sz w:val="24"/>
      <w:szCs w:val="24"/>
    </w:rPr>
  </w:style>
  <w:style w:type="paragraph" w:customStyle="1" w:styleId="Personnequisigne">
    <w:name w:val="Personne qui signe"/>
    <w:basedOn w:val="Normal"/>
    <w:next w:val="Institutionquisigne"/>
    <w:pPr>
      <w:tabs>
        <w:tab w:val="left" w:pos="4252"/>
      </w:tabs>
      <w:spacing w:after="0" w:line="240" w:lineRule="auto"/>
    </w:pPr>
    <w:rPr>
      <w:rFonts w:eastAsia="Times New Roman" w:cs="Times New Roman"/>
      <w:i/>
      <w:sz w:val="24"/>
      <w:szCs w:val="24"/>
    </w:rPr>
  </w:style>
  <w:style w:type="paragraph" w:customStyle="1" w:styleId="Rfrenceinstitutionnelle">
    <w:name w:val="Référence institutionnelle"/>
    <w:basedOn w:val="Normal"/>
    <w:next w:val="Confidentialit"/>
    <w:pPr>
      <w:spacing w:after="240" w:line="240" w:lineRule="auto"/>
      <w:ind w:left="5103"/>
    </w:pPr>
    <w:rPr>
      <w:rFonts w:eastAsia="Times New Roman" w:cs="Times New Roman"/>
      <w:sz w:val="24"/>
      <w:szCs w:val="24"/>
    </w:rPr>
  </w:style>
  <w:style w:type="paragraph" w:customStyle="1" w:styleId="Rfrenceinterinstitutionnelle">
    <w:name w:val="Référence interinstitutionnelle"/>
    <w:basedOn w:val="Normal"/>
    <w:next w:val="Statut"/>
    <w:pPr>
      <w:spacing w:after="0" w:line="240" w:lineRule="auto"/>
      <w:ind w:left="5103"/>
    </w:pPr>
    <w:rPr>
      <w:rFonts w:eastAsia="Times New Roman" w:cs="Times New Roman"/>
      <w:sz w:val="24"/>
      <w:szCs w:val="24"/>
    </w:rPr>
  </w:style>
  <w:style w:type="paragraph" w:customStyle="1" w:styleId="Rfrenceinterne">
    <w:name w:val="Référence interne"/>
    <w:basedOn w:val="Normal"/>
    <w:next w:val="Rfrenceinterinstitutionnelle"/>
    <w:pPr>
      <w:spacing w:after="0" w:line="240" w:lineRule="auto"/>
      <w:ind w:left="5103"/>
    </w:pPr>
    <w:rPr>
      <w:rFonts w:eastAsia="Times New Roman" w:cs="Times New Roman"/>
      <w:sz w:val="24"/>
      <w:szCs w:val="24"/>
    </w:rPr>
  </w:style>
  <w:style w:type="paragraph" w:customStyle="1" w:styleId="Sous-titreobjet">
    <w:name w:val="Sous-titre objet"/>
    <w:basedOn w:val="Normal"/>
    <w:pPr>
      <w:spacing w:after="0" w:line="240" w:lineRule="auto"/>
      <w:jc w:val="center"/>
    </w:pPr>
    <w:rPr>
      <w:rFonts w:eastAsia="Times New Roman" w:cs="Times New Roman"/>
      <w:b/>
      <w:sz w:val="24"/>
      <w:szCs w:val="24"/>
    </w:rPr>
  </w:style>
  <w:style w:type="paragraph" w:customStyle="1" w:styleId="Statut">
    <w:name w:val="Statut"/>
    <w:basedOn w:val="Normal"/>
    <w:next w:val="Typedudocument"/>
    <w:pPr>
      <w:spacing w:before="360" w:after="0" w:line="240" w:lineRule="auto"/>
      <w:jc w:val="center"/>
    </w:pPr>
    <w:rPr>
      <w:rFonts w:eastAsia="Times New Roman" w:cs="Times New Roman"/>
      <w:sz w:val="24"/>
      <w:szCs w:val="24"/>
    </w:rPr>
  </w:style>
  <w:style w:type="paragraph" w:customStyle="1" w:styleId="Titrearticle">
    <w:name w:val="Titre article"/>
    <w:basedOn w:val="Normal"/>
    <w:next w:val="Normal"/>
    <w:pPr>
      <w:keepNext/>
      <w:spacing w:before="360" w:after="120" w:line="240" w:lineRule="auto"/>
      <w:jc w:val="center"/>
    </w:pPr>
    <w:rPr>
      <w:rFonts w:eastAsia="Times New Roman" w:cs="Times New Roman"/>
      <w:i/>
      <w:sz w:val="24"/>
      <w:szCs w:val="24"/>
    </w:rPr>
  </w:style>
  <w:style w:type="paragraph" w:customStyle="1" w:styleId="Titreobjet">
    <w:name w:val="Titre objet"/>
    <w:basedOn w:val="Normal"/>
    <w:next w:val="Sous-titreobjet"/>
    <w:pPr>
      <w:spacing w:before="360" w:after="360" w:line="240" w:lineRule="auto"/>
      <w:jc w:val="center"/>
    </w:pPr>
    <w:rPr>
      <w:rFonts w:eastAsia="Times New Roman" w:cs="Times New Roman"/>
      <w:b/>
      <w:sz w:val="24"/>
      <w:szCs w:val="24"/>
    </w:rPr>
  </w:style>
  <w:style w:type="paragraph" w:customStyle="1" w:styleId="Typedudocument">
    <w:name w:val="Type du document"/>
    <w:basedOn w:val="Normal"/>
    <w:next w:val="Titreobjet"/>
    <w:link w:val="TypedudocumentChar"/>
    <w:pPr>
      <w:spacing w:before="360" w:after="0" w:line="240" w:lineRule="auto"/>
      <w:jc w:val="center"/>
    </w:pPr>
    <w:rPr>
      <w:rFonts w:eastAsia="Times New Roman" w:cs="Times New Roman"/>
      <w:b/>
      <w:sz w:val="24"/>
      <w:szCs w:val="24"/>
    </w:rPr>
  </w:style>
  <w:style w:type="character" w:customStyle="1" w:styleId="Added">
    <w:name w:val="Added"/>
    <w:rPr>
      <w:b/>
      <w:u w:val="single"/>
      <w:shd w:val="clear" w:color="auto" w:fill="auto"/>
    </w:rPr>
  </w:style>
  <w:style w:type="character" w:customStyle="1" w:styleId="Deleted">
    <w:name w:val="Deleted"/>
    <w:rPr>
      <w:strike/>
      <w:shd w:val="clear" w:color="auto" w:fill="auto"/>
    </w:rPr>
  </w:style>
  <w:style w:type="paragraph" w:customStyle="1" w:styleId="Address">
    <w:name w:val="Address"/>
    <w:basedOn w:val="Normal"/>
    <w:next w:val="Normal"/>
    <w:pPr>
      <w:keepLines/>
      <w:spacing w:before="120" w:after="120" w:line="360" w:lineRule="auto"/>
      <w:ind w:left="3402"/>
    </w:pPr>
    <w:rPr>
      <w:rFonts w:eastAsia="Times New Roman" w:cs="Times New Roman"/>
      <w:sz w:val="24"/>
      <w:szCs w:val="24"/>
    </w:rPr>
  </w:style>
  <w:style w:type="paragraph" w:customStyle="1" w:styleId="Objetexterne">
    <w:name w:val="Objet externe"/>
    <w:basedOn w:val="Normal"/>
    <w:next w:val="Normal"/>
    <w:pPr>
      <w:spacing w:before="120" w:after="120" w:line="240" w:lineRule="auto"/>
      <w:jc w:val="both"/>
    </w:pPr>
    <w:rPr>
      <w:rFonts w:eastAsia="Times New Roman" w:cs="Times New Roman"/>
      <w:i/>
      <w:caps/>
      <w:sz w:val="24"/>
      <w:szCs w:val="24"/>
    </w:rPr>
  </w:style>
  <w:style w:type="paragraph" w:customStyle="1" w:styleId="Supertitre">
    <w:name w:val="Supertitre"/>
    <w:basedOn w:val="Normal"/>
    <w:next w:val="Normal"/>
    <w:pPr>
      <w:spacing w:after="600" w:line="240" w:lineRule="auto"/>
      <w:jc w:val="center"/>
    </w:pPr>
    <w:rPr>
      <w:rFonts w:eastAsia="Times New Roman" w:cs="Times New Roman"/>
      <w:b/>
      <w:sz w:val="24"/>
      <w:szCs w:val="24"/>
    </w:rPr>
  </w:style>
  <w:style w:type="paragraph" w:customStyle="1" w:styleId="Languesfaisantfoi">
    <w:name w:val="Langues faisant foi"/>
    <w:basedOn w:val="Normal"/>
    <w:next w:val="Normal"/>
    <w:pPr>
      <w:spacing w:before="360" w:after="0" w:line="240" w:lineRule="auto"/>
      <w:jc w:val="center"/>
    </w:pPr>
    <w:rPr>
      <w:rFonts w:eastAsia="Times New Roman" w:cs="Times New Roman"/>
      <w:sz w:val="24"/>
      <w:szCs w:val="24"/>
    </w:rPr>
  </w:style>
  <w:style w:type="paragraph" w:customStyle="1" w:styleId="Rfrencecroise">
    <w:name w:val="Référence croisée"/>
    <w:basedOn w:val="Normal"/>
    <w:pPr>
      <w:spacing w:after="0" w:line="240" w:lineRule="auto"/>
      <w:jc w:val="center"/>
    </w:pPr>
    <w:rPr>
      <w:rFonts w:eastAsia="Times New Roman" w:cs="Times New Roman"/>
      <w:sz w:val="24"/>
      <w:szCs w:val="24"/>
    </w:rPr>
  </w:style>
  <w:style w:type="paragraph" w:customStyle="1" w:styleId="Fichefinanciretitre">
    <w:name w:val="Fiche financière titre"/>
    <w:basedOn w:val="Normal"/>
    <w:next w:val="Normal"/>
    <w:pPr>
      <w:spacing w:before="120" w:after="120" w:line="240" w:lineRule="auto"/>
      <w:jc w:val="center"/>
    </w:pPr>
    <w:rPr>
      <w:rFonts w:eastAsia="Times New Roman" w:cs="Times New Roman"/>
      <w:b/>
      <w:sz w:val="24"/>
      <w:szCs w:val="24"/>
      <w:u w:val="single"/>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ous-titreobjetPagedecouverture">
    <w:name w:val="Sous-titre objet (Page de couverture)"/>
    <w:basedOn w:val="Sous-titreobjet"/>
  </w:style>
  <w:style w:type="paragraph" w:customStyle="1" w:styleId="StatutPagedecouverture">
    <w:name w:val="Statut (Page de couverture)"/>
    <w:basedOn w:val="Statut"/>
    <w:next w:val="TypedudocumentPagedecouverture"/>
  </w:style>
  <w:style w:type="paragraph" w:customStyle="1" w:styleId="TitreobjetPagedecouverture">
    <w:name w:val="Titre objet (Page de couverture)"/>
    <w:basedOn w:val="Titreobjet"/>
    <w:next w:val="Sous-titreobjetPagedecouverture"/>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after="240" w:line="240" w:lineRule="auto"/>
      <w:ind w:left="5103"/>
    </w:pPr>
    <w:rPr>
      <w:rFonts w:eastAsia="Times New Roman" w:cs="Times New Roman"/>
      <w:sz w:val="24"/>
      <w:szCs w:val="24"/>
    </w:r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after="240" w:line="240" w:lineRule="auto"/>
      <w:jc w:val="center"/>
    </w:pPr>
    <w:rPr>
      <w:rFonts w:eastAsia="Times New Roman" w:cs="Times New Roman"/>
      <w:b/>
      <w:i/>
      <w:sz w:val="24"/>
      <w:szCs w:val="24"/>
    </w:rPr>
  </w:style>
  <w:style w:type="paragraph" w:customStyle="1" w:styleId="Typeacteprincipal">
    <w:name w:val="Type acte principal"/>
    <w:basedOn w:val="Normal"/>
    <w:next w:val="Objetacteprincipal"/>
    <w:pPr>
      <w:spacing w:after="240" w:line="240" w:lineRule="auto"/>
      <w:jc w:val="center"/>
    </w:pPr>
    <w:rPr>
      <w:rFonts w:eastAsia="Times New Roman" w:cs="Times New Roman"/>
      <w:b/>
      <w:sz w:val="24"/>
      <w:szCs w:val="24"/>
    </w:rPr>
  </w:style>
  <w:style w:type="paragraph" w:customStyle="1" w:styleId="Objetacteprincipal">
    <w:name w:val="Objet acte principal"/>
    <w:basedOn w:val="Normal"/>
    <w:next w:val="Titrearticle"/>
    <w:pPr>
      <w:spacing w:after="360" w:line="240" w:lineRule="auto"/>
      <w:jc w:val="center"/>
    </w:pPr>
    <w:rPr>
      <w:rFonts w:eastAsia="Times New Roman" w:cs="Times New Roman"/>
      <w:b/>
      <w:sz w:val="24"/>
      <w:szCs w:val="24"/>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line="240" w:lineRule="auto"/>
      <w:jc w:val="center"/>
    </w:pPr>
    <w:rPr>
      <w:rFonts w:eastAsia="Times New Roman" w:cs="Times New Roman"/>
      <w:sz w:val="24"/>
      <w:szCs w:val="24"/>
    </w:rPr>
  </w:style>
  <w:style w:type="paragraph" w:styleId="ListBullet">
    <w:name w:val="List Bullet"/>
    <w:basedOn w:val="Normal"/>
    <w:pPr>
      <w:numPr>
        <w:numId w:val="14"/>
      </w:numPr>
      <w:spacing w:before="120" w:after="120" w:line="240" w:lineRule="auto"/>
      <w:contextualSpacing/>
      <w:jc w:val="both"/>
    </w:pPr>
    <w:rPr>
      <w:rFonts w:eastAsia="Times New Roman" w:cs="Times New Roman"/>
      <w:sz w:val="24"/>
      <w:szCs w:val="24"/>
    </w:rPr>
  </w:style>
  <w:style w:type="paragraph" w:styleId="ListBullet2">
    <w:name w:val="List Bullet 2"/>
    <w:basedOn w:val="Normal"/>
    <w:pPr>
      <w:numPr>
        <w:numId w:val="15"/>
      </w:numPr>
      <w:spacing w:before="120" w:after="120" w:line="240" w:lineRule="auto"/>
      <w:contextualSpacing/>
      <w:jc w:val="both"/>
    </w:pPr>
    <w:rPr>
      <w:rFonts w:eastAsia="Times New Roman" w:cs="Times New Roman"/>
      <w:sz w:val="24"/>
      <w:szCs w:val="24"/>
    </w:rPr>
  </w:style>
  <w:style w:type="paragraph" w:styleId="ListBullet3">
    <w:name w:val="List Bullet 3"/>
    <w:basedOn w:val="Normal"/>
    <w:pPr>
      <w:numPr>
        <w:numId w:val="16"/>
      </w:numPr>
      <w:spacing w:before="120" w:after="120" w:line="240" w:lineRule="auto"/>
      <w:contextualSpacing/>
      <w:jc w:val="both"/>
    </w:pPr>
    <w:rPr>
      <w:rFonts w:eastAsia="Times New Roman" w:cs="Times New Roman"/>
      <w:sz w:val="24"/>
      <w:szCs w:val="24"/>
    </w:rPr>
  </w:style>
  <w:style w:type="paragraph" w:styleId="ListBullet4">
    <w:name w:val="List Bullet 4"/>
    <w:basedOn w:val="Normal"/>
    <w:pPr>
      <w:numPr>
        <w:numId w:val="17"/>
      </w:numPr>
      <w:spacing w:before="120" w:after="120" w:line="240" w:lineRule="auto"/>
      <w:contextualSpacing/>
      <w:jc w:val="both"/>
    </w:pPr>
    <w:rPr>
      <w:rFonts w:eastAsia="Times New Roman" w:cs="Times New Roman"/>
      <w:sz w:val="24"/>
      <w:szCs w:val="24"/>
    </w:rPr>
  </w:style>
  <w:style w:type="paragraph" w:customStyle="1" w:styleId="ListDash">
    <w:name w:val="List Dash"/>
    <w:basedOn w:val="Normal"/>
    <w:pPr>
      <w:numPr>
        <w:numId w:val="18"/>
      </w:numPr>
      <w:spacing w:before="120" w:after="120" w:line="240" w:lineRule="auto"/>
      <w:jc w:val="both"/>
    </w:pPr>
    <w:rPr>
      <w:rFonts w:eastAsia="Times New Roman" w:cs="Times New Roman"/>
      <w:sz w:val="24"/>
      <w:szCs w:val="24"/>
    </w:rPr>
  </w:style>
  <w:style w:type="character" w:styleId="Strong">
    <w:name w:val="Strong"/>
    <w:uiPriority w:val="22"/>
    <w:qFormat/>
    <w:rPr>
      <w:b/>
      <w:bCs/>
    </w:rPr>
  </w:style>
  <w:style w:type="paragraph" w:styleId="ListParagraph">
    <w:name w:val="List Paragraph"/>
    <w:basedOn w:val="Normal"/>
    <w:uiPriority w:val="34"/>
    <w:qFormat/>
    <w:pPr>
      <w:ind w:left="720"/>
      <w:contextualSpacing/>
    </w:pPr>
    <w:rPr>
      <w:rFonts w:ascii="Calibri" w:eastAsia="Times New Roman" w:hAnsi="Calibri" w:cs="Times New Roman"/>
    </w:rPr>
  </w:style>
  <w:style w:type="numbering" w:styleId="111111">
    <w:name w:val="Outline List 2"/>
    <w:basedOn w:val="NoList"/>
    <w:pPr>
      <w:numPr>
        <w:numId w:val="19"/>
      </w:numPr>
    </w:pPr>
  </w:style>
  <w:style w:type="character" w:styleId="PageNumber">
    <w:name w:val="page number"/>
  </w:style>
  <w:style w:type="paragraph" w:customStyle="1" w:styleId="Default">
    <w:name w:val="Default"/>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4"/>
    </w:rPr>
  </w:style>
  <w:style w:type="paragraph" w:styleId="Caption">
    <w:name w:val="caption"/>
    <w:basedOn w:val="Normal"/>
    <w:next w:val="Normal"/>
    <w:qFormat/>
    <w:pPr>
      <w:spacing w:before="120" w:after="120" w:line="240" w:lineRule="auto"/>
      <w:jc w:val="both"/>
    </w:pPr>
    <w:rPr>
      <w:rFonts w:eastAsia="Times New Roman" w:cs="Times New Roman"/>
      <w:b/>
      <w:bCs/>
      <w:sz w:val="20"/>
      <w:szCs w:val="20"/>
    </w:rPr>
  </w:style>
  <w:style w:type="paragraph" w:styleId="TableofFigures">
    <w:name w:val="table of figures"/>
    <w:basedOn w:val="Normal"/>
    <w:next w:val="Normal"/>
    <w:pPr>
      <w:spacing w:before="120" w:after="120" w:line="240" w:lineRule="auto"/>
      <w:jc w:val="both"/>
    </w:pPr>
    <w:rPr>
      <w:rFonts w:eastAsia="Times New Roman" w:cs="Times New Roman"/>
      <w:sz w:val="24"/>
      <w:szCs w:val="24"/>
    </w:rPr>
  </w:style>
  <w:style w:type="paragraph" w:styleId="ListNumber">
    <w:name w:val="List Number"/>
    <w:basedOn w:val="Normal"/>
    <w:pPr>
      <w:numPr>
        <w:numId w:val="21"/>
      </w:numPr>
      <w:spacing w:before="120" w:after="120" w:line="240" w:lineRule="auto"/>
      <w:contextualSpacing/>
      <w:jc w:val="both"/>
    </w:pPr>
    <w:rPr>
      <w:rFonts w:eastAsia="Times New Roman" w:cs="Times New Roman"/>
      <w:sz w:val="24"/>
      <w:szCs w:val="24"/>
    </w:rPr>
  </w:style>
  <w:style w:type="paragraph" w:styleId="ListNumber2">
    <w:name w:val="List Number 2"/>
    <w:basedOn w:val="Normal"/>
    <w:pPr>
      <w:numPr>
        <w:numId w:val="22"/>
      </w:numPr>
      <w:spacing w:before="120" w:after="120" w:line="240" w:lineRule="auto"/>
      <w:contextualSpacing/>
      <w:jc w:val="both"/>
    </w:pPr>
    <w:rPr>
      <w:rFonts w:eastAsia="Times New Roman" w:cs="Times New Roman"/>
      <w:sz w:val="24"/>
      <w:szCs w:val="24"/>
    </w:rPr>
  </w:style>
  <w:style w:type="paragraph" w:styleId="ListNumber3">
    <w:name w:val="List Number 3"/>
    <w:basedOn w:val="Normal"/>
    <w:pPr>
      <w:numPr>
        <w:numId w:val="23"/>
      </w:numPr>
      <w:spacing w:before="120" w:after="120" w:line="240" w:lineRule="auto"/>
      <w:contextualSpacing/>
      <w:jc w:val="both"/>
    </w:pPr>
    <w:rPr>
      <w:rFonts w:eastAsia="Times New Roman" w:cs="Times New Roman"/>
      <w:sz w:val="24"/>
      <w:szCs w:val="24"/>
    </w:rPr>
  </w:style>
  <w:style w:type="paragraph" w:styleId="ListNumber4">
    <w:name w:val="List Number 4"/>
    <w:basedOn w:val="Normal"/>
    <w:pPr>
      <w:numPr>
        <w:numId w:val="24"/>
      </w:numPr>
      <w:spacing w:before="120" w:after="120" w:line="240" w:lineRule="auto"/>
      <w:contextualSpacing/>
      <w:jc w:val="both"/>
    </w:pPr>
    <w:rPr>
      <w:rFonts w:eastAsia="Times New Roman" w:cs="Times New Roman"/>
      <w:sz w:val="24"/>
      <w:szCs w:val="24"/>
    </w:rPr>
  </w:style>
  <w:style w:type="character" w:customStyle="1" w:styleId="TypedudocumentChar">
    <w:name w:val="Type du document Char"/>
    <w:link w:val="Typedudocument"/>
    <w:rPr>
      <w:rFonts w:ascii="Times New Roman" w:eastAsia="Times New Roman" w:hAnsi="Times New Roman" w:cs="Times New Roman"/>
      <w:b/>
      <w:sz w:val="24"/>
      <w:szCs w:val="24"/>
    </w:rPr>
  </w:style>
  <w:style w:type="paragraph" w:styleId="DocumentMap">
    <w:name w:val="Document Map"/>
    <w:basedOn w:val="Normal"/>
    <w:link w:val="DocumentMapChar"/>
    <w:semiHidden/>
    <w:pPr>
      <w:shd w:val="clear" w:color="auto" w:fill="000080"/>
    </w:pPr>
    <w:rPr>
      <w:rFonts w:ascii="Tahoma" w:eastAsia="Calibri" w:hAnsi="Tahoma" w:cs="Tahoma"/>
    </w:rPr>
  </w:style>
  <w:style w:type="character" w:customStyle="1" w:styleId="DocumentMapChar">
    <w:name w:val="Document Map Char"/>
    <w:basedOn w:val="DefaultParagraphFont"/>
    <w:link w:val="DocumentMap"/>
    <w:semiHidden/>
    <w:rPr>
      <w:rFonts w:ascii="Tahoma" w:eastAsia="Calibri" w:hAnsi="Tahoma" w:cs="Tahoma"/>
      <w:shd w:val="clear" w:color="auto" w:fill="000080"/>
    </w:rPr>
  </w:style>
  <w:style w:type="paragraph" w:customStyle="1" w:styleId="EntInstit">
    <w:name w:val="EntInstit"/>
    <w:basedOn w:val="NormalConseil"/>
    <w:pPr>
      <w:jc w:val="right"/>
    </w:pPr>
    <w:rPr>
      <w:b/>
    </w:rPr>
  </w:style>
  <w:style w:type="paragraph" w:customStyle="1" w:styleId="NormalConseil">
    <w:name w:val="NormalConseil"/>
    <w:basedOn w:val="Normal"/>
    <w:pPr>
      <w:spacing w:after="0" w:line="240" w:lineRule="auto"/>
    </w:pPr>
    <w:rPr>
      <w:rFonts w:eastAsia="Times New Roman" w:cs="Times New Roman"/>
      <w:sz w:val="24"/>
      <w:szCs w:val="20"/>
    </w:rPr>
  </w:style>
  <w:style w:type="paragraph" w:customStyle="1" w:styleId="EntRefer">
    <w:name w:val="EntRefer"/>
    <w:basedOn w:val="NormalConseil"/>
    <w:rPr>
      <w:b/>
    </w:rPr>
  </w:style>
  <w:style w:type="paragraph" w:customStyle="1" w:styleId="EntEmet">
    <w:name w:val="EntEmet"/>
    <w:basedOn w:val="NormalConseil"/>
    <w:pPr>
      <w:tabs>
        <w:tab w:val="left" w:pos="284"/>
        <w:tab w:val="left" w:pos="567"/>
        <w:tab w:val="left" w:pos="851"/>
        <w:tab w:val="left" w:pos="1134"/>
        <w:tab w:val="left" w:pos="1418"/>
      </w:tabs>
      <w:spacing w:before="40"/>
    </w:pPr>
  </w:style>
  <w:style w:type="paragraph" w:customStyle="1" w:styleId="EntLogo">
    <w:name w:val="EntLogo"/>
    <w:basedOn w:val="NormalConseil"/>
    <w:next w:val="EntInstit"/>
    <w:pPr>
      <w:spacing w:line="360" w:lineRule="auto"/>
    </w:pPr>
    <w:rPr>
      <w:b/>
    </w:rPr>
  </w:style>
  <w:style w:type="paragraph" w:customStyle="1" w:styleId="FooterConseil">
    <w:name w:val="FooterConseil"/>
    <w:basedOn w:val="NormalConseil"/>
    <w:pPr>
      <w:tabs>
        <w:tab w:val="center" w:pos="4820"/>
        <w:tab w:val="center" w:pos="7371"/>
        <w:tab w:val="right" w:pos="9639"/>
      </w:tabs>
    </w:pPr>
  </w:style>
  <w:style w:type="paragraph" w:styleId="NormalWeb">
    <w:name w:val="Normal (Web)"/>
    <w:basedOn w:val="Normal"/>
    <w:uiPriority w:val="99"/>
    <w:unhideWhenUsed/>
    <w:rPr>
      <w:rFonts w:eastAsia="Calibri" w:cs="Times New Roman"/>
      <w:sz w:val="24"/>
      <w:szCs w:val="24"/>
    </w:rPr>
  </w:style>
  <w:style w:type="table" w:styleId="TableGrid">
    <w:name w:val="Table Grid"/>
    <w:basedOn w:val="TableNormal"/>
    <w:uiPriority w:val="5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numbering" w:customStyle="1" w:styleId="1111111">
    <w:name w:val="1 / 1.1 / 1.1.11"/>
    <w:basedOn w:val="NoList"/>
    <w:next w:val="111111"/>
  </w:style>
  <w:style w:type="table" w:customStyle="1" w:styleId="TableGrid1">
    <w:name w:val="Table Grid1"/>
    <w:basedOn w:val="TableNormal"/>
    <w:next w:val="TableGrid"/>
    <w:uiPriority w:val="5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style>
  <w:style w:type="table" w:styleId="LightList-Accent4">
    <w:name w:val="Light List Accent 4"/>
    <w:basedOn w:val="TableNormal"/>
    <w:uiPriority w:val="61"/>
    <w:pPr>
      <w:spacing w:after="0" w:line="240" w:lineRule="auto"/>
    </w:pPr>
    <w:rPr>
      <w:rFonts w:ascii="Calibri" w:eastAsia="Calibri" w:hAnsi="Calibri"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customStyle="1" w:styleId="footnotedefaultstyleChar">
    <w:name w:val="footnote default style Char"/>
    <w:basedOn w:val="DefaultParagraphFont"/>
    <w:link w:val="footnotedefaultstyle"/>
    <w:locked/>
    <w:rPr>
      <w:rFonts w:ascii="Verdana" w:hAnsi="Verdana"/>
    </w:rPr>
  </w:style>
  <w:style w:type="paragraph" w:customStyle="1" w:styleId="footnotedefaultstyle">
    <w:name w:val="footnote default style"/>
    <w:basedOn w:val="Normal"/>
    <w:link w:val="footnotedefaultstyleChar"/>
    <w:pPr>
      <w:spacing w:after="0" w:line="240" w:lineRule="auto"/>
      <w:ind w:left="357" w:hanging="357"/>
      <w:jc w:val="both"/>
    </w:pPr>
    <w:rPr>
      <w:rFonts w:ascii="Verdana" w:hAnsi="Verdana"/>
    </w:rPr>
  </w:style>
  <w:style w:type="paragraph" w:customStyle="1" w:styleId="rtejustify">
    <w:name w:val="rtejustify"/>
    <w:basedOn w:val="Normal"/>
    <w:pPr>
      <w:spacing w:before="100" w:beforeAutospacing="1" w:after="100" w:afterAutospacing="1" w:line="240" w:lineRule="auto"/>
    </w:pPr>
    <w:rPr>
      <w:rFonts w:eastAsia="Times New Roman" w:cs="Times New Roman"/>
      <w:sz w:val="24"/>
      <w:szCs w:val="24"/>
    </w:rPr>
  </w:style>
  <w:style w:type="paragraph" w:customStyle="1" w:styleId="Declassification">
    <w:name w:val="Declassification"/>
    <w:basedOn w:val="Normal"/>
    <w:next w:val="Normal"/>
    <w:pPr>
      <w:spacing w:after="0" w:line="240" w:lineRule="auto"/>
      <w:jc w:val="both"/>
    </w:pPr>
    <w:rPr>
      <w:rFonts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paragraph" w:customStyle="1" w:styleId="doc-ti">
    <w:name w:val="doc-ti"/>
    <w:basedOn w:val="Normal"/>
    <w:pPr>
      <w:spacing w:before="100" w:beforeAutospacing="1" w:after="100" w:afterAutospacing="1" w:line="240" w:lineRule="auto"/>
    </w:pPr>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bg-BG" w:bidi="bg-BG"/>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table of figures" w:uiPriority="0"/>
    <w:lsdException w:name="footnote reference" w:uiPriority="0"/>
    <w:lsdException w:name="page number" w:uiPriority="0"/>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rPr>
  </w:style>
  <w:style w:type="paragraph" w:styleId="Heading1">
    <w:name w:val="heading 1"/>
    <w:basedOn w:val="Normal"/>
    <w:next w:val="Normal"/>
    <w:link w:val="Heading1Char"/>
    <w:qFormat/>
    <w:pPr>
      <w:keepNext/>
      <w:spacing w:before="360" w:after="120" w:line="240" w:lineRule="auto"/>
      <w:jc w:val="both"/>
      <w:outlineLvl w:val="0"/>
    </w:pPr>
    <w:rPr>
      <w:rFonts w:eastAsia="Times New Roman" w:cs="Times New Roman"/>
      <w:b/>
      <w:bCs/>
      <w:kern w:val="32"/>
      <w:sz w:val="32"/>
      <w:szCs w:val="32"/>
    </w:rPr>
  </w:style>
  <w:style w:type="paragraph" w:styleId="Heading2">
    <w:name w:val="heading 2"/>
    <w:basedOn w:val="Normal"/>
    <w:next w:val="Normal"/>
    <w:link w:val="Heading2Char"/>
    <w:qFormat/>
    <w:pPr>
      <w:keepNext/>
      <w:numPr>
        <w:ilvl w:val="1"/>
        <w:numId w:val="35"/>
      </w:numPr>
      <w:spacing w:after="240" w:line="240" w:lineRule="auto"/>
      <w:jc w:val="both"/>
      <w:outlineLvl w:val="1"/>
    </w:pPr>
    <w:rPr>
      <w:rFonts w:eastAsia="Times New Roman" w:cs="Times New Roman"/>
      <w:b/>
      <w:bCs/>
      <w:i/>
      <w:iCs/>
      <w:sz w:val="28"/>
      <w:szCs w:val="28"/>
    </w:rPr>
  </w:style>
  <w:style w:type="paragraph" w:styleId="Heading3">
    <w:name w:val="heading 3"/>
    <w:basedOn w:val="Normal"/>
    <w:next w:val="Normal"/>
    <w:link w:val="Heading3Char"/>
    <w:qFormat/>
    <w:pPr>
      <w:keepNext/>
      <w:numPr>
        <w:ilvl w:val="2"/>
        <w:numId w:val="1"/>
      </w:numPr>
      <w:spacing w:before="120" w:after="120" w:line="240" w:lineRule="auto"/>
      <w:jc w:val="both"/>
      <w:outlineLvl w:val="2"/>
    </w:pPr>
    <w:rPr>
      <w:rFonts w:eastAsia="Times New Roman" w:cs="Times New Roman"/>
      <w:bCs/>
      <w:i/>
      <w:sz w:val="24"/>
      <w:szCs w:val="26"/>
    </w:rPr>
  </w:style>
  <w:style w:type="paragraph" w:styleId="Heading4">
    <w:name w:val="heading 4"/>
    <w:basedOn w:val="Normal"/>
    <w:next w:val="Normal"/>
    <w:link w:val="Heading4Char"/>
    <w:qFormat/>
    <w:pPr>
      <w:keepNext/>
      <w:numPr>
        <w:ilvl w:val="3"/>
        <w:numId w:val="1"/>
      </w:numPr>
      <w:spacing w:before="120" w:after="120" w:line="240" w:lineRule="auto"/>
      <w:jc w:val="both"/>
      <w:outlineLvl w:val="3"/>
    </w:pPr>
    <w:rPr>
      <w:rFonts w:eastAsia="Times New Roman" w:cs="Times New Roman"/>
      <w:bCs/>
      <w:sz w:val="24"/>
      <w:szCs w:val="28"/>
    </w:rPr>
  </w:style>
  <w:style w:type="paragraph" w:styleId="Heading5">
    <w:name w:val="heading 5"/>
    <w:basedOn w:val="Normal"/>
    <w:next w:val="Normal"/>
    <w:link w:val="Heading5Char"/>
    <w:uiPriority w:val="9"/>
    <w:semiHidden/>
    <w:unhideWhenUsed/>
    <w:qFormat/>
    <w:pPr>
      <w:numPr>
        <w:ilvl w:val="4"/>
        <w:numId w:val="1"/>
      </w:numPr>
      <w:spacing w:before="240" w:after="6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semiHidden/>
    <w:unhideWhenUsed/>
    <w:qFormat/>
    <w:pPr>
      <w:numPr>
        <w:ilvl w:val="5"/>
        <w:numId w:val="1"/>
      </w:numPr>
      <w:spacing w:before="240" w:after="60"/>
      <w:outlineLvl w:val="5"/>
    </w:pPr>
    <w:rPr>
      <w:rFonts w:ascii="Calibri" w:eastAsia="Times New Roman" w:hAnsi="Calibri" w:cs="Times New Roman"/>
      <w:b/>
      <w:bCs/>
    </w:rPr>
  </w:style>
  <w:style w:type="paragraph" w:styleId="Heading7">
    <w:name w:val="heading 7"/>
    <w:basedOn w:val="Normal"/>
    <w:next w:val="Normal"/>
    <w:link w:val="Heading7Char"/>
    <w:uiPriority w:val="9"/>
    <w:semiHidden/>
    <w:unhideWhenUsed/>
    <w:qFormat/>
    <w:pPr>
      <w:numPr>
        <w:ilvl w:val="6"/>
        <w:numId w:val="1"/>
      </w:numPr>
      <w:spacing w:before="240" w:after="60"/>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semiHidden/>
    <w:unhideWhenUsed/>
    <w:qFormat/>
    <w:pPr>
      <w:numPr>
        <w:ilvl w:val="7"/>
        <w:numId w:val="1"/>
      </w:numPr>
      <w:spacing w:before="240" w:after="60"/>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semiHidden/>
    <w:unhideWhenUsed/>
    <w:qFormat/>
    <w:pPr>
      <w:numPr>
        <w:ilvl w:val="8"/>
        <w:numId w:val="1"/>
      </w:numPr>
      <w:spacing w:before="240" w:after="60"/>
      <w:outlineLvl w:val="8"/>
    </w:pPr>
    <w:rPr>
      <w:rFonts w:ascii="Cambria" w:eastAsia="Times New Roman" w:hAnsi="Cambria"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sz w:val="24"/>
    </w:rPr>
  </w:style>
  <w:style w:type="character" w:customStyle="1" w:styleId="FooterCoverPageChar">
    <w:name w:val="Footer Cover Page Char"/>
    <w:basedOn w:val="DefaultParagraphFont"/>
    <w:link w:val="FooterCoverPage"/>
    <w:rPr>
      <w:rFonts w:ascii="Times New Roman" w:hAnsi="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sz w:val="24"/>
    </w:rPr>
  </w:style>
  <w:style w:type="character" w:customStyle="1" w:styleId="HeaderCoverPageChar">
    <w:name w:val="Header Cover Page Char"/>
    <w:basedOn w:val="DefaultParagraphFont"/>
    <w:link w:val="HeaderCoverPage"/>
    <w:rPr>
      <w:rFonts w:ascii="Times New Roman" w:hAnsi="Times New Roman"/>
      <w:sz w:val="24"/>
    </w:rPr>
  </w:style>
  <w:style w:type="character" w:customStyle="1" w:styleId="Heading1Char">
    <w:name w:val="Heading 1 Char"/>
    <w:basedOn w:val="DefaultParagraphFont"/>
    <w:link w:val="Heading1"/>
    <w:rPr>
      <w:rFonts w:ascii="Times New Roman" w:eastAsia="Times New Roman" w:hAnsi="Times New Roman" w:cs="Times New Roman"/>
      <w:b/>
      <w:bCs/>
      <w:kern w:val="32"/>
      <w:sz w:val="32"/>
      <w:szCs w:val="32"/>
    </w:rPr>
  </w:style>
  <w:style w:type="character" w:customStyle="1" w:styleId="Heading2Char">
    <w:name w:val="Heading 2 Char"/>
    <w:basedOn w:val="DefaultParagraphFont"/>
    <w:link w:val="Heading2"/>
    <w:rPr>
      <w:rFonts w:ascii="Times New Roman" w:eastAsia="Times New Roman" w:hAnsi="Times New Roman" w:cs="Times New Roman"/>
      <w:b/>
      <w:bCs/>
      <w:i/>
      <w:iCs/>
      <w:sz w:val="28"/>
      <w:szCs w:val="28"/>
    </w:rPr>
  </w:style>
  <w:style w:type="character" w:customStyle="1" w:styleId="Heading3Char">
    <w:name w:val="Heading 3 Char"/>
    <w:basedOn w:val="DefaultParagraphFont"/>
    <w:link w:val="Heading3"/>
    <w:rPr>
      <w:rFonts w:ascii="Times New Roman" w:eastAsia="Times New Roman" w:hAnsi="Times New Roman" w:cs="Times New Roman"/>
      <w:bCs/>
      <w:i/>
      <w:sz w:val="24"/>
      <w:szCs w:val="26"/>
    </w:rPr>
  </w:style>
  <w:style w:type="character" w:customStyle="1" w:styleId="Heading4Char">
    <w:name w:val="Heading 4 Char"/>
    <w:basedOn w:val="DefaultParagraphFont"/>
    <w:link w:val="Heading4"/>
    <w:rPr>
      <w:rFonts w:ascii="Times New Roman" w:eastAsia="Times New Roman" w:hAnsi="Times New Roman" w:cs="Times New Roman"/>
      <w:bCs/>
      <w:sz w:val="24"/>
      <w:szCs w:val="28"/>
    </w:rPr>
  </w:style>
  <w:style w:type="character" w:customStyle="1" w:styleId="Heading5Char">
    <w:name w:val="Heading 5 Char"/>
    <w:basedOn w:val="DefaultParagraphFont"/>
    <w:link w:val="Heading5"/>
    <w:uiPriority w:val="9"/>
    <w:semiHidden/>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Pr>
      <w:rFonts w:ascii="Calibri" w:eastAsia="Times New Roman" w:hAnsi="Calibri" w:cs="Times New Roman"/>
      <w:b/>
      <w:bCs/>
    </w:rPr>
  </w:style>
  <w:style w:type="character" w:customStyle="1" w:styleId="Heading7Char">
    <w:name w:val="Heading 7 Char"/>
    <w:basedOn w:val="DefaultParagraphFont"/>
    <w:link w:val="Heading7"/>
    <w:uiPriority w:val="9"/>
    <w:semiHidden/>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Pr>
      <w:rFonts w:ascii="Cambria" w:eastAsia="Times New Roman" w:hAnsi="Cambria" w:cs="Times New Roman"/>
    </w:rPr>
  </w:style>
  <w:style w:type="paragraph" w:styleId="TOC1">
    <w:name w:val="toc 1"/>
    <w:basedOn w:val="Normal"/>
    <w:next w:val="Normal"/>
    <w:autoRedefine/>
    <w:uiPriority w:val="39"/>
    <w:unhideWhenUsed/>
    <w:pPr>
      <w:tabs>
        <w:tab w:val="left" w:pos="440"/>
        <w:tab w:val="right" w:leader="dot" w:pos="9063"/>
      </w:tabs>
    </w:pPr>
    <w:rPr>
      <w:rFonts w:eastAsia="Calibri" w:cs="Times New Roman"/>
      <w:noProof/>
      <w:sz w:val="24"/>
      <w:szCs w:val="24"/>
    </w:rPr>
  </w:style>
  <w:style w:type="paragraph" w:styleId="TOC3">
    <w:name w:val="toc 3"/>
    <w:basedOn w:val="Normal"/>
    <w:next w:val="Normal"/>
    <w:autoRedefine/>
    <w:uiPriority w:val="39"/>
    <w:unhideWhenUsed/>
    <w:pPr>
      <w:ind w:left="440"/>
    </w:pPr>
    <w:rPr>
      <w:rFonts w:ascii="Calibri" w:eastAsia="Calibri" w:hAnsi="Calibri" w:cs="Times New Roman"/>
    </w:rPr>
  </w:style>
  <w:style w:type="paragraph" w:styleId="TOC2">
    <w:name w:val="toc 2"/>
    <w:basedOn w:val="Normal"/>
    <w:next w:val="Normal"/>
    <w:autoRedefine/>
    <w:uiPriority w:val="39"/>
    <w:unhideWhenUsed/>
    <w:pPr>
      <w:tabs>
        <w:tab w:val="left" w:pos="880"/>
        <w:tab w:val="right" w:leader="dot" w:pos="9063"/>
      </w:tabs>
      <w:spacing w:after="100"/>
      <w:ind w:left="142"/>
    </w:pPr>
    <w:rPr>
      <w:rFonts w:eastAsia="Arial Unicode MS" w:cs="Times New Roman"/>
      <w:noProof/>
      <w:sz w:val="24"/>
      <w:szCs w:val="24"/>
    </w:rPr>
  </w:style>
  <w:style w:type="paragraph" w:styleId="TOC4">
    <w:name w:val="toc 4"/>
    <w:basedOn w:val="Normal"/>
    <w:next w:val="Normal"/>
    <w:autoRedefine/>
    <w:uiPriority w:val="39"/>
    <w:unhideWhenUsed/>
    <w:pPr>
      <w:spacing w:after="100"/>
      <w:ind w:left="660"/>
    </w:pPr>
    <w:rPr>
      <w:rFonts w:ascii="Calibri" w:eastAsia="Times New Roman" w:hAnsi="Calibri" w:cs="Times New Roman"/>
    </w:rPr>
  </w:style>
  <w:style w:type="paragraph" w:styleId="TOC5">
    <w:name w:val="toc 5"/>
    <w:basedOn w:val="Normal"/>
    <w:next w:val="Normal"/>
    <w:autoRedefine/>
    <w:uiPriority w:val="39"/>
    <w:unhideWhenUsed/>
    <w:pPr>
      <w:spacing w:after="100"/>
      <w:ind w:left="880"/>
    </w:pPr>
    <w:rPr>
      <w:rFonts w:ascii="Calibri" w:eastAsia="Times New Roman" w:hAnsi="Calibri" w:cs="Times New Roman"/>
    </w:rPr>
  </w:style>
  <w:style w:type="paragraph" w:styleId="TOC6">
    <w:name w:val="toc 6"/>
    <w:basedOn w:val="Normal"/>
    <w:next w:val="Normal"/>
    <w:autoRedefine/>
    <w:uiPriority w:val="39"/>
    <w:unhideWhenUsed/>
    <w:pPr>
      <w:spacing w:after="100"/>
      <w:ind w:left="1100"/>
    </w:pPr>
    <w:rPr>
      <w:rFonts w:ascii="Calibri" w:eastAsia="Times New Roman" w:hAnsi="Calibri" w:cs="Times New Roman"/>
    </w:rPr>
  </w:style>
  <w:style w:type="paragraph" w:styleId="TOC7">
    <w:name w:val="toc 7"/>
    <w:basedOn w:val="Normal"/>
    <w:next w:val="Normal"/>
    <w:autoRedefine/>
    <w:uiPriority w:val="39"/>
    <w:unhideWhenUsed/>
    <w:pPr>
      <w:spacing w:after="100"/>
      <w:ind w:left="1320"/>
    </w:pPr>
    <w:rPr>
      <w:rFonts w:ascii="Calibri" w:eastAsia="Times New Roman" w:hAnsi="Calibri" w:cs="Times New Roman"/>
    </w:rPr>
  </w:style>
  <w:style w:type="paragraph" w:styleId="TOC8">
    <w:name w:val="toc 8"/>
    <w:basedOn w:val="Normal"/>
    <w:next w:val="Normal"/>
    <w:autoRedefine/>
    <w:uiPriority w:val="39"/>
    <w:unhideWhenUsed/>
    <w:pPr>
      <w:spacing w:after="100"/>
      <w:ind w:left="1540"/>
    </w:pPr>
    <w:rPr>
      <w:rFonts w:ascii="Calibri" w:eastAsia="Times New Roman" w:hAnsi="Calibri" w:cs="Times New Roman"/>
    </w:rPr>
  </w:style>
  <w:style w:type="paragraph" w:styleId="TOC9">
    <w:name w:val="toc 9"/>
    <w:basedOn w:val="Normal"/>
    <w:next w:val="Normal"/>
    <w:autoRedefine/>
    <w:uiPriority w:val="39"/>
    <w:unhideWhenUsed/>
    <w:pPr>
      <w:spacing w:after="100"/>
      <w:ind w:left="1760"/>
    </w:pPr>
    <w:rPr>
      <w:rFonts w:ascii="Calibri" w:eastAsia="Times New Roman" w:hAnsi="Calibri" w:cs="Times New Roman"/>
    </w:rPr>
  </w:style>
  <w:style w:type="character" w:styleId="Hyperlink">
    <w:name w:val="Hyperlink"/>
    <w:uiPriority w:val="99"/>
    <w:unhideWhenUsed/>
    <w:rPr>
      <w:color w:val="0000FF"/>
      <w:u w:val="single"/>
    </w:rPr>
  </w:style>
  <w:style w:type="paragraph" w:styleId="PlainText">
    <w:name w:val="Plain Text"/>
    <w:basedOn w:val="Normal"/>
    <w:link w:val="PlainTextChar"/>
    <w:pPr>
      <w:spacing w:after="240" w:line="240" w:lineRule="auto"/>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rPr>
      <w:rFonts w:ascii="Courier New" w:eastAsia="Times New Roman" w:hAnsi="Courier New" w:cs="Times New Roman"/>
      <w:sz w:val="20"/>
      <w:szCs w:val="20"/>
    </w:rPr>
  </w:style>
  <w:style w:type="character" w:styleId="FollowedHyperlink">
    <w:name w:val="FollowedHyperlink"/>
    <w:unhideWhenUsed/>
    <w:rPr>
      <w:color w:val="800080"/>
      <w:u w:val="single"/>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nhideWhenUsed/>
    <w:rPr>
      <w:rFonts w:ascii="Calibri" w:eastAsia="Calibri" w:hAnsi="Calibri" w:cs="Times New Roman"/>
      <w:sz w:val="20"/>
      <w:szCs w:val="20"/>
    </w:rPr>
  </w:style>
  <w:style w:type="character" w:customStyle="1" w:styleId="CommentTextChar">
    <w:name w:val="Comment Text Char"/>
    <w:basedOn w:val="DefaultParagraphFont"/>
    <w:link w:val="CommentText"/>
    <w:rPr>
      <w:rFonts w:ascii="Calibri" w:eastAsia="Calibri" w:hAnsi="Calibri" w:cs="Times New Roman"/>
      <w:sz w:val="20"/>
      <w:szCs w:val="20"/>
    </w:rPr>
  </w:style>
  <w:style w:type="paragraph" w:styleId="CommentSubject">
    <w:name w:val="annotation subject"/>
    <w:basedOn w:val="CommentText"/>
    <w:next w:val="CommentText"/>
    <w:link w:val="CommentSubjectChar"/>
    <w:unhideWhenUsed/>
    <w:rPr>
      <w:b/>
      <w:bCs/>
    </w:rPr>
  </w:style>
  <w:style w:type="character" w:customStyle="1" w:styleId="CommentSubjectChar">
    <w:name w:val="Comment Subject Char"/>
    <w:basedOn w:val="CommentTextChar"/>
    <w:link w:val="CommentSubject"/>
    <w:rPr>
      <w:rFonts w:ascii="Calibri" w:eastAsia="Calibri" w:hAnsi="Calibri" w:cs="Times New Roman"/>
      <w:b/>
      <w:bCs/>
      <w:sz w:val="20"/>
      <w:szCs w:val="20"/>
    </w:rPr>
  </w:style>
  <w:style w:type="paragraph" w:styleId="BalloonText">
    <w:name w:val="Balloon Text"/>
    <w:basedOn w:val="Normal"/>
    <w:link w:val="BalloonTextChar"/>
    <w:uiPriority w:val="99"/>
    <w:unhideWhenUsed/>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rPr>
      <w:rFonts w:ascii="Tahoma" w:eastAsia="Calibri" w:hAnsi="Tahoma" w:cs="Tahoma"/>
      <w:sz w:val="16"/>
      <w:szCs w:val="16"/>
    </w:rPr>
  </w:style>
  <w:style w:type="paragraph" w:styleId="FootnoteText">
    <w:name w:val="footnote text"/>
    <w:basedOn w:val="Normal"/>
    <w:semiHidden/>
    <w:unhideWhenUsed/>
    <w:rPr>
      <w:rFonts w:ascii="Calibri" w:eastAsia="Calibri" w:hAnsi="Calibri" w:cs="Times New Roman"/>
      <w:sz w:val="20"/>
      <w:szCs w:val="20"/>
    </w:rPr>
  </w:style>
  <w:style w:type="character" w:customStyle="1" w:styleId="FootnoteTextChar">
    <w:name w:val="Footnote Text Char"/>
    <w:basedOn w:val="DefaultParagraphFont"/>
    <w:semiHidden/>
    <w:rPr>
      <w:rFonts w:ascii="Calibri" w:eastAsia="Calibri" w:hAnsi="Calibri" w:cs="Times New Roman"/>
      <w:sz w:val="20"/>
      <w:szCs w:val="20"/>
    </w:rPr>
  </w:style>
  <w:style w:type="character" w:styleId="FootnoteReference">
    <w:name w:val="footnote reference"/>
    <w:aliases w:val="Footnote symbol,Footnote,Voetnootverwijzing,Times 10 Point,Exposant 3 Point,Appel note de bas de p,BVI fnr,Footnote Refernece,Fußnotenzeichen_Raxen,callout,Footnote Reference Number,SUPERS,Footnote reference number,note TESI,fr,o"/>
    <w:unhideWhenUsed/>
    <w:rPr>
      <w:vertAlign w:val="superscript"/>
    </w:rPr>
  </w:style>
  <w:style w:type="paragraph" w:customStyle="1" w:styleId="HeaderLandscape">
    <w:name w:val="HeaderLandscape"/>
    <w:basedOn w:val="Normal"/>
    <w:pPr>
      <w:tabs>
        <w:tab w:val="center" w:pos="7285"/>
        <w:tab w:val="right" w:pos="14003"/>
      </w:tabs>
      <w:spacing w:after="120" w:line="240" w:lineRule="auto"/>
      <w:jc w:val="both"/>
    </w:pPr>
    <w:rPr>
      <w:rFonts w:cs="Times New Roman"/>
      <w:sz w:val="24"/>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cs="Times New Roman"/>
      <w:sz w:val="24"/>
    </w:rPr>
  </w:style>
  <w:style w:type="paragraph" w:customStyle="1" w:styleId="Text1">
    <w:name w:val="Text 1"/>
    <w:basedOn w:val="Normal"/>
    <w:pPr>
      <w:spacing w:before="120" w:after="120" w:line="240" w:lineRule="auto"/>
      <w:ind w:left="850"/>
      <w:jc w:val="both"/>
    </w:pPr>
    <w:rPr>
      <w:rFonts w:eastAsia="Times New Roman" w:cs="Times New Roman"/>
      <w:sz w:val="24"/>
      <w:szCs w:val="24"/>
    </w:rPr>
  </w:style>
  <w:style w:type="paragraph" w:customStyle="1" w:styleId="Text2">
    <w:name w:val="Text 2"/>
    <w:basedOn w:val="Normal"/>
    <w:pPr>
      <w:spacing w:before="120" w:after="120" w:line="240" w:lineRule="auto"/>
      <w:ind w:left="1417"/>
      <w:jc w:val="both"/>
    </w:pPr>
    <w:rPr>
      <w:rFonts w:eastAsia="Times New Roman" w:cs="Times New Roman"/>
      <w:sz w:val="24"/>
      <w:szCs w:val="24"/>
    </w:rPr>
  </w:style>
  <w:style w:type="paragraph" w:customStyle="1" w:styleId="Text3">
    <w:name w:val="Text 3"/>
    <w:basedOn w:val="Normal"/>
    <w:pPr>
      <w:spacing w:before="120" w:after="120" w:line="240" w:lineRule="auto"/>
      <w:ind w:left="1984"/>
      <w:jc w:val="both"/>
    </w:pPr>
    <w:rPr>
      <w:rFonts w:eastAsia="Times New Roman" w:cs="Times New Roman"/>
      <w:sz w:val="24"/>
      <w:szCs w:val="24"/>
    </w:rPr>
  </w:style>
  <w:style w:type="paragraph" w:customStyle="1" w:styleId="Text4">
    <w:name w:val="Text 4"/>
    <w:basedOn w:val="Normal"/>
    <w:pPr>
      <w:spacing w:before="120" w:after="120" w:line="240" w:lineRule="auto"/>
      <w:ind w:left="2551"/>
      <w:jc w:val="both"/>
    </w:pPr>
    <w:rPr>
      <w:rFonts w:eastAsia="Times New Roman" w:cs="Times New Roman"/>
      <w:sz w:val="24"/>
      <w:szCs w:val="24"/>
    </w:rPr>
  </w:style>
  <w:style w:type="paragraph" w:customStyle="1" w:styleId="NormalCentered">
    <w:name w:val="Normal Centered"/>
    <w:basedOn w:val="Normal"/>
    <w:pPr>
      <w:spacing w:before="120" w:after="120" w:line="240" w:lineRule="auto"/>
      <w:jc w:val="center"/>
    </w:pPr>
    <w:rPr>
      <w:rFonts w:eastAsia="Times New Roman" w:cs="Times New Roman"/>
      <w:sz w:val="24"/>
      <w:szCs w:val="24"/>
    </w:rPr>
  </w:style>
  <w:style w:type="paragraph" w:customStyle="1" w:styleId="NormalLeft">
    <w:name w:val="Normal Left"/>
    <w:basedOn w:val="Normal"/>
    <w:pPr>
      <w:spacing w:before="120" w:after="120" w:line="240" w:lineRule="auto"/>
    </w:pPr>
    <w:rPr>
      <w:rFonts w:eastAsia="Times New Roman" w:cs="Times New Roman"/>
      <w:sz w:val="24"/>
      <w:szCs w:val="24"/>
    </w:rPr>
  </w:style>
  <w:style w:type="paragraph" w:customStyle="1" w:styleId="NormalRight">
    <w:name w:val="Normal Right"/>
    <w:basedOn w:val="Normal"/>
    <w:pPr>
      <w:spacing w:before="120" w:after="120" w:line="240" w:lineRule="auto"/>
      <w:jc w:val="right"/>
    </w:pPr>
    <w:rPr>
      <w:rFonts w:eastAsia="Times New Roman" w:cs="Times New Roman"/>
      <w:sz w:val="24"/>
      <w:szCs w:val="24"/>
    </w:rPr>
  </w:style>
  <w:style w:type="paragraph" w:customStyle="1" w:styleId="QuotedText">
    <w:name w:val="Quoted Text"/>
    <w:basedOn w:val="Normal"/>
    <w:pPr>
      <w:spacing w:before="120" w:after="120" w:line="240" w:lineRule="auto"/>
      <w:ind w:left="1417"/>
      <w:jc w:val="both"/>
    </w:pPr>
    <w:rPr>
      <w:rFonts w:eastAsia="Times New Roman" w:cs="Times New Roman"/>
      <w:sz w:val="24"/>
      <w:szCs w:val="24"/>
    </w:rPr>
  </w:style>
  <w:style w:type="paragraph" w:customStyle="1" w:styleId="Point0">
    <w:name w:val="Point 0"/>
    <w:basedOn w:val="Normal"/>
    <w:pPr>
      <w:spacing w:before="120" w:after="120" w:line="240" w:lineRule="auto"/>
      <w:ind w:left="850" w:hanging="850"/>
      <w:jc w:val="both"/>
    </w:pPr>
    <w:rPr>
      <w:rFonts w:eastAsia="Times New Roman" w:cs="Times New Roman"/>
      <w:sz w:val="24"/>
      <w:szCs w:val="24"/>
    </w:rPr>
  </w:style>
  <w:style w:type="paragraph" w:customStyle="1" w:styleId="Point1">
    <w:name w:val="Point 1"/>
    <w:basedOn w:val="Normal"/>
    <w:pPr>
      <w:spacing w:before="120" w:after="120" w:line="240" w:lineRule="auto"/>
      <w:ind w:left="1417" w:hanging="567"/>
      <w:jc w:val="both"/>
    </w:pPr>
    <w:rPr>
      <w:rFonts w:eastAsia="Times New Roman" w:cs="Times New Roman"/>
      <w:sz w:val="24"/>
      <w:szCs w:val="24"/>
    </w:rPr>
  </w:style>
  <w:style w:type="paragraph" w:customStyle="1" w:styleId="Point2">
    <w:name w:val="Point 2"/>
    <w:basedOn w:val="Normal"/>
    <w:pPr>
      <w:spacing w:before="120" w:after="120" w:line="240" w:lineRule="auto"/>
      <w:ind w:left="1984" w:hanging="567"/>
      <w:jc w:val="both"/>
    </w:pPr>
    <w:rPr>
      <w:rFonts w:eastAsia="Times New Roman" w:cs="Times New Roman"/>
      <w:sz w:val="24"/>
      <w:szCs w:val="24"/>
    </w:rPr>
  </w:style>
  <w:style w:type="paragraph" w:customStyle="1" w:styleId="Point3">
    <w:name w:val="Point 3"/>
    <w:basedOn w:val="Normal"/>
    <w:pPr>
      <w:spacing w:before="120" w:after="120" w:line="240" w:lineRule="auto"/>
      <w:ind w:left="2551" w:hanging="567"/>
      <w:jc w:val="both"/>
    </w:pPr>
    <w:rPr>
      <w:rFonts w:eastAsia="Times New Roman" w:cs="Times New Roman"/>
      <w:sz w:val="24"/>
      <w:szCs w:val="24"/>
    </w:rPr>
  </w:style>
  <w:style w:type="paragraph" w:customStyle="1" w:styleId="Point4">
    <w:name w:val="Point 4"/>
    <w:basedOn w:val="Normal"/>
    <w:pPr>
      <w:spacing w:before="120" w:after="120" w:line="240" w:lineRule="auto"/>
      <w:ind w:left="3118" w:hanging="567"/>
      <w:jc w:val="both"/>
    </w:pPr>
    <w:rPr>
      <w:rFonts w:eastAsia="Times New Roman" w:cs="Times New Roman"/>
      <w:sz w:val="24"/>
      <w:szCs w:val="24"/>
    </w:rPr>
  </w:style>
  <w:style w:type="paragraph" w:customStyle="1" w:styleId="Tiret0">
    <w:name w:val="Tiret 0"/>
    <w:basedOn w:val="Point0"/>
    <w:pPr>
      <w:numPr>
        <w:numId w:val="2"/>
      </w:numPr>
    </w:pPr>
  </w:style>
  <w:style w:type="paragraph" w:customStyle="1" w:styleId="Tiret1">
    <w:name w:val="Tiret 1"/>
    <w:basedOn w:val="Point1"/>
    <w:pPr>
      <w:numPr>
        <w:numId w:val="3"/>
      </w:numPr>
    </w:pPr>
  </w:style>
  <w:style w:type="paragraph" w:customStyle="1" w:styleId="Tiret2">
    <w:name w:val="Tiret 2"/>
    <w:basedOn w:val="Point2"/>
    <w:pPr>
      <w:numPr>
        <w:numId w:val="4"/>
      </w:numPr>
    </w:pPr>
  </w:style>
  <w:style w:type="paragraph" w:customStyle="1" w:styleId="Tiret3">
    <w:name w:val="Tiret 3"/>
    <w:basedOn w:val="Point3"/>
    <w:pPr>
      <w:numPr>
        <w:numId w:val="5"/>
      </w:numPr>
    </w:pPr>
  </w:style>
  <w:style w:type="paragraph" w:customStyle="1" w:styleId="Tiret4">
    <w:name w:val="Tiret 4"/>
    <w:basedOn w:val="Point4"/>
    <w:pPr>
      <w:numPr>
        <w:numId w:val="6"/>
      </w:numPr>
    </w:pPr>
  </w:style>
  <w:style w:type="paragraph" w:customStyle="1" w:styleId="PointDouble0">
    <w:name w:val="PointDouble 0"/>
    <w:basedOn w:val="Normal"/>
    <w:pPr>
      <w:tabs>
        <w:tab w:val="left" w:pos="850"/>
      </w:tabs>
      <w:spacing w:before="120" w:after="120" w:line="240" w:lineRule="auto"/>
      <w:ind w:left="1417" w:hanging="1417"/>
      <w:jc w:val="both"/>
    </w:pPr>
    <w:rPr>
      <w:rFonts w:eastAsia="Times New Roman" w:cs="Times New Roman"/>
      <w:sz w:val="24"/>
      <w:szCs w:val="24"/>
    </w:rPr>
  </w:style>
  <w:style w:type="paragraph" w:customStyle="1" w:styleId="PointDouble1">
    <w:name w:val="PointDouble 1"/>
    <w:basedOn w:val="Normal"/>
    <w:pPr>
      <w:tabs>
        <w:tab w:val="left" w:pos="1417"/>
      </w:tabs>
      <w:spacing w:before="120" w:after="120" w:line="240" w:lineRule="auto"/>
      <w:ind w:left="1984" w:hanging="1134"/>
      <w:jc w:val="both"/>
    </w:pPr>
    <w:rPr>
      <w:rFonts w:eastAsia="Times New Roman" w:cs="Times New Roman"/>
      <w:sz w:val="24"/>
      <w:szCs w:val="24"/>
    </w:rPr>
  </w:style>
  <w:style w:type="paragraph" w:customStyle="1" w:styleId="PointDouble2">
    <w:name w:val="PointDouble 2"/>
    <w:basedOn w:val="Normal"/>
    <w:pPr>
      <w:tabs>
        <w:tab w:val="left" w:pos="1984"/>
      </w:tabs>
      <w:spacing w:before="120" w:after="120" w:line="240" w:lineRule="auto"/>
      <w:ind w:left="2551" w:hanging="1134"/>
      <w:jc w:val="both"/>
    </w:pPr>
    <w:rPr>
      <w:rFonts w:eastAsia="Times New Roman" w:cs="Times New Roman"/>
      <w:sz w:val="24"/>
      <w:szCs w:val="24"/>
    </w:rPr>
  </w:style>
  <w:style w:type="paragraph" w:customStyle="1" w:styleId="PointDouble3">
    <w:name w:val="PointDouble 3"/>
    <w:basedOn w:val="Normal"/>
    <w:pPr>
      <w:tabs>
        <w:tab w:val="left" w:pos="2551"/>
      </w:tabs>
      <w:spacing w:before="120" w:after="120" w:line="240" w:lineRule="auto"/>
      <w:ind w:left="3118" w:hanging="1134"/>
      <w:jc w:val="both"/>
    </w:pPr>
    <w:rPr>
      <w:rFonts w:eastAsia="Times New Roman" w:cs="Times New Roman"/>
      <w:sz w:val="24"/>
      <w:szCs w:val="24"/>
    </w:rPr>
  </w:style>
  <w:style w:type="paragraph" w:customStyle="1" w:styleId="PointDouble4">
    <w:name w:val="PointDouble 4"/>
    <w:basedOn w:val="Normal"/>
    <w:pPr>
      <w:tabs>
        <w:tab w:val="left" w:pos="3118"/>
      </w:tabs>
      <w:spacing w:before="120" w:after="120" w:line="240" w:lineRule="auto"/>
      <w:ind w:left="3685" w:hanging="1134"/>
      <w:jc w:val="both"/>
    </w:pPr>
    <w:rPr>
      <w:rFonts w:eastAsia="Times New Roman" w:cs="Times New Roman"/>
      <w:sz w:val="24"/>
      <w:szCs w:val="24"/>
    </w:rPr>
  </w:style>
  <w:style w:type="paragraph" w:customStyle="1" w:styleId="PointTriple0">
    <w:name w:val="PointTriple 0"/>
    <w:basedOn w:val="Normal"/>
    <w:pPr>
      <w:tabs>
        <w:tab w:val="left" w:pos="850"/>
        <w:tab w:val="left" w:pos="1417"/>
      </w:tabs>
      <w:spacing w:before="120" w:after="120" w:line="240" w:lineRule="auto"/>
      <w:ind w:left="1984" w:hanging="1984"/>
      <w:jc w:val="both"/>
    </w:pPr>
    <w:rPr>
      <w:rFonts w:eastAsia="Times New Roman" w:cs="Times New Roman"/>
      <w:sz w:val="24"/>
      <w:szCs w:val="24"/>
    </w:rPr>
  </w:style>
  <w:style w:type="paragraph" w:customStyle="1" w:styleId="PointTriple1">
    <w:name w:val="PointTriple 1"/>
    <w:basedOn w:val="Normal"/>
    <w:pPr>
      <w:tabs>
        <w:tab w:val="left" w:pos="1417"/>
        <w:tab w:val="left" w:pos="1984"/>
      </w:tabs>
      <w:spacing w:before="120" w:after="120" w:line="240" w:lineRule="auto"/>
      <w:ind w:left="2551" w:hanging="1701"/>
      <w:jc w:val="both"/>
    </w:pPr>
    <w:rPr>
      <w:rFonts w:eastAsia="Times New Roman" w:cs="Times New Roman"/>
      <w:sz w:val="24"/>
      <w:szCs w:val="24"/>
    </w:rPr>
  </w:style>
  <w:style w:type="paragraph" w:customStyle="1" w:styleId="PointTriple2">
    <w:name w:val="PointTriple 2"/>
    <w:basedOn w:val="Normal"/>
    <w:pPr>
      <w:tabs>
        <w:tab w:val="left" w:pos="1984"/>
        <w:tab w:val="left" w:pos="2551"/>
      </w:tabs>
      <w:spacing w:before="120" w:after="120" w:line="240" w:lineRule="auto"/>
      <w:ind w:left="3118" w:hanging="1701"/>
      <w:jc w:val="both"/>
    </w:pPr>
    <w:rPr>
      <w:rFonts w:eastAsia="Times New Roman" w:cs="Times New Roman"/>
      <w:sz w:val="24"/>
      <w:szCs w:val="24"/>
    </w:rPr>
  </w:style>
  <w:style w:type="paragraph" w:customStyle="1" w:styleId="PointTriple3">
    <w:name w:val="PointTriple 3"/>
    <w:basedOn w:val="Normal"/>
    <w:pPr>
      <w:tabs>
        <w:tab w:val="left" w:pos="2551"/>
        <w:tab w:val="left" w:pos="3118"/>
      </w:tabs>
      <w:spacing w:before="120" w:after="120" w:line="240" w:lineRule="auto"/>
      <w:ind w:left="3685" w:hanging="1701"/>
      <w:jc w:val="both"/>
    </w:pPr>
    <w:rPr>
      <w:rFonts w:eastAsia="Times New Roman" w:cs="Times New Roman"/>
      <w:sz w:val="24"/>
      <w:szCs w:val="24"/>
    </w:rPr>
  </w:style>
  <w:style w:type="paragraph" w:customStyle="1" w:styleId="PointTriple4">
    <w:name w:val="PointTriple 4"/>
    <w:basedOn w:val="Normal"/>
    <w:pPr>
      <w:tabs>
        <w:tab w:val="left" w:pos="3118"/>
        <w:tab w:val="left" w:pos="3685"/>
      </w:tabs>
      <w:spacing w:before="120" w:after="120" w:line="240" w:lineRule="auto"/>
      <w:ind w:left="4252" w:hanging="1701"/>
      <w:jc w:val="both"/>
    </w:pPr>
    <w:rPr>
      <w:rFonts w:eastAsia="Times New Roman" w:cs="Times New Roman"/>
      <w:sz w:val="24"/>
      <w:szCs w:val="24"/>
    </w:rPr>
  </w:style>
  <w:style w:type="paragraph" w:customStyle="1" w:styleId="NumPar1">
    <w:name w:val="NumPar 1"/>
    <w:basedOn w:val="Normal"/>
    <w:next w:val="Text1"/>
    <w:pPr>
      <w:numPr>
        <w:numId w:val="7"/>
      </w:numPr>
      <w:spacing w:before="120" w:after="120" w:line="240" w:lineRule="auto"/>
      <w:jc w:val="both"/>
    </w:pPr>
    <w:rPr>
      <w:rFonts w:eastAsia="Times New Roman" w:cs="Times New Roman"/>
      <w:sz w:val="24"/>
      <w:szCs w:val="24"/>
    </w:rPr>
  </w:style>
  <w:style w:type="paragraph" w:customStyle="1" w:styleId="NumPar2">
    <w:name w:val="NumPar 2"/>
    <w:basedOn w:val="Normal"/>
    <w:next w:val="Text1"/>
    <w:pPr>
      <w:numPr>
        <w:ilvl w:val="1"/>
        <w:numId w:val="7"/>
      </w:numPr>
      <w:spacing w:before="120" w:after="120" w:line="240" w:lineRule="auto"/>
      <w:jc w:val="both"/>
    </w:pPr>
    <w:rPr>
      <w:rFonts w:eastAsia="Times New Roman" w:cs="Times New Roman"/>
      <w:sz w:val="24"/>
      <w:szCs w:val="24"/>
    </w:rPr>
  </w:style>
  <w:style w:type="paragraph" w:customStyle="1" w:styleId="NumPar3">
    <w:name w:val="NumPar 3"/>
    <w:basedOn w:val="Normal"/>
    <w:next w:val="Text1"/>
    <w:pPr>
      <w:numPr>
        <w:ilvl w:val="2"/>
        <w:numId w:val="7"/>
      </w:numPr>
      <w:spacing w:before="120" w:after="120" w:line="240" w:lineRule="auto"/>
      <w:jc w:val="both"/>
    </w:pPr>
    <w:rPr>
      <w:rFonts w:eastAsia="Times New Roman" w:cs="Times New Roman"/>
      <w:sz w:val="24"/>
      <w:szCs w:val="24"/>
    </w:rPr>
  </w:style>
  <w:style w:type="paragraph" w:customStyle="1" w:styleId="NumPar4">
    <w:name w:val="NumPar 4"/>
    <w:basedOn w:val="Normal"/>
    <w:next w:val="Text1"/>
    <w:pPr>
      <w:numPr>
        <w:ilvl w:val="3"/>
        <w:numId w:val="7"/>
      </w:numPr>
      <w:spacing w:before="120" w:after="120" w:line="240" w:lineRule="auto"/>
      <w:jc w:val="both"/>
    </w:pPr>
    <w:rPr>
      <w:rFonts w:eastAsia="Times New Roman" w:cs="Times New Roman"/>
      <w:sz w:val="24"/>
      <w:szCs w:val="24"/>
    </w:rPr>
  </w:style>
  <w:style w:type="paragraph" w:customStyle="1" w:styleId="ManualNumPar1">
    <w:name w:val="Manual NumPar 1"/>
    <w:basedOn w:val="Normal"/>
    <w:next w:val="Text1"/>
    <w:pPr>
      <w:spacing w:before="120" w:after="120" w:line="240" w:lineRule="auto"/>
      <w:ind w:left="850" w:hanging="850"/>
      <w:jc w:val="both"/>
    </w:pPr>
    <w:rPr>
      <w:rFonts w:eastAsia="Times New Roman" w:cs="Times New Roman"/>
      <w:sz w:val="24"/>
      <w:szCs w:val="24"/>
    </w:rPr>
  </w:style>
  <w:style w:type="paragraph" w:customStyle="1" w:styleId="ManualNumPar2">
    <w:name w:val="Manual NumPar 2"/>
    <w:basedOn w:val="Normal"/>
    <w:next w:val="Text1"/>
    <w:pPr>
      <w:spacing w:before="120" w:after="120" w:line="240" w:lineRule="auto"/>
      <w:ind w:left="850" w:hanging="850"/>
      <w:jc w:val="both"/>
    </w:pPr>
    <w:rPr>
      <w:rFonts w:eastAsia="Times New Roman" w:cs="Times New Roman"/>
      <w:sz w:val="24"/>
      <w:szCs w:val="24"/>
    </w:rPr>
  </w:style>
  <w:style w:type="paragraph" w:customStyle="1" w:styleId="ManualNumPar3">
    <w:name w:val="Manual NumPar 3"/>
    <w:basedOn w:val="Normal"/>
    <w:next w:val="Text1"/>
    <w:pPr>
      <w:spacing w:before="120" w:after="120" w:line="240" w:lineRule="auto"/>
      <w:ind w:left="850" w:hanging="850"/>
      <w:jc w:val="both"/>
    </w:pPr>
    <w:rPr>
      <w:rFonts w:eastAsia="Times New Roman" w:cs="Times New Roman"/>
      <w:sz w:val="24"/>
      <w:szCs w:val="24"/>
    </w:rPr>
  </w:style>
  <w:style w:type="paragraph" w:customStyle="1" w:styleId="ManualNumPar4">
    <w:name w:val="Manual NumPar 4"/>
    <w:basedOn w:val="Normal"/>
    <w:next w:val="Text1"/>
    <w:pPr>
      <w:spacing w:before="120" w:after="120" w:line="240" w:lineRule="auto"/>
      <w:ind w:left="850" w:hanging="850"/>
      <w:jc w:val="both"/>
    </w:pPr>
    <w:rPr>
      <w:rFonts w:eastAsia="Times New Roman" w:cs="Times New Roman"/>
      <w:sz w:val="24"/>
      <w:szCs w:val="24"/>
    </w:rPr>
  </w:style>
  <w:style w:type="paragraph" w:customStyle="1" w:styleId="QuotedNumPar">
    <w:name w:val="Quoted NumPar"/>
    <w:basedOn w:val="Normal"/>
    <w:pPr>
      <w:spacing w:before="120" w:after="120" w:line="240" w:lineRule="auto"/>
      <w:ind w:left="1417" w:hanging="567"/>
      <w:jc w:val="both"/>
    </w:pPr>
    <w:rPr>
      <w:rFonts w:eastAsia="Times New Roman" w:cs="Times New Roman"/>
      <w:sz w:val="24"/>
      <w:szCs w:val="24"/>
    </w:rPr>
  </w:style>
  <w:style w:type="paragraph" w:customStyle="1" w:styleId="ManualHeading1">
    <w:name w:val="Manual Heading 1"/>
    <w:basedOn w:val="Normal"/>
    <w:next w:val="Text1"/>
    <w:pPr>
      <w:keepNext/>
      <w:tabs>
        <w:tab w:val="left" w:pos="850"/>
      </w:tabs>
      <w:spacing w:before="360" w:after="120" w:line="240" w:lineRule="auto"/>
      <w:ind w:left="850" w:hanging="850"/>
      <w:jc w:val="both"/>
      <w:outlineLvl w:val="0"/>
    </w:pPr>
    <w:rPr>
      <w:rFonts w:eastAsia="Times New Roman" w:cs="Times New Roman"/>
      <w:b/>
      <w:smallCaps/>
      <w:sz w:val="24"/>
      <w:szCs w:val="24"/>
    </w:rPr>
  </w:style>
  <w:style w:type="paragraph" w:customStyle="1" w:styleId="ManualHeading2">
    <w:name w:val="Manual Heading 2"/>
    <w:basedOn w:val="Normal"/>
    <w:next w:val="Text1"/>
    <w:pPr>
      <w:keepNext/>
      <w:tabs>
        <w:tab w:val="left" w:pos="850"/>
      </w:tabs>
      <w:spacing w:before="120" w:after="120" w:line="240" w:lineRule="auto"/>
      <w:ind w:left="850" w:hanging="850"/>
      <w:jc w:val="both"/>
      <w:outlineLvl w:val="1"/>
    </w:pPr>
    <w:rPr>
      <w:rFonts w:eastAsia="Times New Roman" w:cs="Times New Roman"/>
      <w:b/>
      <w:sz w:val="24"/>
      <w:szCs w:val="24"/>
    </w:rPr>
  </w:style>
  <w:style w:type="paragraph" w:customStyle="1" w:styleId="ManualHeading3">
    <w:name w:val="Manual Heading 3"/>
    <w:basedOn w:val="Normal"/>
    <w:next w:val="Text1"/>
    <w:pPr>
      <w:keepNext/>
      <w:tabs>
        <w:tab w:val="left" w:pos="850"/>
      </w:tabs>
      <w:spacing w:before="120" w:after="120" w:line="240" w:lineRule="auto"/>
      <w:ind w:left="850" w:hanging="850"/>
      <w:jc w:val="both"/>
      <w:outlineLvl w:val="2"/>
    </w:pPr>
    <w:rPr>
      <w:rFonts w:eastAsia="Times New Roman" w:cs="Times New Roman"/>
      <w:i/>
      <w:sz w:val="24"/>
      <w:szCs w:val="24"/>
    </w:rPr>
  </w:style>
  <w:style w:type="paragraph" w:customStyle="1" w:styleId="ManualHeading4">
    <w:name w:val="Manual Heading 4"/>
    <w:basedOn w:val="Normal"/>
    <w:next w:val="Text1"/>
    <w:pPr>
      <w:keepNext/>
      <w:tabs>
        <w:tab w:val="left" w:pos="850"/>
      </w:tabs>
      <w:spacing w:before="120" w:after="120" w:line="240" w:lineRule="auto"/>
      <w:ind w:left="850" w:hanging="850"/>
      <w:jc w:val="both"/>
      <w:outlineLvl w:val="3"/>
    </w:pPr>
    <w:rPr>
      <w:rFonts w:eastAsia="Times New Roman" w:cs="Times New Roman"/>
      <w:sz w:val="24"/>
      <w:szCs w:val="24"/>
    </w:rPr>
  </w:style>
  <w:style w:type="paragraph" w:customStyle="1" w:styleId="ChapterTitle">
    <w:name w:val="ChapterTitle"/>
    <w:basedOn w:val="Normal"/>
    <w:next w:val="Normal"/>
    <w:pPr>
      <w:keepNext/>
      <w:spacing w:before="120" w:after="360" w:line="240" w:lineRule="auto"/>
      <w:jc w:val="center"/>
    </w:pPr>
    <w:rPr>
      <w:rFonts w:eastAsia="Times New Roman" w:cs="Times New Roman"/>
      <w:b/>
      <w:sz w:val="32"/>
      <w:szCs w:val="24"/>
    </w:rPr>
  </w:style>
  <w:style w:type="paragraph" w:customStyle="1" w:styleId="PartTitle">
    <w:name w:val="PartTitle"/>
    <w:basedOn w:val="Normal"/>
    <w:next w:val="ChapterTitle"/>
    <w:pPr>
      <w:keepNext/>
      <w:pageBreakBefore/>
      <w:spacing w:before="120" w:after="360" w:line="240" w:lineRule="auto"/>
      <w:jc w:val="center"/>
    </w:pPr>
    <w:rPr>
      <w:rFonts w:eastAsia="Times New Roman" w:cs="Times New Roman"/>
      <w:b/>
      <w:sz w:val="36"/>
      <w:szCs w:val="24"/>
    </w:rPr>
  </w:style>
  <w:style w:type="paragraph" w:customStyle="1" w:styleId="SectionTitle">
    <w:name w:val="SectionTitle"/>
    <w:basedOn w:val="Normal"/>
    <w:next w:val="Heading1"/>
    <w:pPr>
      <w:keepNext/>
      <w:spacing w:before="120" w:after="360" w:line="240" w:lineRule="auto"/>
      <w:jc w:val="center"/>
    </w:pPr>
    <w:rPr>
      <w:rFonts w:eastAsia="Times New Roman" w:cs="Times New Roman"/>
      <w:b/>
      <w:smallCaps/>
      <w:sz w:val="28"/>
      <w:szCs w:val="24"/>
    </w:rPr>
  </w:style>
  <w:style w:type="paragraph" w:customStyle="1" w:styleId="TableTitle">
    <w:name w:val="Table Title"/>
    <w:basedOn w:val="Normal"/>
    <w:next w:val="Normal"/>
    <w:pPr>
      <w:spacing w:before="120" w:after="120" w:line="240" w:lineRule="auto"/>
      <w:jc w:val="center"/>
    </w:pPr>
    <w:rPr>
      <w:rFonts w:eastAsia="Times New Roman" w:cs="Times New Roman"/>
      <w:b/>
      <w:sz w:val="24"/>
      <w:szCs w:val="24"/>
    </w:rPr>
  </w:style>
  <w:style w:type="character" w:customStyle="1" w:styleId="Marker1">
    <w:name w:val="Marker1"/>
    <w:rPr>
      <w:color w:val="008000"/>
      <w:shd w:val="clear" w:color="auto" w:fill="auto"/>
    </w:rPr>
  </w:style>
  <w:style w:type="character" w:customStyle="1" w:styleId="Marker2">
    <w:name w:val="Marker2"/>
    <w:rPr>
      <w:color w:val="FF0000"/>
      <w:shd w:val="clear" w:color="auto" w:fill="auto"/>
    </w:rPr>
  </w:style>
  <w:style w:type="paragraph" w:styleId="TOCHeading">
    <w:name w:val="TOC Heading"/>
    <w:basedOn w:val="Normal"/>
    <w:next w:val="Normal"/>
    <w:uiPriority w:val="39"/>
    <w:qFormat/>
    <w:pPr>
      <w:spacing w:before="120" w:after="240" w:line="240" w:lineRule="auto"/>
    </w:pPr>
    <w:rPr>
      <w:rFonts w:eastAsia="Times New Roman" w:cs="Times New Roman"/>
      <w:b/>
      <w:sz w:val="28"/>
      <w:szCs w:val="24"/>
    </w:rPr>
  </w:style>
  <w:style w:type="paragraph" w:customStyle="1" w:styleId="Point0number">
    <w:name w:val="Point 0 (number)"/>
    <w:basedOn w:val="Normal"/>
    <w:pPr>
      <w:numPr>
        <w:numId w:val="20"/>
      </w:numPr>
      <w:spacing w:before="120" w:after="120" w:line="240" w:lineRule="auto"/>
      <w:jc w:val="both"/>
    </w:pPr>
    <w:rPr>
      <w:rFonts w:eastAsia="Times New Roman" w:cs="Times New Roman"/>
      <w:sz w:val="24"/>
      <w:szCs w:val="24"/>
    </w:rPr>
  </w:style>
  <w:style w:type="paragraph" w:customStyle="1" w:styleId="Point1number">
    <w:name w:val="Point 1 (number)"/>
    <w:basedOn w:val="Normal"/>
    <w:pPr>
      <w:numPr>
        <w:ilvl w:val="2"/>
        <w:numId w:val="20"/>
      </w:numPr>
      <w:spacing w:before="120" w:after="120" w:line="240" w:lineRule="auto"/>
      <w:jc w:val="both"/>
    </w:pPr>
    <w:rPr>
      <w:rFonts w:eastAsia="Times New Roman" w:cs="Times New Roman"/>
      <w:sz w:val="24"/>
      <w:szCs w:val="24"/>
    </w:rPr>
  </w:style>
  <w:style w:type="paragraph" w:customStyle="1" w:styleId="Point2number">
    <w:name w:val="Point 2 (number)"/>
    <w:basedOn w:val="Normal"/>
    <w:pPr>
      <w:numPr>
        <w:ilvl w:val="4"/>
        <w:numId w:val="20"/>
      </w:numPr>
      <w:spacing w:before="120" w:after="120" w:line="240" w:lineRule="auto"/>
      <w:jc w:val="both"/>
    </w:pPr>
    <w:rPr>
      <w:rFonts w:eastAsia="Times New Roman" w:cs="Times New Roman"/>
      <w:sz w:val="24"/>
      <w:szCs w:val="24"/>
    </w:rPr>
  </w:style>
  <w:style w:type="paragraph" w:customStyle="1" w:styleId="Point3number">
    <w:name w:val="Point 3 (number)"/>
    <w:basedOn w:val="Normal"/>
    <w:pPr>
      <w:numPr>
        <w:ilvl w:val="6"/>
        <w:numId w:val="20"/>
      </w:numPr>
      <w:spacing w:before="120" w:after="120" w:line="240" w:lineRule="auto"/>
      <w:jc w:val="both"/>
    </w:pPr>
    <w:rPr>
      <w:rFonts w:eastAsia="Times New Roman" w:cs="Times New Roman"/>
      <w:sz w:val="24"/>
      <w:szCs w:val="24"/>
    </w:rPr>
  </w:style>
  <w:style w:type="paragraph" w:customStyle="1" w:styleId="Point0letter">
    <w:name w:val="Point 0 (letter)"/>
    <w:basedOn w:val="Normal"/>
    <w:pPr>
      <w:numPr>
        <w:ilvl w:val="1"/>
        <w:numId w:val="20"/>
      </w:numPr>
      <w:spacing w:before="120" w:after="120" w:line="240" w:lineRule="auto"/>
      <w:jc w:val="both"/>
    </w:pPr>
    <w:rPr>
      <w:rFonts w:eastAsia="Times New Roman" w:cs="Times New Roman"/>
      <w:sz w:val="24"/>
      <w:szCs w:val="24"/>
    </w:rPr>
  </w:style>
  <w:style w:type="paragraph" w:customStyle="1" w:styleId="Point1letter">
    <w:name w:val="Point 1 (letter)"/>
    <w:basedOn w:val="Normal"/>
    <w:pPr>
      <w:numPr>
        <w:ilvl w:val="3"/>
        <w:numId w:val="20"/>
      </w:numPr>
      <w:spacing w:before="120" w:after="120" w:line="240" w:lineRule="auto"/>
      <w:jc w:val="both"/>
    </w:pPr>
    <w:rPr>
      <w:rFonts w:eastAsia="Times New Roman" w:cs="Times New Roman"/>
      <w:sz w:val="24"/>
      <w:szCs w:val="24"/>
    </w:rPr>
  </w:style>
  <w:style w:type="paragraph" w:customStyle="1" w:styleId="Point2letter">
    <w:name w:val="Point 2 (letter)"/>
    <w:basedOn w:val="Normal"/>
    <w:pPr>
      <w:numPr>
        <w:ilvl w:val="5"/>
        <w:numId w:val="20"/>
      </w:numPr>
      <w:spacing w:before="120" w:after="120" w:line="240" w:lineRule="auto"/>
      <w:jc w:val="both"/>
    </w:pPr>
    <w:rPr>
      <w:rFonts w:eastAsia="Times New Roman" w:cs="Times New Roman"/>
      <w:sz w:val="24"/>
      <w:szCs w:val="24"/>
    </w:rPr>
  </w:style>
  <w:style w:type="paragraph" w:customStyle="1" w:styleId="Point3letter">
    <w:name w:val="Point 3 (letter)"/>
    <w:basedOn w:val="Normal"/>
    <w:pPr>
      <w:numPr>
        <w:ilvl w:val="7"/>
        <w:numId w:val="20"/>
      </w:numPr>
      <w:spacing w:before="120" w:after="120" w:line="240" w:lineRule="auto"/>
      <w:jc w:val="both"/>
    </w:pPr>
    <w:rPr>
      <w:rFonts w:eastAsia="Times New Roman" w:cs="Times New Roman"/>
      <w:sz w:val="24"/>
      <w:szCs w:val="24"/>
    </w:rPr>
  </w:style>
  <w:style w:type="paragraph" w:customStyle="1" w:styleId="Point4letter">
    <w:name w:val="Point 4 (letter)"/>
    <w:basedOn w:val="Normal"/>
    <w:pPr>
      <w:numPr>
        <w:ilvl w:val="8"/>
        <w:numId w:val="20"/>
      </w:numPr>
      <w:spacing w:before="120" w:after="120" w:line="240" w:lineRule="auto"/>
      <w:jc w:val="both"/>
    </w:pPr>
    <w:rPr>
      <w:rFonts w:eastAsia="Times New Roman" w:cs="Times New Roman"/>
      <w:sz w:val="24"/>
      <w:szCs w:val="24"/>
    </w:rPr>
  </w:style>
  <w:style w:type="paragraph" w:customStyle="1" w:styleId="Bullet0">
    <w:name w:val="Bullet 0"/>
    <w:basedOn w:val="Normal"/>
    <w:pPr>
      <w:numPr>
        <w:numId w:val="8"/>
      </w:numPr>
      <w:spacing w:before="120" w:after="120" w:line="240" w:lineRule="auto"/>
      <w:jc w:val="both"/>
    </w:pPr>
    <w:rPr>
      <w:rFonts w:eastAsia="Times New Roman" w:cs="Times New Roman"/>
      <w:sz w:val="24"/>
      <w:szCs w:val="24"/>
    </w:rPr>
  </w:style>
  <w:style w:type="paragraph" w:customStyle="1" w:styleId="Bullet1">
    <w:name w:val="Bullet 1"/>
    <w:basedOn w:val="Normal"/>
    <w:pPr>
      <w:numPr>
        <w:numId w:val="9"/>
      </w:numPr>
      <w:spacing w:before="120" w:after="120" w:line="240" w:lineRule="auto"/>
      <w:jc w:val="both"/>
    </w:pPr>
    <w:rPr>
      <w:rFonts w:eastAsia="Times New Roman" w:cs="Times New Roman"/>
      <w:sz w:val="24"/>
      <w:szCs w:val="24"/>
    </w:rPr>
  </w:style>
  <w:style w:type="paragraph" w:customStyle="1" w:styleId="Bullet2">
    <w:name w:val="Bullet 2"/>
    <w:basedOn w:val="Normal"/>
    <w:pPr>
      <w:numPr>
        <w:numId w:val="10"/>
      </w:numPr>
      <w:spacing w:before="120" w:after="120" w:line="240" w:lineRule="auto"/>
      <w:jc w:val="both"/>
    </w:pPr>
    <w:rPr>
      <w:rFonts w:eastAsia="Times New Roman" w:cs="Times New Roman"/>
      <w:sz w:val="24"/>
      <w:szCs w:val="24"/>
    </w:rPr>
  </w:style>
  <w:style w:type="paragraph" w:customStyle="1" w:styleId="Bullet3">
    <w:name w:val="Bullet 3"/>
    <w:basedOn w:val="Normal"/>
    <w:pPr>
      <w:numPr>
        <w:numId w:val="11"/>
      </w:numPr>
      <w:spacing w:before="120" w:after="120" w:line="240" w:lineRule="auto"/>
      <w:jc w:val="both"/>
    </w:pPr>
    <w:rPr>
      <w:rFonts w:eastAsia="Times New Roman" w:cs="Times New Roman"/>
      <w:sz w:val="24"/>
      <w:szCs w:val="24"/>
    </w:rPr>
  </w:style>
  <w:style w:type="paragraph" w:customStyle="1" w:styleId="Bullet4">
    <w:name w:val="Bullet 4"/>
    <w:basedOn w:val="Normal"/>
    <w:pPr>
      <w:numPr>
        <w:numId w:val="12"/>
      </w:numPr>
      <w:spacing w:before="120" w:after="120" w:line="240" w:lineRule="auto"/>
      <w:jc w:val="both"/>
    </w:pPr>
    <w:rPr>
      <w:rFonts w:eastAsia="Times New Roman" w:cs="Times New Roman"/>
      <w:sz w:val="24"/>
      <w:szCs w:val="24"/>
    </w:rPr>
  </w:style>
  <w:style w:type="paragraph" w:customStyle="1" w:styleId="Annexetitreexpos">
    <w:name w:val="Annexe titre (exposé)"/>
    <w:basedOn w:val="Normal"/>
    <w:next w:val="Normal"/>
    <w:pPr>
      <w:spacing w:before="120" w:after="120" w:line="240" w:lineRule="auto"/>
      <w:jc w:val="center"/>
    </w:pPr>
    <w:rPr>
      <w:rFonts w:eastAsia="Times New Roman" w:cs="Times New Roman"/>
      <w:b/>
      <w:sz w:val="24"/>
      <w:szCs w:val="24"/>
      <w:u w:val="single"/>
    </w:rPr>
  </w:style>
  <w:style w:type="paragraph" w:customStyle="1" w:styleId="Annexetitre">
    <w:name w:val="Annexe titre"/>
    <w:basedOn w:val="Normal"/>
    <w:next w:val="Normal"/>
    <w:pPr>
      <w:spacing w:before="120" w:after="120" w:line="240" w:lineRule="auto"/>
      <w:jc w:val="center"/>
    </w:pPr>
    <w:rPr>
      <w:rFonts w:eastAsia="Times New Roman" w:cs="Times New Roman"/>
      <w:b/>
      <w:sz w:val="24"/>
      <w:szCs w:val="24"/>
      <w:u w:val="single"/>
    </w:rPr>
  </w:style>
  <w:style w:type="paragraph" w:customStyle="1" w:styleId="Annexetitrefichefinancire">
    <w:name w:val="Annexe titre (fiche financière)"/>
    <w:basedOn w:val="Normal"/>
    <w:next w:val="Normal"/>
    <w:pPr>
      <w:spacing w:before="120" w:after="120" w:line="240" w:lineRule="auto"/>
      <w:jc w:val="center"/>
    </w:pPr>
    <w:rPr>
      <w:rFonts w:eastAsia="Times New Roman" w:cs="Times New Roman"/>
      <w:b/>
      <w:sz w:val="24"/>
      <w:szCs w:val="24"/>
      <w:u w:val="single"/>
    </w:rPr>
  </w:style>
  <w:style w:type="paragraph" w:customStyle="1" w:styleId="Applicationdirecte">
    <w:name w:val="Application directe"/>
    <w:basedOn w:val="Normal"/>
    <w:next w:val="Fait"/>
    <w:pPr>
      <w:spacing w:before="480" w:after="120" w:line="240" w:lineRule="auto"/>
      <w:jc w:val="both"/>
    </w:pPr>
    <w:rPr>
      <w:rFonts w:eastAsia="Times New Roman" w:cs="Times New Roman"/>
      <w:sz w:val="24"/>
      <w:szCs w:val="24"/>
    </w:rPr>
  </w:style>
  <w:style w:type="paragraph" w:customStyle="1" w:styleId="Avertissementtitre">
    <w:name w:val="Avertissement titre"/>
    <w:basedOn w:val="Normal"/>
    <w:next w:val="Normal"/>
    <w:pPr>
      <w:keepNext/>
      <w:spacing w:before="480" w:after="120" w:line="240" w:lineRule="auto"/>
      <w:jc w:val="both"/>
    </w:pPr>
    <w:rPr>
      <w:rFonts w:eastAsia="Times New Roman" w:cs="Times New Roman"/>
      <w:sz w:val="24"/>
      <w:szCs w:val="24"/>
      <w:u w:val="single"/>
    </w:rPr>
  </w:style>
  <w:style w:type="paragraph" w:customStyle="1" w:styleId="Confidence">
    <w:name w:val="Confidence"/>
    <w:basedOn w:val="Normal"/>
    <w:next w:val="Normal"/>
    <w:pPr>
      <w:spacing w:before="360" w:after="120" w:line="240" w:lineRule="auto"/>
      <w:jc w:val="center"/>
    </w:pPr>
    <w:rPr>
      <w:rFonts w:eastAsia="Times New Roman" w:cs="Times New Roman"/>
      <w:sz w:val="24"/>
      <w:szCs w:val="24"/>
    </w:rPr>
  </w:style>
  <w:style w:type="paragraph" w:customStyle="1" w:styleId="Confidentialit">
    <w:name w:val="Confidentialité"/>
    <w:basedOn w:val="Normal"/>
    <w:next w:val="TypedudocumentPagedecouverture"/>
    <w:pPr>
      <w:spacing w:before="240" w:after="240" w:line="240" w:lineRule="auto"/>
      <w:ind w:left="5103"/>
      <w:jc w:val="both"/>
    </w:pPr>
    <w:rPr>
      <w:rFonts w:eastAsia="Times New Roman" w:cs="Times New Roman"/>
      <w:i/>
      <w:sz w:val="32"/>
      <w:szCs w:val="24"/>
    </w:rPr>
  </w:style>
  <w:style w:type="paragraph" w:customStyle="1" w:styleId="Considrant">
    <w:name w:val="Considérant"/>
    <w:basedOn w:val="Normal"/>
    <w:pPr>
      <w:numPr>
        <w:numId w:val="13"/>
      </w:numPr>
      <w:spacing w:before="120" w:after="120" w:line="240" w:lineRule="auto"/>
      <w:jc w:val="both"/>
    </w:pPr>
    <w:rPr>
      <w:rFonts w:eastAsia="Times New Roman" w:cs="Times New Roman"/>
      <w:sz w:val="24"/>
      <w:szCs w:val="24"/>
    </w:rPr>
  </w:style>
  <w:style w:type="paragraph" w:customStyle="1" w:styleId="Corrigendum">
    <w:name w:val="Corrigendum"/>
    <w:basedOn w:val="Normal"/>
    <w:next w:val="Normal"/>
    <w:pPr>
      <w:spacing w:after="240" w:line="240" w:lineRule="auto"/>
    </w:pPr>
    <w:rPr>
      <w:rFonts w:eastAsia="Times New Roman" w:cs="Times New Roman"/>
      <w:sz w:val="24"/>
      <w:szCs w:val="24"/>
    </w:rPr>
  </w:style>
  <w:style w:type="paragraph" w:customStyle="1" w:styleId="Datedadoption">
    <w:name w:val="Date d'adoption"/>
    <w:basedOn w:val="Normal"/>
    <w:next w:val="Titreobjet"/>
    <w:pPr>
      <w:spacing w:before="360" w:after="0" w:line="240" w:lineRule="auto"/>
      <w:jc w:val="center"/>
    </w:pPr>
    <w:rPr>
      <w:rFonts w:eastAsia="Times New Roman" w:cs="Times New Roman"/>
      <w:b/>
      <w:sz w:val="24"/>
      <w:szCs w:val="24"/>
    </w:rPr>
  </w:style>
  <w:style w:type="paragraph" w:customStyle="1" w:styleId="Emission">
    <w:name w:val="Emission"/>
    <w:basedOn w:val="Normal"/>
    <w:next w:val="Rfrenceinstitutionnelle"/>
    <w:pPr>
      <w:spacing w:after="0" w:line="240" w:lineRule="auto"/>
      <w:ind w:left="5103"/>
    </w:pPr>
    <w:rPr>
      <w:rFonts w:eastAsia="Times New Roman" w:cs="Times New Roman"/>
      <w:sz w:val="24"/>
      <w:szCs w:val="24"/>
    </w:rPr>
  </w:style>
  <w:style w:type="paragraph" w:customStyle="1" w:styleId="Exposdesmotifstitre">
    <w:name w:val="Exposé des motifs titre"/>
    <w:basedOn w:val="Normal"/>
    <w:next w:val="Normal"/>
    <w:pPr>
      <w:spacing w:before="120" w:after="120" w:line="240" w:lineRule="auto"/>
      <w:jc w:val="center"/>
    </w:pPr>
    <w:rPr>
      <w:rFonts w:eastAsia="Times New Roman" w:cs="Times New Roman"/>
      <w:b/>
      <w:sz w:val="24"/>
      <w:szCs w:val="24"/>
      <w:u w:val="single"/>
    </w:rPr>
  </w:style>
  <w:style w:type="paragraph" w:customStyle="1" w:styleId="Fait">
    <w:name w:val="Fait à"/>
    <w:basedOn w:val="Normal"/>
    <w:next w:val="Institutionquisigne"/>
    <w:pPr>
      <w:keepNext/>
      <w:spacing w:before="120" w:after="0" w:line="240" w:lineRule="auto"/>
      <w:jc w:val="both"/>
    </w:pPr>
    <w:rPr>
      <w:rFonts w:eastAsia="Times New Roman" w:cs="Times New Roman"/>
      <w:sz w:val="24"/>
      <w:szCs w:val="24"/>
    </w:rPr>
  </w:style>
  <w:style w:type="paragraph" w:customStyle="1" w:styleId="Formuledadoption">
    <w:name w:val="Formule d'adoption"/>
    <w:basedOn w:val="Normal"/>
    <w:next w:val="Titrearticle"/>
    <w:pPr>
      <w:keepNext/>
      <w:spacing w:before="120" w:after="120" w:line="240" w:lineRule="auto"/>
      <w:jc w:val="both"/>
    </w:pPr>
    <w:rPr>
      <w:rFonts w:eastAsia="Times New Roman" w:cs="Times New Roman"/>
      <w:sz w:val="24"/>
      <w:szCs w:val="24"/>
    </w:rPr>
  </w:style>
  <w:style w:type="paragraph" w:customStyle="1" w:styleId="Institutionquiagit">
    <w:name w:val="Institution qui agit"/>
    <w:basedOn w:val="Normal"/>
    <w:next w:val="Normal"/>
    <w:pPr>
      <w:keepNext/>
      <w:spacing w:before="600" w:after="120" w:line="240" w:lineRule="auto"/>
      <w:jc w:val="both"/>
    </w:pPr>
    <w:rPr>
      <w:rFonts w:eastAsia="Times New Roman" w:cs="Times New Roman"/>
      <w:sz w:val="24"/>
      <w:szCs w:val="24"/>
    </w:rPr>
  </w:style>
  <w:style w:type="paragraph" w:customStyle="1" w:styleId="Institutionquisigne">
    <w:name w:val="Institution qui signe"/>
    <w:basedOn w:val="Normal"/>
    <w:next w:val="Personnequisigne"/>
    <w:pPr>
      <w:keepNext/>
      <w:tabs>
        <w:tab w:val="left" w:pos="4252"/>
      </w:tabs>
      <w:spacing w:before="720" w:after="0" w:line="240" w:lineRule="auto"/>
      <w:jc w:val="both"/>
    </w:pPr>
    <w:rPr>
      <w:rFonts w:eastAsia="Times New Roman" w:cs="Times New Roman"/>
      <w:i/>
      <w:sz w:val="24"/>
      <w:szCs w:val="24"/>
    </w:rPr>
  </w:style>
  <w:style w:type="paragraph" w:customStyle="1" w:styleId="Langue">
    <w:name w:val="Langue"/>
    <w:basedOn w:val="Normal"/>
    <w:next w:val="Rfrenceinterne"/>
    <w:pPr>
      <w:framePr w:wrap="around" w:vAnchor="page" w:hAnchor="text" w:xAlign="center" w:y="14741"/>
      <w:spacing w:after="600" w:line="240" w:lineRule="auto"/>
      <w:jc w:val="center"/>
    </w:pPr>
    <w:rPr>
      <w:rFonts w:eastAsia="Times New Roman" w:cs="Times New Roman"/>
      <w:b/>
      <w:caps/>
      <w:sz w:val="24"/>
      <w:szCs w:val="24"/>
    </w:rPr>
  </w:style>
  <w:style w:type="paragraph" w:customStyle="1" w:styleId="ManualConsidrant">
    <w:name w:val="Manual Considérant"/>
    <w:basedOn w:val="Normal"/>
    <w:pPr>
      <w:spacing w:before="120" w:after="120" w:line="240" w:lineRule="auto"/>
      <w:ind w:left="709" w:hanging="709"/>
      <w:jc w:val="both"/>
    </w:pPr>
    <w:rPr>
      <w:rFonts w:eastAsia="Times New Roman" w:cs="Times New Roman"/>
      <w:sz w:val="24"/>
      <w:szCs w:val="24"/>
    </w:rPr>
  </w:style>
  <w:style w:type="paragraph" w:customStyle="1" w:styleId="Nomdelinstitution">
    <w:name w:val="Nom de l'institution"/>
    <w:basedOn w:val="Normal"/>
    <w:next w:val="Emission"/>
    <w:pPr>
      <w:spacing w:after="0" w:line="240" w:lineRule="auto"/>
    </w:pPr>
    <w:rPr>
      <w:rFonts w:ascii="Arial" w:eastAsia="Times New Roman" w:hAnsi="Arial" w:cs="Arial"/>
      <w:sz w:val="24"/>
      <w:szCs w:val="24"/>
    </w:rPr>
  </w:style>
  <w:style w:type="paragraph" w:customStyle="1" w:styleId="Personnequisigne">
    <w:name w:val="Personne qui signe"/>
    <w:basedOn w:val="Normal"/>
    <w:next w:val="Institutionquisigne"/>
    <w:pPr>
      <w:tabs>
        <w:tab w:val="left" w:pos="4252"/>
      </w:tabs>
      <w:spacing w:after="0" w:line="240" w:lineRule="auto"/>
    </w:pPr>
    <w:rPr>
      <w:rFonts w:eastAsia="Times New Roman" w:cs="Times New Roman"/>
      <w:i/>
      <w:sz w:val="24"/>
      <w:szCs w:val="24"/>
    </w:rPr>
  </w:style>
  <w:style w:type="paragraph" w:customStyle="1" w:styleId="Rfrenceinstitutionnelle">
    <w:name w:val="Référence institutionnelle"/>
    <w:basedOn w:val="Normal"/>
    <w:next w:val="Confidentialit"/>
    <w:pPr>
      <w:spacing w:after="240" w:line="240" w:lineRule="auto"/>
      <w:ind w:left="5103"/>
    </w:pPr>
    <w:rPr>
      <w:rFonts w:eastAsia="Times New Roman" w:cs="Times New Roman"/>
      <w:sz w:val="24"/>
      <w:szCs w:val="24"/>
    </w:rPr>
  </w:style>
  <w:style w:type="paragraph" w:customStyle="1" w:styleId="Rfrenceinterinstitutionnelle">
    <w:name w:val="Référence interinstitutionnelle"/>
    <w:basedOn w:val="Normal"/>
    <w:next w:val="Statut"/>
    <w:pPr>
      <w:spacing w:after="0" w:line="240" w:lineRule="auto"/>
      <w:ind w:left="5103"/>
    </w:pPr>
    <w:rPr>
      <w:rFonts w:eastAsia="Times New Roman" w:cs="Times New Roman"/>
      <w:sz w:val="24"/>
      <w:szCs w:val="24"/>
    </w:rPr>
  </w:style>
  <w:style w:type="paragraph" w:customStyle="1" w:styleId="Rfrenceinterne">
    <w:name w:val="Référence interne"/>
    <w:basedOn w:val="Normal"/>
    <w:next w:val="Rfrenceinterinstitutionnelle"/>
    <w:pPr>
      <w:spacing w:after="0" w:line="240" w:lineRule="auto"/>
      <w:ind w:left="5103"/>
    </w:pPr>
    <w:rPr>
      <w:rFonts w:eastAsia="Times New Roman" w:cs="Times New Roman"/>
      <w:sz w:val="24"/>
      <w:szCs w:val="24"/>
    </w:rPr>
  </w:style>
  <w:style w:type="paragraph" w:customStyle="1" w:styleId="Sous-titreobjet">
    <w:name w:val="Sous-titre objet"/>
    <w:basedOn w:val="Normal"/>
    <w:pPr>
      <w:spacing w:after="0" w:line="240" w:lineRule="auto"/>
      <w:jc w:val="center"/>
    </w:pPr>
    <w:rPr>
      <w:rFonts w:eastAsia="Times New Roman" w:cs="Times New Roman"/>
      <w:b/>
      <w:sz w:val="24"/>
      <w:szCs w:val="24"/>
    </w:rPr>
  </w:style>
  <w:style w:type="paragraph" w:customStyle="1" w:styleId="Statut">
    <w:name w:val="Statut"/>
    <w:basedOn w:val="Normal"/>
    <w:next w:val="Typedudocument"/>
    <w:pPr>
      <w:spacing w:before="360" w:after="0" w:line="240" w:lineRule="auto"/>
      <w:jc w:val="center"/>
    </w:pPr>
    <w:rPr>
      <w:rFonts w:eastAsia="Times New Roman" w:cs="Times New Roman"/>
      <w:sz w:val="24"/>
      <w:szCs w:val="24"/>
    </w:rPr>
  </w:style>
  <w:style w:type="paragraph" w:customStyle="1" w:styleId="Titrearticle">
    <w:name w:val="Titre article"/>
    <w:basedOn w:val="Normal"/>
    <w:next w:val="Normal"/>
    <w:pPr>
      <w:keepNext/>
      <w:spacing w:before="360" w:after="120" w:line="240" w:lineRule="auto"/>
      <w:jc w:val="center"/>
    </w:pPr>
    <w:rPr>
      <w:rFonts w:eastAsia="Times New Roman" w:cs="Times New Roman"/>
      <w:i/>
      <w:sz w:val="24"/>
      <w:szCs w:val="24"/>
    </w:rPr>
  </w:style>
  <w:style w:type="paragraph" w:customStyle="1" w:styleId="Titreobjet">
    <w:name w:val="Titre objet"/>
    <w:basedOn w:val="Normal"/>
    <w:next w:val="Sous-titreobjet"/>
    <w:pPr>
      <w:spacing w:before="360" w:after="360" w:line="240" w:lineRule="auto"/>
      <w:jc w:val="center"/>
    </w:pPr>
    <w:rPr>
      <w:rFonts w:eastAsia="Times New Roman" w:cs="Times New Roman"/>
      <w:b/>
      <w:sz w:val="24"/>
      <w:szCs w:val="24"/>
    </w:rPr>
  </w:style>
  <w:style w:type="paragraph" w:customStyle="1" w:styleId="Typedudocument">
    <w:name w:val="Type du document"/>
    <w:basedOn w:val="Normal"/>
    <w:next w:val="Titreobjet"/>
    <w:link w:val="TypedudocumentChar"/>
    <w:pPr>
      <w:spacing w:before="360" w:after="0" w:line="240" w:lineRule="auto"/>
      <w:jc w:val="center"/>
    </w:pPr>
    <w:rPr>
      <w:rFonts w:eastAsia="Times New Roman" w:cs="Times New Roman"/>
      <w:b/>
      <w:sz w:val="24"/>
      <w:szCs w:val="24"/>
    </w:rPr>
  </w:style>
  <w:style w:type="character" w:customStyle="1" w:styleId="Added">
    <w:name w:val="Added"/>
    <w:rPr>
      <w:b/>
      <w:u w:val="single"/>
      <w:shd w:val="clear" w:color="auto" w:fill="auto"/>
    </w:rPr>
  </w:style>
  <w:style w:type="character" w:customStyle="1" w:styleId="Deleted">
    <w:name w:val="Deleted"/>
    <w:rPr>
      <w:strike/>
      <w:shd w:val="clear" w:color="auto" w:fill="auto"/>
    </w:rPr>
  </w:style>
  <w:style w:type="paragraph" w:customStyle="1" w:styleId="Address">
    <w:name w:val="Address"/>
    <w:basedOn w:val="Normal"/>
    <w:next w:val="Normal"/>
    <w:pPr>
      <w:keepLines/>
      <w:spacing w:before="120" w:after="120" w:line="360" w:lineRule="auto"/>
      <w:ind w:left="3402"/>
    </w:pPr>
    <w:rPr>
      <w:rFonts w:eastAsia="Times New Roman" w:cs="Times New Roman"/>
      <w:sz w:val="24"/>
      <w:szCs w:val="24"/>
    </w:rPr>
  </w:style>
  <w:style w:type="paragraph" w:customStyle="1" w:styleId="Objetexterne">
    <w:name w:val="Objet externe"/>
    <w:basedOn w:val="Normal"/>
    <w:next w:val="Normal"/>
    <w:pPr>
      <w:spacing w:before="120" w:after="120" w:line="240" w:lineRule="auto"/>
      <w:jc w:val="both"/>
    </w:pPr>
    <w:rPr>
      <w:rFonts w:eastAsia="Times New Roman" w:cs="Times New Roman"/>
      <w:i/>
      <w:caps/>
      <w:sz w:val="24"/>
      <w:szCs w:val="24"/>
    </w:rPr>
  </w:style>
  <w:style w:type="paragraph" w:customStyle="1" w:styleId="Supertitre">
    <w:name w:val="Supertitre"/>
    <w:basedOn w:val="Normal"/>
    <w:next w:val="Normal"/>
    <w:pPr>
      <w:spacing w:after="600" w:line="240" w:lineRule="auto"/>
      <w:jc w:val="center"/>
    </w:pPr>
    <w:rPr>
      <w:rFonts w:eastAsia="Times New Roman" w:cs="Times New Roman"/>
      <w:b/>
      <w:sz w:val="24"/>
      <w:szCs w:val="24"/>
    </w:rPr>
  </w:style>
  <w:style w:type="paragraph" w:customStyle="1" w:styleId="Languesfaisantfoi">
    <w:name w:val="Langues faisant foi"/>
    <w:basedOn w:val="Normal"/>
    <w:next w:val="Normal"/>
    <w:pPr>
      <w:spacing w:before="360" w:after="0" w:line="240" w:lineRule="auto"/>
      <w:jc w:val="center"/>
    </w:pPr>
    <w:rPr>
      <w:rFonts w:eastAsia="Times New Roman" w:cs="Times New Roman"/>
      <w:sz w:val="24"/>
      <w:szCs w:val="24"/>
    </w:rPr>
  </w:style>
  <w:style w:type="paragraph" w:customStyle="1" w:styleId="Rfrencecroise">
    <w:name w:val="Référence croisée"/>
    <w:basedOn w:val="Normal"/>
    <w:pPr>
      <w:spacing w:after="0" w:line="240" w:lineRule="auto"/>
      <w:jc w:val="center"/>
    </w:pPr>
    <w:rPr>
      <w:rFonts w:eastAsia="Times New Roman" w:cs="Times New Roman"/>
      <w:sz w:val="24"/>
      <w:szCs w:val="24"/>
    </w:rPr>
  </w:style>
  <w:style w:type="paragraph" w:customStyle="1" w:styleId="Fichefinanciretitre">
    <w:name w:val="Fiche financière titre"/>
    <w:basedOn w:val="Normal"/>
    <w:next w:val="Normal"/>
    <w:pPr>
      <w:spacing w:before="120" w:after="120" w:line="240" w:lineRule="auto"/>
      <w:jc w:val="center"/>
    </w:pPr>
    <w:rPr>
      <w:rFonts w:eastAsia="Times New Roman" w:cs="Times New Roman"/>
      <w:b/>
      <w:sz w:val="24"/>
      <w:szCs w:val="24"/>
      <w:u w:val="single"/>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ous-titreobjetPagedecouverture">
    <w:name w:val="Sous-titre objet (Page de couverture)"/>
    <w:basedOn w:val="Sous-titreobjet"/>
  </w:style>
  <w:style w:type="paragraph" w:customStyle="1" w:styleId="StatutPagedecouverture">
    <w:name w:val="Statut (Page de couverture)"/>
    <w:basedOn w:val="Statut"/>
    <w:next w:val="TypedudocumentPagedecouverture"/>
  </w:style>
  <w:style w:type="paragraph" w:customStyle="1" w:styleId="TitreobjetPagedecouverture">
    <w:name w:val="Titre objet (Page de couverture)"/>
    <w:basedOn w:val="Titreobjet"/>
    <w:next w:val="Sous-titreobjetPagedecouverture"/>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after="240" w:line="240" w:lineRule="auto"/>
      <w:ind w:left="5103"/>
    </w:pPr>
    <w:rPr>
      <w:rFonts w:eastAsia="Times New Roman" w:cs="Times New Roman"/>
      <w:sz w:val="24"/>
      <w:szCs w:val="24"/>
    </w:r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after="240" w:line="240" w:lineRule="auto"/>
      <w:jc w:val="center"/>
    </w:pPr>
    <w:rPr>
      <w:rFonts w:eastAsia="Times New Roman" w:cs="Times New Roman"/>
      <w:b/>
      <w:i/>
      <w:sz w:val="24"/>
      <w:szCs w:val="24"/>
    </w:rPr>
  </w:style>
  <w:style w:type="paragraph" w:customStyle="1" w:styleId="Typeacteprincipal">
    <w:name w:val="Type acte principal"/>
    <w:basedOn w:val="Normal"/>
    <w:next w:val="Objetacteprincipal"/>
    <w:pPr>
      <w:spacing w:after="240" w:line="240" w:lineRule="auto"/>
      <w:jc w:val="center"/>
    </w:pPr>
    <w:rPr>
      <w:rFonts w:eastAsia="Times New Roman" w:cs="Times New Roman"/>
      <w:b/>
      <w:sz w:val="24"/>
      <w:szCs w:val="24"/>
    </w:rPr>
  </w:style>
  <w:style w:type="paragraph" w:customStyle="1" w:styleId="Objetacteprincipal">
    <w:name w:val="Objet acte principal"/>
    <w:basedOn w:val="Normal"/>
    <w:next w:val="Titrearticle"/>
    <w:pPr>
      <w:spacing w:after="360" w:line="240" w:lineRule="auto"/>
      <w:jc w:val="center"/>
    </w:pPr>
    <w:rPr>
      <w:rFonts w:eastAsia="Times New Roman" w:cs="Times New Roman"/>
      <w:b/>
      <w:sz w:val="24"/>
      <w:szCs w:val="24"/>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line="240" w:lineRule="auto"/>
      <w:jc w:val="center"/>
    </w:pPr>
    <w:rPr>
      <w:rFonts w:eastAsia="Times New Roman" w:cs="Times New Roman"/>
      <w:sz w:val="24"/>
      <w:szCs w:val="24"/>
    </w:rPr>
  </w:style>
  <w:style w:type="paragraph" w:styleId="ListBullet">
    <w:name w:val="List Bullet"/>
    <w:basedOn w:val="Normal"/>
    <w:pPr>
      <w:numPr>
        <w:numId w:val="14"/>
      </w:numPr>
      <w:spacing w:before="120" w:after="120" w:line="240" w:lineRule="auto"/>
      <w:contextualSpacing/>
      <w:jc w:val="both"/>
    </w:pPr>
    <w:rPr>
      <w:rFonts w:eastAsia="Times New Roman" w:cs="Times New Roman"/>
      <w:sz w:val="24"/>
      <w:szCs w:val="24"/>
    </w:rPr>
  </w:style>
  <w:style w:type="paragraph" w:styleId="ListBullet2">
    <w:name w:val="List Bullet 2"/>
    <w:basedOn w:val="Normal"/>
    <w:pPr>
      <w:numPr>
        <w:numId w:val="15"/>
      </w:numPr>
      <w:spacing w:before="120" w:after="120" w:line="240" w:lineRule="auto"/>
      <w:contextualSpacing/>
      <w:jc w:val="both"/>
    </w:pPr>
    <w:rPr>
      <w:rFonts w:eastAsia="Times New Roman" w:cs="Times New Roman"/>
      <w:sz w:val="24"/>
      <w:szCs w:val="24"/>
    </w:rPr>
  </w:style>
  <w:style w:type="paragraph" w:styleId="ListBullet3">
    <w:name w:val="List Bullet 3"/>
    <w:basedOn w:val="Normal"/>
    <w:pPr>
      <w:numPr>
        <w:numId w:val="16"/>
      </w:numPr>
      <w:spacing w:before="120" w:after="120" w:line="240" w:lineRule="auto"/>
      <w:contextualSpacing/>
      <w:jc w:val="both"/>
    </w:pPr>
    <w:rPr>
      <w:rFonts w:eastAsia="Times New Roman" w:cs="Times New Roman"/>
      <w:sz w:val="24"/>
      <w:szCs w:val="24"/>
    </w:rPr>
  </w:style>
  <w:style w:type="paragraph" w:styleId="ListBullet4">
    <w:name w:val="List Bullet 4"/>
    <w:basedOn w:val="Normal"/>
    <w:pPr>
      <w:numPr>
        <w:numId w:val="17"/>
      </w:numPr>
      <w:spacing w:before="120" w:after="120" w:line="240" w:lineRule="auto"/>
      <w:contextualSpacing/>
      <w:jc w:val="both"/>
    </w:pPr>
    <w:rPr>
      <w:rFonts w:eastAsia="Times New Roman" w:cs="Times New Roman"/>
      <w:sz w:val="24"/>
      <w:szCs w:val="24"/>
    </w:rPr>
  </w:style>
  <w:style w:type="paragraph" w:customStyle="1" w:styleId="ListDash">
    <w:name w:val="List Dash"/>
    <w:basedOn w:val="Normal"/>
    <w:pPr>
      <w:numPr>
        <w:numId w:val="18"/>
      </w:numPr>
      <w:spacing w:before="120" w:after="120" w:line="240" w:lineRule="auto"/>
      <w:jc w:val="both"/>
    </w:pPr>
    <w:rPr>
      <w:rFonts w:eastAsia="Times New Roman" w:cs="Times New Roman"/>
      <w:sz w:val="24"/>
      <w:szCs w:val="24"/>
    </w:rPr>
  </w:style>
  <w:style w:type="character" w:styleId="Strong">
    <w:name w:val="Strong"/>
    <w:uiPriority w:val="22"/>
    <w:qFormat/>
    <w:rPr>
      <w:b/>
      <w:bCs/>
    </w:rPr>
  </w:style>
  <w:style w:type="paragraph" w:styleId="ListParagraph">
    <w:name w:val="List Paragraph"/>
    <w:basedOn w:val="Normal"/>
    <w:uiPriority w:val="34"/>
    <w:qFormat/>
    <w:pPr>
      <w:ind w:left="720"/>
      <w:contextualSpacing/>
    </w:pPr>
    <w:rPr>
      <w:rFonts w:ascii="Calibri" w:eastAsia="Times New Roman" w:hAnsi="Calibri" w:cs="Times New Roman"/>
    </w:rPr>
  </w:style>
  <w:style w:type="numbering" w:styleId="111111">
    <w:name w:val="Outline List 2"/>
    <w:basedOn w:val="NoList"/>
    <w:pPr>
      <w:numPr>
        <w:numId w:val="19"/>
      </w:numPr>
    </w:pPr>
  </w:style>
  <w:style w:type="character" w:styleId="PageNumber">
    <w:name w:val="page number"/>
  </w:style>
  <w:style w:type="paragraph" w:customStyle="1" w:styleId="Default">
    <w:name w:val="Default"/>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4"/>
    </w:rPr>
  </w:style>
  <w:style w:type="paragraph" w:styleId="Caption">
    <w:name w:val="caption"/>
    <w:basedOn w:val="Normal"/>
    <w:next w:val="Normal"/>
    <w:qFormat/>
    <w:pPr>
      <w:spacing w:before="120" w:after="120" w:line="240" w:lineRule="auto"/>
      <w:jc w:val="both"/>
    </w:pPr>
    <w:rPr>
      <w:rFonts w:eastAsia="Times New Roman" w:cs="Times New Roman"/>
      <w:b/>
      <w:bCs/>
      <w:sz w:val="20"/>
      <w:szCs w:val="20"/>
    </w:rPr>
  </w:style>
  <w:style w:type="paragraph" w:styleId="TableofFigures">
    <w:name w:val="table of figures"/>
    <w:basedOn w:val="Normal"/>
    <w:next w:val="Normal"/>
    <w:pPr>
      <w:spacing w:before="120" w:after="120" w:line="240" w:lineRule="auto"/>
      <w:jc w:val="both"/>
    </w:pPr>
    <w:rPr>
      <w:rFonts w:eastAsia="Times New Roman" w:cs="Times New Roman"/>
      <w:sz w:val="24"/>
      <w:szCs w:val="24"/>
    </w:rPr>
  </w:style>
  <w:style w:type="paragraph" w:styleId="ListNumber">
    <w:name w:val="List Number"/>
    <w:basedOn w:val="Normal"/>
    <w:pPr>
      <w:numPr>
        <w:numId w:val="21"/>
      </w:numPr>
      <w:spacing w:before="120" w:after="120" w:line="240" w:lineRule="auto"/>
      <w:contextualSpacing/>
      <w:jc w:val="both"/>
    </w:pPr>
    <w:rPr>
      <w:rFonts w:eastAsia="Times New Roman" w:cs="Times New Roman"/>
      <w:sz w:val="24"/>
      <w:szCs w:val="24"/>
    </w:rPr>
  </w:style>
  <w:style w:type="paragraph" w:styleId="ListNumber2">
    <w:name w:val="List Number 2"/>
    <w:basedOn w:val="Normal"/>
    <w:pPr>
      <w:numPr>
        <w:numId w:val="22"/>
      </w:numPr>
      <w:spacing w:before="120" w:after="120" w:line="240" w:lineRule="auto"/>
      <w:contextualSpacing/>
      <w:jc w:val="both"/>
    </w:pPr>
    <w:rPr>
      <w:rFonts w:eastAsia="Times New Roman" w:cs="Times New Roman"/>
      <w:sz w:val="24"/>
      <w:szCs w:val="24"/>
    </w:rPr>
  </w:style>
  <w:style w:type="paragraph" w:styleId="ListNumber3">
    <w:name w:val="List Number 3"/>
    <w:basedOn w:val="Normal"/>
    <w:pPr>
      <w:numPr>
        <w:numId w:val="23"/>
      </w:numPr>
      <w:spacing w:before="120" w:after="120" w:line="240" w:lineRule="auto"/>
      <w:contextualSpacing/>
      <w:jc w:val="both"/>
    </w:pPr>
    <w:rPr>
      <w:rFonts w:eastAsia="Times New Roman" w:cs="Times New Roman"/>
      <w:sz w:val="24"/>
      <w:szCs w:val="24"/>
    </w:rPr>
  </w:style>
  <w:style w:type="paragraph" w:styleId="ListNumber4">
    <w:name w:val="List Number 4"/>
    <w:basedOn w:val="Normal"/>
    <w:pPr>
      <w:numPr>
        <w:numId w:val="24"/>
      </w:numPr>
      <w:spacing w:before="120" w:after="120" w:line="240" w:lineRule="auto"/>
      <w:contextualSpacing/>
      <w:jc w:val="both"/>
    </w:pPr>
    <w:rPr>
      <w:rFonts w:eastAsia="Times New Roman" w:cs="Times New Roman"/>
      <w:sz w:val="24"/>
      <w:szCs w:val="24"/>
    </w:rPr>
  </w:style>
  <w:style w:type="character" w:customStyle="1" w:styleId="TypedudocumentChar">
    <w:name w:val="Type du document Char"/>
    <w:link w:val="Typedudocument"/>
    <w:rPr>
      <w:rFonts w:ascii="Times New Roman" w:eastAsia="Times New Roman" w:hAnsi="Times New Roman" w:cs="Times New Roman"/>
      <w:b/>
      <w:sz w:val="24"/>
      <w:szCs w:val="24"/>
    </w:rPr>
  </w:style>
  <w:style w:type="paragraph" w:styleId="DocumentMap">
    <w:name w:val="Document Map"/>
    <w:basedOn w:val="Normal"/>
    <w:link w:val="DocumentMapChar"/>
    <w:semiHidden/>
    <w:pPr>
      <w:shd w:val="clear" w:color="auto" w:fill="000080"/>
    </w:pPr>
    <w:rPr>
      <w:rFonts w:ascii="Tahoma" w:eastAsia="Calibri" w:hAnsi="Tahoma" w:cs="Tahoma"/>
    </w:rPr>
  </w:style>
  <w:style w:type="character" w:customStyle="1" w:styleId="DocumentMapChar">
    <w:name w:val="Document Map Char"/>
    <w:basedOn w:val="DefaultParagraphFont"/>
    <w:link w:val="DocumentMap"/>
    <w:semiHidden/>
    <w:rPr>
      <w:rFonts w:ascii="Tahoma" w:eastAsia="Calibri" w:hAnsi="Tahoma" w:cs="Tahoma"/>
      <w:shd w:val="clear" w:color="auto" w:fill="000080"/>
    </w:rPr>
  </w:style>
  <w:style w:type="paragraph" w:customStyle="1" w:styleId="EntInstit">
    <w:name w:val="EntInstit"/>
    <w:basedOn w:val="NormalConseil"/>
    <w:pPr>
      <w:jc w:val="right"/>
    </w:pPr>
    <w:rPr>
      <w:b/>
    </w:rPr>
  </w:style>
  <w:style w:type="paragraph" w:customStyle="1" w:styleId="NormalConseil">
    <w:name w:val="NormalConseil"/>
    <w:basedOn w:val="Normal"/>
    <w:pPr>
      <w:spacing w:after="0" w:line="240" w:lineRule="auto"/>
    </w:pPr>
    <w:rPr>
      <w:rFonts w:eastAsia="Times New Roman" w:cs="Times New Roman"/>
      <w:sz w:val="24"/>
      <w:szCs w:val="20"/>
    </w:rPr>
  </w:style>
  <w:style w:type="paragraph" w:customStyle="1" w:styleId="EntRefer">
    <w:name w:val="EntRefer"/>
    <w:basedOn w:val="NormalConseil"/>
    <w:rPr>
      <w:b/>
    </w:rPr>
  </w:style>
  <w:style w:type="paragraph" w:customStyle="1" w:styleId="EntEmet">
    <w:name w:val="EntEmet"/>
    <w:basedOn w:val="NormalConseil"/>
    <w:pPr>
      <w:tabs>
        <w:tab w:val="left" w:pos="284"/>
        <w:tab w:val="left" w:pos="567"/>
        <w:tab w:val="left" w:pos="851"/>
        <w:tab w:val="left" w:pos="1134"/>
        <w:tab w:val="left" w:pos="1418"/>
      </w:tabs>
      <w:spacing w:before="40"/>
    </w:pPr>
  </w:style>
  <w:style w:type="paragraph" w:customStyle="1" w:styleId="EntLogo">
    <w:name w:val="EntLogo"/>
    <w:basedOn w:val="NormalConseil"/>
    <w:next w:val="EntInstit"/>
    <w:pPr>
      <w:spacing w:line="360" w:lineRule="auto"/>
    </w:pPr>
    <w:rPr>
      <w:b/>
    </w:rPr>
  </w:style>
  <w:style w:type="paragraph" w:customStyle="1" w:styleId="FooterConseil">
    <w:name w:val="FooterConseil"/>
    <w:basedOn w:val="NormalConseil"/>
    <w:pPr>
      <w:tabs>
        <w:tab w:val="center" w:pos="4820"/>
        <w:tab w:val="center" w:pos="7371"/>
        <w:tab w:val="right" w:pos="9639"/>
      </w:tabs>
    </w:pPr>
  </w:style>
  <w:style w:type="paragraph" w:styleId="NormalWeb">
    <w:name w:val="Normal (Web)"/>
    <w:basedOn w:val="Normal"/>
    <w:uiPriority w:val="99"/>
    <w:unhideWhenUsed/>
    <w:rPr>
      <w:rFonts w:eastAsia="Calibri" w:cs="Times New Roman"/>
      <w:sz w:val="24"/>
      <w:szCs w:val="24"/>
    </w:rPr>
  </w:style>
  <w:style w:type="table" w:styleId="TableGrid">
    <w:name w:val="Table Grid"/>
    <w:basedOn w:val="TableNormal"/>
    <w:uiPriority w:val="5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numbering" w:customStyle="1" w:styleId="1111111">
    <w:name w:val="1 / 1.1 / 1.1.11"/>
    <w:basedOn w:val="NoList"/>
    <w:next w:val="111111"/>
  </w:style>
  <w:style w:type="table" w:customStyle="1" w:styleId="TableGrid1">
    <w:name w:val="Table Grid1"/>
    <w:basedOn w:val="TableNormal"/>
    <w:next w:val="TableGrid"/>
    <w:uiPriority w:val="5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style>
  <w:style w:type="table" w:styleId="LightList-Accent4">
    <w:name w:val="Light List Accent 4"/>
    <w:basedOn w:val="TableNormal"/>
    <w:uiPriority w:val="61"/>
    <w:pPr>
      <w:spacing w:after="0" w:line="240" w:lineRule="auto"/>
    </w:pPr>
    <w:rPr>
      <w:rFonts w:ascii="Calibri" w:eastAsia="Calibri" w:hAnsi="Calibri"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customStyle="1" w:styleId="footnotedefaultstyleChar">
    <w:name w:val="footnote default style Char"/>
    <w:basedOn w:val="DefaultParagraphFont"/>
    <w:link w:val="footnotedefaultstyle"/>
    <w:locked/>
    <w:rPr>
      <w:rFonts w:ascii="Verdana" w:hAnsi="Verdana"/>
    </w:rPr>
  </w:style>
  <w:style w:type="paragraph" w:customStyle="1" w:styleId="footnotedefaultstyle">
    <w:name w:val="footnote default style"/>
    <w:basedOn w:val="Normal"/>
    <w:link w:val="footnotedefaultstyleChar"/>
    <w:pPr>
      <w:spacing w:after="0" w:line="240" w:lineRule="auto"/>
      <w:ind w:left="357" w:hanging="357"/>
      <w:jc w:val="both"/>
    </w:pPr>
    <w:rPr>
      <w:rFonts w:ascii="Verdana" w:hAnsi="Verdana"/>
    </w:rPr>
  </w:style>
  <w:style w:type="paragraph" w:customStyle="1" w:styleId="rtejustify">
    <w:name w:val="rtejustify"/>
    <w:basedOn w:val="Normal"/>
    <w:pPr>
      <w:spacing w:before="100" w:beforeAutospacing="1" w:after="100" w:afterAutospacing="1" w:line="240" w:lineRule="auto"/>
    </w:pPr>
    <w:rPr>
      <w:rFonts w:eastAsia="Times New Roman" w:cs="Times New Roman"/>
      <w:sz w:val="24"/>
      <w:szCs w:val="24"/>
    </w:rPr>
  </w:style>
  <w:style w:type="paragraph" w:customStyle="1" w:styleId="Declassification">
    <w:name w:val="Declassification"/>
    <w:basedOn w:val="Normal"/>
    <w:next w:val="Normal"/>
    <w:pPr>
      <w:spacing w:after="0" w:line="240" w:lineRule="auto"/>
      <w:jc w:val="both"/>
    </w:pPr>
    <w:rPr>
      <w:rFonts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paragraph" w:customStyle="1" w:styleId="doc-ti">
    <w:name w:val="doc-ti"/>
    <w:basedOn w:val="Normal"/>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9668">
      <w:bodyDiv w:val="1"/>
      <w:marLeft w:val="0"/>
      <w:marRight w:val="0"/>
      <w:marTop w:val="0"/>
      <w:marBottom w:val="0"/>
      <w:divBdr>
        <w:top w:val="none" w:sz="0" w:space="0" w:color="auto"/>
        <w:left w:val="none" w:sz="0" w:space="0" w:color="auto"/>
        <w:bottom w:val="none" w:sz="0" w:space="0" w:color="auto"/>
        <w:right w:val="none" w:sz="0" w:space="0" w:color="auto"/>
      </w:divBdr>
    </w:div>
    <w:div w:id="47151934">
      <w:bodyDiv w:val="1"/>
      <w:marLeft w:val="0"/>
      <w:marRight w:val="0"/>
      <w:marTop w:val="0"/>
      <w:marBottom w:val="0"/>
      <w:divBdr>
        <w:top w:val="none" w:sz="0" w:space="0" w:color="auto"/>
        <w:left w:val="none" w:sz="0" w:space="0" w:color="auto"/>
        <w:bottom w:val="none" w:sz="0" w:space="0" w:color="auto"/>
        <w:right w:val="none" w:sz="0" w:space="0" w:color="auto"/>
      </w:divBdr>
    </w:div>
    <w:div w:id="69355342">
      <w:bodyDiv w:val="1"/>
      <w:marLeft w:val="0"/>
      <w:marRight w:val="0"/>
      <w:marTop w:val="0"/>
      <w:marBottom w:val="0"/>
      <w:divBdr>
        <w:top w:val="none" w:sz="0" w:space="0" w:color="auto"/>
        <w:left w:val="none" w:sz="0" w:space="0" w:color="auto"/>
        <w:bottom w:val="none" w:sz="0" w:space="0" w:color="auto"/>
        <w:right w:val="none" w:sz="0" w:space="0" w:color="auto"/>
      </w:divBdr>
    </w:div>
    <w:div w:id="109395635">
      <w:bodyDiv w:val="1"/>
      <w:marLeft w:val="0"/>
      <w:marRight w:val="0"/>
      <w:marTop w:val="0"/>
      <w:marBottom w:val="0"/>
      <w:divBdr>
        <w:top w:val="none" w:sz="0" w:space="0" w:color="auto"/>
        <w:left w:val="none" w:sz="0" w:space="0" w:color="auto"/>
        <w:bottom w:val="none" w:sz="0" w:space="0" w:color="auto"/>
        <w:right w:val="none" w:sz="0" w:space="0" w:color="auto"/>
      </w:divBdr>
    </w:div>
    <w:div w:id="127480165">
      <w:bodyDiv w:val="1"/>
      <w:marLeft w:val="0"/>
      <w:marRight w:val="0"/>
      <w:marTop w:val="0"/>
      <w:marBottom w:val="0"/>
      <w:divBdr>
        <w:top w:val="none" w:sz="0" w:space="0" w:color="auto"/>
        <w:left w:val="none" w:sz="0" w:space="0" w:color="auto"/>
        <w:bottom w:val="none" w:sz="0" w:space="0" w:color="auto"/>
        <w:right w:val="none" w:sz="0" w:space="0" w:color="auto"/>
      </w:divBdr>
    </w:div>
    <w:div w:id="138235314">
      <w:bodyDiv w:val="1"/>
      <w:marLeft w:val="0"/>
      <w:marRight w:val="0"/>
      <w:marTop w:val="0"/>
      <w:marBottom w:val="0"/>
      <w:divBdr>
        <w:top w:val="none" w:sz="0" w:space="0" w:color="auto"/>
        <w:left w:val="none" w:sz="0" w:space="0" w:color="auto"/>
        <w:bottom w:val="none" w:sz="0" w:space="0" w:color="auto"/>
        <w:right w:val="none" w:sz="0" w:space="0" w:color="auto"/>
      </w:divBdr>
      <w:divsChild>
        <w:div w:id="1714885340">
          <w:marLeft w:val="0"/>
          <w:marRight w:val="0"/>
          <w:marTop w:val="0"/>
          <w:marBottom w:val="0"/>
          <w:divBdr>
            <w:top w:val="none" w:sz="0" w:space="0" w:color="auto"/>
            <w:left w:val="none" w:sz="0" w:space="0" w:color="auto"/>
            <w:bottom w:val="none" w:sz="0" w:space="0" w:color="auto"/>
            <w:right w:val="none" w:sz="0" w:space="0" w:color="auto"/>
          </w:divBdr>
          <w:divsChild>
            <w:div w:id="800611097">
              <w:marLeft w:val="0"/>
              <w:marRight w:val="0"/>
              <w:marTop w:val="0"/>
              <w:marBottom w:val="0"/>
              <w:divBdr>
                <w:top w:val="none" w:sz="0" w:space="0" w:color="auto"/>
                <w:left w:val="none" w:sz="0" w:space="0" w:color="auto"/>
                <w:bottom w:val="none" w:sz="0" w:space="0" w:color="auto"/>
                <w:right w:val="none" w:sz="0" w:space="0" w:color="auto"/>
              </w:divBdr>
              <w:divsChild>
                <w:div w:id="1390154784">
                  <w:marLeft w:val="0"/>
                  <w:marRight w:val="0"/>
                  <w:marTop w:val="0"/>
                  <w:marBottom w:val="0"/>
                  <w:divBdr>
                    <w:top w:val="none" w:sz="0" w:space="0" w:color="auto"/>
                    <w:left w:val="none" w:sz="0" w:space="0" w:color="auto"/>
                    <w:bottom w:val="none" w:sz="0" w:space="0" w:color="auto"/>
                    <w:right w:val="none" w:sz="0" w:space="0" w:color="auto"/>
                  </w:divBdr>
                  <w:divsChild>
                    <w:div w:id="214195939">
                      <w:marLeft w:val="0"/>
                      <w:marRight w:val="0"/>
                      <w:marTop w:val="0"/>
                      <w:marBottom w:val="0"/>
                      <w:divBdr>
                        <w:top w:val="none" w:sz="0" w:space="0" w:color="auto"/>
                        <w:left w:val="none" w:sz="0" w:space="0" w:color="auto"/>
                        <w:bottom w:val="none" w:sz="0" w:space="0" w:color="auto"/>
                        <w:right w:val="none" w:sz="0" w:space="0" w:color="auto"/>
                      </w:divBdr>
                      <w:divsChild>
                        <w:div w:id="43313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33958">
      <w:bodyDiv w:val="1"/>
      <w:marLeft w:val="0"/>
      <w:marRight w:val="0"/>
      <w:marTop w:val="0"/>
      <w:marBottom w:val="0"/>
      <w:divBdr>
        <w:top w:val="none" w:sz="0" w:space="0" w:color="auto"/>
        <w:left w:val="none" w:sz="0" w:space="0" w:color="auto"/>
        <w:bottom w:val="none" w:sz="0" w:space="0" w:color="auto"/>
        <w:right w:val="none" w:sz="0" w:space="0" w:color="auto"/>
      </w:divBdr>
    </w:div>
    <w:div w:id="180516488">
      <w:bodyDiv w:val="1"/>
      <w:marLeft w:val="0"/>
      <w:marRight w:val="0"/>
      <w:marTop w:val="0"/>
      <w:marBottom w:val="0"/>
      <w:divBdr>
        <w:top w:val="none" w:sz="0" w:space="0" w:color="auto"/>
        <w:left w:val="none" w:sz="0" w:space="0" w:color="auto"/>
        <w:bottom w:val="none" w:sz="0" w:space="0" w:color="auto"/>
        <w:right w:val="none" w:sz="0" w:space="0" w:color="auto"/>
      </w:divBdr>
    </w:div>
    <w:div w:id="183641237">
      <w:bodyDiv w:val="1"/>
      <w:marLeft w:val="0"/>
      <w:marRight w:val="0"/>
      <w:marTop w:val="0"/>
      <w:marBottom w:val="0"/>
      <w:divBdr>
        <w:top w:val="none" w:sz="0" w:space="0" w:color="auto"/>
        <w:left w:val="none" w:sz="0" w:space="0" w:color="auto"/>
        <w:bottom w:val="none" w:sz="0" w:space="0" w:color="auto"/>
        <w:right w:val="none" w:sz="0" w:space="0" w:color="auto"/>
      </w:divBdr>
    </w:div>
    <w:div w:id="205266399">
      <w:bodyDiv w:val="1"/>
      <w:marLeft w:val="0"/>
      <w:marRight w:val="0"/>
      <w:marTop w:val="0"/>
      <w:marBottom w:val="0"/>
      <w:divBdr>
        <w:top w:val="none" w:sz="0" w:space="0" w:color="auto"/>
        <w:left w:val="none" w:sz="0" w:space="0" w:color="auto"/>
        <w:bottom w:val="none" w:sz="0" w:space="0" w:color="auto"/>
        <w:right w:val="none" w:sz="0" w:space="0" w:color="auto"/>
      </w:divBdr>
    </w:div>
    <w:div w:id="207030180">
      <w:bodyDiv w:val="1"/>
      <w:marLeft w:val="0"/>
      <w:marRight w:val="0"/>
      <w:marTop w:val="0"/>
      <w:marBottom w:val="0"/>
      <w:divBdr>
        <w:top w:val="none" w:sz="0" w:space="0" w:color="auto"/>
        <w:left w:val="none" w:sz="0" w:space="0" w:color="auto"/>
        <w:bottom w:val="none" w:sz="0" w:space="0" w:color="auto"/>
        <w:right w:val="none" w:sz="0" w:space="0" w:color="auto"/>
      </w:divBdr>
    </w:div>
    <w:div w:id="262689349">
      <w:bodyDiv w:val="1"/>
      <w:marLeft w:val="0"/>
      <w:marRight w:val="0"/>
      <w:marTop w:val="0"/>
      <w:marBottom w:val="0"/>
      <w:divBdr>
        <w:top w:val="none" w:sz="0" w:space="0" w:color="auto"/>
        <w:left w:val="none" w:sz="0" w:space="0" w:color="auto"/>
        <w:bottom w:val="none" w:sz="0" w:space="0" w:color="auto"/>
        <w:right w:val="none" w:sz="0" w:space="0" w:color="auto"/>
      </w:divBdr>
    </w:div>
    <w:div w:id="291132663">
      <w:bodyDiv w:val="1"/>
      <w:marLeft w:val="0"/>
      <w:marRight w:val="0"/>
      <w:marTop w:val="0"/>
      <w:marBottom w:val="0"/>
      <w:divBdr>
        <w:top w:val="none" w:sz="0" w:space="0" w:color="auto"/>
        <w:left w:val="none" w:sz="0" w:space="0" w:color="auto"/>
        <w:bottom w:val="none" w:sz="0" w:space="0" w:color="auto"/>
        <w:right w:val="none" w:sz="0" w:space="0" w:color="auto"/>
      </w:divBdr>
    </w:div>
    <w:div w:id="300775213">
      <w:bodyDiv w:val="1"/>
      <w:marLeft w:val="0"/>
      <w:marRight w:val="0"/>
      <w:marTop w:val="0"/>
      <w:marBottom w:val="0"/>
      <w:divBdr>
        <w:top w:val="none" w:sz="0" w:space="0" w:color="auto"/>
        <w:left w:val="none" w:sz="0" w:space="0" w:color="auto"/>
        <w:bottom w:val="none" w:sz="0" w:space="0" w:color="auto"/>
        <w:right w:val="none" w:sz="0" w:space="0" w:color="auto"/>
      </w:divBdr>
    </w:div>
    <w:div w:id="372006173">
      <w:bodyDiv w:val="1"/>
      <w:marLeft w:val="0"/>
      <w:marRight w:val="0"/>
      <w:marTop w:val="0"/>
      <w:marBottom w:val="0"/>
      <w:divBdr>
        <w:top w:val="none" w:sz="0" w:space="0" w:color="auto"/>
        <w:left w:val="none" w:sz="0" w:space="0" w:color="auto"/>
        <w:bottom w:val="none" w:sz="0" w:space="0" w:color="auto"/>
        <w:right w:val="none" w:sz="0" w:space="0" w:color="auto"/>
      </w:divBdr>
    </w:div>
    <w:div w:id="373194080">
      <w:bodyDiv w:val="1"/>
      <w:marLeft w:val="0"/>
      <w:marRight w:val="0"/>
      <w:marTop w:val="0"/>
      <w:marBottom w:val="0"/>
      <w:divBdr>
        <w:top w:val="none" w:sz="0" w:space="0" w:color="auto"/>
        <w:left w:val="none" w:sz="0" w:space="0" w:color="auto"/>
        <w:bottom w:val="none" w:sz="0" w:space="0" w:color="auto"/>
        <w:right w:val="none" w:sz="0" w:space="0" w:color="auto"/>
      </w:divBdr>
    </w:div>
    <w:div w:id="460730473">
      <w:bodyDiv w:val="1"/>
      <w:marLeft w:val="0"/>
      <w:marRight w:val="0"/>
      <w:marTop w:val="0"/>
      <w:marBottom w:val="0"/>
      <w:divBdr>
        <w:top w:val="none" w:sz="0" w:space="0" w:color="auto"/>
        <w:left w:val="none" w:sz="0" w:space="0" w:color="auto"/>
        <w:bottom w:val="none" w:sz="0" w:space="0" w:color="auto"/>
        <w:right w:val="none" w:sz="0" w:space="0" w:color="auto"/>
      </w:divBdr>
    </w:div>
    <w:div w:id="461387523">
      <w:bodyDiv w:val="1"/>
      <w:marLeft w:val="0"/>
      <w:marRight w:val="0"/>
      <w:marTop w:val="0"/>
      <w:marBottom w:val="0"/>
      <w:divBdr>
        <w:top w:val="none" w:sz="0" w:space="0" w:color="auto"/>
        <w:left w:val="none" w:sz="0" w:space="0" w:color="auto"/>
        <w:bottom w:val="none" w:sz="0" w:space="0" w:color="auto"/>
        <w:right w:val="none" w:sz="0" w:space="0" w:color="auto"/>
      </w:divBdr>
    </w:div>
    <w:div w:id="575434405">
      <w:bodyDiv w:val="1"/>
      <w:marLeft w:val="0"/>
      <w:marRight w:val="0"/>
      <w:marTop w:val="0"/>
      <w:marBottom w:val="0"/>
      <w:divBdr>
        <w:top w:val="none" w:sz="0" w:space="0" w:color="auto"/>
        <w:left w:val="none" w:sz="0" w:space="0" w:color="auto"/>
        <w:bottom w:val="none" w:sz="0" w:space="0" w:color="auto"/>
        <w:right w:val="none" w:sz="0" w:space="0" w:color="auto"/>
      </w:divBdr>
    </w:div>
    <w:div w:id="607927946">
      <w:bodyDiv w:val="1"/>
      <w:marLeft w:val="0"/>
      <w:marRight w:val="0"/>
      <w:marTop w:val="0"/>
      <w:marBottom w:val="0"/>
      <w:divBdr>
        <w:top w:val="none" w:sz="0" w:space="0" w:color="auto"/>
        <w:left w:val="none" w:sz="0" w:space="0" w:color="auto"/>
        <w:bottom w:val="none" w:sz="0" w:space="0" w:color="auto"/>
        <w:right w:val="none" w:sz="0" w:space="0" w:color="auto"/>
      </w:divBdr>
      <w:divsChild>
        <w:div w:id="850022250">
          <w:marLeft w:val="0"/>
          <w:marRight w:val="0"/>
          <w:marTop w:val="0"/>
          <w:marBottom w:val="0"/>
          <w:divBdr>
            <w:top w:val="none" w:sz="0" w:space="0" w:color="auto"/>
            <w:left w:val="none" w:sz="0" w:space="0" w:color="auto"/>
            <w:bottom w:val="none" w:sz="0" w:space="0" w:color="auto"/>
            <w:right w:val="none" w:sz="0" w:space="0" w:color="auto"/>
          </w:divBdr>
          <w:divsChild>
            <w:div w:id="556169316">
              <w:marLeft w:val="0"/>
              <w:marRight w:val="0"/>
              <w:marTop w:val="0"/>
              <w:marBottom w:val="0"/>
              <w:divBdr>
                <w:top w:val="none" w:sz="0" w:space="0" w:color="auto"/>
                <w:left w:val="none" w:sz="0" w:space="0" w:color="auto"/>
                <w:bottom w:val="none" w:sz="0" w:space="0" w:color="auto"/>
                <w:right w:val="none" w:sz="0" w:space="0" w:color="auto"/>
              </w:divBdr>
              <w:divsChild>
                <w:div w:id="281882465">
                  <w:marLeft w:val="0"/>
                  <w:marRight w:val="0"/>
                  <w:marTop w:val="0"/>
                  <w:marBottom w:val="0"/>
                  <w:divBdr>
                    <w:top w:val="none" w:sz="0" w:space="0" w:color="auto"/>
                    <w:left w:val="none" w:sz="0" w:space="0" w:color="auto"/>
                    <w:bottom w:val="none" w:sz="0" w:space="0" w:color="auto"/>
                    <w:right w:val="none" w:sz="0" w:space="0" w:color="auto"/>
                  </w:divBdr>
                  <w:divsChild>
                    <w:div w:id="665787151">
                      <w:marLeft w:val="0"/>
                      <w:marRight w:val="0"/>
                      <w:marTop w:val="0"/>
                      <w:marBottom w:val="0"/>
                      <w:divBdr>
                        <w:top w:val="none" w:sz="0" w:space="0" w:color="auto"/>
                        <w:left w:val="none" w:sz="0" w:space="0" w:color="auto"/>
                        <w:bottom w:val="none" w:sz="0" w:space="0" w:color="auto"/>
                        <w:right w:val="none" w:sz="0" w:space="0" w:color="auto"/>
                      </w:divBdr>
                      <w:divsChild>
                        <w:div w:id="959649044">
                          <w:marLeft w:val="0"/>
                          <w:marRight w:val="0"/>
                          <w:marTop w:val="150"/>
                          <w:marBottom w:val="0"/>
                          <w:divBdr>
                            <w:top w:val="none" w:sz="0" w:space="0" w:color="auto"/>
                            <w:left w:val="none" w:sz="0" w:space="0" w:color="auto"/>
                            <w:bottom w:val="none" w:sz="0" w:space="0" w:color="auto"/>
                            <w:right w:val="none" w:sz="0" w:space="0" w:color="auto"/>
                          </w:divBdr>
                          <w:divsChild>
                            <w:div w:id="1542665418">
                              <w:marLeft w:val="0"/>
                              <w:marRight w:val="0"/>
                              <w:marTop w:val="0"/>
                              <w:marBottom w:val="0"/>
                              <w:divBdr>
                                <w:top w:val="none" w:sz="0" w:space="0" w:color="auto"/>
                                <w:left w:val="none" w:sz="0" w:space="0" w:color="auto"/>
                                <w:bottom w:val="none" w:sz="0" w:space="0" w:color="auto"/>
                                <w:right w:val="none" w:sz="0" w:space="0" w:color="auto"/>
                              </w:divBdr>
                              <w:divsChild>
                                <w:div w:id="355693972">
                                  <w:marLeft w:val="0"/>
                                  <w:marRight w:val="0"/>
                                  <w:marTop w:val="0"/>
                                  <w:marBottom w:val="0"/>
                                  <w:divBdr>
                                    <w:top w:val="none" w:sz="0" w:space="0" w:color="auto"/>
                                    <w:left w:val="none" w:sz="0" w:space="0" w:color="auto"/>
                                    <w:bottom w:val="none" w:sz="0" w:space="0" w:color="auto"/>
                                    <w:right w:val="none" w:sz="0" w:space="0" w:color="auto"/>
                                  </w:divBdr>
                                  <w:divsChild>
                                    <w:div w:id="1020623427">
                                      <w:marLeft w:val="0"/>
                                      <w:marRight w:val="0"/>
                                      <w:marTop w:val="0"/>
                                      <w:marBottom w:val="0"/>
                                      <w:divBdr>
                                        <w:top w:val="none" w:sz="0" w:space="0" w:color="auto"/>
                                        <w:left w:val="none" w:sz="0" w:space="0" w:color="auto"/>
                                        <w:bottom w:val="none" w:sz="0" w:space="0" w:color="auto"/>
                                        <w:right w:val="none" w:sz="0" w:space="0" w:color="auto"/>
                                      </w:divBdr>
                                      <w:divsChild>
                                        <w:div w:id="1049308148">
                                          <w:marLeft w:val="0"/>
                                          <w:marRight w:val="0"/>
                                          <w:marTop w:val="0"/>
                                          <w:marBottom w:val="0"/>
                                          <w:divBdr>
                                            <w:top w:val="none" w:sz="0" w:space="0" w:color="auto"/>
                                            <w:left w:val="none" w:sz="0" w:space="0" w:color="auto"/>
                                            <w:bottom w:val="none" w:sz="0" w:space="0" w:color="auto"/>
                                            <w:right w:val="none" w:sz="0" w:space="0" w:color="auto"/>
                                          </w:divBdr>
                                          <w:divsChild>
                                            <w:div w:id="2060124732">
                                              <w:marLeft w:val="0"/>
                                              <w:marRight w:val="0"/>
                                              <w:marTop w:val="0"/>
                                              <w:marBottom w:val="0"/>
                                              <w:divBdr>
                                                <w:top w:val="none" w:sz="0" w:space="0" w:color="auto"/>
                                                <w:left w:val="none" w:sz="0" w:space="0" w:color="auto"/>
                                                <w:bottom w:val="none" w:sz="0" w:space="0" w:color="auto"/>
                                                <w:right w:val="none" w:sz="0" w:space="0" w:color="auto"/>
                                              </w:divBdr>
                                              <w:divsChild>
                                                <w:div w:id="1241257141">
                                                  <w:marLeft w:val="0"/>
                                                  <w:marRight w:val="0"/>
                                                  <w:marTop w:val="0"/>
                                                  <w:marBottom w:val="0"/>
                                                  <w:divBdr>
                                                    <w:top w:val="none" w:sz="0" w:space="0" w:color="auto"/>
                                                    <w:left w:val="none" w:sz="0" w:space="0" w:color="auto"/>
                                                    <w:bottom w:val="none" w:sz="0" w:space="0" w:color="auto"/>
                                                    <w:right w:val="none" w:sz="0" w:space="0" w:color="auto"/>
                                                  </w:divBdr>
                                                  <w:divsChild>
                                                    <w:div w:id="581329241">
                                                      <w:marLeft w:val="0"/>
                                                      <w:marRight w:val="0"/>
                                                      <w:marTop w:val="0"/>
                                                      <w:marBottom w:val="0"/>
                                                      <w:divBdr>
                                                        <w:top w:val="none" w:sz="0" w:space="0" w:color="auto"/>
                                                        <w:left w:val="none" w:sz="0" w:space="0" w:color="auto"/>
                                                        <w:bottom w:val="none" w:sz="0" w:space="0" w:color="auto"/>
                                                        <w:right w:val="none" w:sz="0" w:space="0" w:color="auto"/>
                                                      </w:divBdr>
                                                      <w:divsChild>
                                                        <w:div w:id="206570183">
                                                          <w:marLeft w:val="0"/>
                                                          <w:marRight w:val="0"/>
                                                          <w:marTop w:val="0"/>
                                                          <w:marBottom w:val="0"/>
                                                          <w:divBdr>
                                                            <w:top w:val="none" w:sz="0" w:space="0" w:color="auto"/>
                                                            <w:left w:val="none" w:sz="0" w:space="0" w:color="auto"/>
                                                            <w:bottom w:val="none" w:sz="0" w:space="0" w:color="auto"/>
                                                            <w:right w:val="none" w:sz="0" w:space="0" w:color="auto"/>
                                                          </w:divBdr>
                                                          <w:divsChild>
                                                            <w:div w:id="462773388">
                                                              <w:marLeft w:val="0"/>
                                                              <w:marRight w:val="0"/>
                                                              <w:marTop w:val="0"/>
                                                              <w:marBottom w:val="0"/>
                                                              <w:divBdr>
                                                                <w:top w:val="none" w:sz="0" w:space="0" w:color="auto"/>
                                                                <w:left w:val="none" w:sz="0" w:space="0" w:color="auto"/>
                                                                <w:bottom w:val="none" w:sz="0" w:space="0" w:color="auto"/>
                                                                <w:right w:val="none" w:sz="0" w:space="0" w:color="auto"/>
                                                              </w:divBdr>
                                                              <w:divsChild>
                                                                <w:div w:id="1824925186">
                                                                  <w:marLeft w:val="0"/>
                                                                  <w:marRight w:val="0"/>
                                                                  <w:marTop w:val="0"/>
                                                                  <w:marBottom w:val="0"/>
                                                                  <w:divBdr>
                                                                    <w:top w:val="none" w:sz="0" w:space="0" w:color="auto"/>
                                                                    <w:left w:val="none" w:sz="0" w:space="0" w:color="auto"/>
                                                                    <w:bottom w:val="none" w:sz="0" w:space="0" w:color="auto"/>
                                                                    <w:right w:val="none" w:sz="0" w:space="0" w:color="auto"/>
                                                                  </w:divBdr>
                                                                  <w:divsChild>
                                                                    <w:div w:id="706687569">
                                                                      <w:marLeft w:val="0"/>
                                                                      <w:marRight w:val="0"/>
                                                                      <w:marTop w:val="0"/>
                                                                      <w:marBottom w:val="0"/>
                                                                      <w:divBdr>
                                                                        <w:top w:val="none" w:sz="0" w:space="0" w:color="auto"/>
                                                                        <w:left w:val="none" w:sz="0" w:space="0" w:color="auto"/>
                                                                        <w:bottom w:val="none" w:sz="0" w:space="0" w:color="auto"/>
                                                                        <w:right w:val="none" w:sz="0" w:space="0" w:color="auto"/>
                                                                      </w:divBdr>
                                                                      <w:divsChild>
                                                                        <w:div w:id="22795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4213952">
      <w:bodyDiv w:val="1"/>
      <w:marLeft w:val="0"/>
      <w:marRight w:val="0"/>
      <w:marTop w:val="0"/>
      <w:marBottom w:val="0"/>
      <w:divBdr>
        <w:top w:val="none" w:sz="0" w:space="0" w:color="auto"/>
        <w:left w:val="none" w:sz="0" w:space="0" w:color="auto"/>
        <w:bottom w:val="none" w:sz="0" w:space="0" w:color="auto"/>
        <w:right w:val="none" w:sz="0" w:space="0" w:color="auto"/>
      </w:divBdr>
    </w:div>
    <w:div w:id="714816181">
      <w:bodyDiv w:val="1"/>
      <w:marLeft w:val="0"/>
      <w:marRight w:val="0"/>
      <w:marTop w:val="0"/>
      <w:marBottom w:val="0"/>
      <w:divBdr>
        <w:top w:val="none" w:sz="0" w:space="0" w:color="auto"/>
        <w:left w:val="none" w:sz="0" w:space="0" w:color="auto"/>
        <w:bottom w:val="none" w:sz="0" w:space="0" w:color="auto"/>
        <w:right w:val="none" w:sz="0" w:space="0" w:color="auto"/>
      </w:divBdr>
    </w:div>
    <w:div w:id="754321380">
      <w:bodyDiv w:val="1"/>
      <w:marLeft w:val="0"/>
      <w:marRight w:val="0"/>
      <w:marTop w:val="0"/>
      <w:marBottom w:val="0"/>
      <w:divBdr>
        <w:top w:val="none" w:sz="0" w:space="0" w:color="auto"/>
        <w:left w:val="none" w:sz="0" w:space="0" w:color="auto"/>
        <w:bottom w:val="none" w:sz="0" w:space="0" w:color="auto"/>
        <w:right w:val="none" w:sz="0" w:space="0" w:color="auto"/>
      </w:divBdr>
    </w:div>
    <w:div w:id="814033623">
      <w:bodyDiv w:val="1"/>
      <w:marLeft w:val="0"/>
      <w:marRight w:val="0"/>
      <w:marTop w:val="0"/>
      <w:marBottom w:val="0"/>
      <w:divBdr>
        <w:top w:val="none" w:sz="0" w:space="0" w:color="auto"/>
        <w:left w:val="none" w:sz="0" w:space="0" w:color="auto"/>
        <w:bottom w:val="none" w:sz="0" w:space="0" w:color="auto"/>
        <w:right w:val="none" w:sz="0" w:space="0" w:color="auto"/>
      </w:divBdr>
    </w:div>
    <w:div w:id="932324286">
      <w:bodyDiv w:val="1"/>
      <w:marLeft w:val="0"/>
      <w:marRight w:val="0"/>
      <w:marTop w:val="0"/>
      <w:marBottom w:val="0"/>
      <w:divBdr>
        <w:top w:val="none" w:sz="0" w:space="0" w:color="auto"/>
        <w:left w:val="none" w:sz="0" w:space="0" w:color="auto"/>
        <w:bottom w:val="none" w:sz="0" w:space="0" w:color="auto"/>
        <w:right w:val="none" w:sz="0" w:space="0" w:color="auto"/>
      </w:divBdr>
    </w:div>
    <w:div w:id="968626350">
      <w:bodyDiv w:val="1"/>
      <w:marLeft w:val="0"/>
      <w:marRight w:val="0"/>
      <w:marTop w:val="0"/>
      <w:marBottom w:val="0"/>
      <w:divBdr>
        <w:top w:val="none" w:sz="0" w:space="0" w:color="auto"/>
        <w:left w:val="none" w:sz="0" w:space="0" w:color="auto"/>
        <w:bottom w:val="none" w:sz="0" w:space="0" w:color="auto"/>
        <w:right w:val="none" w:sz="0" w:space="0" w:color="auto"/>
      </w:divBdr>
    </w:div>
    <w:div w:id="1045570462">
      <w:bodyDiv w:val="1"/>
      <w:marLeft w:val="0"/>
      <w:marRight w:val="0"/>
      <w:marTop w:val="0"/>
      <w:marBottom w:val="0"/>
      <w:divBdr>
        <w:top w:val="none" w:sz="0" w:space="0" w:color="auto"/>
        <w:left w:val="none" w:sz="0" w:space="0" w:color="auto"/>
        <w:bottom w:val="none" w:sz="0" w:space="0" w:color="auto"/>
        <w:right w:val="none" w:sz="0" w:space="0" w:color="auto"/>
      </w:divBdr>
    </w:div>
    <w:div w:id="1061368972">
      <w:bodyDiv w:val="1"/>
      <w:marLeft w:val="0"/>
      <w:marRight w:val="0"/>
      <w:marTop w:val="0"/>
      <w:marBottom w:val="0"/>
      <w:divBdr>
        <w:top w:val="none" w:sz="0" w:space="0" w:color="auto"/>
        <w:left w:val="none" w:sz="0" w:space="0" w:color="auto"/>
        <w:bottom w:val="none" w:sz="0" w:space="0" w:color="auto"/>
        <w:right w:val="none" w:sz="0" w:space="0" w:color="auto"/>
      </w:divBdr>
    </w:div>
    <w:div w:id="1096756206">
      <w:bodyDiv w:val="1"/>
      <w:marLeft w:val="0"/>
      <w:marRight w:val="0"/>
      <w:marTop w:val="0"/>
      <w:marBottom w:val="0"/>
      <w:divBdr>
        <w:top w:val="none" w:sz="0" w:space="0" w:color="auto"/>
        <w:left w:val="none" w:sz="0" w:space="0" w:color="auto"/>
        <w:bottom w:val="none" w:sz="0" w:space="0" w:color="auto"/>
        <w:right w:val="none" w:sz="0" w:space="0" w:color="auto"/>
      </w:divBdr>
    </w:div>
    <w:div w:id="1105732180">
      <w:bodyDiv w:val="1"/>
      <w:marLeft w:val="0"/>
      <w:marRight w:val="0"/>
      <w:marTop w:val="0"/>
      <w:marBottom w:val="0"/>
      <w:divBdr>
        <w:top w:val="none" w:sz="0" w:space="0" w:color="auto"/>
        <w:left w:val="none" w:sz="0" w:space="0" w:color="auto"/>
        <w:bottom w:val="none" w:sz="0" w:space="0" w:color="auto"/>
        <w:right w:val="none" w:sz="0" w:space="0" w:color="auto"/>
      </w:divBdr>
    </w:div>
    <w:div w:id="1112699578">
      <w:bodyDiv w:val="1"/>
      <w:marLeft w:val="0"/>
      <w:marRight w:val="0"/>
      <w:marTop w:val="0"/>
      <w:marBottom w:val="0"/>
      <w:divBdr>
        <w:top w:val="none" w:sz="0" w:space="0" w:color="auto"/>
        <w:left w:val="none" w:sz="0" w:space="0" w:color="auto"/>
        <w:bottom w:val="none" w:sz="0" w:space="0" w:color="auto"/>
        <w:right w:val="none" w:sz="0" w:space="0" w:color="auto"/>
      </w:divBdr>
    </w:div>
    <w:div w:id="1131288496">
      <w:bodyDiv w:val="1"/>
      <w:marLeft w:val="0"/>
      <w:marRight w:val="0"/>
      <w:marTop w:val="0"/>
      <w:marBottom w:val="0"/>
      <w:divBdr>
        <w:top w:val="none" w:sz="0" w:space="0" w:color="auto"/>
        <w:left w:val="none" w:sz="0" w:space="0" w:color="auto"/>
        <w:bottom w:val="none" w:sz="0" w:space="0" w:color="auto"/>
        <w:right w:val="none" w:sz="0" w:space="0" w:color="auto"/>
      </w:divBdr>
    </w:div>
    <w:div w:id="1216622994">
      <w:bodyDiv w:val="1"/>
      <w:marLeft w:val="0"/>
      <w:marRight w:val="0"/>
      <w:marTop w:val="0"/>
      <w:marBottom w:val="0"/>
      <w:divBdr>
        <w:top w:val="none" w:sz="0" w:space="0" w:color="auto"/>
        <w:left w:val="none" w:sz="0" w:space="0" w:color="auto"/>
        <w:bottom w:val="none" w:sz="0" w:space="0" w:color="auto"/>
        <w:right w:val="none" w:sz="0" w:space="0" w:color="auto"/>
      </w:divBdr>
    </w:div>
    <w:div w:id="1228803273">
      <w:bodyDiv w:val="1"/>
      <w:marLeft w:val="0"/>
      <w:marRight w:val="0"/>
      <w:marTop w:val="0"/>
      <w:marBottom w:val="0"/>
      <w:divBdr>
        <w:top w:val="none" w:sz="0" w:space="0" w:color="auto"/>
        <w:left w:val="none" w:sz="0" w:space="0" w:color="auto"/>
        <w:bottom w:val="none" w:sz="0" w:space="0" w:color="auto"/>
        <w:right w:val="none" w:sz="0" w:space="0" w:color="auto"/>
      </w:divBdr>
    </w:div>
    <w:div w:id="1249265688">
      <w:bodyDiv w:val="1"/>
      <w:marLeft w:val="0"/>
      <w:marRight w:val="0"/>
      <w:marTop w:val="0"/>
      <w:marBottom w:val="0"/>
      <w:divBdr>
        <w:top w:val="none" w:sz="0" w:space="0" w:color="auto"/>
        <w:left w:val="none" w:sz="0" w:space="0" w:color="auto"/>
        <w:bottom w:val="none" w:sz="0" w:space="0" w:color="auto"/>
        <w:right w:val="none" w:sz="0" w:space="0" w:color="auto"/>
      </w:divBdr>
    </w:div>
    <w:div w:id="1252543980">
      <w:bodyDiv w:val="1"/>
      <w:marLeft w:val="0"/>
      <w:marRight w:val="0"/>
      <w:marTop w:val="0"/>
      <w:marBottom w:val="0"/>
      <w:divBdr>
        <w:top w:val="none" w:sz="0" w:space="0" w:color="auto"/>
        <w:left w:val="none" w:sz="0" w:space="0" w:color="auto"/>
        <w:bottom w:val="none" w:sz="0" w:space="0" w:color="auto"/>
        <w:right w:val="none" w:sz="0" w:space="0" w:color="auto"/>
      </w:divBdr>
    </w:div>
    <w:div w:id="1292201186">
      <w:bodyDiv w:val="1"/>
      <w:marLeft w:val="0"/>
      <w:marRight w:val="0"/>
      <w:marTop w:val="0"/>
      <w:marBottom w:val="0"/>
      <w:divBdr>
        <w:top w:val="none" w:sz="0" w:space="0" w:color="auto"/>
        <w:left w:val="none" w:sz="0" w:space="0" w:color="auto"/>
        <w:bottom w:val="none" w:sz="0" w:space="0" w:color="auto"/>
        <w:right w:val="none" w:sz="0" w:space="0" w:color="auto"/>
      </w:divBdr>
    </w:div>
    <w:div w:id="1316103323">
      <w:bodyDiv w:val="1"/>
      <w:marLeft w:val="0"/>
      <w:marRight w:val="0"/>
      <w:marTop w:val="0"/>
      <w:marBottom w:val="0"/>
      <w:divBdr>
        <w:top w:val="none" w:sz="0" w:space="0" w:color="auto"/>
        <w:left w:val="none" w:sz="0" w:space="0" w:color="auto"/>
        <w:bottom w:val="none" w:sz="0" w:space="0" w:color="auto"/>
        <w:right w:val="none" w:sz="0" w:space="0" w:color="auto"/>
      </w:divBdr>
    </w:div>
    <w:div w:id="1389373861">
      <w:bodyDiv w:val="1"/>
      <w:marLeft w:val="0"/>
      <w:marRight w:val="0"/>
      <w:marTop w:val="0"/>
      <w:marBottom w:val="0"/>
      <w:divBdr>
        <w:top w:val="none" w:sz="0" w:space="0" w:color="auto"/>
        <w:left w:val="none" w:sz="0" w:space="0" w:color="auto"/>
        <w:bottom w:val="none" w:sz="0" w:space="0" w:color="auto"/>
        <w:right w:val="none" w:sz="0" w:space="0" w:color="auto"/>
      </w:divBdr>
    </w:div>
    <w:div w:id="1414551358">
      <w:bodyDiv w:val="1"/>
      <w:marLeft w:val="0"/>
      <w:marRight w:val="0"/>
      <w:marTop w:val="0"/>
      <w:marBottom w:val="0"/>
      <w:divBdr>
        <w:top w:val="none" w:sz="0" w:space="0" w:color="auto"/>
        <w:left w:val="none" w:sz="0" w:space="0" w:color="auto"/>
        <w:bottom w:val="none" w:sz="0" w:space="0" w:color="auto"/>
        <w:right w:val="none" w:sz="0" w:space="0" w:color="auto"/>
      </w:divBdr>
    </w:div>
    <w:div w:id="1430467448">
      <w:bodyDiv w:val="1"/>
      <w:marLeft w:val="0"/>
      <w:marRight w:val="0"/>
      <w:marTop w:val="0"/>
      <w:marBottom w:val="0"/>
      <w:divBdr>
        <w:top w:val="none" w:sz="0" w:space="0" w:color="auto"/>
        <w:left w:val="none" w:sz="0" w:space="0" w:color="auto"/>
        <w:bottom w:val="none" w:sz="0" w:space="0" w:color="auto"/>
        <w:right w:val="none" w:sz="0" w:space="0" w:color="auto"/>
      </w:divBdr>
    </w:div>
    <w:div w:id="1503470744">
      <w:bodyDiv w:val="1"/>
      <w:marLeft w:val="0"/>
      <w:marRight w:val="0"/>
      <w:marTop w:val="0"/>
      <w:marBottom w:val="0"/>
      <w:divBdr>
        <w:top w:val="none" w:sz="0" w:space="0" w:color="auto"/>
        <w:left w:val="none" w:sz="0" w:space="0" w:color="auto"/>
        <w:bottom w:val="none" w:sz="0" w:space="0" w:color="auto"/>
        <w:right w:val="none" w:sz="0" w:space="0" w:color="auto"/>
      </w:divBdr>
    </w:div>
    <w:div w:id="1556895582">
      <w:bodyDiv w:val="1"/>
      <w:marLeft w:val="0"/>
      <w:marRight w:val="0"/>
      <w:marTop w:val="0"/>
      <w:marBottom w:val="0"/>
      <w:divBdr>
        <w:top w:val="none" w:sz="0" w:space="0" w:color="auto"/>
        <w:left w:val="none" w:sz="0" w:space="0" w:color="auto"/>
        <w:bottom w:val="none" w:sz="0" w:space="0" w:color="auto"/>
        <w:right w:val="none" w:sz="0" w:space="0" w:color="auto"/>
      </w:divBdr>
    </w:div>
    <w:div w:id="1562247636">
      <w:bodyDiv w:val="1"/>
      <w:marLeft w:val="0"/>
      <w:marRight w:val="0"/>
      <w:marTop w:val="0"/>
      <w:marBottom w:val="0"/>
      <w:divBdr>
        <w:top w:val="none" w:sz="0" w:space="0" w:color="auto"/>
        <w:left w:val="none" w:sz="0" w:space="0" w:color="auto"/>
        <w:bottom w:val="none" w:sz="0" w:space="0" w:color="auto"/>
        <w:right w:val="none" w:sz="0" w:space="0" w:color="auto"/>
      </w:divBdr>
    </w:div>
    <w:div w:id="1681808957">
      <w:bodyDiv w:val="1"/>
      <w:marLeft w:val="0"/>
      <w:marRight w:val="0"/>
      <w:marTop w:val="0"/>
      <w:marBottom w:val="0"/>
      <w:divBdr>
        <w:top w:val="none" w:sz="0" w:space="0" w:color="auto"/>
        <w:left w:val="none" w:sz="0" w:space="0" w:color="auto"/>
        <w:bottom w:val="none" w:sz="0" w:space="0" w:color="auto"/>
        <w:right w:val="none" w:sz="0" w:space="0" w:color="auto"/>
      </w:divBdr>
    </w:div>
    <w:div w:id="1698578156">
      <w:bodyDiv w:val="1"/>
      <w:marLeft w:val="0"/>
      <w:marRight w:val="0"/>
      <w:marTop w:val="0"/>
      <w:marBottom w:val="0"/>
      <w:divBdr>
        <w:top w:val="none" w:sz="0" w:space="0" w:color="auto"/>
        <w:left w:val="none" w:sz="0" w:space="0" w:color="auto"/>
        <w:bottom w:val="none" w:sz="0" w:space="0" w:color="auto"/>
        <w:right w:val="none" w:sz="0" w:space="0" w:color="auto"/>
      </w:divBdr>
    </w:div>
    <w:div w:id="1851219288">
      <w:bodyDiv w:val="1"/>
      <w:marLeft w:val="0"/>
      <w:marRight w:val="0"/>
      <w:marTop w:val="0"/>
      <w:marBottom w:val="0"/>
      <w:divBdr>
        <w:top w:val="none" w:sz="0" w:space="0" w:color="auto"/>
        <w:left w:val="none" w:sz="0" w:space="0" w:color="auto"/>
        <w:bottom w:val="none" w:sz="0" w:space="0" w:color="auto"/>
        <w:right w:val="none" w:sz="0" w:space="0" w:color="auto"/>
      </w:divBdr>
    </w:div>
    <w:div w:id="1853564359">
      <w:bodyDiv w:val="1"/>
      <w:marLeft w:val="0"/>
      <w:marRight w:val="0"/>
      <w:marTop w:val="0"/>
      <w:marBottom w:val="0"/>
      <w:divBdr>
        <w:top w:val="none" w:sz="0" w:space="0" w:color="auto"/>
        <w:left w:val="none" w:sz="0" w:space="0" w:color="auto"/>
        <w:bottom w:val="none" w:sz="0" w:space="0" w:color="auto"/>
        <w:right w:val="none" w:sz="0" w:space="0" w:color="auto"/>
      </w:divBdr>
    </w:div>
    <w:div w:id="1857964245">
      <w:bodyDiv w:val="1"/>
      <w:marLeft w:val="0"/>
      <w:marRight w:val="0"/>
      <w:marTop w:val="0"/>
      <w:marBottom w:val="0"/>
      <w:divBdr>
        <w:top w:val="none" w:sz="0" w:space="0" w:color="auto"/>
        <w:left w:val="none" w:sz="0" w:space="0" w:color="auto"/>
        <w:bottom w:val="none" w:sz="0" w:space="0" w:color="auto"/>
        <w:right w:val="none" w:sz="0" w:space="0" w:color="auto"/>
      </w:divBdr>
    </w:div>
    <w:div w:id="1946574416">
      <w:bodyDiv w:val="1"/>
      <w:marLeft w:val="0"/>
      <w:marRight w:val="0"/>
      <w:marTop w:val="0"/>
      <w:marBottom w:val="0"/>
      <w:divBdr>
        <w:top w:val="none" w:sz="0" w:space="0" w:color="auto"/>
        <w:left w:val="none" w:sz="0" w:space="0" w:color="auto"/>
        <w:bottom w:val="none" w:sz="0" w:space="0" w:color="auto"/>
        <w:right w:val="none" w:sz="0" w:space="0" w:color="auto"/>
      </w:divBdr>
    </w:div>
    <w:div w:id="2044744286">
      <w:bodyDiv w:val="1"/>
      <w:marLeft w:val="0"/>
      <w:marRight w:val="0"/>
      <w:marTop w:val="0"/>
      <w:marBottom w:val="0"/>
      <w:divBdr>
        <w:top w:val="none" w:sz="0" w:space="0" w:color="auto"/>
        <w:left w:val="none" w:sz="0" w:space="0" w:color="auto"/>
        <w:bottom w:val="none" w:sz="0" w:space="0" w:color="auto"/>
        <w:right w:val="none" w:sz="0" w:space="0" w:color="auto"/>
      </w:divBdr>
    </w:div>
    <w:div w:id="2047755262">
      <w:bodyDiv w:val="1"/>
      <w:marLeft w:val="0"/>
      <w:marRight w:val="0"/>
      <w:marTop w:val="0"/>
      <w:marBottom w:val="0"/>
      <w:divBdr>
        <w:top w:val="none" w:sz="0" w:space="0" w:color="auto"/>
        <w:left w:val="none" w:sz="0" w:space="0" w:color="auto"/>
        <w:bottom w:val="none" w:sz="0" w:space="0" w:color="auto"/>
        <w:right w:val="none" w:sz="0" w:space="0" w:color="auto"/>
      </w:divBdr>
    </w:div>
    <w:div w:id="2094424862">
      <w:bodyDiv w:val="1"/>
      <w:marLeft w:val="0"/>
      <w:marRight w:val="0"/>
      <w:marTop w:val="0"/>
      <w:marBottom w:val="0"/>
      <w:divBdr>
        <w:top w:val="none" w:sz="0" w:space="0" w:color="auto"/>
        <w:left w:val="none" w:sz="0" w:space="0" w:color="auto"/>
        <w:bottom w:val="none" w:sz="0" w:space="0" w:color="auto"/>
        <w:right w:val="none" w:sz="0" w:space="0" w:color="auto"/>
      </w:divBdr>
    </w:div>
    <w:div w:id="2101676981">
      <w:bodyDiv w:val="1"/>
      <w:marLeft w:val="0"/>
      <w:marRight w:val="0"/>
      <w:marTop w:val="0"/>
      <w:marBottom w:val="0"/>
      <w:divBdr>
        <w:top w:val="none" w:sz="0" w:space="0" w:color="auto"/>
        <w:left w:val="none" w:sz="0" w:space="0" w:color="auto"/>
        <w:bottom w:val="none" w:sz="0" w:space="0" w:color="auto"/>
        <w:right w:val="none" w:sz="0" w:space="0" w:color="auto"/>
      </w:divBdr>
    </w:div>
    <w:div w:id="2102289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6.xml"/><Relationship Id="rId10" Type="http://schemas.openxmlformats.org/officeDocument/2006/relationships/header" Target="header1.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footer" Target="footer5.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health/sites/health/files/programme/docs/wp2015_en.pdf" TargetMode="External"/><Relationship Id="rId2" Type="http://schemas.openxmlformats.org/officeDocument/2006/relationships/hyperlink" Target="https://eur-lex.europa.eu/legal-content/BG/TXT/PDF/?uri=CELEX:32014D0927&amp;qid=1541080605220&amp;from=EN" TargetMode="External"/><Relationship Id="rId1" Type="http://schemas.openxmlformats.org/officeDocument/2006/relationships/hyperlink" Target="https://ec.europa.eu/health/sites/health/files/programme/docs/wp2015_amendment_en.pdf" TargetMode="External"/><Relationship Id="rId4" Type="http://schemas.openxmlformats.org/officeDocument/2006/relationships/hyperlink" Target="https://ec.europa.eu/health/sites/health/files/programmes/docs/wp2015_en.pdf" TargetMode="External"/></Relationships>
</file>

<file path=word/_rels/header5.xml.rels><?xml version="1.0" encoding="UTF-8" standalone="yes"?>
<Relationships xmlns="http://schemas.openxmlformats.org/package/2006/relationships"><Relationship Id="rId2" Type="http://schemas.openxmlformats.org/officeDocument/2006/relationships/package" Target="embeddings/Microsoft_Word_Document1.docx"/><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4063FA-5BEC-4A2E-A79E-8E92B7FC4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2926</Words>
  <Characters>16976</Characters>
  <Application>Microsoft Office Word</Application>
  <DocSecurity>0</DocSecurity>
  <Lines>361</Lines>
  <Paragraphs>149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WES PDFC Administrator</cp:lastModifiedBy>
  <cp:revision>17</cp:revision>
  <cp:lastPrinted>2018-09-18T12:21:00Z</cp:lastPrinted>
  <dcterms:created xsi:type="dcterms:W3CDTF">2018-11-16T15:05:00Z</dcterms:created>
  <dcterms:modified xsi:type="dcterms:W3CDTF">2018-12-12T09:39:00Z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Level of sensitivity">
    <vt:lpwstr>Standard treatment</vt:lpwstr>
  </property>
  <property fmtid="{D5CDD505-2E9C-101B-9397-08002B2CF9AE}" pid="6" name="Last edited using">
    <vt:lpwstr>LW 6.0.1, Build 20180503</vt:lpwstr>
  </property>
  <property fmtid="{D5CDD505-2E9C-101B-9397-08002B2CF9AE}" pid="7" name="Created using">
    <vt:lpwstr>LW 6.0.1, Build 20180503</vt:lpwstr>
  </property>
</Properties>
</file>