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3DBEE2F8-80C1-4A14-AE9C-CDE730CCE3BD" style="width:450.15pt;height:320.5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rPr>
          <w:noProof/>
          <w:sz w:val="28"/>
          <w:szCs w:val="28"/>
        </w:rPr>
      </w:pPr>
      <w:bookmarkStart w:id="1" w:name="_Toc472077562"/>
      <w:bookmarkStart w:id="2" w:name="_Toc520120175"/>
      <w:bookmarkStart w:id="3" w:name="_Toc529459475"/>
      <w:bookmarkStart w:id="4" w:name="_GoBack"/>
      <w:bookmarkEnd w:id="4"/>
      <w:r>
        <w:rPr>
          <w:noProof/>
          <w:sz w:val="28"/>
        </w:rPr>
        <w:lastRenderedPageBreak/>
        <w:t>INTRODUCTION</w:t>
      </w:r>
      <w:bookmarkEnd w:id="1"/>
      <w:bookmarkEnd w:id="2"/>
      <w:bookmarkEnd w:id="3"/>
    </w:p>
    <w:p>
      <w:pPr>
        <w:rPr>
          <w:noProof/>
        </w:rPr>
      </w:pPr>
    </w:p>
    <w:p>
      <w:pPr>
        <w:spacing w:line="360" w:lineRule="auto"/>
        <w:jc w:val="both"/>
        <w:rPr>
          <w:rFonts w:cs="Times New Roman"/>
          <w:noProof/>
        </w:rPr>
      </w:pPr>
      <w:r>
        <w:rPr>
          <w:noProof/>
        </w:rPr>
        <w:t>Le présent rapport dresse le tableau des progrès réalisés dans la mise en œuvre du programme de travail annuel 2015 (ci-après le «PTA 2015») au titre du troisième programme dans le domaine de la santé pour la période 2014-2020 établi par le règlement (UE) nº 282/2014 du Parlement européen et du Conseil du 11 mars 2014</w:t>
      </w:r>
      <w:r>
        <w:rPr>
          <w:rStyle w:val="FootnoteReference"/>
          <w:noProof/>
        </w:rPr>
        <w:footnoteReference w:id="2"/>
      </w:r>
      <w:r>
        <w:rPr>
          <w:noProof/>
        </w:rPr>
        <w:t>.</w:t>
      </w:r>
    </w:p>
    <w:p>
      <w:pPr>
        <w:spacing w:line="360" w:lineRule="auto"/>
        <w:jc w:val="both"/>
        <w:rPr>
          <w:noProof/>
        </w:rPr>
      </w:pPr>
      <w:r>
        <w:rPr>
          <w:noProof/>
        </w:rPr>
        <w:t>Conformément à l’article 13 du règlement, la Commission doit rendre compte au comité du programme de l’exécution de toutes les actions financées au titre du programme et informer le Parlement européen et le Conseil. Le présent rapport répond à cette dernière exigence. Il fournit des informations détaillées sur le budget 2015 et sur la manière dont il a été engagé. Il tient également compte de la modification du PTA 2015 visant à canaliser les fonds vers les États membres qui sont soumis à une pression migratoire particulière et qui ont besoin d’un soutien pour répondre aux problèmes de santé en découlant.</w:t>
      </w:r>
    </w:p>
    <w:p>
      <w:pPr>
        <w:spacing w:line="360" w:lineRule="auto"/>
        <w:jc w:val="both"/>
        <w:rPr>
          <w:noProof/>
        </w:rPr>
      </w:pPr>
      <w:r>
        <w:rPr>
          <w:noProof/>
        </w:rPr>
        <w:t>Le document de travail des services de la Commission accompagnant le présent rapport reprend plusieurs exemples des actions clés cofinancées au titre des deuxième</w:t>
      </w:r>
      <w:r>
        <w:rPr>
          <w:rStyle w:val="FootnoteReference"/>
          <w:noProof/>
        </w:rPr>
        <w:footnoteReference w:id="3"/>
      </w:r>
      <w:r>
        <w:rPr>
          <w:noProof/>
        </w:rPr>
        <w:t xml:space="preserve"> et troisième programmes Santé dont les résultats finaux ont été connus en 2015. Il fournit également des exemples d’actions financées en application du programme de travail de 2015 dans des domaines d’appui tels que l’évaluation et la diffusion des résultats. De même, il donne, sous forme de tableaux, un aperçu de l’ensemble des activités cofinancées et des contrats.</w:t>
      </w:r>
    </w:p>
    <w:p>
      <w:pPr>
        <w:spacing w:line="360" w:lineRule="auto"/>
        <w:jc w:val="both"/>
        <w:rPr>
          <w:noProof/>
        </w:rPr>
      </w:pPr>
      <w:r>
        <w:rPr>
          <w:noProof/>
        </w:rPr>
        <w:t>Le PTA 2015 était axé sur l’innovation dans les domaines de la santé et des soins de santé, dont deux volets d’action liés (technologies de la santé et santé des migrants) sont mis en avant dans le présent rapport. Afin de tenir compte de l’afflux important de migrants ayant manifestement besoin d’une protection internationale et de la nécessité de fournir un soutien financier aux organisations en mesure d’aider les États membres à faire face à cette situation d’urgence, la Commission a décidé de modifier le PTA 2015</w:t>
      </w:r>
      <w:r>
        <w:rPr>
          <w:rStyle w:val="FootnoteReference"/>
          <w:noProof/>
        </w:rPr>
        <w:footnoteReference w:id="4"/>
      </w:r>
      <w:r>
        <w:rPr>
          <w:noProof/>
        </w:rPr>
        <w:t>.</w:t>
      </w:r>
    </w:p>
    <w:p>
      <w:pPr>
        <w:spacing w:line="360" w:lineRule="auto"/>
        <w:jc w:val="both"/>
        <w:rPr>
          <w:rFonts w:eastAsia="Times New Roman" w:cs="Times New Roman"/>
          <w:noProof/>
        </w:rPr>
      </w:pPr>
      <w:r>
        <w:rPr>
          <w:noProof/>
        </w:rPr>
        <w:t xml:space="preserve">La Commission veille à ce que la mise en œuvre du troisième programme Santé soit suivie de près et à ce que les résultats obtenus soient diffusés plus largement. Elle s’efforce également d’encourager tous les États membres et les autres pays participant au programme à suivre le mouvement et continue à rechercher des synergies avec d’autres programmes de financement de l’UE. </w:t>
      </w:r>
      <w:r>
        <w:rPr>
          <w:noProof/>
        </w:rPr>
        <w:br w:type="page"/>
      </w:r>
    </w:p>
    <w:bookmarkStart w:id="5" w:name="_Toc472077563" w:displacedByCustomXml="next"/>
    <w:sdt>
      <w:sdtPr>
        <w:rPr>
          <w:rFonts w:eastAsiaTheme="minorHAnsi" w:cstheme="minorBidi"/>
          <w:b w:val="0"/>
          <w:noProof/>
          <w:sz w:val="22"/>
          <w:szCs w:val="22"/>
        </w:rPr>
        <w:id w:val="4676546"/>
        <w:docPartObj>
          <w:docPartGallery w:val="Table of Contents"/>
          <w:docPartUnique/>
        </w:docPartObj>
      </w:sdtPr>
      <w:sdtContent>
        <w:p>
          <w:pPr>
            <w:pStyle w:val="TOCHeading"/>
            <w:rPr>
              <w:noProof/>
            </w:rPr>
          </w:pPr>
          <w:r>
            <w:rPr>
              <w:noProof/>
            </w:rPr>
            <w:t>TABLE DES MATIÈRES</w:t>
          </w:r>
        </w:p>
        <w:p>
          <w:pPr>
            <w:pStyle w:val="TOC1"/>
            <w:rPr>
              <w:rFonts w:asciiTheme="minorHAnsi" w:eastAsiaTheme="minorEastAsia" w:hAnsiTheme="minorHAnsi" w:cstheme="minorBidi"/>
              <w:sz w:val="22"/>
              <w:szCs w:val="22"/>
              <w:lang w:val="en-GB" w:eastAsia="en-GB" w:bidi="ar-SA"/>
            </w:rPr>
          </w:pPr>
          <w:r>
            <w:rPr>
              <w:sz w:val="22"/>
              <w:szCs w:val="22"/>
            </w:rPr>
            <w:fldChar w:fldCharType="begin"/>
          </w:r>
          <w:r>
            <w:rPr>
              <w:sz w:val="22"/>
              <w:szCs w:val="22"/>
            </w:rPr>
            <w:instrText xml:space="preserve"> TOC \o "1-3" \h \z \u </w:instrText>
          </w:r>
          <w:r>
            <w:rPr>
              <w:sz w:val="22"/>
              <w:szCs w:val="22"/>
            </w:rPr>
            <w:fldChar w:fldCharType="separate"/>
          </w:r>
          <w:hyperlink w:anchor="_Toc529459475" w:history="1">
            <w:r>
              <w:rPr>
                <w:rStyle w:val="Hyperlink"/>
              </w:rPr>
              <w:t>INTRODUCTION</w:t>
            </w:r>
            <w:r>
              <w:rPr>
                <w:webHidden/>
              </w:rPr>
              <w:tab/>
            </w:r>
            <w:r>
              <w:rPr>
                <w:webHidden/>
              </w:rPr>
              <w:fldChar w:fldCharType="begin"/>
            </w:r>
            <w:r>
              <w:rPr>
                <w:webHidden/>
              </w:rPr>
              <w:instrText xml:space="preserve"> PAGEREF _Toc529459475 \h </w:instrText>
            </w:r>
            <w:r>
              <w:rPr>
                <w:webHidden/>
              </w:rPr>
            </w:r>
            <w:r>
              <w:rPr>
                <w:webHidden/>
              </w:rPr>
              <w:fldChar w:fldCharType="separate"/>
            </w:r>
            <w:r>
              <w:rPr>
                <w:webHidden/>
              </w:rPr>
              <w:t>1</w:t>
            </w:r>
            <w:r>
              <w:rPr>
                <w:webHidden/>
              </w:rPr>
              <w:fldChar w:fldCharType="end"/>
            </w:r>
          </w:hyperlink>
        </w:p>
        <w:p>
          <w:pPr>
            <w:pStyle w:val="TOC1"/>
            <w:rPr>
              <w:rFonts w:asciiTheme="minorHAnsi" w:eastAsiaTheme="minorEastAsia" w:hAnsiTheme="minorHAnsi" w:cstheme="minorBidi"/>
              <w:sz w:val="22"/>
              <w:szCs w:val="22"/>
              <w:lang w:val="en-GB" w:eastAsia="en-GB" w:bidi="ar-SA"/>
            </w:rPr>
          </w:pPr>
          <w:hyperlink w:anchor="_Toc529459476" w:history="1">
            <w:r>
              <w:rPr>
                <w:rStyle w:val="Hyperlink"/>
              </w:rPr>
              <w:t>THÈMES ET ACTIONS POUR 2015</w:t>
            </w:r>
            <w:r>
              <w:rPr>
                <w:webHidden/>
              </w:rPr>
              <w:tab/>
            </w:r>
            <w:r>
              <w:rPr>
                <w:webHidden/>
              </w:rPr>
              <w:fldChar w:fldCharType="begin"/>
            </w:r>
            <w:r>
              <w:rPr>
                <w:webHidden/>
              </w:rPr>
              <w:instrText xml:space="preserve"> PAGEREF _Toc529459476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sz w:val="22"/>
              <w:szCs w:val="22"/>
              <w:lang w:val="en-GB" w:eastAsia="en-GB" w:bidi="ar-SA"/>
            </w:rPr>
          </w:pPr>
          <w:hyperlink w:anchor="_Toc529459477" w:history="1">
            <w:r>
              <w:rPr>
                <w:rStyle w:val="Hyperlink"/>
              </w:rPr>
              <w:t>EXÉCUTION BUDGÉTAIRE</w:t>
            </w:r>
            <w:r>
              <w:rPr>
                <w:webHidden/>
              </w:rPr>
              <w:tab/>
            </w:r>
            <w:r>
              <w:rPr>
                <w:webHidden/>
              </w:rPr>
              <w:fldChar w:fldCharType="begin"/>
            </w:r>
            <w:r>
              <w:rPr>
                <w:webHidden/>
              </w:rPr>
              <w:instrText xml:space="preserve"> PAGEREF _Toc529459477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29459478" w:history="1">
            <w:r>
              <w:rPr>
                <w:rStyle w:val="Hyperlink"/>
              </w:rPr>
              <w:t>1.</w:t>
            </w:r>
            <w:r>
              <w:rPr>
                <w:rFonts w:asciiTheme="minorHAnsi" w:eastAsiaTheme="minorEastAsia" w:hAnsiTheme="minorHAnsi" w:cstheme="minorBidi"/>
                <w:sz w:val="22"/>
                <w:szCs w:val="22"/>
                <w:lang w:val="en-GB" w:eastAsia="en-GB" w:bidi="ar-SA"/>
              </w:rPr>
              <w:tab/>
            </w:r>
            <w:r>
              <w:rPr>
                <w:rStyle w:val="Hyperlink"/>
              </w:rPr>
              <w:t>Budget</w:t>
            </w:r>
            <w:r>
              <w:rPr>
                <w:webHidden/>
              </w:rPr>
              <w:tab/>
            </w:r>
            <w:r>
              <w:rPr>
                <w:webHidden/>
              </w:rPr>
              <w:fldChar w:fldCharType="begin"/>
            </w:r>
            <w:r>
              <w:rPr>
                <w:webHidden/>
              </w:rPr>
              <w:instrText xml:space="preserve"> PAGEREF _Toc529459478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29459479" w:history="1">
            <w:r>
              <w:rPr>
                <w:rStyle w:val="Hyperlink"/>
              </w:rPr>
              <w:t>2.</w:t>
            </w:r>
            <w:r>
              <w:rPr>
                <w:rFonts w:asciiTheme="minorHAnsi" w:eastAsiaTheme="minorEastAsia" w:hAnsiTheme="minorHAnsi" w:cstheme="minorBidi"/>
                <w:sz w:val="22"/>
                <w:szCs w:val="22"/>
                <w:lang w:val="en-GB" w:eastAsia="en-GB" w:bidi="ar-SA"/>
              </w:rPr>
              <w:tab/>
            </w:r>
            <w:r>
              <w:rPr>
                <w:rStyle w:val="Hyperlink"/>
              </w:rPr>
              <w:t>Objectifs, priorités et mécanismes de financement en 2015</w:t>
            </w:r>
            <w:r>
              <w:rPr>
                <w:webHidden/>
              </w:rPr>
              <w:tab/>
            </w:r>
            <w:r>
              <w:rPr>
                <w:webHidden/>
              </w:rPr>
              <w:fldChar w:fldCharType="begin"/>
            </w:r>
            <w:r>
              <w:rPr>
                <w:webHidden/>
              </w:rPr>
              <w:instrText xml:space="preserve"> PAGEREF _Toc529459479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29459480" w:history="1">
            <w:r>
              <w:rPr>
                <w:rStyle w:val="Hyperlink"/>
              </w:rPr>
              <w:t>3.</w:t>
            </w:r>
            <w:r>
              <w:rPr>
                <w:rFonts w:asciiTheme="minorHAnsi" w:eastAsiaTheme="minorEastAsia" w:hAnsiTheme="minorHAnsi" w:cstheme="minorBidi"/>
                <w:sz w:val="22"/>
                <w:szCs w:val="22"/>
                <w:lang w:val="en-GB" w:eastAsia="en-GB" w:bidi="ar-SA"/>
              </w:rPr>
              <w:tab/>
            </w:r>
            <w:r>
              <w:rPr>
                <w:rStyle w:val="Hyperlink"/>
              </w:rPr>
              <w:t>Exécution du budget opérationnel par mécanisme de financement</w:t>
            </w:r>
            <w:r>
              <w:rPr>
                <w:webHidden/>
              </w:rPr>
              <w:tab/>
            </w:r>
            <w:r>
              <w:rPr>
                <w:webHidden/>
              </w:rPr>
              <w:fldChar w:fldCharType="begin"/>
            </w:r>
            <w:r>
              <w:rPr>
                <w:webHidden/>
              </w:rPr>
              <w:instrText xml:space="preserve"> PAGEREF _Toc529459480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szCs w:val="22"/>
              <w:lang w:val="en-GB" w:eastAsia="en-GB" w:bidi="ar-SA"/>
            </w:rPr>
          </w:pPr>
          <w:hyperlink w:anchor="_Toc529459481" w:history="1">
            <w:r>
              <w:rPr>
                <w:rStyle w:val="Hyperlink"/>
              </w:rPr>
              <w:t>4.</w:t>
            </w:r>
            <w:r>
              <w:rPr>
                <w:rFonts w:asciiTheme="minorHAnsi" w:eastAsiaTheme="minorEastAsia" w:hAnsiTheme="minorHAnsi" w:cstheme="minorBidi"/>
                <w:sz w:val="22"/>
                <w:szCs w:val="22"/>
                <w:lang w:val="en-GB" w:eastAsia="en-GB" w:bidi="ar-SA"/>
              </w:rPr>
              <w:tab/>
            </w:r>
            <w:r>
              <w:rPr>
                <w:rStyle w:val="Hyperlink"/>
              </w:rPr>
              <w:t>Bénéficiaires</w:t>
            </w:r>
            <w:r>
              <w:rPr>
                <w:webHidden/>
              </w:rPr>
              <w:tab/>
            </w:r>
            <w:r>
              <w:rPr>
                <w:webHidden/>
              </w:rPr>
              <w:fldChar w:fldCharType="begin"/>
            </w:r>
            <w:r>
              <w:rPr>
                <w:webHidden/>
              </w:rPr>
              <w:instrText xml:space="preserve"> PAGEREF _Toc529459481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sz w:val="22"/>
              <w:szCs w:val="22"/>
              <w:lang w:val="en-GB" w:eastAsia="en-GB" w:bidi="ar-SA"/>
            </w:rPr>
          </w:pPr>
          <w:hyperlink w:anchor="_Toc529459482" w:history="1">
            <w:r>
              <w:rPr>
                <w:rStyle w:val="Hyperlink"/>
              </w:rPr>
              <w:t>AUTRES ÉLÉMENTS À SOULIGNER</w:t>
            </w:r>
            <w:r>
              <w:rPr>
                <w:webHidden/>
              </w:rPr>
              <w:tab/>
            </w:r>
            <w:r>
              <w:rPr>
                <w:webHidden/>
              </w:rPr>
              <w:fldChar w:fldCharType="begin"/>
            </w:r>
            <w:r>
              <w:rPr>
                <w:webHidden/>
              </w:rPr>
              <w:instrText xml:space="preserve"> PAGEREF _Toc529459482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sz w:val="22"/>
              <w:szCs w:val="22"/>
            </w:rPr>
          </w:pPr>
          <w:r>
            <w:rPr>
              <w:sz w:val="22"/>
              <w:szCs w:val="22"/>
            </w:rPr>
            <w:fldChar w:fldCharType="end"/>
          </w:r>
        </w:p>
      </w:sdtContent>
    </w:sdt>
    <w:p>
      <w:pPr>
        <w:rPr>
          <w:rFonts w:eastAsia="Times New Roman" w:cs="Times New Roman"/>
          <w:b/>
          <w:bCs/>
          <w:smallCaps/>
          <w:noProof/>
          <w:sz w:val="32"/>
          <w:szCs w:val="24"/>
        </w:rPr>
      </w:pPr>
      <w:r>
        <w:rPr>
          <w:noProof/>
        </w:rPr>
        <w:br w:type="page"/>
      </w:r>
    </w:p>
    <w:p>
      <w:pPr>
        <w:pStyle w:val="Heading1"/>
        <w:rPr>
          <w:noProof/>
          <w:sz w:val="28"/>
        </w:rPr>
      </w:pPr>
      <w:bookmarkStart w:id="6" w:name="_Toc520120176"/>
      <w:bookmarkStart w:id="7" w:name="_Toc529459476"/>
      <w:r>
        <w:rPr>
          <w:noProof/>
          <w:sz w:val="28"/>
        </w:rPr>
        <w:t>THÈMES ET ACTIONS POUR 2015</w:t>
      </w:r>
      <w:bookmarkEnd w:id="6"/>
      <w:bookmarkEnd w:id="7"/>
      <w:r>
        <w:rPr>
          <w:noProof/>
          <w:sz w:val="28"/>
        </w:rPr>
        <w:t xml:space="preserve"> </w:t>
      </w:r>
    </w:p>
    <w:bookmarkEnd w:id="5"/>
    <w:p>
      <w:pPr>
        <w:autoSpaceDE w:val="0"/>
        <w:autoSpaceDN w:val="0"/>
        <w:adjustRightInd w:val="0"/>
        <w:spacing w:after="0" w:line="360" w:lineRule="auto"/>
        <w:jc w:val="both"/>
        <w:rPr>
          <w:rFonts w:cs="Times New Roman"/>
          <w:noProof/>
          <w:color w:val="000000"/>
        </w:rPr>
      </w:pPr>
    </w:p>
    <w:p>
      <w:pPr>
        <w:autoSpaceDE w:val="0"/>
        <w:autoSpaceDN w:val="0"/>
        <w:adjustRightInd w:val="0"/>
        <w:spacing w:after="0" w:line="360" w:lineRule="auto"/>
        <w:jc w:val="both"/>
        <w:rPr>
          <w:rFonts w:cs="Times New Roman"/>
          <w:noProof/>
          <w:color w:val="000000"/>
        </w:rPr>
      </w:pPr>
      <w:r>
        <w:rPr>
          <w:noProof/>
          <w:color w:val="000000"/>
        </w:rPr>
        <w:t>Le thème prioritaire du PTA 2015 dans le domaine de la santé était «</w:t>
      </w:r>
      <w:r>
        <w:rPr>
          <w:i/>
          <w:noProof/>
          <w:color w:val="000000"/>
        </w:rPr>
        <w:t>l’évaluation des technologies de la santé (ETS) et l’innovation</w:t>
      </w:r>
      <w:r>
        <w:rPr>
          <w:noProof/>
          <w:color w:val="000000"/>
        </w:rPr>
        <w:t>». Ce thème a été traité par des actions multiples financées par différents mécanismes de financement et signées durant le premier trimestre de 2016, pour une durée de trois ans généralement, ce qui signifie qu’elles se dérouleront jusqu’à la fin 2018, voire 2020 pour certaines. Ces actions sont les suivantes:</w:t>
      </w:r>
    </w:p>
    <w:p>
      <w:pPr>
        <w:pStyle w:val="ListParagraph"/>
        <w:numPr>
          <w:ilvl w:val="0"/>
          <w:numId w:val="38"/>
        </w:numPr>
        <w:autoSpaceDE w:val="0"/>
        <w:autoSpaceDN w:val="0"/>
        <w:adjustRightInd w:val="0"/>
        <w:spacing w:after="0" w:line="360" w:lineRule="auto"/>
        <w:jc w:val="both"/>
        <w:rPr>
          <w:rFonts w:ascii="Times New Roman" w:hAnsi="Times New Roman"/>
          <w:noProof/>
        </w:rPr>
      </w:pPr>
      <w:r>
        <w:rPr>
          <w:rFonts w:ascii="Times New Roman" w:hAnsi="Times New Roman"/>
          <w:noProof/>
          <w:color w:val="000000"/>
        </w:rPr>
        <w:t>la nouvelle action conjointe concernant l’ETS, qui représente la plus grande contribution apportée jusqu’ici par l’UE (11 999 798,74 EUR) à un aspect unique de la politique de santé au titre du troisième programme santé;</w:t>
      </w:r>
    </w:p>
    <w:p>
      <w:pPr>
        <w:pStyle w:val="ListParagraph"/>
        <w:numPr>
          <w:ilvl w:val="0"/>
          <w:numId w:val="38"/>
        </w:numPr>
        <w:autoSpaceDE w:val="0"/>
        <w:autoSpaceDN w:val="0"/>
        <w:adjustRightInd w:val="0"/>
        <w:spacing w:after="0" w:line="360" w:lineRule="auto"/>
        <w:jc w:val="both"/>
        <w:rPr>
          <w:rFonts w:ascii="Times New Roman" w:eastAsiaTheme="minorHAnsi" w:hAnsi="Times New Roman"/>
          <w:noProof/>
          <w:color w:val="000000"/>
        </w:rPr>
      </w:pPr>
      <w:r>
        <w:rPr>
          <w:rFonts w:ascii="Times New Roman" w:eastAsiaTheme="minorHAnsi" w:hAnsi="Times New Roman"/>
          <w:noProof/>
          <w:color w:val="000000"/>
        </w:rPr>
        <w:t>deux projets et une action conjointe dans le domaine des soins intégrés (contribution totale de l’UE: 6 837 798,31 EUR) et</w:t>
      </w:r>
    </w:p>
    <w:p>
      <w:pPr>
        <w:pStyle w:val="ListParagraph"/>
        <w:numPr>
          <w:ilvl w:val="0"/>
          <w:numId w:val="38"/>
        </w:numPr>
        <w:autoSpaceDE w:val="0"/>
        <w:autoSpaceDN w:val="0"/>
        <w:adjustRightInd w:val="0"/>
        <w:spacing w:before="100" w:beforeAutospacing="1" w:after="100" w:afterAutospacing="1" w:line="360" w:lineRule="auto"/>
        <w:jc w:val="both"/>
        <w:rPr>
          <w:rFonts w:ascii="Times New Roman" w:eastAsiaTheme="minorHAnsi" w:hAnsi="Times New Roman"/>
          <w:noProof/>
          <w:color w:val="000000"/>
        </w:rPr>
      </w:pPr>
      <w:r>
        <w:rPr>
          <w:rFonts w:ascii="Times New Roman" w:eastAsiaTheme="minorHAnsi" w:hAnsi="Times New Roman"/>
          <w:noProof/>
          <w:color w:val="000000"/>
        </w:rPr>
        <w:t>les travaux préparatoires à la mise en place des réseaux européens de référence (381 372,23 EUR).</w:t>
      </w:r>
    </w:p>
    <w:p>
      <w:pPr>
        <w:pStyle w:val="NormalWeb"/>
        <w:shd w:val="clear" w:color="auto" w:fill="FFFFFF"/>
        <w:spacing w:after="0" w:line="360" w:lineRule="auto"/>
        <w:jc w:val="both"/>
        <w:rPr>
          <w:rFonts w:eastAsiaTheme="minorHAnsi"/>
          <w:noProof/>
          <w:color w:val="000000"/>
          <w:sz w:val="22"/>
          <w:szCs w:val="22"/>
        </w:rPr>
      </w:pPr>
      <w:r>
        <w:rPr>
          <w:rFonts w:eastAsiaTheme="minorHAnsi"/>
          <w:noProof/>
          <w:color w:val="000000"/>
          <w:sz w:val="22"/>
        </w:rPr>
        <w:t>Information de base: la nouvelle action conjointe concernant l’ETS est la composante scientifique et technique de la coopération de l’UE dans ce domaine. Elle a été lancée en juin 2016 et se poursuivra jusqu’en 2020. Elle associe des organisations désignées par les gouvernements (des pays de l’UE, des pays candidats à l’adhésion à l’Union européenne, des pays de l’EEE et des pays de l’AELE), ainsi qu’un grand nombre d’agences régionales et d’organisations à but non lucratif compétentes qui produisent des ETS en Europe ou y contribuent.</w:t>
      </w:r>
    </w:p>
    <w:p>
      <w:pPr>
        <w:pStyle w:val="NormalWeb"/>
        <w:shd w:val="clear" w:color="auto" w:fill="FFFFFF"/>
        <w:spacing w:after="0" w:line="360" w:lineRule="auto"/>
        <w:jc w:val="both"/>
        <w:rPr>
          <w:rFonts w:eastAsiaTheme="minorHAnsi"/>
          <w:noProof/>
          <w:color w:val="000000"/>
          <w:sz w:val="22"/>
          <w:szCs w:val="22"/>
        </w:rPr>
      </w:pPr>
    </w:p>
    <w:p>
      <w:pPr>
        <w:pStyle w:val="NormalWeb"/>
        <w:shd w:val="clear" w:color="auto" w:fill="FFFFFF"/>
        <w:spacing w:after="0" w:line="360" w:lineRule="auto"/>
        <w:jc w:val="both"/>
        <w:rPr>
          <w:rFonts w:eastAsiaTheme="minorHAnsi"/>
          <w:noProof/>
          <w:color w:val="000000"/>
          <w:sz w:val="22"/>
          <w:szCs w:val="22"/>
        </w:rPr>
      </w:pPr>
      <w:r>
        <w:rPr>
          <w:rFonts w:eastAsiaTheme="minorHAnsi"/>
          <w:noProof/>
          <w:color w:val="000000"/>
          <w:sz w:val="22"/>
        </w:rPr>
        <w:t>Objectif: l’objectif est de soutenir le niveau scientifique et technique volontaire entre les organismes compétents en matière d’ETS. Cette coopération devrait contribuer à l’élaboration d’un modèle permettant de poursuivre les travaux communs à l’expiration du financement offert par l’UE au titre du programme Santé.</w:t>
      </w:r>
    </w:p>
    <w:p>
      <w:pPr>
        <w:pStyle w:val="NormalWeb"/>
        <w:shd w:val="clear" w:color="auto" w:fill="FFFFFF"/>
        <w:spacing w:after="0" w:line="360" w:lineRule="auto"/>
        <w:jc w:val="both"/>
        <w:rPr>
          <w:rFonts w:eastAsiaTheme="minorHAnsi"/>
          <w:noProof/>
          <w:color w:val="000000"/>
          <w:sz w:val="22"/>
          <w:szCs w:val="22"/>
        </w:rPr>
      </w:pPr>
    </w:p>
    <w:p>
      <w:pPr>
        <w:pStyle w:val="NormalWeb"/>
        <w:shd w:val="clear" w:color="auto" w:fill="FFFFFF"/>
        <w:spacing w:after="360" w:line="360" w:lineRule="auto"/>
        <w:jc w:val="both"/>
        <w:rPr>
          <w:noProof/>
          <w:color w:val="000000"/>
        </w:rPr>
      </w:pPr>
      <w:r>
        <w:rPr>
          <w:rFonts w:eastAsiaTheme="minorHAnsi"/>
          <w:noProof/>
          <w:color w:val="000000"/>
          <w:sz w:val="22"/>
        </w:rPr>
        <w:t>Moyens: l’accent est mis essentiellement sur la production conjointe d’évaluations des technologies de la santé et sur l’organisation des dialogues initiaux portant sur les résultats et la façon de les appliquer dans les environnements nationaux. Les entreprises à la recherche de conseils à un stade précoce apprécient fortement ces dialogues initiaux, et en particulier les consultations parallèles. En mai 2018, les partenaires de l’action conjointe avaient reçu 29 demandes de dialogue initial. L’ETS porte également sur d’autres aspects des technologies de la santé, par exemple leurs conséquences financières pour le patient et leur incidence sur l’organisation des systèmes de santé spécialisés dans la fourniture de soins et l’administration de traitements. Il s’agit donc d’un processus multidisciplinaire qui passe systématiquement en revue les aspects médicaux, économiques, organisationnels, sociaux et éthiques liés à l’utilisation d’une technologie de la santé.</w:t>
      </w:r>
    </w:p>
    <w:p>
      <w:pPr>
        <w:spacing w:after="120" w:line="360" w:lineRule="auto"/>
        <w:jc w:val="both"/>
        <w:rPr>
          <w:rFonts w:cs="Times New Roman"/>
          <w:noProof/>
          <w:color w:val="000000"/>
        </w:rPr>
      </w:pPr>
      <w:r>
        <w:rPr>
          <w:noProof/>
          <w:color w:val="000000"/>
        </w:rPr>
        <w:t>Information de base: en ce qui concerne les soins intégrés, un projet cofinancé réunit des régions, des industries et des universités européennes innovantes dans le domaine des soins de santé dans un partenariat qui a le potentiel de transformer les services de fourniture de «traitements et soins». Le projet comprend à la fois une phase pilote et une pratique de soins de routine fournis à plus grande échelle. Il regroupe treize partenaires représentant six pays de l’UE (Allemagne, Danemark, Espagne, Grèce, Pays-Bas et Royaume-Uni).</w:t>
      </w:r>
    </w:p>
    <w:p>
      <w:pPr>
        <w:spacing w:line="360" w:lineRule="auto"/>
        <w:jc w:val="both"/>
        <w:rPr>
          <w:rFonts w:cs="Times New Roman"/>
          <w:noProof/>
          <w:color w:val="000000" w:themeColor="text1"/>
        </w:rPr>
      </w:pPr>
      <w:r>
        <w:rPr>
          <w:noProof/>
          <w:color w:val="000000" w:themeColor="text1"/>
        </w:rPr>
        <w:t>Objectif: l’objectif global est de recenser, de transférer et de renforcer les activités de coordination des soins et les bonnes pratiques de télémédecine existantes et opérationnelles dans le but d’atteindre 75 000 bénéficiaires de soins ou patients répartis sur divers programmes et régions dans plusieurs pays européens. Le projet devrait offrir deux avantages majeurs:</w:t>
      </w:r>
    </w:p>
    <w:p>
      <w:pPr>
        <w:pStyle w:val="ListParagraph"/>
        <w:numPr>
          <w:ilvl w:val="0"/>
          <w:numId w:val="53"/>
        </w:numPr>
        <w:spacing w:line="360" w:lineRule="auto"/>
        <w:jc w:val="both"/>
        <w:rPr>
          <w:rFonts w:ascii="Times New Roman" w:eastAsiaTheme="minorHAnsi" w:hAnsi="Times New Roman"/>
          <w:noProof/>
          <w:color w:val="000000" w:themeColor="text1"/>
        </w:rPr>
      </w:pPr>
      <w:r>
        <w:rPr>
          <w:rFonts w:ascii="Times New Roman" w:eastAsiaTheme="minorHAnsi" w:hAnsi="Times New Roman"/>
          <w:noProof/>
          <w:color w:val="000000" w:themeColor="text1"/>
        </w:rPr>
        <w:t>une base solide pour un jumelage et un encadrement réussis facilitant l’apprentissage partagé;</w:t>
      </w:r>
    </w:p>
    <w:p>
      <w:pPr>
        <w:pStyle w:val="ListParagraph"/>
        <w:numPr>
          <w:ilvl w:val="0"/>
          <w:numId w:val="53"/>
        </w:numPr>
        <w:spacing w:line="360" w:lineRule="auto"/>
        <w:jc w:val="both"/>
        <w:rPr>
          <w:rFonts w:ascii="Times New Roman" w:eastAsiaTheme="minorHAnsi" w:hAnsi="Times New Roman"/>
          <w:noProof/>
          <w:color w:val="000000" w:themeColor="text1"/>
        </w:rPr>
      </w:pPr>
      <w:r>
        <w:rPr>
          <w:rFonts w:ascii="Times New Roman" w:eastAsiaTheme="minorHAnsi" w:hAnsi="Times New Roman"/>
          <w:noProof/>
          <w:color w:val="000000" w:themeColor="text1"/>
        </w:rPr>
        <w:t>un soutien pratique à la diffusion à plus grande échelle des bonnes pratiques favorisant le vieillissement actif et en bonne santé et la participation des personnes âgées à la communauté. </w:t>
      </w:r>
    </w:p>
    <w:p>
      <w:pPr>
        <w:spacing w:line="360" w:lineRule="auto"/>
        <w:jc w:val="both"/>
        <w:rPr>
          <w:noProof/>
          <w:color w:val="000000" w:themeColor="text1"/>
        </w:rPr>
      </w:pPr>
      <w:r>
        <w:rPr>
          <w:noProof/>
          <w:color w:val="000000" w:themeColor="text1"/>
        </w:rPr>
        <w:t>En combinaison avec une action conjointe, ce projet devrait contribuer de manière significative à améliorer l’organisation et la mise en œuvre de concepts de soins intégrés dans l’UE.</w:t>
      </w:r>
    </w:p>
    <w:p>
      <w:pPr>
        <w:autoSpaceDE w:val="0"/>
        <w:autoSpaceDN w:val="0"/>
        <w:adjustRightInd w:val="0"/>
        <w:spacing w:before="100" w:beforeAutospacing="1" w:after="100" w:afterAutospacing="1" w:line="360" w:lineRule="auto"/>
        <w:jc w:val="both"/>
        <w:rPr>
          <w:rFonts w:cs="Times New Roman"/>
          <w:noProof/>
          <w:color w:val="000000"/>
        </w:rPr>
      </w:pPr>
      <w:r>
        <w:rPr>
          <w:noProof/>
        </w:rPr>
        <w:t>Les actions supplémentaires prises en réponse à la crise migratoire de l’été 2015 et par suite de la modification subséquente du PTA 2015 sont les suivantes:</w:t>
      </w:r>
    </w:p>
    <w:p>
      <w:pPr>
        <w:pStyle w:val="ListParagraph"/>
        <w:numPr>
          <w:ilvl w:val="0"/>
          <w:numId w:val="38"/>
        </w:numPr>
        <w:autoSpaceDE w:val="0"/>
        <w:autoSpaceDN w:val="0"/>
        <w:adjustRightInd w:val="0"/>
        <w:spacing w:before="100" w:beforeAutospacing="1" w:after="100" w:afterAutospacing="1" w:line="360" w:lineRule="auto"/>
        <w:jc w:val="both"/>
        <w:rPr>
          <w:rFonts w:ascii="Times New Roman" w:hAnsi="Times New Roman"/>
          <w:noProof/>
          <w:color w:val="000000"/>
        </w:rPr>
      </w:pPr>
      <w:r>
        <w:rPr>
          <w:rFonts w:ascii="Times New Roman" w:hAnsi="Times New Roman"/>
          <w:noProof/>
          <w:color w:val="000000"/>
        </w:rPr>
        <w:t>quatre projets axés sur la santé des migrants et des réfugiés (6 239 154 EUR);</w:t>
      </w:r>
    </w:p>
    <w:p>
      <w:pPr>
        <w:pStyle w:val="ListParagraph"/>
        <w:numPr>
          <w:ilvl w:val="0"/>
          <w:numId w:val="38"/>
        </w:numPr>
        <w:autoSpaceDE w:val="0"/>
        <w:autoSpaceDN w:val="0"/>
        <w:adjustRightInd w:val="0"/>
        <w:spacing w:before="100" w:beforeAutospacing="1" w:after="100" w:afterAutospacing="1" w:line="360" w:lineRule="auto"/>
        <w:jc w:val="both"/>
        <w:rPr>
          <w:rFonts w:ascii="Times New Roman" w:hAnsi="Times New Roman"/>
          <w:noProof/>
          <w:color w:val="000000"/>
        </w:rPr>
      </w:pPr>
      <w:r>
        <w:rPr>
          <w:rFonts w:ascii="Times New Roman" w:hAnsi="Times New Roman"/>
          <w:noProof/>
          <w:color w:val="000000"/>
        </w:rPr>
        <w:t>une subvention directe à l’Organisation internationale pour les migrations (OIM) (1 000 000 EUR).</w:t>
      </w:r>
    </w:p>
    <w:p>
      <w:pPr>
        <w:autoSpaceDE w:val="0"/>
        <w:autoSpaceDN w:val="0"/>
        <w:adjustRightInd w:val="0"/>
        <w:spacing w:before="100" w:beforeAutospacing="1" w:after="100" w:afterAutospacing="1" w:line="360" w:lineRule="auto"/>
        <w:jc w:val="both"/>
        <w:rPr>
          <w:rFonts w:cs="Times New Roman"/>
          <w:noProof/>
          <w:color w:val="000000"/>
        </w:rPr>
      </w:pPr>
      <w:r>
        <w:rPr>
          <w:noProof/>
        </w:rPr>
        <w:t>Ces actions visaient à «</w:t>
      </w:r>
      <w:r>
        <w:rPr>
          <w:i/>
          <w:noProof/>
        </w:rPr>
        <w:t>soutenir les États membres soumis à une pression migratoire particulière dans leur réponse aux défis liés à la santé, en vue de fournir un soutien concret aux organisations actives sur le terrain et d’aider les États membres les plus touchés à faire face aux conséquences de cette pression migratoire sur la santé publique</w:t>
      </w:r>
      <w:r>
        <w:rPr>
          <w:noProof/>
        </w:rPr>
        <w:t>»</w:t>
      </w:r>
      <w:r>
        <w:rPr>
          <w:rStyle w:val="FootnoteReference"/>
          <w:noProof/>
          <w:color w:val="000000"/>
        </w:rPr>
        <w:footnoteReference w:id="5"/>
      </w:r>
      <w:r>
        <w:rPr>
          <w:noProof/>
        </w:rPr>
        <w:t>.</w:t>
      </w:r>
    </w:p>
    <w:p>
      <w:pPr>
        <w:spacing w:line="360" w:lineRule="auto"/>
        <w:jc w:val="both"/>
        <w:rPr>
          <w:rFonts w:eastAsia="Calibri" w:cs="Times New Roman"/>
          <w:noProof/>
        </w:rPr>
      </w:pPr>
      <w:r>
        <w:rPr>
          <w:noProof/>
          <w:color w:val="000000"/>
        </w:rPr>
        <w:t xml:space="preserve">Information de base: </w:t>
      </w:r>
      <w:r>
        <w:rPr>
          <w:noProof/>
        </w:rPr>
        <w:t xml:space="preserve"> un projet, dirigé par l’école andalouse de santé publique, a réuni des partenaires de sept pays (Belgique, Danemark, Espagne, Italie, Pays-Bas, Pologne et Slovaquie).</w:t>
      </w:r>
    </w:p>
    <w:p>
      <w:pPr>
        <w:spacing w:line="360" w:lineRule="auto"/>
        <w:jc w:val="both"/>
        <w:rPr>
          <w:rFonts w:eastAsia="Calibri" w:cs="Times New Roman"/>
          <w:noProof/>
        </w:rPr>
      </w:pPr>
      <w:r>
        <w:rPr>
          <w:noProof/>
        </w:rPr>
        <w:t>Objectif: aider les États membres à mettre en place ou à renforcer un mécanisme de coordination du secteur de la santé pour qu’ils adoptent une réponse nationale et transnationale cohérente et consolidée aux problèmes de santé des migrants entrants (réfugiés, demandeurs d’asile et autres populations migrantes), tout en prévenant et en traitant les éventuelles maladies transmissibles et les menaces transfrontières pour la santé.</w:t>
      </w:r>
      <w:r>
        <w:rPr>
          <w:noProof/>
          <w:sz w:val="23"/>
        </w:rPr>
        <w:t xml:space="preserve"> Cet objectif a été atteint grâce à une évaluation du mécanisme de coordination en place et à une amélioration de la coordination et des capacités et compétences des professionnels de la santé. </w:t>
      </w:r>
    </w:p>
    <w:p>
      <w:pPr>
        <w:spacing w:line="360" w:lineRule="auto"/>
        <w:jc w:val="both"/>
        <w:rPr>
          <w:rFonts w:eastAsia="Calibri" w:cs="Times New Roman"/>
          <w:bCs/>
          <w:noProof/>
        </w:rPr>
      </w:pPr>
      <w:r>
        <w:rPr>
          <w:noProof/>
        </w:rPr>
        <w:t>Information de base: un autre projet a regroupé huit partenaires œuvrant au soutien des autorités sanitaires de onze États membres.</w:t>
      </w:r>
    </w:p>
    <w:p>
      <w:pPr>
        <w:spacing w:line="360" w:lineRule="auto"/>
        <w:jc w:val="both"/>
        <w:rPr>
          <w:rFonts w:eastAsia="Calibri" w:cs="Times New Roman"/>
          <w:noProof/>
        </w:rPr>
      </w:pPr>
      <w:r>
        <w:rPr>
          <w:noProof/>
        </w:rPr>
        <w:t xml:space="preserve">Objectif: le projet s’est concentré sur l’examen de la santé des migrants entrants à l’aide d’un instrument commun permettant aux États membres de détecter et d’évaluer les menaces potentielles, de distribuer des aides à la promotion de la santé et de sensibiliser les intéressés. </w:t>
      </w:r>
    </w:p>
    <w:p>
      <w:pPr>
        <w:autoSpaceDE w:val="0"/>
        <w:autoSpaceDN w:val="0"/>
        <w:adjustRightInd w:val="0"/>
        <w:spacing w:before="100" w:beforeAutospacing="1" w:after="100" w:afterAutospacing="1" w:line="360" w:lineRule="auto"/>
        <w:jc w:val="both"/>
        <w:rPr>
          <w:noProof/>
          <w:color w:val="000000"/>
        </w:rPr>
      </w:pPr>
      <w:r>
        <w:rPr>
          <w:noProof/>
          <w:color w:val="000000"/>
        </w:rPr>
        <w:t>Le détail de toutes les actions financées au titre du PTA 2015 est présenté dans le document de travail des services de la Commission accompagnant le présent rapport.</w:t>
      </w:r>
    </w:p>
    <w:p>
      <w:pPr>
        <w:pStyle w:val="Heading1"/>
        <w:rPr>
          <w:noProof/>
          <w:sz w:val="28"/>
          <w:szCs w:val="28"/>
        </w:rPr>
      </w:pPr>
      <w:bookmarkStart w:id="8" w:name="_Toc518922810"/>
      <w:bookmarkStart w:id="9" w:name="_Toc518984355"/>
      <w:bookmarkStart w:id="10" w:name="_DV_M234"/>
      <w:bookmarkStart w:id="11" w:name="_DV_M235"/>
      <w:bookmarkStart w:id="12" w:name="_DV_M236"/>
      <w:bookmarkStart w:id="13" w:name="_DV_M237"/>
      <w:bookmarkStart w:id="14" w:name="_DV_M238"/>
      <w:bookmarkStart w:id="15" w:name="_DV_M240"/>
      <w:bookmarkStart w:id="16" w:name="_Toc472077567"/>
      <w:bookmarkStart w:id="17" w:name="_Toc520120177"/>
      <w:bookmarkStart w:id="18" w:name="_Toc529459477"/>
      <w:bookmarkEnd w:id="8"/>
      <w:bookmarkEnd w:id="9"/>
      <w:bookmarkEnd w:id="10"/>
      <w:bookmarkEnd w:id="11"/>
      <w:bookmarkEnd w:id="12"/>
      <w:bookmarkEnd w:id="13"/>
      <w:bookmarkEnd w:id="14"/>
      <w:bookmarkEnd w:id="15"/>
      <w:r>
        <w:rPr>
          <w:noProof/>
          <w:sz w:val="28"/>
        </w:rPr>
        <w:t>EXÉCUTION BUDGÉTAIRE</w:t>
      </w:r>
      <w:bookmarkEnd w:id="16"/>
      <w:bookmarkEnd w:id="17"/>
      <w:bookmarkEnd w:id="18"/>
    </w:p>
    <w:p>
      <w:pPr>
        <w:jc w:val="both"/>
        <w:rPr>
          <w:noProof/>
        </w:rPr>
      </w:pPr>
    </w:p>
    <w:p>
      <w:pPr>
        <w:pStyle w:val="ManualHeading2"/>
        <w:rPr>
          <w:noProof/>
        </w:rPr>
      </w:pPr>
      <w:bookmarkStart w:id="19" w:name="_Toc388355509"/>
      <w:bookmarkStart w:id="20" w:name="_Toc390420263"/>
      <w:bookmarkStart w:id="21" w:name="_Toc404756129"/>
      <w:bookmarkStart w:id="22" w:name="_Toc472077568"/>
      <w:bookmarkStart w:id="23" w:name="_Toc520120178"/>
      <w:bookmarkStart w:id="24" w:name="_Toc529459478"/>
      <w:r>
        <w:t>1.</w:t>
      </w:r>
      <w:r>
        <w:tab/>
      </w:r>
      <w:r>
        <w:rPr>
          <w:noProof/>
        </w:rPr>
        <w:t>Budget</w:t>
      </w:r>
      <w:bookmarkEnd w:id="19"/>
      <w:bookmarkEnd w:id="20"/>
      <w:bookmarkEnd w:id="21"/>
      <w:bookmarkEnd w:id="22"/>
      <w:bookmarkEnd w:id="23"/>
      <w:bookmarkEnd w:id="24"/>
    </w:p>
    <w:p>
      <w:pPr>
        <w:spacing w:line="360" w:lineRule="auto"/>
        <w:jc w:val="both"/>
        <w:rPr>
          <w:rFonts w:cs="Times New Roman"/>
          <w:noProof/>
        </w:rPr>
      </w:pPr>
      <w:r>
        <w:rPr>
          <w:noProof/>
        </w:rPr>
        <w:t>Le budget total du troisième programme Santé 2014-2020 s’élève à 449,4 millions d’EUR. Ce budget comprend une enveloppe de 30 millions d’EUR destinée au fonctionnement de l’Agence exécutive pour les consommateurs, la santé, l’agriculture et l’alimentation (Chafea), qui a été mandatée par la Commission pour gérer le programme Santé 2014-2020. Depuis 2005</w:t>
      </w:r>
      <w:r>
        <w:rPr>
          <w:rStyle w:val="FootnoteReference"/>
          <w:noProof/>
        </w:rPr>
        <w:footnoteReference w:id="6"/>
      </w:r>
      <w:r>
        <w:rPr>
          <w:noProof/>
        </w:rPr>
        <w:t>, la Chafea fournit à la Commission une assistance technique, scientifique et administrative dans l’exécution du programme d’action dans le domaine de la santé. Elle organise les appels à propositions annuels, coordonne l’évaluation des soumissions, négocie, signe et gère les conventions de subvention y afférentes et diffuse les résultats des actions. Elle est également chargée de nombreuses procédures de marché.</w:t>
      </w:r>
    </w:p>
    <w:p>
      <w:pPr>
        <w:spacing w:line="360" w:lineRule="auto"/>
        <w:jc w:val="both"/>
        <w:rPr>
          <w:rFonts w:cs="Times New Roman"/>
          <w:noProof/>
        </w:rPr>
      </w:pPr>
      <w:r>
        <w:rPr>
          <w:noProof/>
        </w:rPr>
        <w:t>Le budget adopté dans le plan de travail du PTA 2015</w:t>
      </w:r>
      <w:r>
        <w:rPr>
          <w:rStyle w:val="FootnoteReference"/>
          <w:noProof/>
        </w:rPr>
        <w:footnoteReference w:id="7"/>
      </w:r>
      <w:r>
        <w:rPr>
          <w:noProof/>
        </w:rPr>
        <w:t xml:space="preserve"> s’élevait à 59 750 000,00 EUR et était ventilé comme suit:</w:t>
      </w:r>
    </w:p>
    <w:p>
      <w:pPr>
        <w:pStyle w:val="ListParagraph"/>
        <w:numPr>
          <w:ilvl w:val="0"/>
          <w:numId w:val="27"/>
        </w:numPr>
        <w:spacing w:line="360" w:lineRule="auto"/>
        <w:ind w:left="714" w:hanging="357"/>
        <w:contextualSpacing w:val="0"/>
        <w:jc w:val="both"/>
        <w:rPr>
          <w:rFonts w:ascii="Times New Roman" w:hAnsi="Times New Roman"/>
          <w:noProof/>
        </w:rPr>
      </w:pPr>
      <w:r>
        <w:rPr>
          <w:rFonts w:ascii="Times New Roman" w:hAnsi="Times New Roman"/>
          <w:noProof/>
        </w:rPr>
        <w:t>dépenses opérationnelles: 54 041 000 EUR, correspondant à la ligne budgétaire 17 03 01 du troisième programme d’action de l’UE dans le domaine de la santé (2014-2020) («</w:t>
      </w:r>
      <w:r>
        <w:rPr>
          <w:rFonts w:ascii="Times New Roman" w:hAnsi="Times New Roman"/>
          <w:i/>
          <w:noProof/>
        </w:rPr>
        <w:t>Encourager l’innovation dans le domaine de la santé, améliorer la viabilité des systèmes de santé et protéger les citoyens de l’Union de menaces transfrontières graves sur la santé</w:t>
      </w:r>
      <w:r>
        <w:rPr>
          <w:rFonts w:ascii="Times New Roman" w:hAnsi="Times New Roman"/>
          <w:noProof/>
        </w:rPr>
        <w:t>»</w:t>
      </w:r>
      <w:r>
        <w:rPr>
          <w:rFonts w:ascii="AdvTTd832f767" w:hAnsi="AdvTTd832f767"/>
          <w:noProof/>
          <w:color w:val="231F20"/>
        </w:rPr>
        <w:t>);</w:t>
      </w:r>
    </w:p>
    <w:p>
      <w:pPr>
        <w:pStyle w:val="ListParagraph"/>
        <w:numPr>
          <w:ilvl w:val="0"/>
          <w:numId w:val="27"/>
        </w:numPr>
        <w:autoSpaceDE w:val="0"/>
        <w:autoSpaceDN w:val="0"/>
        <w:adjustRightInd w:val="0"/>
        <w:spacing w:line="360" w:lineRule="auto"/>
        <w:ind w:left="714" w:hanging="357"/>
        <w:contextualSpacing w:val="0"/>
        <w:jc w:val="both"/>
        <w:rPr>
          <w:rFonts w:ascii="Times New Roman" w:hAnsi="Times New Roman"/>
          <w:noProof/>
        </w:rPr>
      </w:pPr>
      <w:r>
        <w:rPr>
          <w:rFonts w:ascii="Times New Roman" w:hAnsi="Times New Roman"/>
          <w:noProof/>
        </w:rPr>
        <w:t>dépenses administratives: 1 500 000 EUR, correspondant aux dépenses d’appui au titre de la ligne budgétaire 17 01 04 02 pour le troisième programme d’action de l’UE dans le domaine de la santé (2014-2020).</w:t>
      </w:r>
    </w:p>
    <w:p>
      <w:pPr>
        <w:jc w:val="both"/>
        <w:rPr>
          <w:noProof/>
        </w:rPr>
      </w:pPr>
      <w:r>
        <w:rPr>
          <w:noProof/>
        </w:rPr>
        <w:t>Le budget opérationnel total s’élevait à 55 629 805 EUR, et le budget administratif total à 1 551 822,66 EUR, en ce compris les financements par les pays de l’AELE/EEE et les recouvrements d’exercices précédents.</w:t>
      </w:r>
    </w:p>
    <w:p>
      <w:pPr>
        <w:pStyle w:val="CommentText"/>
        <w:spacing w:line="360" w:lineRule="auto"/>
        <w:jc w:val="both"/>
        <w:rPr>
          <w:noProof/>
          <w:sz w:val="22"/>
          <w:szCs w:val="22"/>
        </w:rPr>
      </w:pPr>
      <w:r>
        <w:rPr>
          <w:noProof/>
          <w:sz w:val="22"/>
        </w:rPr>
        <w:t>En 2015, le budget opérationnel était exécuté à hauteur de 54 778 018,75 EUR, répartis comme suit: 47 967 105,24 EUR par la Chafea et 6 810 913,51 EUR par la direction générale de la santé et de la sécurité alimentaire (DG SANTE) de la Commission européenne couvrant les achats, les subventions directes et d’autres mesures.</w:t>
      </w:r>
    </w:p>
    <w:p>
      <w:pPr>
        <w:spacing w:line="360" w:lineRule="auto"/>
        <w:jc w:val="both"/>
        <w:rPr>
          <w:rFonts w:cs="Times New Roman"/>
          <w:noProof/>
        </w:rPr>
      </w:pPr>
      <w:r>
        <w:rPr>
          <w:noProof/>
        </w:rPr>
        <w:br w:type="column"/>
      </w:r>
    </w:p>
    <w:p>
      <w:pPr>
        <w:pStyle w:val="ManualHeading2"/>
        <w:rPr>
          <w:noProof/>
        </w:rPr>
      </w:pPr>
      <w:bookmarkStart w:id="25" w:name="_Toc388355510"/>
      <w:bookmarkStart w:id="26" w:name="_Toc390420264"/>
      <w:bookmarkStart w:id="27" w:name="_Toc404756130"/>
      <w:bookmarkStart w:id="28" w:name="_Toc472077569"/>
      <w:bookmarkStart w:id="29" w:name="_Toc520120179"/>
      <w:bookmarkStart w:id="30" w:name="_Toc529459479"/>
      <w:r>
        <w:t>2.</w:t>
      </w:r>
      <w:r>
        <w:tab/>
      </w:r>
      <w:r>
        <w:rPr>
          <w:noProof/>
        </w:rPr>
        <w:t>Objectifs, priorités et mécanismes de financement</w:t>
      </w:r>
      <w:bookmarkEnd w:id="25"/>
      <w:bookmarkEnd w:id="26"/>
      <w:bookmarkEnd w:id="27"/>
      <w:bookmarkEnd w:id="28"/>
      <w:r>
        <w:rPr>
          <w:noProof/>
        </w:rPr>
        <w:t xml:space="preserve"> en 2015</w:t>
      </w:r>
      <w:bookmarkEnd w:id="29"/>
      <w:bookmarkEnd w:id="30"/>
    </w:p>
    <w:p>
      <w:pPr>
        <w:spacing w:before="100" w:beforeAutospacing="1" w:after="100" w:afterAutospacing="1" w:line="360" w:lineRule="auto"/>
        <w:jc w:val="both"/>
        <w:rPr>
          <w:rFonts w:eastAsia="Times New Roman" w:cs="Times New Roman"/>
          <w:noProof/>
        </w:rPr>
      </w:pPr>
      <w:r>
        <w:rPr>
          <w:noProof/>
        </w:rPr>
        <w:t>En 2015, le budget opérationnel total a été réparti comme suit entre les quatre objectifs spécifiques du programme.</w:t>
      </w:r>
    </w:p>
    <w:p>
      <w:pPr>
        <w:numPr>
          <w:ilvl w:val="0"/>
          <w:numId w:val="25"/>
        </w:numPr>
        <w:spacing w:before="100" w:beforeAutospacing="1" w:after="100" w:afterAutospacing="1" w:line="360" w:lineRule="auto"/>
        <w:jc w:val="both"/>
        <w:rPr>
          <w:rFonts w:eastAsia="Times New Roman" w:cs="Times New Roman"/>
          <w:b/>
          <w:i/>
          <w:noProof/>
        </w:rPr>
      </w:pPr>
      <w:r>
        <w:rPr>
          <w:b/>
          <w:noProof/>
        </w:rPr>
        <w:t>Promotion de la santé:</w:t>
      </w:r>
      <w:r>
        <w:rPr>
          <w:noProof/>
        </w:rPr>
        <w:t xml:space="preserve"> </w:t>
      </w:r>
      <w:r>
        <w:rPr>
          <w:b/>
          <w:i/>
          <w:noProof/>
        </w:rPr>
        <w:t>15 669 170,92 EUR (29 % du budget opérationnel en 2015)</w:t>
      </w:r>
      <w:r>
        <w:rPr>
          <w:noProof/>
        </w:rPr>
        <w:t xml:space="preserve"> au profit de la promotion de la santé, de la prévention des maladies et de la création de conditions favorables à des modes de vie sains, dans le respect du principe de l’intégration des questions de santé dans toutes les politiques.</w:t>
      </w:r>
    </w:p>
    <w:p>
      <w:pPr>
        <w:numPr>
          <w:ilvl w:val="0"/>
          <w:numId w:val="25"/>
        </w:numPr>
        <w:spacing w:before="100" w:beforeAutospacing="1" w:after="100" w:afterAutospacing="1" w:line="360" w:lineRule="auto"/>
        <w:jc w:val="both"/>
        <w:rPr>
          <w:rFonts w:eastAsia="Times New Roman" w:cs="Times New Roman"/>
          <w:b/>
          <w:i/>
          <w:noProof/>
        </w:rPr>
      </w:pPr>
      <w:r>
        <w:rPr>
          <w:b/>
          <w:noProof/>
        </w:rPr>
        <w:t>Menaces pour la santé:</w:t>
      </w:r>
      <w:r>
        <w:rPr>
          <w:noProof/>
        </w:rPr>
        <w:t xml:space="preserve"> </w:t>
      </w:r>
      <w:r>
        <w:rPr>
          <w:b/>
          <w:i/>
          <w:noProof/>
        </w:rPr>
        <w:t>5 016 028,59 EUR (9 % du budget opérationnel en 2015)</w:t>
      </w:r>
      <w:r>
        <w:rPr>
          <w:noProof/>
        </w:rPr>
        <w:t xml:space="preserve"> en faveur de la protection des citoyens européens face aux menaces transfrontières graves pour la santé.</w:t>
      </w:r>
    </w:p>
    <w:p>
      <w:pPr>
        <w:numPr>
          <w:ilvl w:val="0"/>
          <w:numId w:val="25"/>
        </w:numPr>
        <w:spacing w:before="100" w:beforeAutospacing="1" w:after="100" w:afterAutospacing="1" w:line="360" w:lineRule="auto"/>
        <w:jc w:val="both"/>
        <w:rPr>
          <w:rFonts w:eastAsia="Times New Roman" w:cs="Times New Roman"/>
          <w:b/>
          <w:i/>
          <w:noProof/>
        </w:rPr>
      </w:pPr>
      <w:r>
        <w:rPr>
          <w:b/>
          <w:noProof/>
        </w:rPr>
        <w:t>Systèmes de santé:</w:t>
      </w:r>
      <w:r>
        <w:rPr>
          <w:noProof/>
        </w:rPr>
        <w:t xml:space="preserve"> </w:t>
      </w:r>
      <w:r>
        <w:rPr>
          <w:b/>
          <w:i/>
          <w:noProof/>
        </w:rPr>
        <w:t>25 106 924,35 EUR (46 % du budget opérationnel en 2015)</w:t>
      </w:r>
      <w:r>
        <w:rPr>
          <w:noProof/>
        </w:rPr>
        <w:t xml:space="preserve"> au titre de la contribution à des systèmes de santé innovants, efficaces et durables.</w:t>
      </w:r>
    </w:p>
    <w:p>
      <w:pPr>
        <w:numPr>
          <w:ilvl w:val="0"/>
          <w:numId w:val="25"/>
        </w:numPr>
        <w:spacing w:before="100" w:beforeAutospacing="1" w:after="100" w:afterAutospacing="1" w:line="360" w:lineRule="auto"/>
        <w:jc w:val="both"/>
        <w:rPr>
          <w:rFonts w:eastAsia="Times New Roman" w:cs="Times New Roman"/>
          <w:b/>
          <w:i/>
          <w:noProof/>
        </w:rPr>
      </w:pPr>
      <w:r>
        <w:rPr>
          <w:b/>
          <w:noProof/>
        </w:rPr>
        <w:t>Soins de santé plus sûrs et de meilleure qualité:</w:t>
      </w:r>
      <w:r>
        <w:rPr>
          <w:noProof/>
        </w:rPr>
        <w:t xml:space="preserve"> </w:t>
      </w:r>
      <w:r>
        <w:rPr>
          <w:b/>
          <w:i/>
          <w:noProof/>
        </w:rPr>
        <w:t>6 127 923,17</w:t>
      </w:r>
      <w:r>
        <w:rPr>
          <w:noProof/>
        </w:rPr>
        <w:t xml:space="preserve"> </w:t>
      </w:r>
      <w:r>
        <w:rPr>
          <w:b/>
          <w:i/>
          <w:noProof/>
        </w:rPr>
        <w:t>EUR (11 % du budget opérationnel en 2015)</w:t>
      </w:r>
      <w:r>
        <w:rPr>
          <w:noProof/>
        </w:rPr>
        <w:t xml:space="preserve"> afin d’aider les citoyens de l’UE à accéder à des soins de santé plus sûrs et de meilleure qualité.</w:t>
      </w:r>
    </w:p>
    <w:p>
      <w:pPr>
        <w:spacing w:before="120" w:after="120" w:line="360" w:lineRule="auto"/>
        <w:jc w:val="both"/>
        <w:rPr>
          <w:noProof/>
        </w:rPr>
      </w:pPr>
      <w:r>
        <w:rPr>
          <w:noProof/>
        </w:rPr>
        <w:t>L’appel spécifique visant à «</w:t>
      </w:r>
      <w:r>
        <w:rPr>
          <w:i/>
          <w:noProof/>
        </w:rPr>
        <w:t>soutenir les États membres soumis à une pression migratoire particulière dans leur réponse aux défis liés à la santé</w:t>
      </w:r>
      <w:r>
        <w:rPr>
          <w:noProof/>
        </w:rPr>
        <w:t>» était une action horizontale liée aux objectifs 1 (promotion de la santé) et 2 (menaces pour la santé). Le montant correspondant de 7 234 199,58 EUR (13 % du budget opérationnel en 2015) a été réparti à parts égales entre l’objectif 1 et l’objectif 2 et a conduit aux calculs ci-dessus.</w:t>
      </w:r>
    </w:p>
    <w:p>
      <w:pPr>
        <w:spacing w:before="100" w:beforeAutospacing="1" w:after="100" w:afterAutospacing="1" w:line="360" w:lineRule="auto"/>
        <w:jc w:val="both"/>
        <w:rPr>
          <w:rFonts w:eastAsia="Times New Roman" w:cs="Times New Roman"/>
          <w:b/>
          <w:i/>
          <w:noProof/>
        </w:rPr>
      </w:pPr>
      <w:r>
        <w:rPr>
          <w:noProof/>
        </w:rPr>
        <w:t xml:space="preserve">En outre, les </w:t>
      </w:r>
      <w:r>
        <w:rPr>
          <w:b/>
          <w:noProof/>
        </w:rPr>
        <w:t>activités horizontales (TI, communication)</w:t>
      </w:r>
      <w:r>
        <w:rPr>
          <w:noProof/>
        </w:rPr>
        <w:t xml:space="preserve"> se sont élevées à un total de </w:t>
      </w:r>
      <w:r>
        <w:rPr>
          <w:b/>
          <w:i/>
          <w:noProof/>
        </w:rPr>
        <w:t>2 857 971,72 EUR (5 % du budget opérationnel en 2015).</w:t>
      </w:r>
    </w:p>
    <w:p>
      <w:pPr>
        <w:spacing w:before="100" w:beforeAutospacing="1" w:after="100" w:afterAutospacing="1" w:line="360" w:lineRule="auto"/>
        <w:rPr>
          <w:rFonts w:eastAsia="Times New Roman" w:cs="Times New Roman"/>
          <w:noProof/>
        </w:rPr>
      </w:pPr>
    </w:p>
    <w:p>
      <w:pPr>
        <w:keepNext/>
        <w:spacing w:before="120" w:after="120" w:line="360" w:lineRule="auto"/>
        <w:jc w:val="center"/>
        <w:rPr>
          <w:rFonts w:cs="Times New Roman"/>
          <w:b/>
          <w:noProof/>
        </w:rPr>
      </w:pPr>
      <w:r>
        <w:rPr>
          <w:b/>
          <w:noProof/>
        </w:rPr>
        <w:t>Graphique 1:  Budget opérationnel par objectif du troisième programme Santé en 2015</w:t>
      </w:r>
    </w:p>
    <w:p>
      <w:pPr>
        <w:keepNext/>
        <w:spacing w:before="120" w:after="120" w:line="360" w:lineRule="auto"/>
        <w:jc w:val="center"/>
        <w:rPr>
          <w:rFonts w:cs="Times New Roman"/>
          <w:b/>
          <w:noProof/>
        </w:rPr>
      </w:pPr>
      <w:r>
        <w:rPr>
          <w:noProof/>
          <w:lang w:val="en-GB" w:eastAsia="en-GB" w:bidi="ar-SA"/>
        </w:rPr>
        <w:drawing>
          <wp:inline distT="0" distB="0" distL="0" distR="0">
            <wp:extent cx="3959860" cy="23774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860" cy="2377440"/>
                    </a:xfrm>
                    <a:prstGeom prst="rect">
                      <a:avLst/>
                    </a:prstGeom>
                    <a:noFill/>
                    <a:ln>
                      <a:noFill/>
                    </a:ln>
                  </pic:spPr>
                </pic:pic>
              </a:graphicData>
            </a:graphic>
          </wp:inline>
        </w:drawing>
      </w:r>
    </w:p>
    <w:p>
      <w:pPr>
        <w:spacing w:before="100" w:beforeAutospacing="1" w:after="100" w:afterAutospacing="1" w:line="360" w:lineRule="auto"/>
        <w:rPr>
          <w:rFonts w:eastAsia="Times New Roman" w:cs="Times New Roman"/>
          <w:noProof/>
        </w:rPr>
      </w:pPr>
      <w:r>
        <w:rPr>
          <w:noProof/>
        </w:rPr>
        <w:t>Le graphique ci-dessous fournit des informations sur les crédits du programme Santé qui sont investis à titre de contribution de l’UE dans les différentes priorités thématiques de l’année 2015.</w:t>
      </w:r>
    </w:p>
    <w:p>
      <w:pPr>
        <w:keepNext/>
        <w:spacing w:before="120" w:after="120" w:line="360" w:lineRule="auto"/>
        <w:jc w:val="center"/>
        <w:rPr>
          <w:rFonts w:cs="Times New Roman"/>
          <w:b/>
          <w:noProof/>
        </w:rPr>
      </w:pPr>
      <w:r>
        <w:rPr>
          <w:b/>
          <w:noProof/>
        </w:rPr>
        <w:t>Graphique 2:  Budget opérationnel par priorité thématique en 2015</w:t>
      </w:r>
    </w:p>
    <w:p>
      <w:pPr>
        <w:spacing w:before="100" w:beforeAutospacing="1" w:after="100" w:afterAutospacing="1" w:line="360" w:lineRule="auto"/>
        <w:rPr>
          <w:rFonts w:eastAsia="Times New Roman" w:cs="Times New Roman"/>
          <w:noProof/>
        </w:rPr>
      </w:pPr>
      <w:r>
        <w:rPr>
          <w:noProof/>
          <w:lang w:val="en-GB" w:eastAsia="en-GB" w:bidi="ar-SA"/>
        </w:rPr>
        <w:drawing>
          <wp:inline distT="0" distB="0" distL="0" distR="0">
            <wp:extent cx="5760720" cy="3755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755558"/>
                    </a:xfrm>
                    <a:prstGeom prst="rect">
                      <a:avLst/>
                    </a:prstGeom>
                    <a:noFill/>
                    <a:ln>
                      <a:noFill/>
                    </a:ln>
                  </pic:spPr>
                </pic:pic>
              </a:graphicData>
            </a:graphic>
          </wp:inline>
        </w:drawing>
      </w:r>
    </w:p>
    <w:p>
      <w:pPr>
        <w:spacing w:line="360" w:lineRule="auto"/>
        <w:jc w:val="both"/>
        <w:rPr>
          <w:rFonts w:eastAsia="Times New Roman" w:cs="Times New Roman"/>
          <w:noProof/>
        </w:rPr>
      </w:pPr>
      <w:r>
        <w:rPr>
          <w:noProof/>
        </w:rPr>
        <w:t>Le programme est mis en œuvre au moyen d’un large éventail d’instruments de financement, à savoir:</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des actions cofinancées avec les autorités des États membres (actions conjointes),</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des subventions de projets,</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des subventions de fonctionnement visant à soutenir des organisations non gouvernementales,</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des conventions directes conclues avec des organisations internationales,</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la passation de marchés,</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d’autres actions telles que des comités scientifiques, des accords administratifs passés avec le Centre commun de recherche et des subventions pour l’organisation de conférences par les pays assurant la présidence du Conseil.</w:t>
      </w:r>
    </w:p>
    <w:p>
      <w:pPr>
        <w:spacing w:line="360" w:lineRule="auto"/>
        <w:jc w:val="both"/>
        <w:rPr>
          <w:rFonts w:cs="Times New Roman"/>
          <w:noProof/>
        </w:rPr>
      </w:pPr>
      <w:r>
        <w:rPr>
          <w:noProof/>
        </w:rPr>
        <w:t>Des procédures concurrentielles de sélection et d’attribution ont permis de sélectionner les initiatives à financer. Ces procédures concurrentielles n’ont toutefois pas été utilisées pour les actions conjointes, les conventions de subvention directe et les conférences organisées par les pays assurant la présidence du Conseil puisque, dans ces cas-là, elles ne sont pas autorisées par les règles spécifiques qui s’appliquent ou ne sont pas utilisées dans la pratique en raison, par exemple, d’une situation de monopole.</w:t>
      </w:r>
    </w:p>
    <w:p>
      <w:pPr>
        <w:spacing w:line="360" w:lineRule="auto"/>
        <w:jc w:val="both"/>
        <w:rPr>
          <w:rFonts w:cs="Times New Roman"/>
          <w:noProof/>
        </w:rPr>
      </w:pPr>
      <w:r>
        <w:rPr>
          <w:noProof/>
        </w:rPr>
        <w:t>Les crédits administratifs ont couvert des dépenses telles que des études, des réunions d’experts, les coûts liés à l’information et à la publication et l’assistance technique et administrative pour les systèmes informatiques.</w:t>
      </w:r>
    </w:p>
    <w:p>
      <w:pPr>
        <w:pStyle w:val="ManualHeading2"/>
        <w:rPr>
          <w:noProof/>
        </w:rPr>
      </w:pPr>
      <w:bookmarkStart w:id="31" w:name="_Toc388355511"/>
      <w:bookmarkStart w:id="32" w:name="_Toc390420265"/>
      <w:bookmarkStart w:id="33" w:name="_Toc404756131"/>
      <w:bookmarkStart w:id="34" w:name="_Toc472077570"/>
      <w:bookmarkStart w:id="35" w:name="_Toc520120180"/>
      <w:bookmarkStart w:id="36" w:name="_Toc529459480"/>
      <w:r>
        <w:t>3.</w:t>
      </w:r>
      <w:r>
        <w:tab/>
      </w:r>
      <w:r>
        <w:rPr>
          <w:noProof/>
        </w:rPr>
        <w:t>Exécution du budget opérationnel par mécanisme de financement</w:t>
      </w:r>
      <w:bookmarkEnd w:id="31"/>
      <w:bookmarkEnd w:id="32"/>
      <w:bookmarkEnd w:id="33"/>
      <w:bookmarkEnd w:id="34"/>
      <w:bookmarkEnd w:id="35"/>
      <w:bookmarkEnd w:id="36"/>
    </w:p>
    <w:tbl>
      <w:tblPr>
        <w:tblStyle w:val="TableGrid"/>
        <w:tblW w:w="9464" w:type="dxa"/>
        <w:tblLook w:val="0000" w:firstRow="0" w:lastRow="0" w:firstColumn="0" w:lastColumn="0" w:noHBand="0" w:noVBand="0"/>
      </w:tblPr>
      <w:tblGrid>
        <w:gridCol w:w="4361"/>
        <w:gridCol w:w="2551"/>
        <w:gridCol w:w="2552"/>
      </w:tblGrid>
      <w:tr>
        <w:trPr>
          <w:trHeight w:val="1020"/>
        </w:trPr>
        <w:tc>
          <w:tcPr>
            <w:tcW w:w="4361" w:type="dxa"/>
            <w:noWrap/>
          </w:tcPr>
          <w:p>
            <w:pPr>
              <w:spacing w:line="360" w:lineRule="auto"/>
              <w:jc w:val="both"/>
              <w:rPr>
                <w:b/>
                <w:noProof/>
                <w:sz w:val="22"/>
                <w:szCs w:val="22"/>
              </w:rPr>
            </w:pPr>
            <w:r>
              <w:rPr>
                <w:b/>
                <w:noProof/>
                <w:sz w:val="22"/>
              </w:rPr>
              <w:t>Type de mécanisme de financement</w:t>
            </w:r>
          </w:p>
        </w:tc>
        <w:tc>
          <w:tcPr>
            <w:tcW w:w="2551" w:type="dxa"/>
            <w:noWrap/>
          </w:tcPr>
          <w:p>
            <w:pPr>
              <w:spacing w:line="360" w:lineRule="auto"/>
              <w:jc w:val="both"/>
              <w:rPr>
                <w:b/>
                <w:noProof/>
                <w:sz w:val="22"/>
                <w:szCs w:val="22"/>
              </w:rPr>
            </w:pPr>
            <w:r>
              <w:rPr>
                <w:b/>
                <w:noProof/>
                <w:sz w:val="22"/>
              </w:rPr>
              <w:t>Exécution (</w:t>
            </w:r>
            <w:r>
              <w:rPr>
                <w:b/>
                <w:i/>
                <w:noProof/>
                <w:sz w:val="22"/>
              </w:rPr>
              <w:t>en EUR</w:t>
            </w:r>
            <w:r>
              <w:rPr>
                <w:b/>
                <w:noProof/>
                <w:sz w:val="22"/>
              </w:rPr>
              <w:t>)</w:t>
            </w:r>
            <w:r>
              <w:rPr>
                <w:b/>
                <w:noProof/>
                <w:sz w:val="22"/>
                <w:szCs w:val="22"/>
              </w:rPr>
              <w:br/>
            </w:r>
            <w:r>
              <w:rPr>
                <w:b/>
                <w:noProof/>
                <w:sz w:val="22"/>
              </w:rPr>
              <w:t>Engagements</w:t>
            </w:r>
          </w:p>
        </w:tc>
        <w:tc>
          <w:tcPr>
            <w:tcW w:w="2552" w:type="dxa"/>
            <w:noWrap/>
          </w:tcPr>
          <w:p>
            <w:pPr>
              <w:spacing w:line="360" w:lineRule="auto"/>
              <w:rPr>
                <w:b/>
                <w:noProof/>
                <w:sz w:val="22"/>
                <w:szCs w:val="22"/>
              </w:rPr>
            </w:pPr>
            <w:r>
              <w:rPr>
                <w:b/>
                <w:noProof/>
                <w:sz w:val="22"/>
              </w:rPr>
              <w:t>Part du mécanisme dans le budget total exécuté (engagements)</w:t>
            </w:r>
          </w:p>
        </w:tc>
      </w:tr>
      <w:tr>
        <w:trPr>
          <w:trHeight w:val="340"/>
        </w:trPr>
        <w:tc>
          <w:tcPr>
            <w:tcW w:w="4361" w:type="dxa"/>
            <w:noWrap/>
          </w:tcPr>
          <w:p>
            <w:pPr>
              <w:spacing w:line="360" w:lineRule="auto"/>
              <w:jc w:val="both"/>
              <w:rPr>
                <w:b/>
                <w:noProof/>
                <w:sz w:val="22"/>
                <w:szCs w:val="22"/>
              </w:rPr>
            </w:pPr>
            <w:r>
              <w:rPr>
                <w:b/>
                <w:noProof/>
                <w:sz w:val="22"/>
              </w:rPr>
              <w:t>Appels à propositions:</w:t>
            </w:r>
          </w:p>
        </w:tc>
        <w:tc>
          <w:tcPr>
            <w:tcW w:w="2551" w:type="dxa"/>
            <w:noWrap/>
          </w:tcPr>
          <w:p>
            <w:pPr>
              <w:spacing w:line="360" w:lineRule="auto"/>
              <w:jc w:val="right"/>
              <w:rPr>
                <w:b/>
                <w:noProof/>
                <w:sz w:val="22"/>
                <w:szCs w:val="22"/>
              </w:rPr>
            </w:pPr>
          </w:p>
        </w:tc>
        <w:tc>
          <w:tcPr>
            <w:tcW w:w="2552" w:type="dxa"/>
            <w:noWrap/>
          </w:tcPr>
          <w:p>
            <w:pPr>
              <w:tabs>
                <w:tab w:val="decimal" w:pos="792"/>
              </w:tabs>
              <w:spacing w:line="360" w:lineRule="auto"/>
              <w:jc w:val="right"/>
              <w:rPr>
                <w:b/>
                <w:noProof/>
                <w:sz w:val="22"/>
                <w:szCs w:val="22"/>
              </w:rPr>
            </w:pPr>
          </w:p>
        </w:tc>
      </w:tr>
      <w:tr>
        <w:trPr>
          <w:trHeight w:val="340"/>
        </w:trPr>
        <w:tc>
          <w:tcPr>
            <w:tcW w:w="4361" w:type="dxa"/>
            <w:noWrap/>
          </w:tcPr>
          <w:p>
            <w:pPr>
              <w:spacing w:line="360" w:lineRule="auto"/>
              <w:jc w:val="both"/>
              <w:rPr>
                <w:bCs/>
                <w:noProof/>
                <w:sz w:val="22"/>
                <w:szCs w:val="22"/>
              </w:rPr>
            </w:pPr>
            <w:r>
              <w:rPr>
                <w:noProof/>
                <w:sz w:val="22"/>
              </w:rPr>
              <w:t>Subventions de projets</w:t>
            </w:r>
          </w:p>
        </w:tc>
        <w:tc>
          <w:tcPr>
            <w:tcW w:w="2551" w:type="dxa"/>
            <w:noWrap/>
          </w:tcPr>
          <w:p>
            <w:pPr>
              <w:spacing w:line="360" w:lineRule="auto"/>
              <w:jc w:val="right"/>
              <w:rPr>
                <w:bCs/>
                <w:noProof/>
                <w:sz w:val="22"/>
                <w:szCs w:val="22"/>
              </w:rPr>
            </w:pPr>
            <w:r>
              <w:rPr>
                <w:noProof/>
                <w:sz w:val="22"/>
              </w:rPr>
              <w:t>14 944 000,04</w:t>
            </w:r>
          </w:p>
        </w:tc>
        <w:tc>
          <w:tcPr>
            <w:tcW w:w="2552" w:type="dxa"/>
            <w:noWrap/>
          </w:tcPr>
          <w:p>
            <w:pPr>
              <w:tabs>
                <w:tab w:val="decimal" w:pos="792"/>
              </w:tabs>
              <w:spacing w:line="360" w:lineRule="auto"/>
              <w:jc w:val="right"/>
              <w:rPr>
                <w:noProof/>
                <w:sz w:val="22"/>
                <w:szCs w:val="22"/>
              </w:rPr>
            </w:pPr>
            <w:r>
              <w:rPr>
                <w:noProof/>
                <w:sz w:val="22"/>
              </w:rPr>
              <w:t>27,3 %</w:t>
            </w:r>
          </w:p>
        </w:tc>
      </w:tr>
      <w:tr>
        <w:trPr>
          <w:trHeight w:val="340"/>
        </w:trPr>
        <w:tc>
          <w:tcPr>
            <w:tcW w:w="4361" w:type="dxa"/>
            <w:noWrap/>
          </w:tcPr>
          <w:p>
            <w:pPr>
              <w:spacing w:line="360" w:lineRule="auto"/>
              <w:jc w:val="both"/>
              <w:rPr>
                <w:bCs/>
                <w:noProof/>
                <w:sz w:val="22"/>
                <w:szCs w:val="22"/>
              </w:rPr>
            </w:pPr>
            <w:r>
              <w:rPr>
                <w:noProof/>
                <w:sz w:val="22"/>
              </w:rPr>
              <w:t>Subventions de fonctionnement</w:t>
            </w:r>
          </w:p>
        </w:tc>
        <w:tc>
          <w:tcPr>
            <w:tcW w:w="2551" w:type="dxa"/>
            <w:noWrap/>
          </w:tcPr>
          <w:p>
            <w:pPr>
              <w:spacing w:line="360" w:lineRule="auto"/>
              <w:jc w:val="right"/>
              <w:rPr>
                <w:bCs/>
                <w:noProof/>
                <w:sz w:val="22"/>
                <w:szCs w:val="22"/>
              </w:rPr>
            </w:pPr>
            <w:r>
              <w:rPr>
                <w:noProof/>
                <w:sz w:val="22"/>
              </w:rPr>
              <w:t>5 005 520,00</w:t>
            </w:r>
          </w:p>
        </w:tc>
        <w:tc>
          <w:tcPr>
            <w:tcW w:w="2552" w:type="dxa"/>
            <w:noWrap/>
          </w:tcPr>
          <w:p>
            <w:pPr>
              <w:tabs>
                <w:tab w:val="decimal" w:pos="792"/>
              </w:tabs>
              <w:spacing w:line="360" w:lineRule="auto"/>
              <w:jc w:val="right"/>
              <w:rPr>
                <w:noProof/>
                <w:sz w:val="22"/>
                <w:szCs w:val="22"/>
              </w:rPr>
            </w:pPr>
            <w:r>
              <w:rPr>
                <w:noProof/>
                <w:sz w:val="22"/>
              </w:rPr>
              <w:t>9,1 %</w:t>
            </w:r>
          </w:p>
        </w:tc>
      </w:tr>
      <w:tr>
        <w:trPr>
          <w:trHeight w:val="699"/>
        </w:trPr>
        <w:tc>
          <w:tcPr>
            <w:tcW w:w="4361" w:type="dxa"/>
            <w:noWrap/>
          </w:tcPr>
          <w:p>
            <w:pPr>
              <w:spacing w:line="360" w:lineRule="auto"/>
              <w:jc w:val="both"/>
              <w:rPr>
                <w:b/>
                <w:bCs/>
                <w:noProof/>
                <w:sz w:val="22"/>
                <w:szCs w:val="22"/>
              </w:rPr>
            </w:pPr>
            <w:r>
              <w:rPr>
                <w:b/>
                <w:noProof/>
                <w:sz w:val="22"/>
              </w:rPr>
              <w:t>Subventions en faveur d’actions conjointes</w:t>
            </w:r>
          </w:p>
        </w:tc>
        <w:tc>
          <w:tcPr>
            <w:tcW w:w="2551" w:type="dxa"/>
            <w:noWrap/>
          </w:tcPr>
          <w:p>
            <w:pPr>
              <w:spacing w:line="360" w:lineRule="auto"/>
              <w:jc w:val="right"/>
              <w:rPr>
                <w:b/>
                <w:bCs/>
                <w:noProof/>
                <w:sz w:val="22"/>
                <w:szCs w:val="22"/>
              </w:rPr>
            </w:pPr>
            <w:r>
              <w:rPr>
                <w:b/>
                <w:noProof/>
                <w:sz w:val="22"/>
              </w:rPr>
              <w:t>17 791 725,60</w:t>
            </w:r>
          </w:p>
        </w:tc>
        <w:tc>
          <w:tcPr>
            <w:tcW w:w="2552" w:type="dxa"/>
            <w:noWrap/>
          </w:tcPr>
          <w:p>
            <w:pPr>
              <w:tabs>
                <w:tab w:val="decimal" w:pos="792"/>
              </w:tabs>
              <w:spacing w:line="360" w:lineRule="auto"/>
              <w:jc w:val="right"/>
              <w:rPr>
                <w:b/>
                <w:noProof/>
                <w:sz w:val="22"/>
                <w:szCs w:val="22"/>
              </w:rPr>
            </w:pPr>
            <w:r>
              <w:rPr>
                <w:b/>
                <w:noProof/>
                <w:sz w:val="22"/>
              </w:rPr>
              <w:t>32,5 %</w:t>
            </w:r>
          </w:p>
        </w:tc>
      </w:tr>
      <w:tr>
        <w:trPr>
          <w:trHeight w:val="517"/>
        </w:trPr>
        <w:tc>
          <w:tcPr>
            <w:tcW w:w="4361" w:type="dxa"/>
            <w:noWrap/>
          </w:tcPr>
          <w:p>
            <w:pPr>
              <w:spacing w:line="360" w:lineRule="auto"/>
              <w:rPr>
                <w:b/>
                <w:bCs/>
                <w:noProof/>
                <w:sz w:val="22"/>
                <w:szCs w:val="22"/>
              </w:rPr>
            </w:pPr>
            <w:r>
              <w:rPr>
                <w:b/>
                <w:noProof/>
                <w:sz w:val="22"/>
              </w:rPr>
              <w:t xml:space="preserve">Subventions pour l’organisation de conférences aux États membres assurant la présidence de l’UE </w:t>
            </w:r>
          </w:p>
        </w:tc>
        <w:tc>
          <w:tcPr>
            <w:tcW w:w="2551" w:type="dxa"/>
            <w:noWrap/>
          </w:tcPr>
          <w:p>
            <w:pPr>
              <w:spacing w:line="360" w:lineRule="auto"/>
              <w:jc w:val="right"/>
              <w:rPr>
                <w:b/>
                <w:noProof/>
                <w:sz w:val="22"/>
                <w:szCs w:val="22"/>
              </w:rPr>
            </w:pPr>
            <w:r>
              <w:rPr>
                <w:b/>
                <w:noProof/>
                <w:sz w:val="22"/>
              </w:rPr>
              <w:t>120 434,90</w:t>
            </w:r>
          </w:p>
        </w:tc>
        <w:tc>
          <w:tcPr>
            <w:tcW w:w="2552" w:type="dxa"/>
            <w:noWrap/>
          </w:tcPr>
          <w:p>
            <w:pPr>
              <w:tabs>
                <w:tab w:val="decimal" w:pos="792"/>
              </w:tabs>
              <w:spacing w:line="360" w:lineRule="auto"/>
              <w:jc w:val="right"/>
              <w:rPr>
                <w:b/>
                <w:noProof/>
                <w:sz w:val="22"/>
                <w:szCs w:val="22"/>
              </w:rPr>
            </w:pPr>
            <w:r>
              <w:rPr>
                <w:b/>
                <w:noProof/>
                <w:sz w:val="22"/>
              </w:rPr>
              <w:t>0,2 %</w:t>
            </w:r>
          </w:p>
        </w:tc>
      </w:tr>
      <w:tr>
        <w:trPr>
          <w:trHeight w:val="340"/>
        </w:trPr>
        <w:tc>
          <w:tcPr>
            <w:tcW w:w="4361" w:type="dxa"/>
            <w:noWrap/>
          </w:tcPr>
          <w:p>
            <w:pPr>
              <w:spacing w:line="360" w:lineRule="auto"/>
              <w:jc w:val="both"/>
              <w:rPr>
                <w:b/>
                <w:bCs/>
                <w:noProof/>
                <w:sz w:val="22"/>
                <w:szCs w:val="22"/>
              </w:rPr>
            </w:pPr>
            <w:r>
              <w:rPr>
                <w:b/>
                <w:noProof/>
                <w:sz w:val="22"/>
              </w:rPr>
              <w:t>Conventions de subvention directe</w:t>
            </w:r>
          </w:p>
        </w:tc>
        <w:tc>
          <w:tcPr>
            <w:tcW w:w="2551" w:type="dxa"/>
            <w:noWrap/>
          </w:tcPr>
          <w:p>
            <w:pPr>
              <w:spacing w:line="360" w:lineRule="auto"/>
              <w:jc w:val="right"/>
              <w:rPr>
                <w:b/>
                <w:bCs/>
                <w:noProof/>
                <w:sz w:val="22"/>
                <w:szCs w:val="22"/>
              </w:rPr>
            </w:pPr>
          </w:p>
        </w:tc>
        <w:tc>
          <w:tcPr>
            <w:tcW w:w="2552" w:type="dxa"/>
            <w:noWrap/>
          </w:tcPr>
          <w:p>
            <w:pPr>
              <w:tabs>
                <w:tab w:val="decimal" w:pos="792"/>
              </w:tabs>
              <w:spacing w:line="360" w:lineRule="auto"/>
              <w:jc w:val="right"/>
              <w:rPr>
                <w:b/>
                <w:noProof/>
                <w:sz w:val="22"/>
                <w:szCs w:val="22"/>
              </w:rPr>
            </w:pPr>
          </w:p>
        </w:tc>
      </w:tr>
      <w:tr>
        <w:trPr>
          <w:trHeight w:val="631"/>
        </w:trPr>
        <w:tc>
          <w:tcPr>
            <w:tcW w:w="4361" w:type="dxa"/>
            <w:noWrap/>
          </w:tcPr>
          <w:p>
            <w:pPr>
              <w:spacing w:line="360" w:lineRule="auto"/>
              <w:jc w:val="right"/>
              <w:rPr>
                <w:b/>
                <w:bCs/>
                <w:i/>
                <w:noProof/>
                <w:sz w:val="22"/>
                <w:szCs w:val="22"/>
              </w:rPr>
            </w:pPr>
            <w:r>
              <w:rPr>
                <w:b/>
                <w:i/>
                <w:noProof/>
                <w:sz w:val="22"/>
              </w:rPr>
              <w:t>Gestion par la CHAFEA</w:t>
            </w:r>
          </w:p>
          <w:p>
            <w:pPr>
              <w:spacing w:line="360" w:lineRule="auto"/>
              <w:jc w:val="right"/>
              <w:rPr>
                <w:b/>
                <w:bCs/>
                <w:i/>
                <w:noProof/>
                <w:sz w:val="22"/>
                <w:szCs w:val="22"/>
              </w:rPr>
            </w:pPr>
          </w:p>
        </w:tc>
        <w:tc>
          <w:tcPr>
            <w:tcW w:w="2551" w:type="dxa"/>
            <w:noWrap/>
          </w:tcPr>
          <w:p>
            <w:pPr>
              <w:spacing w:line="360" w:lineRule="auto"/>
              <w:jc w:val="right"/>
              <w:rPr>
                <w:b/>
                <w:bCs/>
                <w:noProof/>
                <w:sz w:val="22"/>
                <w:szCs w:val="22"/>
              </w:rPr>
            </w:pPr>
            <w:r>
              <w:rPr>
                <w:b/>
                <w:noProof/>
                <w:sz w:val="22"/>
              </w:rPr>
              <w:t>3 715 000,00</w:t>
            </w:r>
          </w:p>
        </w:tc>
        <w:tc>
          <w:tcPr>
            <w:tcW w:w="2552" w:type="dxa"/>
            <w:noWrap/>
          </w:tcPr>
          <w:p>
            <w:pPr>
              <w:tabs>
                <w:tab w:val="decimal" w:pos="792"/>
              </w:tabs>
              <w:spacing w:line="360" w:lineRule="auto"/>
              <w:jc w:val="right"/>
              <w:rPr>
                <w:b/>
                <w:noProof/>
                <w:sz w:val="22"/>
                <w:szCs w:val="22"/>
              </w:rPr>
            </w:pPr>
            <w:r>
              <w:rPr>
                <w:b/>
                <w:noProof/>
                <w:sz w:val="22"/>
              </w:rPr>
              <w:t>6,8 %</w:t>
            </w:r>
          </w:p>
        </w:tc>
      </w:tr>
      <w:tr>
        <w:trPr>
          <w:trHeight w:val="631"/>
        </w:trPr>
        <w:tc>
          <w:tcPr>
            <w:tcW w:w="4361" w:type="dxa"/>
            <w:noWrap/>
          </w:tcPr>
          <w:p>
            <w:pPr>
              <w:spacing w:line="360" w:lineRule="auto"/>
              <w:jc w:val="right"/>
              <w:rPr>
                <w:b/>
                <w:bCs/>
                <w:i/>
                <w:noProof/>
                <w:sz w:val="22"/>
                <w:szCs w:val="22"/>
              </w:rPr>
            </w:pPr>
            <w:r>
              <w:rPr>
                <w:b/>
                <w:i/>
                <w:noProof/>
                <w:sz w:val="22"/>
              </w:rPr>
              <w:t>Gestion par la DG SANTE</w:t>
            </w:r>
          </w:p>
        </w:tc>
        <w:tc>
          <w:tcPr>
            <w:tcW w:w="2551" w:type="dxa"/>
            <w:noWrap/>
          </w:tcPr>
          <w:p>
            <w:pPr>
              <w:spacing w:line="360" w:lineRule="auto"/>
              <w:jc w:val="right"/>
              <w:rPr>
                <w:b/>
                <w:bCs/>
                <w:noProof/>
                <w:sz w:val="22"/>
                <w:szCs w:val="22"/>
              </w:rPr>
            </w:pPr>
            <w:r>
              <w:rPr>
                <w:b/>
                <w:noProof/>
                <w:sz w:val="22"/>
              </w:rPr>
              <w:t>120 747,29</w:t>
            </w:r>
          </w:p>
        </w:tc>
        <w:tc>
          <w:tcPr>
            <w:tcW w:w="2552" w:type="dxa"/>
            <w:noWrap/>
          </w:tcPr>
          <w:p>
            <w:pPr>
              <w:tabs>
                <w:tab w:val="decimal" w:pos="792"/>
              </w:tabs>
              <w:spacing w:line="360" w:lineRule="auto"/>
              <w:jc w:val="right"/>
              <w:rPr>
                <w:b/>
                <w:noProof/>
                <w:sz w:val="22"/>
                <w:szCs w:val="22"/>
              </w:rPr>
            </w:pPr>
            <w:r>
              <w:rPr>
                <w:b/>
                <w:noProof/>
                <w:sz w:val="22"/>
              </w:rPr>
              <w:t>0,2 %</w:t>
            </w:r>
          </w:p>
        </w:tc>
      </w:tr>
      <w:tr>
        <w:trPr>
          <w:trHeight w:val="631"/>
        </w:trPr>
        <w:tc>
          <w:tcPr>
            <w:tcW w:w="4361" w:type="dxa"/>
            <w:noWrap/>
          </w:tcPr>
          <w:p>
            <w:pPr>
              <w:spacing w:line="360" w:lineRule="auto"/>
              <w:jc w:val="both"/>
              <w:rPr>
                <w:b/>
                <w:bCs/>
                <w:noProof/>
                <w:sz w:val="22"/>
                <w:szCs w:val="22"/>
              </w:rPr>
            </w:pPr>
            <w:r>
              <w:rPr>
                <w:b/>
                <w:noProof/>
                <w:sz w:val="22"/>
              </w:rPr>
              <w:t>Marchés publics (marchés de services)</w:t>
            </w:r>
          </w:p>
        </w:tc>
        <w:tc>
          <w:tcPr>
            <w:tcW w:w="2551" w:type="dxa"/>
            <w:noWrap/>
          </w:tcPr>
          <w:p>
            <w:pPr>
              <w:spacing w:line="360" w:lineRule="auto"/>
              <w:jc w:val="right"/>
              <w:rPr>
                <w:b/>
                <w:bCs/>
                <w:noProof/>
                <w:sz w:val="22"/>
                <w:szCs w:val="22"/>
              </w:rPr>
            </w:pPr>
          </w:p>
        </w:tc>
        <w:tc>
          <w:tcPr>
            <w:tcW w:w="2552" w:type="dxa"/>
            <w:noWrap/>
          </w:tcPr>
          <w:p>
            <w:pPr>
              <w:tabs>
                <w:tab w:val="decimal" w:pos="792"/>
              </w:tabs>
              <w:spacing w:line="360" w:lineRule="auto"/>
              <w:jc w:val="right"/>
              <w:rPr>
                <w:b/>
                <w:noProof/>
                <w:sz w:val="22"/>
                <w:szCs w:val="22"/>
              </w:rPr>
            </w:pPr>
          </w:p>
        </w:tc>
      </w:tr>
      <w:tr>
        <w:trPr>
          <w:trHeight w:val="340"/>
        </w:trPr>
        <w:tc>
          <w:tcPr>
            <w:tcW w:w="4361" w:type="dxa"/>
            <w:noWrap/>
          </w:tcPr>
          <w:p>
            <w:pPr>
              <w:spacing w:line="360" w:lineRule="auto"/>
              <w:jc w:val="right"/>
              <w:rPr>
                <w:b/>
                <w:bCs/>
                <w:i/>
                <w:noProof/>
                <w:sz w:val="22"/>
                <w:szCs w:val="22"/>
              </w:rPr>
            </w:pPr>
            <w:r>
              <w:rPr>
                <w:b/>
                <w:i/>
                <w:noProof/>
                <w:sz w:val="22"/>
              </w:rPr>
              <w:t>Gestion par la CHAFEA</w:t>
            </w:r>
          </w:p>
        </w:tc>
        <w:tc>
          <w:tcPr>
            <w:tcW w:w="2551" w:type="dxa"/>
            <w:noWrap/>
          </w:tcPr>
          <w:p>
            <w:pPr>
              <w:spacing w:line="360" w:lineRule="auto"/>
              <w:jc w:val="right"/>
              <w:rPr>
                <w:noProof/>
                <w:sz w:val="22"/>
                <w:szCs w:val="22"/>
              </w:rPr>
            </w:pPr>
            <w:r>
              <w:rPr>
                <w:noProof/>
                <w:sz w:val="22"/>
              </w:rPr>
              <w:t>5 890 424,70</w:t>
            </w:r>
          </w:p>
        </w:tc>
        <w:tc>
          <w:tcPr>
            <w:tcW w:w="2552" w:type="dxa"/>
            <w:noWrap/>
          </w:tcPr>
          <w:p>
            <w:pPr>
              <w:tabs>
                <w:tab w:val="decimal" w:pos="792"/>
              </w:tabs>
              <w:spacing w:line="360" w:lineRule="auto"/>
              <w:jc w:val="right"/>
              <w:rPr>
                <w:noProof/>
                <w:sz w:val="22"/>
                <w:szCs w:val="22"/>
              </w:rPr>
            </w:pPr>
            <w:r>
              <w:rPr>
                <w:noProof/>
                <w:sz w:val="22"/>
              </w:rPr>
              <w:t>10,8 %</w:t>
            </w:r>
          </w:p>
        </w:tc>
      </w:tr>
      <w:tr>
        <w:trPr>
          <w:trHeight w:val="340"/>
        </w:trPr>
        <w:tc>
          <w:tcPr>
            <w:tcW w:w="4361" w:type="dxa"/>
            <w:noWrap/>
          </w:tcPr>
          <w:p>
            <w:pPr>
              <w:spacing w:line="360" w:lineRule="auto"/>
              <w:jc w:val="right"/>
              <w:rPr>
                <w:b/>
                <w:bCs/>
                <w:i/>
                <w:noProof/>
                <w:sz w:val="22"/>
                <w:szCs w:val="22"/>
              </w:rPr>
            </w:pPr>
            <w:r>
              <w:rPr>
                <w:b/>
                <w:i/>
                <w:noProof/>
                <w:sz w:val="22"/>
              </w:rPr>
              <w:t>Gestion par la DG SANTE</w:t>
            </w:r>
          </w:p>
        </w:tc>
        <w:tc>
          <w:tcPr>
            <w:tcW w:w="2551" w:type="dxa"/>
            <w:noWrap/>
          </w:tcPr>
          <w:p>
            <w:pPr>
              <w:spacing w:line="360" w:lineRule="auto"/>
              <w:jc w:val="right"/>
              <w:rPr>
                <w:noProof/>
                <w:sz w:val="22"/>
                <w:szCs w:val="22"/>
              </w:rPr>
            </w:pPr>
            <w:r>
              <w:rPr>
                <w:noProof/>
                <w:sz w:val="22"/>
              </w:rPr>
              <w:t>5 744 988,82</w:t>
            </w:r>
          </w:p>
        </w:tc>
        <w:tc>
          <w:tcPr>
            <w:tcW w:w="2552" w:type="dxa"/>
            <w:noWrap/>
          </w:tcPr>
          <w:p>
            <w:pPr>
              <w:tabs>
                <w:tab w:val="decimal" w:pos="792"/>
              </w:tabs>
              <w:spacing w:line="360" w:lineRule="auto"/>
              <w:jc w:val="right"/>
              <w:rPr>
                <w:noProof/>
                <w:sz w:val="22"/>
                <w:szCs w:val="22"/>
              </w:rPr>
            </w:pPr>
            <w:r>
              <w:rPr>
                <w:noProof/>
                <w:sz w:val="22"/>
              </w:rPr>
              <w:t>10,5 %</w:t>
            </w:r>
          </w:p>
        </w:tc>
      </w:tr>
      <w:tr>
        <w:trPr>
          <w:trHeight w:val="517"/>
        </w:trPr>
        <w:tc>
          <w:tcPr>
            <w:tcW w:w="4361" w:type="dxa"/>
            <w:noWrap/>
          </w:tcPr>
          <w:p>
            <w:pPr>
              <w:spacing w:line="360" w:lineRule="auto"/>
              <w:rPr>
                <w:b/>
                <w:bCs/>
                <w:noProof/>
                <w:sz w:val="22"/>
                <w:szCs w:val="22"/>
              </w:rPr>
            </w:pPr>
            <w:r>
              <w:rPr>
                <w:b/>
                <w:noProof/>
                <w:sz w:val="22"/>
              </w:rPr>
              <w:t xml:space="preserve">Autres actions </w:t>
            </w:r>
          </w:p>
        </w:tc>
        <w:tc>
          <w:tcPr>
            <w:tcW w:w="2551" w:type="dxa"/>
            <w:noWrap/>
          </w:tcPr>
          <w:p>
            <w:pPr>
              <w:spacing w:line="360" w:lineRule="auto"/>
              <w:jc w:val="right"/>
              <w:rPr>
                <w:b/>
                <w:noProof/>
                <w:sz w:val="22"/>
                <w:szCs w:val="22"/>
              </w:rPr>
            </w:pPr>
          </w:p>
        </w:tc>
        <w:tc>
          <w:tcPr>
            <w:tcW w:w="2552" w:type="dxa"/>
            <w:noWrap/>
          </w:tcPr>
          <w:p>
            <w:pPr>
              <w:tabs>
                <w:tab w:val="decimal" w:pos="792"/>
              </w:tabs>
              <w:spacing w:line="360" w:lineRule="auto"/>
              <w:jc w:val="right"/>
              <w:rPr>
                <w:b/>
                <w:noProof/>
                <w:sz w:val="22"/>
                <w:szCs w:val="22"/>
              </w:rPr>
            </w:pPr>
          </w:p>
        </w:tc>
      </w:tr>
      <w:tr>
        <w:trPr>
          <w:trHeight w:val="517"/>
        </w:trPr>
        <w:tc>
          <w:tcPr>
            <w:tcW w:w="4361" w:type="dxa"/>
            <w:noWrap/>
          </w:tcPr>
          <w:p>
            <w:pPr>
              <w:spacing w:line="360" w:lineRule="auto"/>
              <w:jc w:val="right"/>
              <w:rPr>
                <w:b/>
                <w:bCs/>
                <w:noProof/>
                <w:sz w:val="22"/>
                <w:szCs w:val="22"/>
              </w:rPr>
            </w:pPr>
            <w:r>
              <w:rPr>
                <w:b/>
                <w:i/>
                <w:noProof/>
                <w:sz w:val="22"/>
              </w:rPr>
              <w:t>Gestion par la CHAFEA</w:t>
            </w:r>
          </w:p>
        </w:tc>
        <w:tc>
          <w:tcPr>
            <w:tcW w:w="2551" w:type="dxa"/>
            <w:noWrap/>
          </w:tcPr>
          <w:p>
            <w:pPr>
              <w:spacing w:line="360" w:lineRule="auto"/>
              <w:jc w:val="right"/>
              <w:rPr>
                <w:bCs/>
                <w:noProof/>
                <w:sz w:val="22"/>
                <w:szCs w:val="22"/>
              </w:rPr>
            </w:pPr>
            <w:r>
              <w:rPr>
                <w:noProof/>
                <w:sz w:val="22"/>
              </w:rPr>
              <w:t>500 000,00</w:t>
            </w:r>
          </w:p>
        </w:tc>
        <w:tc>
          <w:tcPr>
            <w:tcW w:w="2552" w:type="dxa"/>
            <w:noWrap/>
          </w:tcPr>
          <w:p>
            <w:pPr>
              <w:tabs>
                <w:tab w:val="decimal" w:pos="792"/>
              </w:tabs>
              <w:spacing w:line="360" w:lineRule="auto"/>
              <w:jc w:val="right"/>
              <w:rPr>
                <w:bCs/>
                <w:noProof/>
                <w:sz w:val="22"/>
                <w:szCs w:val="22"/>
              </w:rPr>
            </w:pPr>
            <w:r>
              <w:rPr>
                <w:noProof/>
                <w:sz w:val="22"/>
              </w:rPr>
              <w:t>0,9 %</w:t>
            </w:r>
          </w:p>
        </w:tc>
      </w:tr>
      <w:tr>
        <w:trPr>
          <w:trHeight w:val="517"/>
        </w:trPr>
        <w:tc>
          <w:tcPr>
            <w:tcW w:w="4361" w:type="dxa"/>
            <w:noWrap/>
          </w:tcPr>
          <w:p>
            <w:pPr>
              <w:spacing w:line="360" w:lineRule="auto"/>
              <w:jc w:val="right"/>
              <w:rPr>
                <w:b/>
                <w:bCs/>
                <w:noProof/>
                <w:sz w:val="22"/>
                <w:szCs w:val="22"/>
              </w:rPr>
            </w:pPr>
            <w:r>
              <w:rPr>
                <w:b/>
                <w:i/>
                <w:noProof/>
                <w:sz w:val="22"/>
              </w:rPr>
              <w:t>Gestion par la DG SANTE</w:t>
            </w:r>
          </w:p>
        </w:tc>
        <w:tc>
          <w:tcPr>
            <w:tcW w:w="2551" w:type="dxa"/>
            <w:noWrap/>
          </w:tcPr>
          <w:p>
            <w:pPr>
              <w:spacing w:line="360" w:lineRule="auto"/>
              <w:jc w:val="right"/>
              <w:rPr>
                <w:bCs/>
                <w:noProof/>
                <w:sz w:val="22"/>
                <w:szCs w:val="22"/>
              </w:rPr>
            </w:pPr>
            <w:r>
              <w:rPr>
                <w:noProof/>
                <w:sz w:val="22"/>
              </w:rPr>
              <w:t>945 177,40</w:t>
            </w:r>
          </w:p>
        </w:tc>
        <w:tc>
          <w:tcPr>
            <w:tcW w:w="2552" w:type="dxa"/>
            <w:noWrap/>
          </w:tcPr>
          <w:p>
            <w:pPr>
              <w:tabs>
                <w:tab w:val="decimal" w:pos="792"/>
              </w:tabs>
              <w:spacing w:line="360" w:lineRule="auto"/>
              <w:jc w:val="right"/>
              <w:rPr>
                <w:bCs/>
                <w:noProof/>
                <w:sz w:val="22"/>
                <w:szCs w:val="22"/>
              </w:rPr>
            </w:pPr>
            <w:r>
              <w:rPr>
                <w:noProof/>
                <w:sz w:val="22"/>
              </w:rPr>
              <w:t>1,7 %</w:t>
            </w:r>
          </w:p>
        </w:tc>
      </w:tr>
      <w:tr>
        <w:trPr>
          <w:trHeight w:val="340"/>
        </w:trPr>
        <w:tc>
          <w:tcPr>
            <w:tcW w:w="4361" w:type="dxa"/>
            <w:noWrap/>
          </w:tcPr>
          <w:p>
            <w:pPr>
              <w:spacing w:line="360" w:lineRule="auto"/>
              <w:jc w:val="both"/>
              <w:rPr>
                <w:b/>
                <w:bCs/>
                <w:noProof/>
                <w:sz w:val="22"/>
                <w:szCs w:val="22"/>
              </w:rPr>
            </w:pPr>
            <w:r>
              <w:rPr>
                <w:b/>
                <w:noProof/>
                <w:sz w:val="22"/>
              </w:rPr>
              <w:t>Budget exécuté en 2015</w:t>
            </w:r>
          </w:p>
        </w:tc>
        <w:tc>
          <w:tcPr>
            <w:tcW w:w="2551" w:type="dxa"/>
            <w:noWrap/>
          </w:tcPr>
          <w:p>
            <w:pPr>
              <w:spacing w:line="360" w:lineRule="auto"/>
              <w:jc w:val="right"/>
              <w:rPr>
                <w:b/>
                <w:noProof/>
                <w:sz w:val="22"/>
                <w:szCs w:val="22"/>
              </w:rPr>
            </w:pPr>
            <w:r>
              <w:rPr>
                <w:b/>
                <w:noProof/>
                <w:sz w:val="22"/>
              </w:rPr>
              <w:t>54 778 018,75</w:t>
            </w:r>
          </w:p>
        </w:tc>
        <w:tc>
          <w:tcPr>
            <w:tcW w:w="2552" w:type="dxa"/>
            <w:noWrap/>
          </w:tcPr>
          <w:p>
            <w:pPr>
              <w:tabs>
                <w:tab w:val="decimal" w:pos="792"/>
              </w:tabs>
              <w:spacing w:line="360" w:lineRule="auto"/>
              <w:jc w:val="right"/>
              <w:rPr>
                <w:noProof/>
                <w:sz w:val="22"/>
                <w:szCs w:val="22"/>
              </w:rPr>
            </w:pPr>
            <w:r>
              <w:rPr>
                <w:noProof/>
                <w:sz w:val="22"/>
              </w:rPr>
              <w:t>100 %</w:t>
            </w:r>
          </w:p>
        </w:tc>
      </w:tr>
      <w:tr>
        <w:trPr>
          <w:trHeight w:val="340"/>
        </w:trPr>
        <w:tc>
          <w:tcPr>
            <w:tcW w:w="4361" w:type="dxa"/>
            <w:noWrap/>
          </w:tcPr>
          <w:p>
            <w:pPr>
              <w:spacing w:line="360" w:lineRule="auto"/>
              <w:jc w:val="both"/>
              <w:rPr>
                <w:b/>
                <w:bCs/>
                <w:noProof/>
                <w:sz w:val="22"/>
                <w:szCs w:val="22"/>
              </w:rPr>
            </w:pPr>
            <w:r>
              <w:rPr>
                <w:b/>
                <w:noProof/>
                <w:sz w:val="22"/>
              </w:rPr>
              <w:t>Budget total disponible</w:t>
            </w:r>
          </w:p>
        </w:tc>
        <w:tc>
          <w:tcPr>
            <w:tcW w:w="2551" w:type="dxa"/>
            <w:noWrap/>
          </w:tcPr>
          <w:p>
            <w:pPr>
              <w:spacing w:line="360" w:lineRule="auto"/>
              <w:ind w:left="-108" w:right="33"/>
              <w:jc w:val="right"/>
              <w:rPr>
                <w:b/>
                <w:noProof/>
                <w:sz w:val="22"/>
                <w:szCs w:val="22"/>
              </w:rPr>
            </w:pPr>
            <w:r>
              <w:rPr>
                <w:b/>
                <w:noProof/>
                <w:sz w:val="22"/>
              </w:rPr>
              <w:t xml:space="preserve">         55 629 805,00</w:t>
            </w:r>
          </w:p>
        </w:tc>
        <w:tc>
          <w:tcPr>
            <w:tcW w:w="2552" w:type="dxa"/>
            <w:noWrap/>
          </w:tcPr>
          <w:p>
            <w:pPr>
              <w:spacing w:line="360" w:lineRule="auto"/>
              <w:jc w:val="both"/>
              <w:rPr>
                <w:noProof/>
                <w:sz w:val="22"/>
                <w:szCs w:val="22"/>
              </w:rPr>
            </w:pPr>
          </w:p>
        </w:tc>
      </w:tr>
      <w:tr>
        <w:trPr>
          <w:trHeight w:val="255"/>
        </w:trPr>
        <w:tc>
          <w:tcPr>
            <w:tcW w:w="4361" w:type="dxa"/>
            <w:noWrap/>
          </w:tcPr>
          <w:p>
            <w:pPr>
              <w:spacing w:line="360" w:lineRule="auto"/>
              <w:jc w:val="both"/>
              <w:rPr>
                <w:bCs/>
                <w:noProof/>
                <w:sz w:val="22"/>
                <w:szCs w:val="22"/>
              </w:rPr>
            </w:pPr>
            <w:r>
              <w:rPr>
                <w:b/>
                <w:noProof/>
                <w:sz w:val="22"/>
              </w:rPr>
              <w:t>Crédits non utilisés</w:t>
            </w:r>
            <w:r>
              <w:rPr>
                <w:rStyle w:val="FootnoteReference"/>
                <w:b/>
                <w:noProof/>
                <w:sz w:val="22"/>
              </w:rPr>
              <w:footnoteReference w:id="8"/>
            </w:r>
            <w:r>
              <w:rPr>
                <w:noProof/>
                <w:sz w:val="22"/>
              </w:rPr>
              <w:t xml:space="preserve"> </w:t>
            </w:r>
          </w:p>
        </w:tc>
        <w:tc>
          <w:tcPr>
            <w:tcW w:w="2551" w:type="dxa"/>
            <w:noWrap/>
          </w:tcPr>
          <w:p>
            <w:pPr>
              <w:spacing w:line="360" w:lineRule="auto"/>
              <w:jc w:val="right"/>
              <w:rPr>
                <w:b/>
                <w:noProof/>
                <w:sz w:val="22"/>
                <w:szCs w:val="22"/>
              </w:rPr>
            </w:pPr>
          </w:p>
        </w:tc>
        <w:tc>
          <w:tcPr>
            <w:tcW w:w="2552" w:type="dxa"/>
            <w:noWrap/>
          </w:tcPr>
          <w:p>
            <w:pPr>
              <w:spacing w:line="360" w:lineRule="auto"/>
              <w:jc w:val="both"/>
              <w:rPr>
                <w:noProof/>
                <w:sz w:val="22"/>
                <w:szCs w:val="22"/>
              </w:rPr>
            </w:pPr>
          </w:p>
        </w:tc>
      </w:tr>
      <w:tr>
        <w:trPr>
          <w:trHeight w:val="517"/>
        </w:trPr>
        <w:tc>
          <w:tcPr>
            <w:tcW w:w="4361" w:type="dxa"/>
            <w:noWrap/>
          </w:tcPr>
          <w:p>
            <w:pPr>
              <w:spacing w:line="360" w:lineRule="auto"/>
              <w:jc w:val="right"/>
              <w:rPr>
                <w:b/>
                <w:bCs/>
                <w:noProof/>
                <w:sz w:val="22"/>
                <w:szCs w:val="22"/>
              </w:rPr>
            </w:pPr>
            <w:r>
              <w:rPr>
                <w:b/>
                <w:i/>
                <w:noProof/>
                <w:sz w:val="22"/>
              </w:rPr>
              <w:t>par la CHAFEA</w:t>
            </w:r>
          </w:p>
        </w:tc>
        <w:tc>
          <w:tcPr>
            <w:tcW w:w="2551" w:type="dxa"/>
            <w:noWrap/>
          </w:tcPr>
          <w:p>
            <w:pPr>
              <w:spacing w:line="360" w:lineRule="auto"/>
              <w:jc w:val="right"/>
              <w:rPr>
                <w:bCs/>
                <w:noProof/>
                <w:sz w:val="22"/>
                <w:szCs w:val="22"/>
              </w:rPr>
            </w:pPr>
            <w:r>
              <w:rPr>
                <w:noProof/>
                <w:sz w:val="22"/>
              </w:rPr>
              <w:t>218 478,65</w:t>
            </w:r>
          </w:p>
        </w:tc>
        <w:tc>
          <w:tcPr>
            <w:tcW w:w="2552" w:type="dxa"/>
            <w:noWrap/>
          </w:tcPr>
          <w:p>
            <w:pPr>
              <w:tabs>
                <w:tab w:val="decimal" w:pos="792"/>
              </w:tabs>
              <w:spacing w:line="360" w:lineRule="auto"/>
              <w:jc w:val="right"/>
              <w:rPr>
                <w:bCs/>
                <w:noProof/>
                <w:sz w:val="22"/>
                <w:szCs w:val="22"/>
              </w:rPr>
            </w:pPr>
          </w:p>
        </w:tc>
      </w:tr>
      <w:tr>
        <w:trPr>
          <w:trHeight w:val="517"/>
        </w:trPr>
        <w:tc>
          <w:tcPr>
            <w:tcW w:w="4361" w:type="dxa"/>
            <w:noWrap/>
          </w:tcPr>
          <w:p>
            <w:pPr>
              <w:spacing w:line="360" w:lineRule="auto"/>
              <w:jc w:val="right"/>
              <w:rPr>
                <w:b/>
                <w:bCs/>
                <w:noProof/>
                <w:sz w:val="22"/>
                <w:szCs w:val="22"/>
              </w:rPr>
            </w:pPr>
            <w:r>
              <w:rPr>
                <w:b/>
                <w:i/>
                <w:noProof/>
                <w:sz w:val="22"/>
              </w:rPr>
              <w:t xml:space="preserve"> par la DG SANTE</w:t>
            </w:r>
          </w:p>
        </w:tc>
        <w:tc>
          <w:tcPr>
            <w:tcW w:w="2551" w:type="dxa"/>
            <w:noWrap/>
          </w:tcPr>
          <w:p>
            <w:pPr>
              <w:spacing w:line="360" w:lineRule="auto"/>
              <w:jc w:val="right"/>
              <w:rPr>
                <w:bCs/>
                <w:noProof/>
                <w:sz w:val="22"/>
                <w:szCs w:val="22"/>
              </w:rPr>
            </w:pPr>
            <w:r>
              <w:rPr>
                <w:noProof/>
                <w:sz w:val="22"/>
              </w:rPr>
              <w:t>633 307,60</w:t>
            </w:r>
          </w:p>
        </w:tc>
        <w:tc>
          <w:tcPr>
            <w:tcW w:w="2552" w:type="dxa"/>
            <w:noWrap/>
          </w:tcPr>
          <w:p>
            <w:pPr>
              <w:tabs>
                <w:tab w:val="decimal" w:pos="792"/>
              </w:tabs>
              <w:spacing w:line="360" w:lineRule="auto"/>
              <w:jc w:val="right"/>
              <w:rPr>
                <w:bCs/>
                <w:noProof/>
                <w:sz w:val="22"/>
                <w:szCs w:val="22"/>
              </w:rPr>
            </w:pPr>
          </w:p>
        </w:tc>
      </w:tr>
    </w:tbl>
    <w:p>
      <w:pPr>
        <w:rPr>
          <w:rFonts w:eastAsia="Calibri" w:cs="Times New Roman"/>
          <w:b/>
          <w:bCs/>
          <w:noProof/>
          <w:kern w:val="32"/>
          <w:sz w:val="28"/>
          <w:szCs w:val="28"/>
        </w:rPr>
      </w:pPr>
      <w:bookmarkStart w:id="37" w:name="_Toc472077575"/>
      <w:r>
        <w:rPr>
          <w:noProof/>
        </w:rPr>
        <w:br w:type="page"/>
      </w:r>
    </w:p>
    <w:p>
      <w:pPr>
        <w:pStyle w:val="ManualHeading2"/>
        <w:rPr>
          <w:noProof/>
        </w:rPr>
      </w:pPr>
      <w:bookmarkStart w:id="38" w:name="_Toc520120181"/>
      <w:bookmarkStart w:id="39" w:name="_Toc529459481"/>
      <w:r>
        <w:t>4.</w:t>
      </w:r>
      <w:r>
        <w:tab/>
      </w:r>
      <w:r>
        <w:rPr>
          <w:noProof/>
        </w:rPr>
        <w:t>Bénéficiaires</w:t>
      </w:r>
      <w:bookmarkEnd w:id="37"/>
      <w:bookmarkEnd w:id="38"/>
      <w:bookmarkEnd w:id="39"/>
    </w:p>
    <w:p>
      <w:pPr>
        <w:spacing w:line="360" w:lineRule="auto"/>
        <w:jc w:val="both"/>
        <w:rPr>
          <w:rFonts w:cs="Times New Roman"/>
          <w:noProof/>
        </w:rPr>
      </w:pPr>
      <w:r>
        <w:rPr>
          <w:noProof/>
        </w:rPr>
        <w:t>En 2015, plus de 200</w:t>
      </w:r>
      <w:r>
        <w:rPr>
          <w:rStyle w:val="FootnoteReference"/>
          <w:noProof/>
        </w:rPr>
        <w:footnoteReference w:id="9"/>
      </w:r>
      <w:r>
        <w:rPr>
          <w:noProof/>
        </w:rPr>
        <w:t xml:space="preserve"> conventions de subventions et marchés de service différents étaient signés avec divers bénéficiaires et prestataires de services, allant des organisations gouvernementales et non gouvernementales aux entreprises privées en passant par les établissements universitaires. La catégorie «Autres» comprend des bénéficiaires tels que les prestataires de soins de santé et les organisations internationales. Le graphique 3 offre un aperçu des différents groupes de bénéficiaires.</w:t>
      </w:r>
    </w:p>
    <w:p>
      <w:pPr>
        <w:spacing w:before="120" w:after="120" w:line="360" w:lineRule="auto"/>
        <w:jc w:val="center"/>
        <w:rPr>
          <w:rFonts w:cs="Times New Roman"/>
          <w:b/>
          <w:noProof/>
        </w:rPr>
      </w:pPr>
      <w:r>
        <w:rPr>
          <w:b/>
          <w:noProof/>
        </w:rPr>
        <w:t>Graphique 3:  Types de bénéficiaires du troisième programme Santé en 2015</w:t>
      </w:r>
    </w:p>
    <w:p>
      <w:pPr>
        <w:spacing w:line="360" w:lineRule="auto"/>
        <w:jc w:val="center"/>
        <w:rPr>
          <w:rFonts w:cs="Times New Roman"/>
          <w:noProof/>
        </w:rPr>
      </w:pPr>
      <w:r>
        <w:rPr>
          <w:noProof/>
          <w:lang w:val="en-GB" w:eastAsia="en-GB" w:bidi="ar-SA"/>
        </w:rPr>
        <w:drawing>
          <wp:inline distT="0" distB="0" distL="0" distR="0">
            <wp:extent cx="4779010" cy="26003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010" cy="2600325"/>
                    </a:xfrm>
                    <a:prstGeom prst="rect">
                      <a:avLst/>
                    </a:prstGeom>
                    <a:noFill/>
                    <a:ln>
                      <a:noFill/>
                    </a:ln>
                  </pic:spPr>
                </pic:pic>
              </a:graphicData>
            </a:graphic>
          </wp:inline>
        </w:drawing>
      </w:r>
    </w:p>
    <w:p>
      <w:pPr>
        <w:pStyle w:val="Heading1"/>
        <w:rPr>
          <w:rFonts w:eastAsia="Calibri"/>
          <w:noProof/>
          <w:sz w:val="28"/>
          <w:szCs w:val="28"/>
        </w:rPr>
      </w:pPr>
      <w:bookmarkStart w:id="40" w:name="_Toc472077576"/>
    </w:p>
    <w:p>
      <w:pPr>
        <w:pStyle w:val="Heading1"/>
        <w:spacing w:before="240"/>
        <w:rPr>
          <w:rFonts w:eastAsia="Calibri"/>
          <w:noProof/>
        </w:rPr>
      </w:pPr>
      <w:bookmarkStart w:id="41" w:name="_Toc520120182"/>
      <w:bookmarkStart w:id="42" w:name="_Toc529459482"/>
      <w:r>
        <w:rPr>
          <w:noProof/>
          <w:sz w:val="28"/>
        </w:rPr>
        <w:t>AUTRES ÉLÉMENTS À SOULIGNER</w:t>
      </w:r>
      <w:bookmarkEnd w:id="40"/>
      <w:bookmarkEnd w:id="41"/>
      <w:bookmarkEnd w:id="42"/>
    </w:p>
    <w:p>
      <w:pPr>
        <w:spacing w:before="240" w:line="360" w:lineRule="auto"/>
        <w:jc w:val="both"/>
        <w:rPr>
          <w:rFonts w:cs="Times New Roman"/>
          <w:noProof/>
        </w:rPr>
      </w:pPr>
      <w:r>
        <w:rPr>
          <w:noProof/>
        </w:rPr>
        <w:t xml:space="preserve">2015 était la deuxième année du troisième programme Santé à être sérieusement affectée par la pression créée par l’afflux sans précédent de réfugiés entrant en Europe. Cette situation a mis à l’épreuve la flexibilité du programme à s’adapter rapidement aux nouveaux besoins stratégiques, ainsi que la capacité de la Chafea à réagir en conséquence et à mettre en œuvre les décisions relatives au PTA. </w:t>
      </w:r>
      <w:r>
        <w:rPr>
          <w:noProof/>
          <w:color w:val="000000"/>
        </w:rPr>
        <w:t>La Chafea a lancé les subventions directes et les appels à propositions de projets y afférents en un temps record et a été en mesure de signer les conventions de subvention sélectionnées moins de trois mois après la modification du PTA 2015.</w:t>
      </w:r>
    </w:p>
    <w:p>
      <w:pPr>
        <w:spacing w:before="240" w:line="360" w:lineRule="auto"/>
        <w:jc w:val="both"/>
        <w:rPr>
          <w:rFonts w:cs="Times New Roman"/>
          <w:noProof/>
        </w:rPr>
      </w:pPr>
      <w:r>
        <w:rPr>
          <w:noProof/>
        </w:rPr>
        <w:t xml:space="preserve">Cela a été facilité par les procédures administratives simplifiées qui ont été introduites en 2014, ainsi que par le portail permettant aux participants de soumissionner en ligne et par l’évaluation en ligne et la signature électronique des conventions de subventions. Malgré les obstacles mineurs rencontrés dans le système, ces procédures simplifiées ont réduit le temps requis pour signer les subventions. </w:t>
      </w:r>
    </w:p>
    <w:p>
      <w:pPr>
        <w:spacing w:line="360" w:lineRule="auto"/>
        <w:jc w:val="both"/>
        <w:rPr>
          <w:rFonts w:cs="Times New Roman"/>
          <w:noProof/>
        </w:rPr>
      </w:pPr>
      <w:r>
        <w:rPr>
          <w:noProof/>
        </w:rPr>
        <w:t>Le nombre de participants aux actions conjointes est resté relativement élevé, comme ce fut le cas pour le deuxième programme Santé et la première année du troisième programme Santé. En 2015, on dénombrait entre 10 et 45 partenaires (bénéficiaires) par action conjointe. Ce nombre élevé s’est révélé être un défi en ce qui concerne tant la gestion globale que la coordination du programme, étant donné que tous les partenaires devaient signer la convention de subvention.</w:t>
      </w:r>
    </w:p>
    <w:p>
      <w:pPr>
        <w:spacing w:line="360" w:lineRule="auto"/>
        <w:jc w:val="both"/>
        <w:rPr>
          <w:rFonts w:cs="Times New Roman"/>
          <w:noProof/>
        </w:rPr>
      </w:pPr>
      <w:r>
        <w:rPr>
          <w:noProof/>
        </w:rPr>
        <w:t>Suivant les recommandations de l’évaluation ex post du deuxième programme Santé 2008-2014</w:t>
      </w:r>
      <w:r>
        <w:rPr>
          <w:rStyle w:val="FootnoteReference"/>
          <w:noProof/>
        </w:rPr>
        <w:footnoteReference w:id="10"/>
      </w:r>
      <w:r>
        <w:rPr>
          <w:noProof/>
        </w:rPr>
        <w:t xml:space="preserve"> et de l’évaluation à mi-parcours du troisième programme Santé</w:t>
      </w:r>
      <w:r>
        <w:rPr>
          <w:rStyle w:val="FootnoteReference"/>
          <w:noProof/>
        </w:rPr>
        <w:footnoteReference w:id="11"/>
      </w:r>
      <w:r>
        <w:rPr>
          <w:noProof/>
        </w:rPr>
        <w:t>, la Chafea a investi d’importantes ressources dans des activités d’information et de diffusion des résultats, en étroite collaboration avec la DG SANTE et le réseau de points focaux nationaux du programme Santé. Elle a organisé plusieurs ateliers, contribué à l’organisation de grandes conférences nationales et internationales et organisé des événements autonomes en collaboration avec les autorités nationales des États membres. Une description plus détaillée des activités de diffusion des résultats en 2015 est présentée dans le document de travail des services de la Commission accompagnant le présent rapport.</w:t>
      </w:r>
    </w:p>
    <w:p>
      <w:pPr>
        <w:spacing w:line="360" w:lineRule="auto"/>
        <w:jc w:val="both"/>
        <w:rPr>
          <w:rFonts w:cs="Times New Roman"/>
          <w:noProof/>
        </w:rPr>
      </w:pPr>
      <w:r>
        <w:rPr>
          <w:noProof/>
        </w:rPr>
        <w:t>S’appuyant sur les processus et les outils développés au titre du troisième programme Santé, un mécanisme électronique de contrôle et de notification a été instauré de façon à permettre aux deux parties de gagner du temps. Ainsi, l’administration papier a été supprimée tant du côté du bénéficiaire que de la Chafea, en particulier dans le cas des subventions. Le système CORDA</w:t>
      </w:r>
      <w:r>
        <w:rPr>
          <w:rStyle w:val="FootnoteReference"/>
          <w:noProof/>
        </w:rPr>
        <w:footnoteReference w:id="12"/>
      </w:r>
      <w:r>
        <w:rPr>
          <w:noProof/>
        </w:rPr>
        <w:t xml:space="preserve">, mis en œuvre par le centre d’appui commun du programme de l’UE pour la recherche et l’innovation, centralise les données collectées pour toutes les actions cofinancées gérées par la Chafea et contrôlées à l’aide des outils électroniques du programme «Horizon 2020». Il s’agit de la principale source d’information pour savoir si les objectifs et les priorités du programme ont été atteints, ainsi que pour connaître les types d’actions et d’organisations qui ont été cofinancés. </w:t>
      </w:r>
    </w:p>
    <w:p>
      <w:pPr>
        <w:spacing w:line="360" w:lineRule="auto"/>
        <w:jc w:val="both"/>
        <w:rPr>
          <w:rFonts w:cs="Times New Roman"/>
          <w:noProof/>
        </w:rPr>
      </w:pPr>
      <w:r>
        <w:rPr>
          <w:noProof/>
        </w:rPr>
        <w:t>D’autres améliorations doivent être introduites dans les années à venir, notamment un meilleur système électronique de contrôle et de notification et une diffusion améliorée et plus ciblée des résultats. En outre, les efforts seront poursuivis afin d’accroître la participation des organisations et institutions établies dans des pays qui ont été, jusqu’ici, sous-représentés parmi les bénéficiaires.</w:t>
      </w:r>
    </w:p>
    <w:p>
      <w:pPr>
        <w:spacing w:line="360" w:lineRule="auto"/>
        <w:jc w:val="both"/>
        <w:rPr>
          <w:noProof/>
        </w:rPr>
      </w:pPr>
      <w:r>
        <w:rPr>
          <w:noProof/>
        </w:rPr>
        <w:t>La définition de domaines prioritaires pour chaque année du programme a montré la valeur ajoutée de la continuité entre les programmes de travail annuels. Elle a amélioré la cohérence et la consistance globales du troisième programme Santé et a soutenu l’utilisation des éléments livrables et des résultats des précédents cycles de financement.</w:t>
      </w:r>
    </w:p>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vTTd832f767">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097951"/>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13</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rPr>
          <w:rFonts w:asciiTheme="minorHAnsi" w:hAnsiTheme="minorHAnsi"/>
          <w:lang w:val="pl-PL"/>
        </w:rPr>
      </w:pPr>
      <w:r>
        <w:rPr>
          <w:rStyle w:val="FootnoteReference"/>
          <w:rFonts w:asciiTheme="minorHAnsi" w:hAnsiTheme="minorHAnsi"/>
        </w:rPr>
        <w:footnoteRef/>
      </w:r>
      <w:r>
        <w:rPr>
          <w:rFonts w:asciiTheme="minorHAnsi" w:hAnsiTheme="minorHAnsi"/>
        </w:rPr>
        <w:t xml:space="preserve"> JO L 86 du 21.3.2014, p. 1.</w:t>
      </w:r>
    </w:p>
  </w:footnote>
  <w:footnote w:id="3">
    <w:p>
      <w:pPr>
        <w:pStyle w:val="FootnoteText"/>
        <w:spacing w:after="0"/>
        <w:rPr>
          <w:rFonts w:asciiTheme="minorHAnsi" w:hAnsiTheme="minorHAnsi"/>
          <w:lang w:val="pl-PL"/>
        </w:rPr>
      </w:pPr>
      <w:r>
        <w:rPr>
          <w:rStyle w:val="FootnoteReference"/>
          <w:rFonts w:asciiTheme="minorHAnsi" w:hAnsiTheme="minorHAnsi"/>
        </w:rPr>
        <w:footnoteRef/>
      </w:r>
      <w:r>
        <w:rPr>
          <w:rFonts w:asciiTheme="minorHAnsi" w:hAnsiTheme="minorHAnsi"/>
        </w:rPr>
        <w:t xml:space="preserve"> JO L 301 du 20.11.2007, p. 3.</w:t>
      </w:r>
    </w:p>
  </w:footnote>
  <w:footnote w:id="4">
    <w:p>
      <w:pPr>
        <w:pStyle w:val="FootnoteText"/>
        <w:rPr>
          <w:lang w:val="pl-PL"/>
        </w:rPr>
      </w:pPr>
      <w:r>
        <w:rPr>
          <w:rStyle w:val="FootnoteReference"/>
          <w:rFonts w:asciiTheme="minorHAnsi" w:hAnsiTheme="minorHAnsi"/>
        </w:rPr>
        <w:footnoteRef/>
      </w:r>
      <w:r>
        <w:rPr>
          <w:rFonts w:asciiTheme="minorHAnsi" w:hAnsiTheme="minorHAnsi"/>
        </w:rPr>
        <w:t xml:space="preserve"> </w:t>
      </w:r>
      <w:hyperlink r:id="rId1">
        <w:r>
          <w:rPr>
            <w:rStyle w:val="Hyperlink"/>
            <w:rFonts w:asciiTheme="minorHAnsi" w:hAnsiTheme="minorHAnsi"/>
          </w:rPr>
          <w:t>https://ec.europa.eu/health/sites/health/files/programme/docs/wp2015_amendment_fr.pdf</w:t>
        </w:r>
      </w:hyperlink>
    </w:p>
  </w:footnote>
  <w:footnote w:id="5">
    <w:p>
      <w:pPr>
        <w:pStyle w:val="FootnoteText"/>
      </w:pPr>
      <w:r>
        <w:rPr>
          <w:rStyle w:val="FootnoteReference"/>
        </w:rPr>
        <w:footnoteRef/>
      </w:r>
      <w:r>
        <w:t xml:space="preserve"> </w:t>
      </w:r>
      <w:r>
        <w:rPr>
          <w:rStyle w:val="Hyperlink"/>
          <w:rFonts w:asciiTheme="minorHAnsi" w:hAnsiTheme="minorHAnsi"/>
        </w:rPr>
        <w:t>L’appel à propositions a été lancé en octobre 2015.</w:t>
      </w:r>
    </w:p>
  </w:footnote>
  <w:footnote w:id="6">
    <w:p>
      <w:pPr>
        <w:pStyle w:val="FootnoteText"/>
        <w:spacing w:after="0" w:line="240" w:lineRule="auto"/>
        <w:jc w:val="both"/>
        <w:rPr>
          <w:rFonts w:asciiTheme="minorHAnsi" w:hAnsiTheme="minorHAnsi"/>
        </w:rPr>
      </w:pPr>
      <w:r>
        <w:rPr>
          <w:rStyle w:val="FootnoteReference"/>
          <w:rFonts w:asciiTheme="minorHAnsi" w:hAnsiTheme="minorHAnsi"/>
        </w:rPr>
        <w:footnoteRef/>
      </w:r>
      <w:r>
        <w:rPr>
          <w:rFonts w:asciiTheme="minorHAnsi" w:hAnsiTheme="minorHAnsi"/>
        </w:rPr>
        <w:t xml:space="preserve"> Décision 2004/858/CE du 15 décembre 2004 (JO L 369 du 16.12.2005, p. 73), modifiée par la décision 2008/544/CE du 20 juin 2008 (JO L 173 du 3.7.2008, p. 27). Depuis décembre 2014, la </w:t>
      </w:r>
      <w:r>
        <w:rPr>
          <w:rStyle w:val="Strong"/>
          <w:rFonts w:asciiTheme="minorHAnsi" w:hAnsiTheme="minorHAnsi"/>
          <w:b w:val="0"/>
        </w:rPr>
        <w:t>Chafea</w:t>
      </w:r>
      <w:r>
        <w:rPr>
          <w:rFonts w:asciiTheme="minorHAnsi" w:hAnsiTheme="minorHAnsi"/>
        </w:rPr>
        <w:t xml:space="preserve"> remplace l’Agence exécutive pour la santé et les consommateurs (EAHC) en vertu de la </w:t>
      </w:r>
      <w:hyperlink r:id="rId2">
        <w:r>
          <w:rPr>
            <w:rStyle w:val="Hyperlink"/>
            <w:rFonts w:asciiTheme="minorHAnsi" w:hAnsiTheme="minorHAnsi"/>
          </w:rPr>
          <w:t>décision d’exécution 2014/927/UE de la Commission</w:t>
        </w:r>
      </w:hyperlink>
      <w:r>
        <w:t>.</w:t>
      </w:r>
    </w:p>
  </w:footnote>
  <w:footnote w:id="7">
    <w:p>
      <w:pPr>
        <w:pStyle w:val="FootnoteText"/>
        <w:spacing w:after="0" w:line="240" w:lineRule="auto"/>
        <w:jc w:val="both"/>
        <w:rPr>
          <w:rFonts w:ascii="Times New Roman" w:hAnsi="Times New Roman"/>
        </w:rPr>
      </w:pPr>
      <w:r>
        <w:rPr>
          <w:rStyle w:val="FootnoteReference"/>
          <w:rFonts w:asciiTheme="minorHAnsi" w:hAnsiTheme="minorHAnsi"/>
        </w:rPr>
        <w:footnoteRef/>
      </w:r>
      <w:r>
        <w:rPr>
          <w:rFonts w:asciiTheme="minorHAnsi" w:hAnsiTheme="minorHAnsi"/>
        </w:rPr>
        <w:t xml:space="preserve"> </w:t>
      </w:r>
      <w:hyperlink r:id="rId3">
        <w:r>
          <w:rPr>
            <w:rStyle w:val="Hyperlink"/>
            <w:rFonts w:asciiTheme="minorHAnsi" w:hAnsiTheme="minorHAnsi"/>
          </w:rPr>
          <w:t>Décision de Commission C(2015) 3594 du 2 juin 2015</w:t>
        </w:r>
        <w:r>
          <w:rPr>
            <w:rStyle w:val="Hyperlink"/>
            <w:rFonts w:ascii="Times New Roman" w:hAnsi="Times New Roman"/>
          </w:rPr>
          <w:t xml:space="preserve"> </w:t>
        </w:r>
      </w:hyperlink>
      <w:r>
        <w:rPr>
          <w:rStyle w:val="Hyperlink"/>
          <w:rFonts w:ascii="Times New Roman" w:hAnsi="Times New Roman"/>
        </w:rPr>
        <w:t xml:space="preserve">(voir: </w:t>
      </w:r>
      <w:hyperlink r:id="rId4">
        <w:r>
          <w:rPr>
            <w:rStyle w:val="Hyperlink"/>
            <w:rFonts w:ascii="Times New Roman" w:hAnsi="Times New Roman"/>
          </w:rPr>
          <w:t>https://ec.europa.eu/health/sites/health/files/programmes/docs/wp2015_fr.pdf</w:t>
        </w:r>
      </w:hyperlink>
      <w:r>
        <w:rPr>
          <w:rFonts w:ascii="Times New Roman" w:hAnsi="Times New Roman"/>
        </w:rPr>
        <w:t>)</w:t>
      </w:r>
    </w:p>
  </w:footnote>
  <w:footnote w:id="8">
    <w:p>
      <w:pPr>
        <w:pStyle w:val="FootnoteText"/>
        <w:spacing w:after="0"/>
        <w:rPr>
          <w:rFonts w:asciiTheme="minorHAnsi" w:hAnsiTheme="minorHAnsi"/>
        </w:rPr>
      </w:pPr>
      <w:r>
        <w:rPr>
          <w:rStyle w:val="FootnoteReference"/>
          <w:rFonts w:asciiTheme="minorHAnsi" w:hAnsiTheme="minorHAnsi"/>
        </w:rPr>
        <w:footnoteRef/>
      </w:r>
      <w:r>
        <w:rPr>
          <w:rFonts w:asciiTheme="minorHAnsi" w:hAnsiTheme="minorHAnsi"/>
        </w:rPr>
        <w:t xml:space="preserve"> Les crédits de préadhésion n’étaient pas encore utilisés, ce qui a conduit à des écarts entre les montants figurant dans la décision d’attribution et les montants réels.</w:t>
      </w:r>
    </w:p>
  </w:footnote>
  <w:footnote w:id="9">
    <w:p>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À l’exclusion des contrats signés avec des experts individuels, par exemple les experts membres des comités scientifiques.</w:t>
      </w:r>
    </w:p>
  </w:footnote>
  <w:footnote w:id="10">
    <w:p>
      <w:pPr>
        <w:pStyle w:val="FootnoteText"/>
        <w:rPr>
          <w:lang w:val="pt-PT"/>
        </w:rPr>
      </w:pPr>
      <w:r>
        <w:rPr>
          <w:rStyle w:val="FootnoteReference"/>
        </w:rPr>
        <w:footnoteRef/>
      </w:r>
      <w:r>
        <w:rPr>
          <w:lang w:val="pt-PT"/>
        </w:rPr>
        <w:t xml:space="preserve"> COM(2016) 243 final du 10.5.2016.</w:t>
      </w:r>
    </w:p>
  </w:footnote>
  <w:footnote w:id="11">
    <w:p>
      <w:pPr>
        <w:pStyle w:val="FootnoteText"/>
        <w:rPr>
          <w:lang w:val="pt-PT"/>
        </w:rPr>
      </w:pPr>
      <w:r>
        <w:rPr>
          <w:rStyle w:val="FootnoteReference"/>
        </w:rPr>
        <w:footnoteRef/>
      </w:r>
      <w:r>
        <w:rPr>
          <w:lang w:val="pt-PT"/>
        </w:rPr>
        <w:t xml:space="preserve"> COM(2017) 586 final du 11.10.2017.</w:t>
      </w:r>
    </w:p>
  </w:footnote>
  <w:footnote w:id="12">
    <w:p>
      <w:pPr>
        <w:pStyle w:val="FootnoteText"/>
      </w:pPr>
      <w:r>
        <w:rPr>
          <w:rStyle w:val="FootnoteReference"/>
        </w:rPr>
        <w:footnoteRef/>
      </w:r>
      <w:r>
        <w:t xml:space="preserve"> CORDA (Common Research Data Warehouse — base de données commune pour la recherche) est le lieu de stockage de toutes les informations sur les projets financés par l’UE et leurs résultats. Lancée en tant que base de données de référence pour la recherche financée par l’UE depuis 1990, CORDA inclut désormais les actions cofinancées par le 3</w:t>
      </w:r>
      <w:r>
        <w:rPr>
          <w:vertAlign w:val="superscript"/>
        </w:rPr>
        <w:t>e</w:t>
      </w:r>
      <w:r>
        <w:t xml:space="preserve"> programme Santé qui sont gérées au moyen des outils du programme «Horizon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Layout w:type="fixed"/>
      <w:tblCellMar>
        <w:left w:w="0" w:type="dxa"/>
        <w:right w:w="0" w:type="dxa"/>
      </w:tblCellMar>
      <w:tblLook w:val="0000" w:firstRow="0" w:lastRow="0" w:firstColumn="0" w:lastColumn="0" w:noHBand="0" w:noVBand="0"/>
    </w:tblPr>
    <w:tblGrid>
      <w:gridCol w:w="9468"/>
    </w:tblGrid>
    <w:tr>
      <w:trPr>
        <w:trHeight w:val="426"/>
      </w:trPr>
      <w:tc>
        <w:tcPr>
          <w:tcW w:w="9468" w:type="dxa"/>
          <w:tcBorders>
            <w:top w:val="nil"/>
            <w:left w:val="nil"/>
            <w:bottom w:val="nil"/>
            <w:right w:val="nil"/>
          </w:tcBorders>
        </w:tcPr>
        <w:p>
          <w:pPr>
            <w:widowControl w:val="0"/>
            <w:autoSpaceDE w:val="0"/>
            <w:autoSpaceDN w:val="0"/>
            <w:spacing w:after="0"/>
            <w:ind w:right="85"/>
            <w:jc w:val="center"/>
            <w:rPr>
              <w:rFonts w:ascii="Arial" w:hAnsi="Arial" w:cs="Arial"/>
              <w:sz w:val="16"/>
              <w:szCs w:val="16"/>
            </w:rPr>
          </w:pPr>
        </w:p>
      </w:tc>
    </w:tr>
  </w:tbl>
  <w:p>
    <w:pPr>
      <w:pStyle w:val="Header"/>
    </w:pPr>
    <w:r>
      <w:object w:dxaOrig="9072" w:dyaOrig="12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5pt;height:621.7pt" o:ole="">
          <v:imagedata r:id="rId1" o:title=""/>
        </v:shape>
        <o:OLEObject Type="Embed" ProgID="Word.Document.12" ShapeID="_x0000_i1026" DrawAspect="Content" ObjectID="_1606116349" r:id="rId2">
          <o:FieldCodes>\s</o:FieldCodes>
        </o:OLEObject>
      </w:obje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A09AA66C"/>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B6FC6470"/>
    <w:lvl w:ilvl="0">
      <w:start w:val="1"/>
      <w:numFmt w:val="decimal"/>
      <w:pStyle w:val="ListNumber3"/>
      <w:lvlText w:val="%1."/>
      <w:lvlJc w:val="left"/>
      <w:pPr>
        <w:tabs>
          <w:tab w:val="num" w:pos="926"/>
        </w:tabs>
        <w:ind w:left="926" w:hanging="360"/>
      </w:pPr>
    </w:lvl>
  </w:abstractNum>
  <w:abstractNum w:abstractNumId="2">
    <w:nsid w:val="FFFFFF7F"/>
    <w:multiLevelType w:val="singleLevel"/>
    <w:tmpl w:val="42A06A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2F36B926"/>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288CFC5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4F8CFFA0"/>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31F6387E"/>
    <w:lvl w:ilvl="0">
      <w:start w:val="1"/>
      <w:numFmt w:val="decimal"/>
      <w:pStyle w:val="ListNumber"/>
      <w:lvlText w:val="%1."/>
      <w:lvlJc w:val="left"/>
      <w:pPr>
        <w:tabs>
          <w:tab w:val="num" w:pos="360"/>
        </w:tabs>
        <w:ind w:left="360" w:hanging="360"/>
      </w:pPr>
    </w:lvl>
  </w:abstractNum>
  <w:abstractNum w:abstractNumId="7">
    <w:nsid w:val="FFFFFF89"/>
    <w:multiLevelType w:val="singleLevel"/>
    <w:tmpl w:val="E0329818"/>
    <w:name w:val="0,413154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2DC5A10"/>
    <w:multiLevelType w:val="hybridMultilevel"/>
    <w:tmpl w:val="CB40E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A91BA6"/>
    <w:multiLevelType w:val="hybridMultilevel"/>
    <w:tmpl w:val="CAF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CF4D7F"/>
    <w:multiLevelType w:val="hybridMultilevel"/>
    <w:tmpl w:val="20547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300D85"/>
    <w:multiLevelType w:val="hybridMultilevel"/>
    <w:tmpl w:val="B16C0F4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08323A3"/>
    <w:multiLevelType w:val="hybridMultilevel"/>
    <w:tmpl w:val="CBA86206"/>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128F2C54"/>
    <w:multiLevelType w:val="multilevel"/>
    <w:tmpl w:val="ADEC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6062B06"/>
    <w:multiLevelType w:val="multilevel"/>
    <w:tmpl w:val="7592CA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A741B3C"/>
    <w:multiLevelType w:val="hybridMultilevel"/>
    <w:tmpl w:val="91B68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3C78B8"/>
    <w:multiLevelType w:val="multilevel"/>
    <w:tmpl w:val="2ED4F4D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nsid w:val="1C5D40E1"/>
    <w:multiLevelType w:val="hybridMultilevel"/>
    <w:tmpl w:val="722C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4922DC"/>
    <w:multiLevelType w:val="hybridMultilevel"/>
    <w:tmpl w:val="6048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320986"/>
    <w:multiLevelType w:val="hybridMultilevel"/>
    <w:tmpl w:val="373A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7132B5D"/>
    <w:multiLevelType w:val="hybridMultilevel"/>
    <w:tmpl w:val="6A6C25E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82419EC"/>
    <w:multiLevelType w:val="hybridMultilevel"/>
    <w:tmpl w:val="3234604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nsid w:val="2A0967B8"/>
    <w:multiLevelType w:val="multilevel"/>
    <w:tmpl w:val="5178F132"/>
    <w:lvl w:ilvl="0">
      <w:start w:val="1"/>
      <w:numFmt w:val="decimal"/>
      <w:lvlText w:val="%1"/>
      <w:lvlJc w:val="left"/>
      <w:pPr>
        <w:ind w:left="432" w:hanging="432"/>
      </w:pPr>
      <w:rPr>
        <w:b/>
      </w:rPr>
    </w:lvl>
    <w:lvl w:ilvl="1">
      <w:start w:val="1"/>
      <w:numFmt w:val="decimal"/>
      <w:pStyle w:val="Heading2"/>
      <w:lvlText w:val="%2."/>
      <w:lvlJc w:val="left"/>
      <w:pPr>
        <w:ind w:left="860"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2C656211"/>
    <w:multiLevelType w:val="hybridMultilevel"/>
    <w:tmpl w:val="AECAE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6">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
    <w:nsid w:val="2F6E5929"/>
    <w:multiLevelType w:val="hybridMultilevel"/>
    <w:tmpl w:val="62B6553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nsid w:val="32327534"/>
    <w:multiLevelType w:val="hybridMultilevel"/>
    <w:tmpl w:val="4DE8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3545D84"/>
    <w:multiLevelType w:val="hybridMultilevel"/>
    <w:tmpl w:val="D304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4D2CF2"/>
    <w:multiLevelType w:val="multilevel"/>
    <w:tmpl w:val="0AACAD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AC54519"/>
    <w:multiLevelType w:val="multilevel"/>
    <w:tmpl w:val="19FAF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4">
    <w:nsid w:val="44DA2072"/>
    <w:multiLevelType w:val="hybridMultilevel"/>
    <w:tmpl w:val="E39C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6">
    <w:nsid w:val="51B54209"/>
    <w:multiLevelType w:val="hybridMultilevel"/>
    <w:tmpl w:val="145C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391591"/>
    <w:multiLevelType w:val="multilevel"/>
    <w:tmpl w:val="C8305900"/>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60"/>
        </w:tabs>
        <w:ind w:left="97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8">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1">
    <w:nsid w:val="5C4B6584"/>
    <w:multiLevelType w:val="multilevel"/>
    <w:tmpl w:val="9B3CC87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nsid w:val="64A12FA4"/>
    <w:multiLevelType w:val="multilevel"/>
    <w:tmpl w:val="E9B68C2E"/>
    <w:lvl w:ilvl="0">
      <w:start w:val="1"/>
      <w:numFmt w:val="decimal"/>
      <w:lvlText w:val="%1"/>
      <w:lvlJc w:val="left"/>
      <w:pPr>
        <w:ind w:left="432" w:hanging="432"/>
      </w:pPr>
      <w:rPr>
        <w:b/>
      </w:rPr>
    </w:lvl>
    <w:lvl w:ilvl="1">
      <w:start w:val="1"/>
      <w:numFmt w:val="decimal"/>
      <w:lvlText w:val="%1.%2"/>
      <w:lvlJc w:val="left"/>
      <w:pPr>
        <w:ind w:left="860" w:hanging="576"/>
      </w:pPr>
      <w:rPr>
        <w:color w:val="auto"/>
        <w:sz w:val="24"/>
        <w:szCs w:val="24"/>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663977AF"/>
    <w:multiLevelType w:val="hybridMultilevel"/>
    <w:tmpl w:val="789A437E"/>
    <w:name w:val="0,8244091"/>
    <w:lvl w:ilvl="0" w:tplc="1F86C700">
      <w:start w:val="1"/>
      <w:numFmt w:val="bullet"/>
      <w:lvlRestart w:val="0"/>
      <w:pStyle w:val="ListDash"/>
      <w:lvlText w:val="–"/>
      <w:lvlJc w:val="left"/>
      <w:pPr>
        <w:tabs>
          <w:tab w:val="num" w:pos="283"/>
        </w:tabs>
        <w:ind w:left="283" w:hanging="283"/>
      </w:pPr>
      <w:rPr>
        <w:rFonts w:ascii="Times New Roman" w:hAnsi="Times New Roman"/>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670D2527"/>
    <w:multiLevelType w:val="hybridMultilevel"/>
    <w:tmpl w:val="B134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nsid w:val="6AB15973"/>
    <w:multiLevelType w:val="multilevel"/>
    <w:tmpl w:val="0AF6C7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F3E6E66"/>
    <w:multiLevelType w:val="hybridMultilevel"/>
    <w:tmpl w:val="1BCA743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9">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43"/>
  </w:num>
  <w:num w:numId="2">
    <w:abstractNumId w:val="42"/>
  </w:num>
  <w:num w:numId="3">
    <w:abstractNumId w:val="32"/>
  </w:num>
  <w:num w:numId="4">
    <w:abstractNumId w:val="46"/>
  </w:num>
  <w:num w:numId="5">
    <w:abstractNumId w:val="26"/>
  </w:num>
  <w:num w:numId="6">
    <w:abstractNumId w:val="33"/>
  </w:num>
  <w:num w:numId="7">
    <w:abstractNumId w:val="20"/>
  </w:num>
  <w:num w:numId="8">
    <w:abstractNumId w:val="35"/>
  </w:num>
  <w:num w:numId="9">
    <w:abstractNumId w:val="39"/>
  </w:num>
  <w:num w:numId="10">
    <w:abstractNumId w:val="40"/>
  </w:num>
  <w:num w:numId="11">
    <w:abstractNumId w:val="25"/>
  </w:num>
  <w:num w:numId="12">
    <w:abstractNumId w:val="38"/>
  </w:num>
  <w:num w:numId="13">
    <w:abstractNumId w:val="49"/>
  </w:num>
  <w:num w:numId="14">
    <w:abstractNumId w:val="7"/>
  </w:num>
  <w:num w:numId="15">
    <w:abstractNumId w:val="5"/>
  </w:num>
  <w:num w:numId="16">
    <w:abstractNumId w:val="4"/>
  </w:num>
  <w:num w:numId="17">
    <w:abstractNumId w:val="3"/>
  </w:num>
  <w:num w:numId="18">
    <w:abstractNumId w:val="44"/>
  </w:num>
  <w:num w:numId="19">
    <w:abstractNumId w:val="37"/>
  </w:num>
  <w:num w:numId="20">
    <w:abstractNumId w:val="16"/>
  </w:num>
  <w:num w:numId="21">
    <w:abstractNumId w:val="6"/>
  </w:num>
  <w:num w:numId="22">
    <w:abstractNumId w:val="2"/>
  </w:num>
  <w:num w:numId="23">
    <w:abstractNumId w:val="1"/>
  </w:num>
  <w:num w:numId="24">
    <w:abstractNumId w:val="0"/>
  </w:num>
  <w:num w:numId="25">
    <w:abstractNumId w:val="47"/>
  </w:num>
  <w:num w:numId="26">
    <w:abstractNumId w:val="19"/>
  </w:num>
  <w:num w:numId="27">
    <w:abstractNumId w:val="9"/>
  </w:num>
  <w:num w:numId="28">
    <w:abstractNumId w:val="48"/>
  </w:num>
  <w:num w:numId="29">
    <w:abstractNumId w:val="21"/>
  </w:num>
  <w:num w:numId="30">
    <w:abstractNumId w:val="28"/>
  </w:num>
  <w:num w:numId="31">
    <w:abstractNumId w:val="22"/>
  </w:num>
  <w:num w:numId="32">
    <w:abstractNumId w:val="8"/>
  </w:num>
  <w:num w:numId="33">
    <w:abstractNumId w:val="27"/>
  </w:num>
  <w:num w:numId="34">
    <w:abstractNumId w:val="15"/>
  </w:num>
  <w:num w:numId="35">
    <w:abstractNumId w:val="23"/>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0"/>
  </w:num>
  <w:num w:numId="40">
    <w:abstractNumId w:val="11"/>
  </w:num>
  <w:num w:numId="41">
    <w:abstractNumId w:val="30"/>
  </w:num>
  <w:num w:numId="42">
    <w:abstractNumId w:val="14"/>
  </w:num>
  <w:num w:numId="43">
    <w:abstractNumId w:val="23"/>
  </w:num>
  <w:num w:numId="44">
    <w:abstractNumId w:val="23"/>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4"/>
  </w:num>
  <w:num w:numId="48">
    <w:abstractNumId w:val="13"/>
  </w:num>
  <w:num w:numId="49">
    <w:abstractNumId w:val="41"/>
    <w:lvlOverride w:ilvl="0">
      <w:startOverride w:val="1"/>
    </w:lvlOverride>
    <w:lvlOverride w:ilvl="1"/>
    <w:lvlOverride w:ilvl="2"/>
    <w:lvlOverride w:ilvl="3"/>
    <w:lvlOverride w:ilvl="4"/>
    <w:lvlOverride w:ilvl="5"/>
    <w:lvlOverride w:ilvl="6"/>
    <w:lvlOverride w:ilvl="7"/>
    <w:lvlOverride w:ilvl="8"/>
  </w:num>
  <w:num w:numId="50">
    <w:abstractNumId w:val="12"/>
  </w:num>
  <w:num w:numId="51">
    <w:abstractNumId w:val="34"/>
  </w:num>
  <w:num w:numId="52">
    <w:abstractNumId w:val="17"/>
  </w:num>
  <w:num w:numId="53">
    <w:abstractNumId w:val="45"/>
  </w:num>
  <w:num w:numId="54">
    <w:abstractNumId w:val="29"/>
  </w:num>
  <w:num w:numId="55">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drawingGridHorizontalSpacing w:val="110"/>
  <w:displayHorizontalDrawingGridEvery w:val="2"/>
  <w:characterSpacingControl w:val="doNotCompress"/>
  <w:hdrShapeDefaults>
    <o:shapedefaults v:ext="edit" spidmax="2253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3DBEE2F8-80C1-4A14-AE9C-CDE730CCE3BD"/>
    <w:docVar w:name="LW_COVERPAGE_TYPE" w:val="1"/>
    <w:docVar w:name="LW_CROSSREFERENCE" w:val="{SWD(2018) 489 final}"/>
    <w:docVar w:name="LW_DocType" w:val="NORMAL"/>
    <w:docVar w:name="LW_EMISSION" w:val="12.12.2018"/>
    <w:docVar w:name="LW_EMISSION_ISODATE" w:val="2018-12-12"/>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8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Mise en \u339?uvre du troisième programme d\u8217?action de l\u8217?Union dans le domaine de la santé en 2015"/>
    <w:docVar w:name="LW_TYPE.DOC.CP" w:val="RAPPORT DE LA COMMISSION AU PARLEMENT EUROPÉEN ET AU CONSEIL"/>
    <w:docVar w:name="Stamp" w:val="\\dossiers.dgt.cec.eu.int\dossiers\SANTE\SANTE-2018-11157\SANTE-2018-11157-00-00-EN-EDT-00.201809171739266421595.DOCX"/>
  </w:docVar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Heading1">
    <w:name w:val="heading 1"/>
    <w:basedOn w:val="Normal"/>
    <w:next w:val="Normal"/>
    <w:link w:val="Heading1Char"/>
    <w:qFormat/>
    <w:pPr>
      <w:keepNext/>
      <w:spacing w:before="360" w:after="12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qFormat/>
    <w:pPr>
      <w:keepNext/>
      <w:numPr>
        <w:ilvl w:val="1"/>
        <w:numId w:val="35"/>
      </w:numPr>
      <w:spacing w:after="240" w:line="240" w:lineRule="auto"/>
      <w:jc w:val="both"/>
      <w:outlineLvl w:val="1"/>
    </w:pPr>
    <w:rPr>
      <w:rFonts w:eastAsia="Times New Roman" w:cs="Times New Roman"/>
      <w:b/>
      <w:bCs/>
      <w:i/>
      <w:iCs/>
      <w:sz w:val="28"/>
      <w:szCs w:val="28"/>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eastAsia="Times New Roman" w:cs="Times New Roman"/>
      <w:bCs/>
      <w:i/>
      <w:sz w:val="24"/>
      <w:szCs w:val="26"/>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eastAsia="Times New Roman" w:cs="Times New Roman"/>
      <w:bCs/>
      <w:sz w:val="24"/>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Pr>
      <w:rFonts w:ascii="Calibri" w:eastAsia="Times New Roman" w:hAnsi="Calibri" w:cs="Times New Roman"/>
      <w:b/>
      <w:bCs/>
    </w:rPr>
  </w:style>
  <w:style w:type="character" w:customStyle="1" w:styleId="Heading7Char">
    <w:name w:val="Heading 7 Char"/>
    <w:basedOn w:val="DefaultParagraphFont"/>
    <w:link w:val="Heading7"/>
    <w:uiPriority w:val="9"/>
    <w:semiHidden/>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Pr>
      <w:rFonts w:ascii="Cambria" w:eastAsia="Times New Roman" w:hAnsi="Cambria" w:cs="Times New Roman"/>
    </w:rPr>
  </w:style>
  <w:style w:type="paragraph" w:styleId="TOC1">
    <w:name w:val="toc 1"/>
    <w:basedOn w:val="Normal"/>
    <w:next w:val="Normal"/>
    <w:autoRedefine/>
    <w:uiPriority w:val="39"/>
    <w:unhideWhenUsed/>
    <w:pPr>
      <w:tabs>
        <w:tab w:val="left" w:pos="440"/>
        <w:tab w:val="right" w:leader="dot" w:pos="9063"/>
      </w:tabs>
    </w:pPr>
    <w:rPr>
      <w:rFonts w:eastAsia="Calibri" w:cs="Times New Roman"/>
      <w:noProof/>
      <w:sz w:val="24"/>
      <w:szCs w:val="24"/>
    </w:rPr>
  </w:style>
  <w:style w:type="paragraph" w:styleId="TOC3">
    <w:name w:val="toc 3"/>
    <w:basedOn w:val="Normal"/>
    <w:next w:val="Normal"/>
    <w:autoRedefine/>
    <w:uiPriority w:val="39"/>
    <w:unhideWhenUsed/>
    <w:pPr>
      <w:ind w:left="440"/>
    </w:pPr>
    <w:rPr>
      <w:rFonts w:ascii="Calibri" w:eastAsia="Calibri" w:hAnsi="Calibri" w:cs="Times New Roman"/>
    </w:rPr>
  </w:style>
  <w:style w:type="paragraph" w:styleId="TOC2">
    <w:name w:val="toc 2"/>
    <w:basedOn w:val="Normal"/>
    <w:next w:val="Normal"/>
    <w:autoRedefine/>
    <w:uiPriority w:val="39"/>
    <w:unhideWhenUsed/>
    <w:pPr>
      <w:tabs>
        <w:tab w:val="left" w:pos="880"/>
        <w:tab w:val="right" w:leader="dot" w:pos="9063"/>
      </w:tabs>
      <w:spacing w:after="100"/>
      <w:ind w:left="142"/>
    </w:pPr>
    <w:rPr>
      <w:rFonts w:eastAsia="Arial Unicode MS" w:cs="Times New Roman"/>
      <w:noProof/>
      <w:sz w:val="24"/>
      <w:szCs w:val="24"/>
    </w:rPr>
  </w:style>
  <w:style w:type="paragraph" w:styleId="TOC4">
    <w:name w:val="toc 4"/>
    <w:basedOn w:val="Normal"/>
    <w:next w:val="Normal"/>
    <w:autoRedefine/>
    <w:uiPriority w:val="39"/>
    <w:unhideWhenUse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pPr>
      <w:spacing w:after="100"/>
      <w:ind w:left="1760"/>
    </w:pPr>
    <w:rPr>
      <w:rFonts w:ascii="Calibri" w:eastAsia="Times New Roman" w:hAnsi="Calibri" w:cs="Times New Roman"/>
    </w:rPr>
  </w:style>
  <w:style w:type="character" w:styleId="Hyperlink">
    <w:name w:val="Hyperlink"/>
    <w:uiPriority w:val="99"/>
    <w:unhideWhenUsed/>
    <w:rPr>
      <w:color w:val="0000FF"/>
      <w:u w:val="single"/>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character" w:styleId="FollowedHyperlink">
    <w:name w:val="FollowedHyperlink"/>
    <w:unhideWhenUsed/>
    <w:rPr>
      <w:color w:val="800080"/>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FootnoteText">
    <w:name w:val="footnote text"/>
    <w:basedOn w:val="Normal"/>
    <w:semiHidden/>
    <w:unhideWhenUsed/>
    <w:rPr>
      <w:rFonts w:ascii="Calibri" w:eastAsia="Calibri" w:hAnsi="Calibri" w:cs="Times New Roman"/>
      <w:sz w:val="20"/>
      <w:szCs w:val="20"/>
    </w:rPr>
  </w:style>
  <w:style w:type="character" w:customStyle="1" w:styleId="FootnoteTextChar">
    <w:name w:val="Footnote Text Char"/>
    <w:basedOn w:val="DefaultParagraphFont"/>
    <w:semiHidden/>
    <w:rPr>
      <w:rFonts w:ascii="Calibri" w:eastAsia="Calibri" w:hAnsi="Calibri" w:cs="Times New Roman"/>
      <w:sz w:val="20"/>
      <w:szCs w:val="20"/>
    </w:rPr>
  </w:style>
  <w:style w:type="character" w:styleId="FootnoteReference">
    <w:name w:val="footnote reference"/>
    <w:aliases w:val="Footnote symbol,Footnote,Voetnootverwijzing,Times 10 Point,Exposant 3 Point,Appel note de bas de p,BVI fnr,Footnote Refernece,Fußnotenzeichen_Raxen,callout,Footnote Reference Number,SUPERS,Footnote reference number,note TESI,fr,o"/>
    <w:unhideWhenUsed/>
    <w:rPr>
      <w:vertAlign w:val="superscript"/>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Text1">
    <w:name w:val="Text 1"/>
    <w:basedOn w:val="Normal"/>
    <w:pPr>
      <w:spacing w:before="120" w:after="120" w:line="240" w:lineRule="auto"/>
      <w:ind w:left="850"/>
      <w:jc w:val="both"/>
    </w:pPr>
    <w:rPr>
      <w:rFonts w:eastAsia="Times New Roman" w:cs="Times New Roman"/>
      <w:sz w:val="24"/>
      <w:szCs w:val="24"/>
    </w:rPr>
  </w:style>
  <w:style w:type="paragraph" w:customStyle="1" w:styleId="Text2">
    <w:name w:val="Text 2"/>
    <w:basedOn w:val="Normal"/>
    <w:pPr>
      <w:spacing w:before="120" w:after="120" w:line="240" w:lineRule="auto"/>
      <w:ind w:left="1417"/>
      <w:jc w:val="both"/>
    </w:pPr>
    <w:rPr>
      <w:rFonts w:eastAsia="Times New Roman" w:cs="Times New Roman"/>
      <w:sz w:val="24"/>
      <w:szCs w:val="24"/>
    </w:rPr>
  </w:style>
  <w:style w:type="paragraph" w:customStyle="1" w:styleId="Text3">
    <w:name w:val="Text 3"/>
    <w:basedOn w:val="Normal"/>
    <w:pPr>
      <w:spacing w:before="120" w:after="120" w:line="240" w:lineRule="auto"/>
      <w:ind w:left="1984"/>
      <w:jc w:val="both"/>
    </w:pPr>
    <w:rPr>
      <w:rFonts w:eastAsia="Times New Roman" w:cs="Times New Roman"/>
      <w:sz w:val="24"/>
      <w:szCs w:val="24"/>
    </w:rPr>
  </w:style>
  <w:style w:type="paragraph" w:customStyle="1" w:styleId="Text4">
    <w:name w:val="Text 4"/>
    <w:basedOn w:val="Normal"/>
    <w:pPr>
      <w:spacing w:before="120" w:after="120" w:line="240" w:lineRule="auto"/>
      <w:ind w:left="2551"/>
      <w:jc w:val="both"/>
    </w:pPr>
    <w:rPr>
      <w:rFonts w:eastAsia="Times New Roman" w:cs="Times New Roman"/>
      <w:sz w:val="24"/>
      <w:szCs w:val="24"/>
    </w:rPr>
  </w:style>
  <w:style w:type="paragraph" w:customStyle="1" w:styleId="NormalCentered">
    <w:name w:val="Normal Centered"/>
    <w:basedOn w:val="Normal"/>
    <w:pPr>
      <w:spacing w:before="120" w:after="120" w:line="240" w:lineRule="auto"/>
      <w:jc w:val="center"/>
    </w:pPr>
    <w:rPr>
      <w:rFonts w:eastAsia="Times New Roman" w:cs="Times New Roman"/>
      <w:sz w:val="24"/>
      <w:szCs w:val="24"/>
    </w:rPr>
  </w:style>
  <w:style w:type="paragraph" w:customStyle="1" w:styleId="NormalLeft">
    <w:name w:val="Normal Left"/>
    <w:basedOn w:val="Normal"/>
    <w:pPr>
      <w:spacing w:before="120" w:after="120" w:line="240" w:lineRule="auto"/>
    </w:pPr>
    <w:rPr>
      <w:rFonts w:eastAsia="Times New Roman" w:cs="Times New Roman"/>
      <w:sz w:val="24"/>
      <w:szCs w:val="24"/>
    </w:rPr>
  </w:style>
  <w:style w:type="paragraph" w:customStyle="1" w:styleId="NormalRight">
    <w:name w:val="Normal Right"/>
    <w:basedOn w:val="Normal"/>
    <w:pPr>
      <w:spacing w:before="120" w:after="120" w:line="240" w:lineRule="auto"/>
      <w:jc w:val="right"/>
    </w:pPr>
    <w:rPr>
      <w:rFonts w:eastAsia="Times New Roman" w:cs="Times New Roman"/>
      <w:sz w:val="24"/>
      <w:szCs w:val="24"/>
    </w:rPr>
  </w:style>
  <w:style w:type="paragraph" w:customStyle="1" w:styleId="QuotedText">
    <w:name w:val="Quoted Text"/>
    <w:basedOn w:val="Normal"/>
    <w:pPr>
      <w:spacing w:before="120" w:after="120" w:line="240" w:lineRule="auto"/>
      <w:ind w:left="1417"/>
      <w:jc w:val="both"/>
    </w:pPr>
    <w:rPr>
      <w:rFonts w:eastAsia="Times New Roman" w:cs="Times New Roman"/>
      <w:sz w:val="24"/>
      <w:szCs w:val="24"/>
    </w:rPr>
  </w:style>
  <w:style w:type="paragraph" w:customStyle="1" w:styleId="Point0">
    <w:name w:val="Point 0"/>
    <w:basedOn w:val="Normal"/>
    <w:pPr>
      <w:spacing w:before="120" w:after="120" w:line="240" w:lineRule="auto"/>
      <w:ind w:left="850" w:hanging="850"/>
      <w:jc w:val="both"/>
    </w:pPr>
    <w:rPr>
      <w:rFonts w:eastAsia="Times New Roman" w:cs="Times New Roman"/>
      <w:sz w:val="24"/>
      <w:szCs w:val="24"/>
    </w:rPr>
  </w:style>
  <w:style w:type="paragraph" w:customStyle="1" w:styleId="Point1">
    <w:name w:val="Point 1"/>
    <w:basedOn w:val="Normal"/>
    <w:pPr>
      <w:spacing w:before="120" w:after="120" w:line="240" w:lineRule="auto"/>
      <w:ind w:left="1417" w:hanging="567"/>
      <w:jc w:val="both"/>
    </w:pPr>
    <w:rPr>
      <w:rFonts w:eastAsia="Times New Roman" w:cs="Times New Roman"/>
      <w:sz w:val="24"/>
      <w:szCs w:val="24"/>
    </w:rPr>
  </w:style>
  <w:style w:type="paragraph" w:customStyle="1" w:styleId="Point2">
    <w:name w:val="Point 2"/>
    <w:basedOn w:val="Normal"/>
    <w:pPr>
      <w:spacing w:before="120" w:after="120" w:line="240" w:lineRule="auto"/>
      <w:ind w:left="1984" w:hanging="567"/>
      <w:jc w:val="both"/>
    </w:pPr>
    <w:rPr>
      <w:rFonts w:eastAsia="Times New Roman" w:cs="Times New Roman"/>
      <w:sz w:val="24"/>
      <w:szCs w:val="24"/>
    </w:rPr>
  </w:style>
  <w:style w:type="paragraph" w:customStyle="1" w:styleId="Point3">
    <w:name w:val="Point 3"/>
    <w:basedOn w:val="Normal"/>
    <w:pPr>
      <w:spacing w:before="120" w:after="120" w:line="240" w:lineRule="auto"/>
      <w:ind w:left="2551" w:hanging="567"/>
      <w:jc w:val="both"/>
    </w:pPr>
    <w:rPr>
      <w:rFonts w:eastAsia="Times New Roman" w:cs="Times New Roman"/>
      <w:sz w:val="24"/>
      <w:szCs w:val="24"/>
    </w:rPr>
  </w:style>
  <w:style w:type="paragraph" w:customStyle="1" w:styleId="Point4">
    <w:name w:val="Point 4"/>
    <w:basedOn w:val="Normal"/>
    <w:pPr>
      <w:spacing w:before="120" w:after="120" w:line="240" w:lineRule="auto"/>
      <w:ind w:left="3118" w:hanging="567"/>
      <w:jc w:val="both"/>
    </w:pPr>
    <w:rPr>
      <w:rFonts w:eastAsia="Times New Roman" w:cs="Times New Roman"/>
      <w:sz w:val="24"/>
      <w:szCs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line="240" w:lineRule="auto"/>
      <w:ind w:left="1417" w:hanging="1417"/>
      <w:jc w:val="both"/>
    </w:pPr>
    <w:rPr>
      <w:rFonts w:eastAsia="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eastAsia="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eastAsia="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eastAsia="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eastAsia="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eastAsia="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eastAsia="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eastAsia="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eastAsia="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eastAsia="Times New Roman" w:cs="Times New Roman"/>
      <w:sz w:val="24"/>
      <w:szCs w:val="24"/>
    </w:rPr>
  </w:style>
  <w:style w:type="paragraph" w:customStyle="1" w:styleId="NumPar1">
    <w:name w:val="NumPar 1"/>
    <w:basedOn w:val="Normal"/>
    <w:next w:val="Text1"/>
    <w:pPr>
      <w:numPr>
        <w:numId w:val="7"/>
      </w:numPr>
      <w:spacing w:before="120" w:after="120" w:line="240" w:lineRule="auto"/>
      <w:jc w:val="both"/>
    </w:pPr>
    <w:rPr>
      <w:rFonts w:eastAsia="Times New Roman" w:cs="Times New Roman"/>
      <w:sz w:val="24"/>
      <w:szCs w:val="24"/>
    </w:rPr>
  </w:style>
  <w:style w:type="paragraph" w:customStyle="1" w:styleId="NumPar2">
    <w:name w:val="NumPar 2"/>
    <w:basedOn w:val="Normal"/>
    <w:next w:val="Text1"/>
    <w:pPr>
      <w:numPr>
        <w:ilvl w:val="1"/>
        <w:numId w:val="7"/>
      </w:numPr>
      <w:spacing w:before="120" w:after="120" w:line="240" w:lineRule="auto"/>
      <w:jc w:val="both"/>
    </w:pPr>
    <w:rPr>
      <w:rFonts w:eastAsia="Times New Roman" w:cs="Times New Roman"/>
      <w:sz w:val="24"/>
      <w:szCs w:val="24"/>
    </w:rPr>
  </w:style>
  <w:style w:type="paragraph" w:customStyle="1" w:styleId="NumPar3">
    <w:name w:val="NumPar 3"/>
    <w:basedOn w:val="Normal"/>
    <w:next w:val="Text1"/>
    <w:pPr>
      <w:numPr>
        <w:ilvl w:val="2"/>
        <w:numId w:val="7"/>
      </w:numPr>
      <w:spacing w:before="120" w:after="120" w:line="240" w:lineRule="auto"/>
      <w:jc w:val="both"/>
    </w:pPr>
    <w:rPr>
      <w:rFonts w:eastAsia="Times New Roman" w:cs="Times New Roman"/>
      <w:sz w:val="24"/>
      <w:szCs w:val="24"/>
    </w:rPr>
  </w:style>
  <w:style w:type="paragraph" w:customStyle="1" w:styleId="NumPar4">
    <w:name w:val="NumPar 4"/>
    <w:basedOn w:val="Normal"/>
    <w:next w:val="Text1"/>
    <w:pPr>
      <w:numPr>
        <w:ilvl w:val="3"/>
        <w:numId w:val="7"/>
      </w:numPr>
      <w:spacing w:before="120" w:after="120" w:line="240" w:lineRule="auto"/>
      <w:jc w:val="both"/>
    </w:pPr>
    <w:rPr>
      <w:rFonts w:eastAsia="Times New Roman" w:cs="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eastAsia="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eastAsia="Times New Roman" w:cs="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eastAsia="Times New Roman" w:cs="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eastAsia="Times New Roman" w:cs="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cs="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eastAsia="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eastAsia="Times New Roman" w:cs="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eastAsia="Times New Roman" w:cs="Times New Roman"/>
      <w:b/>
      <w:sz w:val="36"/>
      <w:szCs w:val="24"/>
    </w:rPr>
  </w:style>
  <w:style w:type="paragraph" w:customStyle="1" w:styleId="SectionTitle">
    <w:name w:val="SectionTitle"/>
    <w:basedOn w:val="Normal"/>
    <w:next w:val="Heading1"/>
    <w:pPr>
      <w:keepNext/>
      <w:spacing w:before="120" w:after="360" w:line="240" w:lineRule="auto"/>
      <w:jc w:val="center"/>
    </w:pPr>
    <w:rPr>
      <w:rFonts w:eastAsia="Times New Roman" w:cs="Times New Roman"/>
      <w:b/>
      <w:smallCaps/>
      <w:sz w:val="28"/>
      <w:szCs w:val="24"/>
    </w:rPr>
  </w:style>
  <w:style w:type="paragraph" w:customStyle="1" w:styleId="TableTitle">
    <w:name w:val="Table Title"/>
    <w:basedOn w:val="Normal"/>
    <w:next w:val="Normal"/>
    <w:pPr>
      <w:spacing w:before="120" w:after="120" w:line="240" w:lineRule="auto"/>
      <w:jc w:val="center"/>
    </w:pPr>
    <w:rPr>
      <w:rFonts w:eastAsia="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styleId="TOCHeading">
    <w:name w:val="TOC Heading"/>
    <w:basedOn w:val="Normal"/>
    <w:next w:val="Normal"/>
    <w:uiPriority w:val="39"/>
    <w:qFormat/>
    <w:pPr>
      <w:spacing w:before="120" w:after="240" w:line="240" w:lineRule="auto"/>
    </w:pPr>
    <w:rPr>
      <w:rFonts w:eastAsia="Times New Roman" w:cs="Times New Roman"/>
      <w:b/>
      <w:sz w:val="28"/>
      <w:szCs w:val="24"/>
    </w:rPr>
  </w:style>
  <w:style w:type="paragraph" w:customStyle="1" w:styleId="Point0number">
    <w:name w:val="Point 0 (number)"/>
    <w:basedOn w:val="Normal"/>
    <w:pPr>
      <w:numPr>
        <w:numId w:val="20"/>
      </w:numPr>
      <w:spacing w:before="120" w:after="120" w:line="240" w:lineRule="auto"/>
      <w:jc w:val="both"/>
    </w:pPr>
    <w:rPr>
      <w:rFonts w:eastAsia="Times New Roman" w:cs="Times New Roman"/>
      <w:sz w:val="24"/>
      <w:szCs w:val="24"/>
    </w:rPr>
  </w:style>
  <w:style w:type="paragraph" w:customStyle="1" w:styleId="Point1number">
    <w:name w:val="Point 1 (number)"/>
    <w:basedOn w:val="Normal"/>
    <w:pPr>
      <w:numPr>
        <w:ilvl w:val="2"/>
        <w:numId w:val="20"/>
      </w:numPr>
      <w:spacing w:before="120" w:after="120" w:line="240" w:lineRule="auto"/>
      <w:jc w:val="both"/>
    </w:pPr>
    <w:rPr>
      <w:rFonts w:eastAsia="Times New Roman" w:cs="Times New Roman"/>
      <w:sz w:val="24"/>
      <w:szCs w:val="24"/>
    </w:rPr>
  </w:style>
  <w:style w:type="paragraph" w:customStyle="1" w:styleId="Point2number">
    <w:name w:val="Point 2 (number)"/>
    <w:basedOn w:val="Normal"/>
    <w:pPr>
      <w:numPr>
        <w:ilvl w:val="4"/>
        <w:numId w:val="20"/>
      </w:numPr>
      <w:spacing w:before="120" w:after="120" w:line="240" w:lineRule="auto"/>
      <w:jc w:val="both"/>
    </w:pPr>
    <w:rPr>
      <w:rFonts w:eastAsia="Times New Roman" w:cs="Times New Roman"/>
      <w:sz w:val="24"/>
      <w:szCs w:val="24"/>
    </w:rPr>
  </w:style>
  <w:style w:type="paragraph" w:customStyle="1" w:styleId="Point3number">
    <w:name w:val="Point 3 (number)"/>
    <w:basedOn w:val="Normal"/>
    <w:pPr>
      <w:numPr>
        <w:ilvl w:val="6"/>
        <w:numId w:val="20"/>
      </w:numPr>
      <w:spacing w:before="120" w:after="120" w:line="240" w:lineRule="auto"/>
      <w:jc w:val="both"/>
    </w:pPr>
    <w:rPr>
      <w:rFonts w:eastAsia="Times New Roman" w:cs="Times New Roman"/>
      <w:sz w:val="24"/>
      <w:szCs w:val="24"/>
    </w:rPr>
  </w:style>
  <w:style w:type="paragraph" w:customStyle="1" w:styleId="Point0letter">
    <w:name w:val="Point 0 (letter)"/>
    <w:basedOn w:val="Normal"/>
    <w:pPr>
      <w:numPr>
        <w:ilvl w:val="1"/>
        <w:numId w:val="20"/>
      </w:numPr>
      <w:spacing w:before="120" w:after="120" w:line="240" w:lineRule="auto"/>
      <w:jc w:val="both"/>
    </w:pPr>
    <w:rPr>
      <w:rFonts w:eastAsia="Times New Roman" w:cs="Times New Roman"/>
      <w:sz w:val="24"/>
      <w:szCs w:val="24"/>
    </w:rPr>
  </w:style>
  <w:style w:type="paragraph" w:customStyle="1" w:styleId="Point1letter">
    <w:name w:val="Point 1 (letter)"/>
    <w:basedOn w:val="Normal"/>
    <w:pPr>
      <w:numPr>
        <w:ilvl w:val="3"/>
        <w:numId w:val="20"/>
      </w:numPr>
      <w:spacing w:before="120" w:after="120" w:line="240" w:lineRule="auto"/>
      <w:jc w:val="both"/>
    </w:pPr>
    <w:rPr>
      <w:rFonts w:eastAsia="Times New Roman" w:cs="Times New Roman"/>
      <w:sz w:val="24"/>
      <w:szCs w:val="24"/>
    </w:rPr>
  </w:style>
  <w:style w:type="paragraph" w:customStyle="1" w:styleId="Point2letter">
    <w:name w:val="Point 2 (letter)"/>
    <w:basedOn w:val="Normal"/>
    <w:pPr>
      <w:numPr>
        <w:ilvl w:val="5"/>
        <w:numId w:val="20"/>
      </w:numPr>
      <w:spacing w:before="120" w:after="120" w:line="240" w:lineRule="auto"/>
      <w:jc w:val="both"/>
    </w:pPr>
    <w:rPr>
      <w:rFonts w:eastAsia="Times New Roman" w:cs="Times New Roman"/>
      <w:sz w:val="24"/>
      <w:szCs w:val="24"/>
    </w:rPr>
  </w:style>
  <w:style w:type="paragraph" w:customStyle="1" w:styleId="Point3letter">
    <w:name w:val="Point 3 (letter)"/>
    <w:basedOn w:val="Normal"/>
    <w:pPr>
      <w:numPr>
        <w:ilvl w:val="7"/>
        <w:numId w:val="20"/>
      </w:numPr>
      <w:spacing w:before="120" w:after="120" w:line="240" w:lineRule="auto"/>
      <w:jc w:val="both"/>
    </w:pPr>
    <w:rPr>
      <w:rFonts w:eastAsia="Times New Roman" w:cs="Times New Roman"/>
      <w:sz w:val="24"/>
      <w:szCs w:val="24"/>
    </w:rPr>
  </w:style>
  <w:style w:type="paragraph" w:customStyle="1" w:styleId="Point4letter">
    <w:name w:val="Point 4 (letter)"/>
    <w:basedOn w:val="Normal"/>
    <w:pPr>
      <w:numPr>
        <w:ilvl w:val="8"/>
        <w:numId w:val="20"/>
      </w:numPr>
      <w:spacing w:before="120" w:after="120" w:line="240" w:lineRule="auto"/>
      <w:jc w:val="both"/>
    </w:pPr>
    <w:rPr>
      <w:rFonts w:eastAsia="Times New Roman" w:cs="Times New Roman"/>
      <w:sz w:val="24"/>
      <w:szCs w:val="24"/>
    </w:rPr>
  </w:style>
  <w:style w:type="paragraph" w:customStyle="1" w:styleId="Bullet0">
    <w:name w:val="Bullet 0"/>
    <w:basedOn w:val="Normal"/>
    <w:pPr>
      <w:numPr>
        <w:numId w:val="8"/>
      </w:numPr>
      <w:spacing w:before="120" w:after="120" w:line="240" w:lineRule="auto"/>
      <w:jc w:val="both"/>
    </w:pPr>
    <w:rPr>
      <w:rFonts w:eastAsia="Times New Roman" w:cs="Times New Roman"/>
      <w:sz w:val="24"/>
      <w:szCs w:val="24"/>
    </w:rPr>
  </w:style>
  <w:style w:type="paragraph" w:customStyle="1" w:styleId="Bullet1">
    <w:name w:val="Bullet 1"/>
    <w:basedOn w:val="Normal"/>
    <w:pPr>
      <w:numPr>
        <w:numId w:val="9"/>
      </w:numPr>
      <w:spacing w:before="120" w:after="120" w:line="240" w:lineRule="auto"/>
      <w:jc w:val="both"/>
    </w:pPr>
    <w:rPr>
      <w:rFonts w:eastAsia="Times New Roman" w:cs="Times New Roman"/>
      <w:sz w:val="24"/>
      <w:szCs w:val="24"/>
    </w:rPr>
  </w:style>
  <w:style w:type="paragraph" w:customStyle="1" w:styleId="Bullet2">
    <w:name w:val="Bullet 2"/>
    <w:basedOn w:val="Normal"/>
    <w:pPr>
      <w:numPr>
        <w:numId w:val="10"/>
      </w:numPr>
      <w:spacing w:before="120" w:after="120" w:line="240" w:lineRule="auto"/>
      <w:jc w:val="both"/>
    </w:pPr>
    <w:rPr>
      <w:rFonts w:eastAsia="Times New Roman" w:cs="Times New Roman"/>
      <w:sz w:val="24"/>
      <w:szCs w:val="24"/>
    </w:rPr>
  </w:style>
  <w:style w:type="paragraph" w:customStyle="1" w:styleId="Bullet3">
    <w:name w:val="Bullet 3"/>
    <w:basedOn w:val="Normal"/>
    <w:pPr>
      <w:numPr>
        <w:numId w:val="11"/>
      </w:numPr>
      <w:spacing w:before="120" w:after="120" w:line="240" w:lineRule="auto"/>
      <w:jc w:val="both"/>
    </w:pPr>
    <w:rPr>
      <w:rFonts w:eastAsia="Times New Roman" w:cs="Times New Roman"/>
      <w:sz w:val="24"/>
      <w:szCs w:val="24"/>
    </w:rPr>
  </w:style>
  <w:style w:type="paragraph" w:customStyle="1" w:styleId="Bullet4">
    <w:name w:val="Bullet 4"/>
    <w:basedOn w:val="Normal"/>
    <w:pPr>
      <w:numPr>
        <w:numId w:val="12"/>
      </w:numPr>
      <w:spacing w:before="120" w:after="120" w:line="240" w:lineRule="auto"/>
      <w:jc w:val="both"/>
    </w:pPr>
    <w:rPr>
      <w:rFonts w:eastAsia="Times New Roman" w:cs="Times New Roman"/>
      <w:sz w:val="24"/>
      <w:szCs w:val="24"/>
    </w:rPr>
  </w:style>
  <w:style w:type="paragraph" w:customStyle="1" w:styleId="Annexetitreexpos">
    <w:name w:val="Annexe titre (exposé)"/>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
    <w:name w:val="Annexe titre"/>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eastAsia="Times New Roman" w:cs="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eastAsia="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eastAsia="Times New Roman" w:cs="Times New Roman"/>
      <w:sz w:val="24"/>
      <w:szCs w:val="24"/>
      <w:u w:val="single"/>
    </w:rPr>
  </w:style>
  <w:style w:type="paragraph" w:customStyle="1" w:styleId="Confidence">
    <w:name w:val="Confidence"/>
    <w:basedOn w:val="Normal"/>
    <w:next w:val="Normal"/>
    <w:pPr>
      <w:spacing w:before="360" w:after="120" w:line="240" w:lineRule="auto"/>
      <w:jc w:val="center"/>
    </w:pPr>
    <w:rPr>
      <w:rFonts w:eastAsia="Times New Roman" w:cs="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eastAsia="Times New Roman" w:cs="Times New Roman"/>
      <w:i/>
      <w:sz w:val="32"/>
      <w:szCs w:val="24"/>
    </w:rPr>
  </w:style>
  <w:style w:type="paragraph" w:customStyle="1" w:styleId="Considrant">
    <w:name w:val="Considérant"/>
    <w:basedOn w:val="Normal"/>
    <w:pPr>
      <w:numPr>
        <w:numId w:val="13"/>
      </w:numPr>
      <w:spacing w:before="120" w:after="120" w:line="240" w:lineRule="auto"/>
      <w:jc w:val="both"/>
    </w:pPr>
    <w:rPr>
      <w:rFonts w:eastAsia="Times New Roman" w:cs="Times New Roman"/>
      <w:sz w:val="24"/>
      <w:szCs w:val="24"/>
    </w:rPr>
  </w:style>
  <w:style w:type="paragraph" w:customStyle="1" w:styleId="Corrigendum">
    <w:name w:val="Corrigendum"/>
    <w:basedOn w:val="Normal"/>
    <w:next w:val="Normal"/>
    <w:pPr>
      <w:spacing w:after="240" w:line="240" w:lineRule="auto"/>
    </w:pPr>
    <w:rPr>
      <w:rFonts w:eastAsia="Times New Roman" w:cs="Times New Roman"/>
      <w:sz w:val="24"/>
      <w:szCs w:val="24"/>
    </w:rPr>
  </w:style>
  <w:style w:type="paragraph" w:customStyle="1" w:styleId="Datedadoption">
    <w:name w:val="Date d'adoption"/>
    <w:basedOn w:val="Normal"/>
    <w:next w:val="Titreobjet"/>
    <w:pPr>
      <w:spacing w:before="360" w:after="0" w:line="240" w:lineRule="auto"/>
      <w:jc w:val="center"/>
    </w:pPr>
    <w:rPr>
      <w:rFonts w:eastAsia="Times New Roman" w:cs="Times New Roman"/>
      <w:b/>
      <w:sz w:val="24"/>
      <w:szCs w:val="24"/>
    </w:rPr>
  </w:style>
  <w:style w:type="paragraph" w:customStyle="1" w:styleId="Emission">
    <w:name w:val="Emission"/>
    <w:basedOn w:val="Normal"/>
    <w:next w:val="Rfrenceinstitutionnelle"/>
    <w:pPr>
      <w:spacing w:after="0" w:line="240" w:lineRule="auto"/>
      <w:ind w:left="5103"/>
    </w:pPr>
    <w:rPr>
      <w:rFonts w:eastAsia="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eastAsia="Times New Roman" w:cs="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eastAsia="Times New Roman" w:cs="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eastAsia="Times New Roman" w:cs="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eastAsia="Times New Roman" w:cs="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eastAsia="Times New Roman" w:cs="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eastAsia="Times New Roman" w:cs="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eastAsia="Times New Roman" w:cs="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eastAsia="Times New Roman" w:cs="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eastAsia="Times New Roman" w:cs="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eastAsia="Times New Roman" w:cs="Times New Roman"/>
      <w:sz w:val="24"/>
      <w:szCs w:val="24"/>
    </w:rPr>
  </w:style>
  <w:style w:type="paragraph" w:customStyle="1" w:styleId="Rfrenceinterne">
    <w:name w:val="Référence interne"/>
    <w:basedOn w:val="Normal"/>
    <w:next w:val="Rfrenceinterinstitutionnelle"/>
    <w:pPr>
      <w:spacing w:after="0" w:line="240" w:lineRule="auto"/>
      <w:ind w:left="5103"/>
    </w:pPr>
    <w:rPr>
      <w:rFonts w:eastAsia="Times New Roman" w:cs="Times New Roman"/>
      <w:sz w:val="24"/>
      <w:szCs w:val="24"/>
    </w:rPr>
  </w:style>
  <w:style w:type="paragraph" w:customStyle="1" w:styleId="Sous-titreobjet">
    <w:name w:val="Sous-titre objet"/>
    <w:basedOn w:val="Normal"/>
    <w:pPr>
      <w:spacing w:after="0" w:line="240" w:lineRule="auto"/>
      <w:jc w:val="center"/>
    </w:pPr>
    <w:rPr>
      <w:rFonts w:eastAsia="Times New Roman" w:cs="Times New Roman"/>
      <w:b/>
      <w:sz w:val="24"/>
      <w:szCs w:val="24"/>
    </w:rPr>
  </w:style>
  <w:style w:type="paragraph" w:customStyle="1" w:styleId="Statut">
    <w:name w:val="Statut"/>
    <w:basedOn w:val="Normal"/>
    <w:next w:val="Typedudocument"/>
    <w:pPr>
      <w:spacing w:before="360" w:after="0" w:line="240" w:lineRule="auto"/>
      <w:jc w:val="center"/>
    </w:pPr>
    <w:rPr>
      <w:rFonts w:eastAsia="Times New Roman" w:cs="Times New Roman"/>
      <w:sz w:val="24"/>
      <w:szCs w:val="24"/>
    </w:rPr>
  </w:style>
  <w:style w:type="paragraph" w:customStyle="1" w:styleId="Titrearticle">
    <w:name w:val="Titre article"/>
    <w:basedOn w:val="Normal"/>
    <w:next w:val="Normal"/>
    <w:pPr>
      <w:keepNext/>
      <w:spacing w:before="360" w:after="120" w:line="240" w:lineRule="auto"/>
      <w:jc w:val="center"/>
    </w:pPr>
    <w:rPr>
      <w:rFonts w:eastAsia="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eastAsia="Times New Roman" w:cs="Times New Roman"/>
      <w:b/>
      <w:sz w:val="24"/>
      <w:szCs w:val="24"/>
    </w:rPr>
  </w:style>
  <w:style w:type="paragraph" w:customStyle="1" w:styleId="Typedudocument">
    <w:name w:val="Type du document"/>
    <w:basedOn w:val="Normal"/>
    <w:next w:val="Titreobjet"/>
    <w:link w:val="TypedudocumentChar"/>
    <w:pPr>
      <w:spacing w:before="360" w:after="0" w:line="240" w:lineRule="auto"/>
      <w:jc w:val="center"/>
    </w:pPr>
    <w:rPr>
      <w:rFonts w:eastAsia="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pPr>
      <w:keepLines/>
      <w:spacing w:before="120" w:after="120" w:line="360" w:lineRule="auto"/>
      <w:ind w:left="3402"/>
    </w:pPr>
    <w:rPr>
      <w:rFonts w:eastAsia="Times New Roman" w:cs="Times New Roman"/>
      <w:sz w:val="24"/>
      <w:szCs w:val="24"/>
    </w:rPr>
  </w:style>
  <w:style w:type="paragraph" w:customStyle="1" w:styleId="Objetexterne">
    <w:name w:val="Objet externe"/>
    <w:basedOn w:val="Normal"/>
    <w:next w:val="Normal"/>
    <w:pPr>
      <w:spacing w:before="120" w:after="120" w:line="240" w:lineRule="auto"/>
      <w:jc w:val="both"/>
    </w:pPr>
    <w:rPr>
      <w:rFonts w:eastAsia="Times New Roman" w:cs="Times New Roman"/>
      <w:i/>
      <w:caps/>
      <w:sz w:val="24"/>
      <w:szCs w:val="24"/>
    </w:rPr>
  </w:style>
  <w:style w:type="paragraph" w:customStyle="1" w:styleId="Supertitre">
    <w:name w:val="Supertitre"/>
    <w:basedOn w:val="Normal"/>
    <w:next w:val="Normal"/>
    <w:pPr>
      <w:spacing w:after="600" w:line="240" w:lineRule="auto"/>
      <w:jc w:val="center"/>
    </w:pPr>
    <w:rPr>
      <w:rFonts w:eastAsia="Times New Roman" w:cs="Times New Roman"/>
      <w:b/>
      <w:sz w:val="24"/>
      <w:szCs w:val="24"/>
    </w:rPr>
  </w:style>
  <w:style w:type="paragraph" w:customStyle="1" w:styleId="Languesfaisantfoi">
    <w:name w:val="Langues faisant foi"/>
    <w:basedOn w:val="Normal"/>
    <w:next w:val="Normal"/>
    <w:pPr>
      <w:spacing w:before="360" w:after="0" w:line="240" w:lineRule="auto"/>
      <w:jc w:val="center"/>
    </w:pPr>
    <w:rPr>
      <w:rFonts w:eastAsia="Times New Roman" w:cs="Times New Roman"/>
      <w:sz w:val="24"/>
      <w:szCs w:val="24"/>
    </w:rPr>
  </w:style>
  <w:style w:type="paragraph" w:customStyle="1" w:styleId="Rfrencecroise">
    <w:name w:val="Référence croisée"/>
    <w:basedOn w:val="Normal"/>
    <w:pPr>
      <w:spacing w:after="0" w:line="240" w:lineRule="auto"/>
      <w:jc w:val="center"/>
    </w:pPr>
    <w:rPr>
      <w:rFonts w:eastAsia="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eastAsia="Times New Roman" w:cs="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eastAsia="Times New Roman" w:cs="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eastAsia="Times New Roman" w:cs="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eastAsia="Times New Roman" w:cs="Times New Roman"/>
      <w:b/>
      <w:sz w:val="24"/>
      <w:szCs w:val="24"/>
    </w:rPr>
  </w:style>
  <w:style w:type="paragraph" w:customStyle="1" w:styleId="Objetacteprincipal">
    <w:name w:val="Objet acte principal"/>
    <w:basedOn w:val="Normal"/>
    <w:next w:val="Titrearticle"/>
    <w:pPr>
      <w:spacing w:after="360" w:line="240" w:lineRule="auto"/>
      <w:jc w:val="center"/>
    </w:pPr>
    <w:rPr>
      <w:rFonts w:eastAsia="Times New Roman" w:cs="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eastAsia="Times New Roman" w:cs="Times New Roman"/>
      <w:sz w:val="24"/>
      <w:szCs w:val="24"/>
    </w:rPr>
  </w:style>
  <w:style w:type="paragraph" w:styleId="ListBullet">
    <w:name w:val="List Bullet"/>
    <w:basedOn w:val="Normal"/>
    <w:pPr>
      <w:numPr>
        <w:numId w:val="14"/>
      </w:numPr>
      <w:spacing w:before="120" w:after="120" w:line="240" w:lineRule="auto"/>
      <w:contextualSpacing/>
      <w:jc w:val="both"/>
    </w:pPr>
    <w:rPr>
      <w:rFonts w:eastAsia="Times New Roman" w:cs="Times New Roman"/>
      <w:sz w:val="24"/>
      <w:szCs w:val="24"/>
    </w:rPr>
  </w:style>
  <w:style w:type="paragraph" w:styleId="ListBullet2">
    <w:name w:val="List Bullet 2"/>
    <w:basedOn w:val="Normal"/>
    <w:pPr>
      <w:numPr>
        <w:numId w:val="15"/>
      </w:numPr>
      <w:spacing w:before="120" w:after="120" w:line="240" w:lineRule="auto"/>
      <w:contextualSpacing/>
      <w:jc w:val="both"/>
    </w:pPr>
    <w:rPr>
      <w:rFonts w:eastAsia="Times New Roman" w:cs="Times New Roman"/>
      <w:sz w:val="24"/>
      <w:szCs w:val="24"/>
    </w:rPr>
  </w:style>
  <w:style w:type="paragraph" w:styleId="ListBullet3">
    <w:name w:val="List Bullet 3"/>
    <w:basedOn w:val="Normal"/>
    <w:pPr>
      <w:numPr>
        <w:numId w:val="16"/>
      </w:numPr>
      <w:spacing w:before="120" w:after="120" w:line="240" w:lineRule="auto"/>
      <w:contextualSpacing/>
      <w:jc w:val="both"/>
    </w:pPr>
    <w:rPr>
      <w:rFonts w:eastAsia="Times New Roman" w:cs="Times New Roman"/>
      <w:sz w:val="24"/>
      <w:szCs w:val="24"/>
    </w:rPr>
  </w:style>
  <w:style w:type="paragraph" w:styleId="ListBullet4">
    <w:name w:val="List Bullet 4"/>
    <w:basedOn w:val="Normal"/>
    <w:pPr>
      <w:numPr>
        <w:numId w:val="17"/>
      </w:numPr>
      <w:spacing w:before="120" w:after="120" w:line="240" w:lineRule="auto"/>
      <w:contextualSpacing/>
      <w:jc w:val="both"/>
    </w:pPr>
    <w:rPr>
      <w:rFonts w:eastAsia="Times New Roman" w:cs="Times New Roman"/>
      <w:sz w:val="24"/>
      <w:szCs w:val="24"/>
    </w:rPr>
  </w:style>
  <w:style w:type="paragraph" w:customStyle="1" w:styleId="ListDash">
    <w:name w:val="List Dash"/>
    <w:basedOn w:val="Normal"/>
    <w:pPr>
      <w:numPr>
        <w:numId w:val="18"/>
      </w:numPr>
      <w:spacing w:before="120" w:after="120" w:line="240" w:lineRule="auto"/>
      <w:jc w:val="both"/>
    </w:pPr>
    <w:rPr>
      <w:rFonts w:eastAsia="Times New Roman" w:cs="Times New Roman"/>
      <w:sz w:val="24"/>
      <w:szCs w:val="24"/>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rPr>
      <w:rFonts w:ascii="Calibri" w:eastAsia="Times New Roman" w:hAnsi="Calibri" w:cs="Times New Roman"/>
    </w:rPr>
  </w:style>
  <w:style w:type="numbering" w:styleId="111111">
    <w:name w:val="Outline List 2"/>
    <w:basedOn w:val="NoList"/>
    <w:pPr>
      <w:numPr>
        <w:numId w:val="19"/>
      </w:numPr>
    </w:pPr>
  </w:style>
  <w:style w:type="character" w:styleId="PageNumber">
    <w:name w:val="page numbe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pPr>
      <w:spacing w:before="120" w:after="120" w:line="240" w:lineRule="auto"/>
      <w:jc w:val="both"/>
    </w:pPr>
    <w:rPr>
      <w:rFonts w:eastAsia="Times New Roman" w:cs="Times New Roman"/>
      <w:b/>
      <w:bCs/>
      <w:sz w:val="20"/>
      <w:szCs w:val="20"/>
    </w:rPr>
  </w:style>
  <w:style w:type="paragraph" w:styleId="TableofFigures">
    <w:name w:val="table of figures"/>
    <w:basedOn w:val="Normal"/>
    <w:next w:val="Normal"/>
    <w:pPr>
      <w:spacing w:before="120" w:after="120" w:line="240" w:lineRule="auto"/>
      <w:jc w:val="both"/>
    </w:pPr>
    <w:rPr>
      <w:rFonts w:eastAsia="Times New Roman" w:cs="Times New Roman"/>
      <w:sz w:val="24"/>
      <w:szCs w:val="24"/>
    </w:rPr>
  </w:style>
  <w:style w:type="paragraph" w:styleId="ListNumber">
    <w:name w:val="List Number"/>
    <w:basedOn w:val="Normal"/>
    <w:pPr>
      <w:numPr>
        <w:numId w:val="21"/>
      </w:numPr>
      <w:spacing w:before="120" w:after="120" w:line="240" w:lineRule="auto"/>
      <w:contextualSpacing/>
      <w:jc w:val="both"/>
    </w:pPr>
    <w:rPr>
      <w:rFonts w:eastAsia="Times New Roman" w:cs="Times New Roman"/>
      <w:sz w:val="24"/>
      <w:szCs w:val="24"/>
    </w:rPr>
  </w:style>
  <w:style w:type="paragraph" w:styleId="ListNumber2">
    <w:name w:val="List Number 2"/>
    <w:basedOn w:val="Normal"/>
    <w:pPr>
      <w:numPr>
        <w:numId w:val="22"/>
      </w:numPr>
      <w:spacing w:before="120" w:after="120" w:line="240" w:lineRule="auto"/>
      <w:contextualSpacing/>
      <w:jc w:val="both"/>
    </w:pPr>
    <w:rPr>
      <w:rFonts w:eastAsia="Times New Roman" w:cs="Times New Roman"/>
      <w:sz w:val="24"/>
      <w:szCs w:val="24"/>
    </w:rPr>
  </w:style>
  <w:style w:type="paragraph" w:styleId="ListNumber3">
    <w:name w:val="List Number 3"/>
    <w:basedOn w:val="Normal"/>
    <w:pPr>
      <w:numPr>
        <w:numId w:val="23"/>
      </w:numPr>
      <w:spacing w:before="120" w:after="120" w:line="240" w:lineRule="auto"/>
      <w:contextualSpacing/>
      <w:jc w:val="both"/>
    </w:pPr>
    <w:rPr>
      <w:rFonts w:eastAsia="Times New Roman" w:cs="Times New Roman"/>
      <w:sz w:val="24"/>
      <w:szCs w:val="24"/>
    </w:rPr>
  </w:style>
  <w:style w:type="paragraph" w:styleId="ListNumber4">
    <w:name w:val="List Number 4"/>
    <w:basedOn w:val="Normal"/>
    <w:pPr>
      <w:numPr>
        <w:numId w:val="24"/>
      </w:numPr>
      <w:spacing w:before="120" w:after="120" w:line="240" w:lineRule="auto"/>
      <w:contextualSpacing/>
      <w:jc w:val="both"/>
    </w:pPr>
    <w:rPr>
      <w:rFonts w:eastAsia="Times New Roman" w:cs="Times New Roman"/>
      <w:sz w:val="24"/>
      <w:szCs w:val="24"/>
    </w:rPr>
  </w:style>
  <w:style w:type="character" w:customStyle="1" w:styleId="TypedudocumentChar">
    <w:name w:val="Type du document Char"/>
    <w:link w:val="Typedudocument"/>
    <w:rPr>
      <w:rFonts w:ascii="Times New Roman" w:eastAsia="Times New Roman" w:hAnsi="Times New Roman" w:cs="Times New Roman"/>
      <w:b/>
      <w:sz w:val="24"/>
      <w:szCs w:val="24"/>
    </w:rPr>
  </w:style>
  <w:style w:type="paragraph" w:styleId="DocumentMap">
    <w:name w:val="Document Map"/>
    <w:basedOn w:val="Normal"/>
    <w:link w:val="DocumentMapChar"/>
    <w:semiHidden/>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Pr>
      <w:rFonts w:ascii="Tahoma" w:eastAsia="Calibri" w:hAnsi="Tahoma" w:cs="Tahoma"/>
      <w:shd w:val="clear" w:color="auto" w:fill="000080"/>
    </w:rPr>
  </w:style>
  <w:style w:type="paragraph" w:customStyle="1" w:styleId="EntInstit">
    <w:name w:val="EntInstit"/>
    <w:basedOn w:val="NormalConseil"/>
    <w:pPr>
      <w:jc w:val="right"/>
    </w:pPr>
    <w:rPr>
      <w:b/>
    </w:rPr>
  </w:style>
  <w:style w:type="paragraph" w:customStyle="1" w:styleId="NormalConseil">
    <w:name w:val="NormalConseil"/>
    <w:basedOn w:val="Normal"/>
    <w:pPr>
      <w:spacing w:after="0" w:line="240" w:lineRule="auto"/>
    </w:pPr>
    <w:rPr>
      <w:rFonts w:eastAsia="Times New Roman" w:cs="Times New Roman"/>
      <w:sz w:val="24"/>
      <w:szCs w:val="20"/>
    </w:rPr>
  </w:style>
  <w:style w:type="paragraph" w:customStyle="1" w:styleId="EntRefer">
    <w:name w:val="EntRefer"/>
    <w:basedOn w:val="NormalConseil"/>
    <w:rPr>
      <w:b/>
    </w:rPr>
  </w:style>
  <w:style w:type="paragraph" w:customStyle="1" w:styleId="EntEmet">
    <w:name w:val="EntEmet"/>
    <w:basedOn w:val="NormalConseil"/>
    <w:pPr>
      <w:tabs>
        <w:tab w:val="left" w:pos="284"/>
        <w:tab w:val="left" w:pos="567"/>
        <w:tab w:val="left" w:pos="851"/>
        <w:tab w:val="left" w:pos="1134"/>
        <w:tab w:val="left" w:pos="1418"/>
      </w:tabs>
      <w:spacing w:before="40"/>
    </w:pPr>
  </w:style>
  <w:style w:type="paragraph" w:customStyle="1" w:styleId="EntLogo">
    <w:name w:val="EntLogo"/>
    <w:basedOn w:val="NormalConseil"/>
    <w:next w:val="EntInstit"/>
    <w:pPr>
      <w:spacing w:line="360" w:lineRule="auto"/>
    </w:pPr>
    <w:rPr>
      <w:b/>
    </w:rPr>
  </w:style>
  <w:style w:type="paragraph" w:customStyle="1" w:styleId="FooterConseil">
    <w:name w:val="FooterConseil"/>
    <w:basedOn w:val="NormalConseil"/>
    <w:pPr>
      <w:tabs>
        <w:tab w:val="center" w:pos="4820"/>
        <w:tab w:val="center" w:pos="7371"/>
        <w:tab w:val="right" w:pos="9639"/>
      </w:tabs>
    </w:pPr>
  </w:style>
  <w:style w:type="paragraph" w:styleId="NormalWeb">
    <w:name w:val="Normal (Web)"/>
    <w:basedOn w:val="Normal"/>
    <w:uiPriority w:val="99"/>
    <w:unhideWhenUsed/>
    <w:rPr>
      <w:rFonts w:eastAsia="Calibri" w:cs="Times New Roman"/>
      <w:sz w:val="24"/>
      <w:szCs w:val="24"/>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1111111">
    <w:name w:val="1 / 1.1 / 1.1.11"/>
    <w:basedOn w:val="NoList"/>
    <w:next w:val="111111"/>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table" w:styleId="LightList-Accent4">
    <w:name w:val="Light List Accent 4"/>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footnotedefaultstyleChar">
    <w:name w:val="footnote default style Char"/>
    <w:basedOn w:val="DefaultParagraphFont"/>
    <w:link w:val="footnotedefaultstyle"/>
    <w:locked/>
    <w:rPr>
      <w:rFonts w:ascii="Verdana" w:hAnsi="Verdana"/>
    </w:rPr>
  </w:style>
  <w:style w:type="paragraph" w:customStyle="1" w:styleId="footnotedefaultstyle">
    <w:name w:val="footnote default style"/>
    <w:basedOn w:val="Normal"/>
    <w:link w:val="footnotedefaultstyleChar"/>
    <w:pPr>
      <w:spacing w:after="0" w:line="240" w:lineRule="auto"/>
      <w:ind w:left="357" w:hanging="357"/>
      <w:jc w:val="both"/>
    </w:pPr>
    <w:rPr>
      <w:rFonts w:ascii="Verdana" w:hAnsi="Verdana"/>
    </w:rPr>
  </w:style>
  <w:style w:type="paragraph" w:customStyle="1" w:styleId="rtejustify">
    <w:name w:val="rtejustify"/>
    <w:basedOn w:val="Normal"/>
    <w:pPr>
      <w:spacing w:before="100" w:beforeAutospacing="1" w:after="100" w:afterAutospacing="1" w:line="240" w:lineRule="auto"/>
    </w:pPr>
    <w:rPr>
      <w:rFonts w:eastAsia="Times New Roman" w:cs="Times New Roman"/>
      <w:sz w:val="24"/>
      <w:szCs w:val="24"/>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oc-ti">
    <w:name w:val="doc-ti"/>
    <w:basedOn w:val="Normal"/>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Heading1">
    <w:name w:val="heading 1"/>
    <w:basedOn w:val="Normal"/>
    <w:next w:val="Normal"/>
    <w:link w:val="Heading1Char"/>
    <w:qFormat/>
    <w:pPr>
      <w:keepNext/>
      <w:spacing w:before="360" w:after="12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qFormat/>
    <w:pPr>
      <w:keepNext/>
      <w:numPr>
        <w:ilvl w:val="1"/>
        <w:numId w:val="35"/>
      </w:numPr>
      <w:spacing w:after="240" w:line="240" w:lineRule="auto"/>
      <w:jc w:val="both"/>
      <w:outlineLvl w:val="1"/>
    </w:pPr>
    <w:rPr>
      <w:rFonts w:eastAsia="Times New Roman" w:cs="Times New Roman"/>
      <w:b/>
      <w:bCs/>
      <w:i/>
      <w:iCs/>
      <w:sz w:val="28"/>
      <w:szCs w:val="28"/>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eastAsia="Times New Roman" w:cs="Times New Roman"/>
      <w:bCs/>
      <w:i/>
      <w:sz w:val="24"/>
      <w:szCs w:val="26"/>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eastAsia="Times New Roman" w:cs="Times New Roman"/>
      <w:bCs/>
      <w:sz w:val="24"/>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Pr>
      <w:rFonts w:ascii="Calibri" w:eastAsia="Times New Roman" w:hAnsi="Calibri" w:cs="Times New Roman"/>
      <w:b/>
      <w:bCs/>
    </w:rPr>
  </w:style>
  <w:style w:type="character" w:customStyle="1" w:styleId="Heading7Char">
    <w:name w:val="Heading 7 Char"/>
    <w:basedOn w:val="DefaultParagraphFont"/>
    <w:link w:val="Heading7"/>
    <w:uiPriority w:val="9"/>
    <w:semiHidden/>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Pr>
      <w:rFonts w:ascii="Cambria" w:eastAsia="Times New Roman" w:hAnsi="Cambria" w:cs="Times New Roman"/>
    </w:rPr>
  </w:style>
  <w:style w:type="paragraph" w:styleId="TOC1">
    <w:name w:val="toc 1"/>
    <w:basedOn w:val="Normal"/>
    <w:next w:val="Normal"/>
    <w:autoRedefine/>
    <w:uiPriority w:val="39"/>
    <w:unhideWhenUsed/>
    <w:pPr>
      <w:tabs>
        <w:tab w:val="left" w:pos="440"/>
        <w:tab w:val="right" w:leader="dot" w:pos="9063"/>
      </w:tabs>
    </w:pPr>
    <w:rPr>
      <w:rFonts w:eastAsia="Calibri" w:cs="Times New Roman"/>
      <w:noProof/>
      <w:sz w:val="24"/>
      <w:szCs w:val="24"/>
    </w:rPr>
  </w:style>
  <w:style w:type="paragraph" w:styleId="TOC3">
    <w:name w:val="toc 3"/>
    <w:basedOn w:val="Normal"/>
    <w:next w:val="Normal"/>
    <w:autoRedefine/>
    <w:uiPriority w:val="39"/>
    <w:unhideWhenUsed/>
    <w:pPr>
      <w:ind w:left="440"/>
    </w:pPr>
    <w:rPr>
      <w:rFonts w:ascii="Calibri" w:eastAsia="Calibri" w:hAnsi="Calibri" w:cs="Times New Roman"/>
    </w:rPr>
  </w:style>
  <w:style w:type="paragraph" w:styleId="TOC2">
    <w:name w:val="toc 2"/>
    <w:basedOn w:val="Normal"/>
    <w:next w:val="Normal"/>
    <w:autoRedefine/>
    <w:uiPriority w:val="39"/>
    <w:unhideWhenUsed/>
    <w:pPr>
      <w:tabs>
        <w:tab w:val="left" w:pos="880"/>
        <w:tab w:val="right" w:leader="dot" w:pos="9063"/>
      </w:tabs>
      <w:spacing w:after="100"/>
      <w:ind w:left="142"/>
    </w:pPr>
    <w:rPr>
      <w:rFonts w:eastAsia="Arial Unicode MS" w:cs="Times New Roman"/>
      <w:noProof/>
      <w:sz w:val="24"/>
      <w:szCs w:val="24"/>
    </w:rPr>
  </w:style>
  <w:style w:type="paragraph" w:styleId="TOC4">
    <w:name w:val="toc 4"/>
    <w:basedOn w:val="Normal"/>
    <w:next w:val="Normal"/>
    <w:autoRedefine/>
    <w:uiPriority w:val="39"/>
    <w:unhideWhenUse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pPr>
      <w:spacing w:after="100"/>
      <w:ind w:left="1760"/>
    </w:pPr>
    <w:rPr>
      <w:rFonts w:ascii="Calibri" w:eastAsia="Times New Roman" w:hAnsi="Calibri" w:cs="Times New Roman"/>
    </w:rPr>
  </w:style>
  <w:style w:type="character" w:styleId="Hyperlink">
    <w:name w:val="Hyperlink"/>
    <w:uiPriority w:val="99"/>
    <w:unhideWhenUsed/>
    <w:rPr>
      <w:color w:val="0000FF"/>
      <w:u w:val="single"/>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character" w:styleId="FollowedHyperlink">
    <w:name w:val="FollowedHyperlink"/>
    <w:unhideWhenUsed/>
    <w:rPr>
      <w:color w:val="800080"/>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FootnoteText">
    <w:name w:val="footnote text"/>
    <w:basedOn w:val="Normal"/>
    <w:semiHidden/>
    <w:unhideWhenUsed/>
    <w:rPr>
      <w:rFonts w:ascii="Calibri" w:eastAsia="Calibri" w:hAnsi="Calibri" w:cs="Times New Roman"/>
      <w:sz w:val="20"/>
      <w:szCs w:val="20"/>
    </w:rPr>
  </w:style>
  <w:style w:type="character" w:customStyle="1" w:styleId="FootnoteTextChar">
    <w:name w:val="Footnote Text Char"/>
    <w:basedOn w:val="DefaultParagraphFont"/>
    <w:semiHidden/>
    <w:rPr>
      <w:rFonts w:ascii="Calibri" w:eastAsia="Calibri" w:hAnsi="Calibri" w:cs="Times New Roman"/>
      <w:sz w:val="20"/>
      <w:szCs w:val="20"/>
    </w:rPr>
  </w:style>
  <w:style w:type="character" w:styleId="FootnoteReference">
    <w:name w:val="footnote reference"/>
    <w:aliases w:val="Footnote symbol,Footnote,Voetnootverwijzing,Times 10 Point,Exposant 3 Point,Appel note de bas de p,BVI fnr,Footnote Refernece,Fußnotenzeichen_Raxen,callout,Footnote Reference Number,SUPERS,Footnote reference number,note TESI,fr,o"/>
    <w:unhideWhenUsed/>
    <w:rPr>
      <w:vertAlign w:val="superscript"/>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Text1">
    <w:name w:val="Text 1"/>
    <w:basedOn w:val="Normal"/>
    <w:pPr>
      <w:spacing w:before="120" w:after="120" w:line="240" w:lineRule="auto"/>
      <w:ind w:left="850"/>
      <w:jc w:val="both"/>
    </w:pPr>
    <w:rPr>
      <w:rFonts w:eastAsia="Times New Roman" w:cs="Times New Roman"/>
      <w:sz w:val="24"/>
      <w:szCs w:val="24"/>
    </w:rPr>
  </w:style>
  <w:style w:type="paragraph" w:customStyle="1" w:styleId="Text2">
    <w:name w:val="Text 2"/>
    <w:basedOn w:val="Normal"/>
    <w:pPr>
      <w:spacing w:before="120" w:after="120" w:line="240" w:lineRule="auto"/>
      <w:ind w:left="1417"/>
      <w:jc w:val="both"/>
    </w:pPr>
    <w:rPr>
      <w:rFonts w:eastAsia="Times New Roman" w:cs="Times New Roman"/>
      <w:sz w:val="24"/>
      <w:szCs w:val="24"/>
    </w:rPr>
  </w:style>
  <w:style w:type="paragraph" w:customStyle="1" w:styleId="Text3">
    <w:name w:val="Text 3"/>
    <w:basedOn w:val="Normal"/>
    <w:pPr>
      <w:spacing w:before="120" w:after="120" w:line="240" w:lineRule="auto"/>
      <w:ind w:left="1984"/>
      <w:jc w:val="both"/>
    </w:pPr>
    <w:rPr>
      <w:rFonts w:eastAsia="Times New Roman" w:cs="Times New Roman"/>
      <w:sz w:val="24"/>
      <w:szCs w:val="24"/>
    </w:rPr>
  </w:style>
  <w:style w:type="paragraph" w:customStyle="1" w:styleId="Text4">
    <w:name w:val="Text 4"/>
    <w:basedOn w:val="Normal"/>
    <w:pPr>
      <w:spacing w:before="120" w:after="120" w:line="240" w:lineRule="auto"/>
      <w:ind w:left="2551"/>
      <w:jc w:val="both"/>
    </w:pPr>
    <w:rPr>
      <w:rFonts w:eastAsia="Times New Roman" w:cs="Times New Roman"/>
      <w:sz w:val="24"/>
      <w:szCs w:val="24"/>
    </w:rPr>
  </w:style>
  <w:style w:type="paragraph" w:customStyle="1" w:styleId="NormalCentered">
    <w:name w:val="Normal Centered"/>
    <w:basedOn w:val="Normal"/>
    <w:pPr>
      <w:spacing w:before="120" w:after="120" w:line="240" w:lineRule="auto"/>
      <w:jc w:val="center"/>
    </w:pPr>
    <w:rPr>
      <w:rFonts w:eastAsia="Times New Roman" w:cs="Times New Roman"/>
      <w:sz w:val="24"/>
      <w:szCs w:val="24"/>
    </w:rPr>
  </w:style>
  <w:style w:type="paragraph" w:customStyle="1" w:styleId="NormalLeft">
    <w:name w:val="Normal Left"/>
    <w:basedOn w:val="Normal"/>
    <w:pPr>
      <w:spacing w:before="120" w:after="120" w:line="240" w:lineRule="auto"/>
    </w:pPr>
    <w:rPr>
      <w:rFonts w:eastAsia="Times New Roman" w:cs="Times New Roman"/>
      <w:sz w:val="24"/>
      <w:szCs w:val="24"/>
    </w:rPr>
  </w:style>
  <w:style w:type="paragraph" w:customStyle="1" w:styleId="NormalRight">
    <w:name w:val="Normal Right"/>
    <w:basedOn w:val="Normal"/>
    <w:pPr>
      <w:spacing w:before="120" w:after="120" w:line="240" w:lineRule="auto"/>
      <w:jc w:val="right"/>
    </w:pPr>
    <w:rPr>
      <w:rFonts w:eastAsia="Times New Roman" w:cs="Times New Roman"/>
      <w:sz w:val="24"/>
      <w:szCs w:val="24"/>
    </w:rPr>
  </w:style>
  <w:style w:type="paragraph" w:customStyle="1" w:styleId="QuotedText">
    <w:name w:val="Quoted Text"/>
    <w:basedOn w:val="Normal"/>
    <w:pPr>
      <w:spacing w:before="120" w:after="120" w:line="240" w:lineRule="auto"/>
      <w:ind w:left="1417"/>
      <w:jc w:val="both"/>
    </w:pPr>
    <w:rPr>
      <w:rFonts w:eastAsia="Times New Roman" w:cs="Times New Roman"/>
      <w:sz w:val="24"/>
      <w:szCs w:val="24"/>
    </w:rPr>
  </w:style>
  <w:style w:type="paragraph" w:customStyle="1" w:styleId="Point0">
    <w:name w:val="Point 0"/>
    <w:basedOn w:val="Normal"/>
    <w:pPr>
      <w:spacing w:before="120" w:after="120" w:line="240" w:lineRule="auto"/>
      <w:ind w:left="850" w:hanging="850"/>
      <w:jc w:val="both"/>
    </w:pPr>
    <w:rPr>
      <w:rFonts w:eastAsia="Times New Roman" w:cs="Times New Roman"/>
      <w:sz w:val="24"/>
      <w:szCs w:val="24"/>
    </w:rPr>
  </w:style>
  <w:style w:type="paragraph" w:customStyle="1" w:styleId="Point1">
    <w:name w:val="Point 1"/>
    <w:basedOn w:val="Normal"/>
    <w:pPr>
      <w:spacing w:before="120" w:after="120" w:line="240" w:lineRule="auto"/>
      <w:ind w:left="1417" w:hanging="567"/>
      <w:jc w:val="both"/>
    </w:pPr>
    <w:rPr>
      <w:rFonts w:eastAsia="Times New Roman" w:cs="Times New Roman"/>
      <w:sz w:val="24"/>
      <w:szCs w:val="24"/>
    </w:rPr>
  </w:style>
  <w:style w:type="paragraph" w:customStyle="1" w:styleId="Point2">
    <w:name w:val="Point 2"/>
    <w:basedOn w:val="Normal"/>
    <w:pPr>
      <w:spacing w:before="120" w:after="120" w:line="240" w:lineRule="auto"/>
      <w:ind w:left="1984" w:hanging="567"/>
      <w:jc w:val="both"/>
    </w:pPr>
    <w:rPr>
      <w:rFonts w:eastAsia="Times New Roman" w:cs="Times New Roman"/>
      <w:sz w:val="24"/>
      <w:szCs w:val="24"/>
    </w:rPr>
  </w:style>
  <w:style w:type="paragraph" w:customStyle="1" w:styleId="Point3">
    <w:name w:val="Point 3"/>
    <w:basedOn w:val="Normal"/>
    <w:pPr>
      <w:spacing w:before="120" w:after="120" w:line="240" w:lineRule="auto"/>
      <w:ind w:left="2551" w:hanging="567"/>
      <w:jc w:val="both"/>
    </w:pPr>
    <w:rPr>
      <w:rFonts w:eastAsia="Times New Roman" w:cs="Times New Roman"/>
      <w:sz w:val="24"/>
      <w:szCs w:val="24"/>
    </w:rPr>
  </w:style>
  <w:style w:type="paragraph" w:customStyle="1" w:styleId="Point4">
    <w:name w:val="Point 4"/>
    <w:basedOn w:val="Normal"/>
    <w:pPr>
      <w:spacing w:before="120" w:after="120" w:line="240" w:lineRule="auto"/>
      <w:ind w:left="3118" w:hanging="567"/>
      <w:jc w:val="both"/>
    </w:pPr>
    <w:rPr>
      <w:rFonts w:eastAsia="Times New Roman" w:cs="Times New Roman"/>
      <w:sz w:val="24"/>
      <w:szCs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line="240" w:lineRule="auto"/>
      <w:ind w:left="1417" w:hanging="1417"/>
      <w:jc w:val="both"/>
    </w:pPr>
    <w:rPr>
      <w:rFonts w:eastAsia="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eastAsia="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eastAsia="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eastAsia="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eastAsia="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eastAsia="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eastAsia="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eastAsia="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eastAsia="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eastAsia="Times New Roman" w:cs="Times New Roman"/>
      <w:sz w:val="24"/>
      <w:szCs w:val="24"/>
    </w:rPr>
  </w:style>
  <w:style w:type="paragraph" w:customStyle="1" w:styleId="NumPar1">
    <w:name w:val="NumPar 1"/>
    <w:basedOn w:val="Normal"/>
    <w:next w:val="Text1"/>
    <w:pPr>
      <w:numPr>
        <w:numId w:val="7"/>
      </w:numPr>
      <w:spacing w:before="120" w:after="120" w:line="240" w:lineRule="auto"/>
      <w:jc w:val="both"/>
    </w:pPr>
    <w:rPr>
      <w:rFonts w:eastAsia="Times New Roman" w:cs="Times New Roman"/>
      <w:sz w:val="24"/>
      <w:szCs w:val="24"/>
    </w:rPr>
  </w:style>
  <w:style w:type="paragraph" w:customStyle="1" w:styleId="NumPar2">
    <w:name w:val="NumPar 2"/>
    <w:basedOn w:val="Normal"/>
    <w:next w:val="Text1"/>
    <w:pPr>
      <w:numPr>
        <w:ilvl w:val="1"/>
        <w:numId w:val="7"/>
      </w:numPr>
      <w:spacing w:before="120" w:after="120" w:line="240" w:lineRule="auto"/>
      <w:jc w:val="both"/>
    </w:pPr>
    <w:rPr>
      <w:rFonts w:eastAsia="Times New Roman" w:cs="Times New Roman"/>
      <w:sz w:val="24"/>
      <w:szCs w:val="24"/>
    </w:rPr>
  </w:style>
  <w:style w:type="paragraph" w:customStyle="1" w:styleId="NumPar3">
    <w:name w:val="NumPar 3"/>
    <w:basedOn w:val="Normal"/>
    <w:next w:val="Text1"/>
    <w:pPr>
      <w:numPr>
        <w:ilvl w:val="2"/>
        <w:numId w:val="7"/>
      </w:numPr>
      <w:spacing w:before="120" w:after="120" w:line="240" w:lineRule="auto"/>
      <w:jc w:val="both"/>
    </w:pPr>
    <w:rPr>
      <w:rFonts w:eastAsia="Times New Roman" w:cs="Times New Roman"/>
      <w:sz w:val="24"/>
      <w:szCs w:val="24"/>
    </w:rPr>
  </w:style>
  <w:style w:type="paragraph" w:customStyle="1" w:styleId="NumPar4">
    <w:name w:val="NumPar 4"/>
    <w:basedOn w:val="Normal"/>
    <w:next w:val="Text1"/>
    <w:pPr>
      <w:numPr>
        <w:ilvl w:val="3"/>
        <w:numId w:val="7"/>
      </w:numPr>
      <w:spacing w:before="120" w:after="120" w:line="240" w:lineRule="auto"/>
      <w:jc w:val="both"/>
    </w:pPr>
    <w:rPr>
      <w:rFonts w:eastAsia="Times New Roman" w:cs="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eastAsia="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eastAsia="Times New Roman" w:cs="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eastAsia="Times New Roman" w:cs="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eastAsia="Times New Roman" w:cs="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cs="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eastAsia="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eastAsia="Times New Roman" w:cs="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eastAsia="Times New Roman" w:cs="Times New Roman"/>
      <w:b/>
      <w:sz w:val="36"/>
      <w:szCs w:val="24"/>
    </w:rPr>
  </w:style>
  <w:style w:type="paragraph" w:customStyle="1" w:styleId="SectionTitle">
    <w:name w:val="SectionTitle"/>
    <w:basedOn w:val="Normal"/>
    <w:next w:val="Heading1"/>
    <w:pPr>
      <w:keepNext/>
      <w:spacing w:before="120" w:after="360" w:line="240" w:lineRule="auto"/>
      <w:jc w:val="center"/>
    </w:pPr>
    <w:rPr>
      <w:rFonts w:eastAsia="Times New Roman" w:cs="Times New Roman"/>
      <w:b/>
      <w:smallCaps/>
      <w:sz w:val="28"/>
      <w:szCs w:val="24"/>
    </w:rPr>
  </w:style>
  <w:style w:type="paragraph" w:customStyle="1" w:styleId="TableTitle">
    <w:name w:val="Table Title"/>
    <w:basedOn w:val="Normal"/>
    <w:next w:val="Normal"/>
    <w:pPr>
      <w:spacing w:before="120" w:after="120" w:line="240" w:lineRule="auto"/>
      <w:jc w:val="center"/>
    </w:pPr>
    <w:rPr>
      <w:rFonts w:eastAsia="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styleId="TOCHeading">
    <w:name w:val="TOC Heading"/>
    <w:basedOn w:val="Normal"/>
    <w:next w:val="Normal"/>
    <w:uiPriority w:val="39"/>
    <w:qFormat/>
    <w:pPr>
      <w:spacing w:before="120" w:after="240" w:line="240" w:lineRule="auto"/>
    </w:pPr>
    <w:rPr>
      <w:rFonts w:eastAsia="Times New Roman" w:cs="Times New Roman"/>
      <w:b/>
      <w:sz w:val="28"/>
      <w:szCs w:val="24"/>
    </w:rPr>
  </w:style>
  <w:style w:type="paragraph" w:customStyle="1" w:styleId="Point0number">
    <w:name w:val="Point 0 (number)"/>
    <w:basedOn w:val="Normal"/>
    <w:pPr>
      <w:numPr>
        <w:numId w:val="20"/>
      </w:numPr>
      <w:spacing w:before="120" w:after="120" w:line="240" w:lineRule="auto"/>
      <w:jc w:val="both"/>
    </w:pPr>
    <w:rPr>
      <w:rFonts w:eastAsia="Times New Roman" w:cs="Times New Roman"/>
      <w:sz w:val="24"/>
      <w:szCs w:val="24"/>
    </w:rPr>
  </w:style>
  <w:style w:type="paragraph" w:customStyle="1" w:styleId="Point1number">
    <w:name w:val="Point 1 (number)"/>
    <w:basedOn w:val="Normal"/>
    <w:pPr>
      <w:numPr>
        <w:ilvl w:val="2"/>
        <w:numId w:val="20"/>
      </w:numPr>
      <w:spacing w:before="120" w:after="120" w:line="240" w:lineRule="auto"/>
      <w:jc w:val="both"/>
    </w:pPr>
    <w:rPr>
      <w:rFonts w:eastAsia="Times New Roman" w:cs="Times New Roman"/>
      <w:sz w:val="24"/>
      <w:szCs w:val="24"/>
    </w:rPr>
  </w:style>
  <w:style w:type="paragraph" w:customStyle="1" w:styleId="Point2number">
    <w:name w:val="Point 2 (number)"/>
    <w:basedOn w:val="Normal"/>
    <w:pPr>
      <w:numPr>
        <w:ilvl w:val="4"/>
        <w:numId w:val="20"/>
      </w:numPr>
      <w:spacing w:before="120" w:after="120" w:line="240" w:lineRule="auto"/>
      <w:jc w:val="both"/>
    </w:pPr>
    <w:rPr>
      <w:rFonts w:eastAsia="Times New Roman" w:cs="Times New Roman"/>
      <w:sz w:val="24"/>
      <w:szCs w:val="24"/>
    </w:rPr>
  </w:style>
  <w:style w:type="paragraph" w:customStyle="1" w:styleId="Point3number">
    <w:name w:val="Point 3 (number)"/>
    <w:basedOn w:val="Normal"/>
    <w:pPr>
      <w:numPr>
        <w:ilvl w:val="6"/>
        <w:numId w:val="20"/>
      </w:numPr>
      <w:spacing w:before="120" w:after="120" w:line="240" w:lineRule="auto"/>
      <w:jc w:val="both"/>
    </w:pPr>
    <w:rPr>
      <w:rFonts w:eastAsia="Times New Roman" w:cs="Times New Roman"/>
      <w:sz w:val="24"/>
      <w:szCs w:val="24"/>
    </w:rPr>
  </w:style>
  <w:style w:type="paragraph" w:customStyle="1" w:styleId="Point0letter">
    <w:name w:val="Point 0 (letter)"/>
    <w:basedOn w:val="Normal"/>
    <w:pPr>
      <w:numPr>
        <w:ilvl w:val="1"/>
        <w:numId w:val="20"/>
      </w:numPr>
      <w:spacing w:before="120" w:after="120" w:line="240" w:lineRule="auto"/>
      <w:jc w:val="both"/>
    </w:pPr>
    <w:rPr>
      <w:rFonts w:eastAsia="Times New Roman" w:cs="Times New Roman"/>
      <w:sz w:val="24"/>
      <w:szCs w:val="24"/>
    </w:rPr>
  </w:style>
  <w:style w:type="paragraph" w:customStyle="1" w:styleId="Point1letter">
    <w:name w:val="Point 1 (letter)"/>
    <w:basedOn w:val="Normal"/>
    <w:pPr>
      <w:numPr>
        <w:ilvl w:val="3"/>
        <w:numId w:val="20"/>
      </w:numPr>
      <w:spacing w:before="120" w:after="120" w:line="240" w:lineRule="auto"/>
      <w:jc w:val="both"/>
    </w:pPr>
    <w:rPr>
      <w:rFonts w:eastAsia="Times New Roman" w:cs="Times New Roman"/>
      <w:sz w:val="24"/>
      <w:szCs w:val="24"/>
    </w:rPr>
  </w:style>
  <w:style w:type="paragraph" w:customStyle="1" w:styleId="Point2letter">
    <w:name w:val="Point 2 (letter)"/>
    <w:basedOn w:val="Normal"/>
    <w:pPr>
      <w:numPr>
        <w:ilvl w:val="5"/>
        <w:numId w:val="20"/>
      </w:numPr>
      <w:spacing w:before="120" w:after="120" w:line="240" w:lineRule="auto"/>
      <w:jc w:val="both"/>
    </w:pPr>
    <w:rPr>
      <w:rFonts w:eastAsia="Times New Roman" w:cs="Times New Roman"/>
      <w:sz w:val="24"/>
      <w:szCs w:val="24"/>
    </w:rPr>
  </w:style>
  <w:style w:type="paragraph" w:customStyle="1" w:styleId="Point3letter">
    <w:name w:val="Point 3 (letter)"/>
    <w:basedOn w:val="Normal"/>
    <w:pPr>
      <w:numPr>
        <w:ilvl w:val="7"/>
        <w:numId w:val="20"/>
      </w:numPr>
      <w:spacing w:before="120" w:after="120" w:line="240" w:lineRule="auto"/>
      <w:jc w:val="both"/>
    </w:pPr>
    <w:rPr>
      <w:rFonts w:eastAsia="Times New Roman" w:cs="Times New Roman"/>
      <w:sz w:val="24"/>
      <w:szCs w:val="24"/>
    </w:rPr>
  </w:style>
  <w:style w:type="paragraph" w:customStyle="1" w:styleId="Point4letter">
    <w:name w:val="Point 4 (letter)"/>
    <w:basedOn w:val="Normal"/>
    <w:pPr>
      <w:numPr>
        <w:ilvl w:val="8"/>
        <w:numId w:val="20"/>
      </w:numPr>
      <w:spacing w:before="120" w:after="120" w:line="240" w:lineRule="auto"/>
      <w:jc w:val="both"/>
    </w:pPr>
    <w:rPr>
      <w:rFonts w:eastAsia="Times New Roman" w:cs="Times New Roman"/>
      <w:sz w:val="24"/>
      <w:szCs w:val="24"/>
    </w:rPr>
  </w:style>
  <w:style w:type="paragraph" w:customStyle="1" w:styleId="Bullet0">
    <w:name w:val="Bullet 0"/>
    <w:basedOn w:val="Normal"/>
    <w:pPr>
      <w:numPr>
        <w:numId w:val="8"/>
      </w:numPr>
      <w:spacing w:before="120" w:after="120" w:line="240" w:lineRule="auto"/>
      <w:jc w:val="both"/>
    </w:pPr>
    <w:rPr>
      <w:rFonts w:eastAsia="Times New Roman" w:cs="Times New Roman"/>
      <w:sz w:val="24"/>
      <w:szCs w:val="24"/>
    </w:rPr>
  </w:style>
  <w:style w:type="paragraph" w:customStyle="1" w:styleId="Bullet1">
    <w:name w:val="Bullet 1"/>
    <w:basedOn w:val="Normal"/>
    <w:pPr>
      <w:numPr>
        <w:numId w:val="9"/>
      </w:numPr>
      <w:spacing w:before="120" w:after="120" w:line="240" w:lineRule="auto"/>
      <w:jc w:val="both"/>
    </w:pPr>
    <w:rPr>
      <w:rFonts w:eastAsia="Times New Roman" w:cs="Times New Roman"/>
      <w:sz w:val="24"/>
      <w:szCs w:val="24"/>
    </w:rPr>
  </w:style>
  <w:style w:type="paragraph" w:customStyle="1" w:styleId="Bullet2">
    <w:name w:val="Bullet 2"/>
    <w:basedOn w:val="Normal"/>
    <w:pPr>
      <w:numPr>
        <w:numId w:val="10"/>
      </w:numPr>
      <w:spacing w:before="120" w:after="120" w:line="240" w:lineRule="auto"/>
      <w:jc w:val="both"/>
    </w:pPr>
    <w:rPr>
      <w:rFonts w:eastAsia="Times New Roman" w:cs="Times New Roman"/>
      <w:sz w:val="24"/>
      <w:szCs w:val="24"/>
    </w:rPr>
  </w:style>
  <w:style w:type="paragraph" w:customStyle="1" w:styleId="Bullet3">
    <w:name w:val="Bullet 3"/>
    <w:basedOn w:val="Normal"/>
    <w:pPr>
      <w:numPr>
        <w:numId w:val="11"/>
      </w:numPr>
      <w:spacing w:before="120" w:after="120" w:line="240" w:lineRule="auto"/>
      <w:jc w:val="both"/>
    </w:pPr>
    <w:rPr>
      <w:rFonts w:eastAsia="Times New Roman" w:cs="Times New Roman"/>
      <w:sz w:val="24"/>
      <w:szCs w:val="24"/>
    </w:rPr>
  </w:style>
  <w:style w:type="paragraph" w:customStyle="1" w:styleId="Bullet4">
    <w:name w:val="Bullet 4"/>
    <w:basedOn w:val="Normal"/>
    <w:pPr>
      <w:numPr>
        <w:numId w:val="12"/>
      </w:numPr>
      <w:spacing w:before="120" w:after="120" w:line="240" w:lineRule="auto"/>
      <w:jc w:val="both"/>
    </w:pPr>
    <w:rPr>
      <w:rFonts w:eastAsia="Times New Roman" w:cs="Times New Roman"/>
      <w:sz w:val="24"/>
      <w:szCs w:val="24"/>
    </w:rPr>
  </w:style>
  <w:style w:type="paragraph" w:customStyle="1" w:styleId="Annexetitreexpos">
    <w:name w:val="Annexe titre (exposé)"/>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
    <w:name w:val="Annexe titre"/>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eastAsia="Times New Roman" w:cs="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eastAsia="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eastAsia="Times New Roman" w:cs="Times New Roman"/>
      <w:sz w:val="24"/>
      <w:szCs w:val="24"/>
      <w:u w:val="single"/>
    </w:rPr>
  </w:style>
  <w:style w:type="paragraph" w:customStyle="1" w:styleId="Confidence">
    <w:name w:val="Confidence"/>
    <w:basedOn w:val="Normal"/>
    <w:next w:val="Normal"/>
    <w:pPr>
      <w:spacing w:before="360" w:after="120" w:line="240" w:lineRule="auto"/>
      <w:jc w:val="center"/>
    </w:pPr>
    <w:rPr>
      <w:rFonts w:eastAsia="Times New Roman" w:cs="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eastAsia="Times New Roman" w:cs="Times New Roman"/>
      <w:i/>
      <w:sz w:val="32"/>
      <w:szCs w:val="24"/>
    </w:rPr>
  </w:style>
  <w:style w:type="paragraph" w:customStyle="1" w:styleId="Considrant">
    <w:name w:val="Considérant"/>
    <w:basedOn w:val="Normal"/>
    <w:pPr>
      <w:numPr>
        <w:numId w:val="13"/>
      </w:numPr>
      <w:spacing w:before="120" w:after="120" w:line="240" w:lineRule="auto"/>
      <w:jc w:val="both"/>
    </w:pPr>
    <w:rPr>
      <w:rFonts w:eastAsia="Times New Roman" w:cs="Times New Roman"/>
      <w:sz w:val="24"/>
      <w:szCs w:val="24"/>
    </w:rPr>
  </w:style>
  <w:style w:type="paragraph" w:customStyle="1" w:styleId="Corrigendum">
    <w:name w:val="Corrigendum"/>
    <w:basedOn w:val="Normal"/>
    <w:next w:val="Normal"/>
    <w:pPr>
      <w:spacing w:after="240" w:line="240" w:lineRule="auto"/>
    </w:pPr>
    <w:rPr>
      <w:rFonts w:eastAsia="Times New Roman" w:cs="Times New Roman"/>
      <w:sz w:val="24"/>
      <w:szCs w:val="24"/>
    </w:rPr>
  </w:style>
  <w:style w:type="paragraph" w:customStyle="1" w:styleId="Datedadoption">
    <w:name w:val="Date d'adoption"/>
    <w:basedOn w:val="Normal"/>
    <w:next w:val="Titreobjet"/>
    <w:pPr>
      <w:spacing w:before="360" w:after="0" w:line="240" w:lineRule="auto"/>
      <w:jc w:val="center"/>
    </w:pPr>
    <w:rPr>
      <w:rFonts w:eastAsia="Times New Roman" w:cs="Times New Roman"/>
      <w:b/>
      <w:sz w:val="24"/>
      <w:szCs w:val="24"/>
    </w:rPr>
  </w:style>
  <w:style w:type="paragraph" w:customStyle="1" w:styleId="Emission">
    <w:name w:val="Emission"/>
    <w:basedOn w:val="Normal"/>
    <w:next w:val="Rfrenceinstitutionnelle"/>
    <w:pPr>
      <w:spacing w:after="0" w:line="240" w:lineRule="auto"/>
      <w:ind w:left="5103"/>
    </w:pPr>
    <w:rPr>
      <w:rFonts w:eastAsia="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eastAsia="Times New Roman" w:cs="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eastAsia="Times New Roman" w:cs="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eastAsia="Times New Roman" w:cs="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eastAsia="Times New Roman" w:cs="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eastAsia="Times New Roman" w:cs="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eastAsia="Times New Roman" w:cs="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eastAsia="Times New Roman" w:cs="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eastAsia="Times New Roman" w:cs="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eastAsia="Times New Roman" w:cs="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eastAsia="Times New Roman" w:cs="Times New Roman"/>
      <w:sz w:val="24"/>
      <w:szCs w:val="24"/>
    </w:rPr>
  </w:style>
  <w:style w:type="paragraph" w:customStyle="1" w:styleId="Rfrenceinterne">
    <w:name w:val="Référence interne"/>
    <w:basedOn w:val="Normal"/>
    <w:next w:val="Rfrenceinterinstitutionnelle"/>
    <w:pPr>
      <w:spacing w:after="0" w:line="240" w:lineRule="auto"/>
      <w:ind w:left="5103"/>
    </w:pPr>
    <w:rPr>
      <w:rFonts w:eastAsia="Times New Roman" w:cs="Times New Roman"/>
      <w:sz w:val="24"/>
      <w:szCs w:val="24"/>
    </w:rPr>
  </w:style>
  <w:style w:type="paragraph" w:customStyle="1" w:styleId="Sous-titreobjet">
    <w:name w:val="Sous-titre objet"/>
    <w:basedOn w:val="Normal"/>
    <w:pPr>
      <w:spacing w:after="0" w:line="240" w:lineRule="auto"/>
      <w:jc w:val="center"/>
    </w:pPr>
    <w:rPr>
      <w:rFonts w:eastAsia="Times New Roman" w:cs="Times New Roman"/>
      <w:b/>
      <w:sz w:val="24"/>
      <w:szCs w:val="24"/>
    </w:rPr>
  </w:style>
  <w:style w:type="paragraph" w:customStyle="1" w:styleId="Statut">
    <w:name w:val="Statut"/>
    <w:basedOn w:val="Normal"/>
    <w:next w:val="Typedudocument"/>
    <w:pPr>
      <w:spacing w:before="360" w:after="0" w:line="240" w:lineRule="auto"/>
      <w:jc w:val="center"/>
    </w:pPr>
    <w:rPr>
      <w:rFonts w:eastAsia="Times New Roman" w:cs="Times New Roman"/>
      <w:sz w:val="24"/>
      <w:szCs w:val="24"/>
    </w:rPr>
  </w:style>
  <w:style w:type="paragraph" w:customStyle="1" w:styleId="Titrearticle">
    <w:name w:val="Titre article"/>
    <w:basedOn w:val="Normal"/>
    <w:next w:val="Normal"/>
    <w:pPr>
      <w:keepNext/>
      <w:spacing w:before="360" w:after="120" w:line="240" w:lineRule="auto"/>
      <w:jc w:val="center"/>
    </w:pPr>
    <w:rPr>
      <w:rFonts w:eastAsia="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eastAsia="Times New Roman" w:cs="Times New Roman"/>
      <w:b/>
      <w:sz w:val="24"/>
      <w:szCs w:val="24"/>
    </w:rPr>
  </w:style>
  <w:style w:type="paragraph" w:customStyle="1" w:styleId="Typedudocument">
    <w:name w:val="Type du document"/>
    <w:basedOn w:val="Normal"/>
    <w:next w:val="Titreobjet"/>
    <w:link w:val="TypedudocumentChar"/>
    <w:pPr>
      <w:spacing w:before="360" w:after="0" w:line="240" w:lineRule="auto"/>
      <w:jc w:val="center"/>
    </w:pPr>
    <w:rPr>
      <w:rFonts w:eastAsia="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pPr>
      <w:keepLines/>
      <w:spacing w:before="120" w:after="120" w:line="360" w:lineRule="auto"/>
      <w:ind w:left="3402"/>
    </w:pPr>
    <w:rPr>
      <w:rFonts w:eastAsia="Times New Roman" w:cs="Times New Roman"/>
      <w:sz w:val="24"/>
      <w:szCs w:val="24"/>
    </w:rPr>
  </w:style>
  <w:style w:type="paragraph" w:customStyle="1" w:styleId="Objetexterne">
    <w:name w:val="Objet externe"/>
    <w:basedOn w:val="Normal"/>
    <w:next w:val="Normal"/>
    <w:pPr>
      <w:spacing w:before="120" w:after="120" w:line="240" w:lineRule="auto"/>
      <w:jc w:val="both"/>
    </w:pPr>
    <w:rPr>
      <w:rFonts w:eastAsia="Times New Roman" w:cs="Times New Roman"/>
      <w:i/>
      <w:caps/>
      <w:sz w:val="24"/>
      <w:szCs w:val="24"/>
    </w:rPr>
  </w:style>
  <w:style w:type="paragraph" w:customStyle="1" w:styleId="Supertitre">
    <w:name w:val="Supertitre"/>
    <w:basedOn w:val="Normal"/>
    <w:next w:val="Normal"/>
    <w:pPr>
      <w:spacing w:after="600" w:line="240" w:lineRule="auto"/>
      <w:jc w:val="center"/>
    </w:pPr>
    <w:rPr>
      <w:rFonts w:eastAsia="Times New Roman" w:cs="Times New Roman"/>
      <w:b/>
      <w:sz w:val="24"/>
      <w:szCs w:val="24"/>
    </w:rPr>
  </w:style>
  <w:style w:type="paragraph" w:customStyle="1" w:styleId="Languesfaisantfoi">
    <w:name w:val="Langues faisant foi"/>
    <w:basedOn w:val="Normal"/>
    <w:next w:val="Normal"/>
    <w:pPr>
      <w:spacing w:before="360" w:after="0" w:line="240" w:lineRule="auto"/>
      <w:jc w:val="center"/>
    </w:pPr>
    <w:rPr>
      <w:rFonts w:eastAsia="Times New Roman" w:cs="Times New Roman"/>
      <w:sz w:val="24"/>
      <w:szCs w:val="24"/>
    </w:rPr>
  </w:style>
  <w:style w:type="paragraph" w:customStyle="1" w:styleId="Rfrencecroise">
    <w:name w:val="Référence croisée"/>
    <w:basedOn w:val="Normal"/>
    <w:pPr>
      <w:spacing w:after="0" w:line="240" w:lineRule="auto"/>
      <w:jc w:val="center"/>
    </w:pPr>
    <w:rPr>
      <w:rFonts w:eastAsia="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eastAsia="Times New Roman" w:cs="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eastAsia="Times New Roman" w:cs="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eastAsia="Times New Roman" w:cs="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eastAsia="Times New Roman" w:cs="Times New Roman"/>
      <w:b/>
      <w:sz w:val="24"/>
      <w:szCs w:val="24"/>
    </w:rPr>
  </w:style>
  <w:style w:type="paragraph" w:customStyle="1" w:styleId="Objetacteprincipal">
    <w:name w:val="Objet acte principal"/>
    <w:basedOn w:val="Normal"/>
    <w:next w:val="Titrearticle"/>
    <w:pPr>
      <w:spacing w:after="360" w:line="240" w:lineRule="auto"/>
      <w:jc w:val="center"/>
    </w:pPr>
    <w:rPr>
      <w:rFonts w:eastAsia="Times New Roman" w:cs="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eastAsia="Times New Roman" w:cs="Times New Roman"/>
      <w:sz w:val="24"/>
      <w:szCs w:val="24"/>
    </w:rPr>
  </w:style>
  <w:style w:type="paragraph" w:styleId="ListBullet">
    <w:name w:val="List Bullet"/>
    <w:basedOn w:val="Normal"/>
    <w:pPr>
      <w:numPr>
        <w:numId w:val="14"/>
      </w:numPr>
      <w:spacing w:before="120" w:after="120" w:line="240" w:lineRule="auto"/>
      <w:contextualSpacing/>
      <w:jc w:val="both"/>
    </w:pPr>
    <w:rPr>
      <w:rFonts w:eastAsia="Times New Roman" w:cs="Times New Roman"/>
      <w:sz w:val="24"/>
      <w:szCs w:val="24"/>
    </w:rPr>
  </w:style>
  <w:style w:type="paragraph" w:styleId="ListBullet2">
    <w:name w:val="List Bullet 2"/>
    <w:basedOn w:val="Normal"/>
    <w:pPr>
      <w:numPr>
        <w:numId w:val="15"/>
      </w:numPr>
      <w:spacing w:before="120" w:after="120" w:line="240" w:lineRule="auto"/>
      <w:contextualSpacing/>
      <w:jc w:val="both"/>
    </w:pPr>
    <w:rPr>
      <w:rFonts w:eastAsia="Times New Roman" w:cs="Times New Roman"/>
      <w:sz w:val="24"/>
      <w:szCs w:val="24"/>
    </w:rPr>
  </w:style>
  <w:style w:type="paragraph" w:styleId="ListBullet3">
    <w:name w:val="List Bullet 3"/>
    <w:basedOn w:val="Normal"/>
    <w:pPr>
      <w:numPr>
        <w:numId w:val="16"/>
      </w:numPr>
      <w:spacing w:before="120" w:after="120" w:line="240" w:lineRule="auto"/>
      <w:contextualSpacing/>
      <w:jc w:val="both"/>
    </w:pPr>
    <w:rPr>
      <w:rFonts w:eastAsia="Times New Roman" w:cs="Times New Roman"/>
      <w:sz w:val="24"/>
      <w:szCs w:val="24"/>
    </w:rPr>
  </w:style>
  <w:style w:type="paragraph" w:styleId="ListBullet4">
    <w:name w:val="List Bullet 4"/>
    <w:basedOn w:val="Normal"/>
    <w:pPr>
      <w:numPr>
        <w:numId w:val="17"/>
      </w:numPr>
      <w:spacing w:before="120" w:after="120" w:line="240" w:lineRule="auto"/>
      <w:contextualSpacing/>
      <w:jc w:val="both"/>
    </w:pPr>
    <w:rPr>
      <w:rFonts w:eastAsia="Times New Roman" w:cs="Times New Roman"/>
      <w:sz w:val="24"/>
      <w:szCs w:val="24"/>
    </w:rPr>
  </w:style>
  <w:style w:type="paragraph" w:customStyle="1" w:styleId="ListDash">
    <w:name w:val="List Dash"/>
    <w:basedOn w:val="Normal"/>
    <w:pPr>
      <w:numPr>
        <w:numId w:val="18"/>
      </w:numPr>
      <w:spacing w:before="120" w:after="120" w:line="240" w:lineRule="auto"/>
      <w:jc w:val="both"/>
    </w:pPr>
    <w:rPr>
      <w:rFonts w:eastAsia="Times New Roman" w:cs="Times New Roman"/>
      <w:sz w:val="24"/>
      <w:szCs w:val="24"/>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rPr>
      <w:rFonts w:ascii="Calibri" w:eastAsia="Times New Roman" w:hAnsi="Calibri" w:cs="Times New Roman"/>
    </w:rPr>
  </w:style>
  <w:style w:type="numbering" w:styleId="111111">
    <w:name w:val="Outline List 2"/>
    <w:basedOn w:val="NoList"/>
    <w:pPr>
      <w:numPr>
        <w:numId w:val="19"/>
      </w:numPr>
    </w:pPr>
  </w:style>
  <w:style w:type="character" w:styleId="PageNumber">
    <w:name w:val="page numbe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pPr>
      <w:spacing w:before="120" w:after="120" w:line="240" w:lineRule="auto"/>
      <w:jc w:val="both"/>
    </w:pPr>
    <w:rPr>
      <w:rFonts w:eastAsia="Times New Roman" w:cs="Times New Roman"/>
      <w:b/>
      <w:bCs/>
      <w:sz w:val="20"/>
      <w:szCs w:val="20"/>
    </w:rPr>
  </w:style>
  <w:style w:type="paragraph" w:styleId="TableofFigures">
    <w:name w:val="table of figures"/>
    <w:basedOn w:val="Normal"/>
    <w:next w:val="Normal"/>
    <w:pPr>
      <w:spacing w:before="120" w:after="120" w:line="240" w:lineRule="auto"/>
      <w:jc w:val="both"/>
    </w:pPr>
    <w:rPr>
      <w:rFonts w:eastAsia="Times New Roman" w:cs="Times New Roman"/>
      <w:sz w:val="24"/>
      <w:szCs w:val="24"/>
    </w:rPr>
  </w:style>
  <w:style w:type="paragraph" w:styleId="ListNumber">
    <w:name w:val="List Number"/>
    <w:basedOn w:val="Normal"/>
    <w:pPr>
      <w:numPr>
        <w:numId w:val="21"/>
      </w:numPr>
      <w:spacing w:before="120" w:after="120" w:line="240" w:lineRule="auto"/>
      <w:contextualSpacing/>
      <w:jc w:val="both"/>
    </w:pPr>
    <w:rPr>
      <w:rFonts w:eastAsia="Times New Roman" w:cs="Times New Roman"/>
      <w:sz w:val="24"/>
      <w:szCs w:val="24"/>
    </w:rPr>
  </w:style>
  <w:style w:type="paragraph" w:styleId="ListNumber2">
    <w:name w:val="List Number 2"/>
    <w:basedOn w:val="Normal"/>
    <w:pPr>
      <w:numPr>
        <w:numId w:val="22"/>
      </w:numPr>
      <w:spacing w:before="120" w:after="120" w:line="240" w:lineRule="auto"/>
      <w:contextualSpacing/>
      <w:jc w:val="both"/>
    </w:pPr>
    <w:rPr>
      <w:rFonts w:eastAsia="Times New Roman" w:cs="Times New Roman"/>
      <w:sz w:val="24"/>
      <w:szCs w:val="24"/>
    </w:rPr>
  </w:style>
  <w:style w:type="paragraph" w:styleId="ListNumber3">
    <w:name w:val="List Number 3"/>
    <w:basedOn w:val="Normal"/>
    <w:pPr>
      <w:numPr>
        <w:numId w:val="23"/>
      </w:numPr>
      <w:spacing w:before="120" w:after="120" w:line="240" w:lineRule="auto"/>
      <w:contextualSpacing/>
      <w:jc w:val="both"/>
    </w:pPr>
    <w:rPr>
      <w:rFonts w:eastAsia="Times New Roman" w:cs="Times New Roman"/>
      <w:sz w:val="24"/>
      <w:szCs w:val="24"/>
    </w:rPr>
  </w:style>
  <w:style w:type="paragraph" w:styleId="ListNumber4">
    <w:name w:val="List Number 4"/>
    <w:basedOn w:val="Normal"/>
    <w:pPr>
      <w:numPr>
        <w:numId w:val="24"/>
      </w:numPr>
      <w:spacing w:before="120" w:after="120" w:line="240" w:lineRule="auto"/>
      <w:contextualSpacing/>
      <w:jc w:val="both"/>
    </w:pPr>
    <w:rPr>
      <w:rFonts w:eastAsia="Times New Roman" w:cs="Times New Roman"/>
      <w:sz w:val="24"/>
      <w:szCs w:val="24"/>
    </w:rPr>
  </w:style>
  <w:style w:type="character" w:customStyle="1" w:styleId="TypedudocumentChar">
    <w:name w:val="Type du document Char"/>
    <w:link w:val="Typedudocument"/>
    <w:rPr>
      <w:rFonts w:ascii="Times New Roman" w:eastAsia="Times New Roman" w:hAnsi="Times New Roman" w:cs="Times New Roman"/>
      <w:b/>
      <w:sz w:val="24"/>
      <w:szCs w:val="24"/>
    </w:rPr>
  </w:style>
  <w:style w:type="paragraph" w:styleId="DocumentMap">
    <w:name w:val="Document Map"/>
    <w:basedOn w:val="Normal"/>
    <w:link w:val="DocumentMapChar"/>
    <w:semiHidden/>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Pr>
      <w:rFonts w:ascii="Tahoma" w:eastAsia="Calibri" w:hAnsi="Tahoma" w:cs="Tahoma"/>
      <w:shd w:val="clear" w:color="auto" w:fill="000080"/>
    </w:rPr>
  </w:style>
  <w:style w:type="paragraph" w:customStyle="1" w:styleId="EntInstit">
    <w:name w:val="EntInstit"/>
    <w:basedOn w:val="NormalConseil"/>
    <w:pPr>
      <w:jc w:val="right"/>
    </w:pPr>
    <w:rPr>
      <w:b/>
    </w:rPr>
  </w:style>
  <w:style w:type="paragraph" w:customStyle="1" w:styleId="NormalConseil">
    <w:name w:val="NormalConseil"/>
    <w:basedOn w:val="Normal"/>
    <w:pPr>
      <w:spacing w:after="0" w:line="240" w:lineRule="auto"/>
    </w:pPr>
    <w:rPr>
      <w:rFonts w:eastAsia="Times New Roman" w:cs="Times New Roman"/>
      <w:sz w:val="24"/>
      <w:szCs w:val="20"/>
    </w:rPr>
  </w:style>
  <w:style w:type="paragraph" w:customStyle="1" w:styleId="EntRefer">
    <w:name w:val="EntRefer"/>
    <w:basedOn w:val="NormalConseil"/>
    <w:rPr>
      <w:b/>
    </w:rPr>
  </w:style>
  <w:style w:type="paragraph" w:customStyle="1" w:styleId="EntEmet">
    <w:name w:val="EntEmet"/>
    <w:basedOn w:val="NormalConseil"/>
    <w:pPr>
      <w:tabs>
        <w:tab w:val="left" w:pos="284"/>
        <w:tab w:val="left" w:pos="567"/>
        <w:tab w:val="left" w:pos="851"/>
        <w:tab w:val="left" w:pos="1134"/>
        <w:tab w:val="left" w:pos="1418"/>
      </w:tabs>
      <w:spacing w:before="40"/>
    </w:pPr>
  </w:style>
  <w:style w:type="paragraph" w:customStyle="1" w:styleId="EntLogo">
    <w:name w:val="EntLogo"/>
    <w:basedOn w:val="NormalConseil"/>
    <w:next w:val="EntInstit"/>
    <w:pPr>
      <w:spacing w:line="360" w:lineRule="auto"/>
    </w:pPr>
    <w:rPr>
      <w:b/>
    </w:rPr>
  </w:style>
  <w:style w:type="paragraph" w:customStyle="1" w:styleId="FooterConseil">
    <w:name w:val="FooterConseil"/>
    <w:basedOn w:val="NormalConseil"/>
    <w:pPr>
      <w:tabs>
        <w:tab w:val="center" w:pos="4820"/>
        <w:tab w:val="center" w:pos="7371"/>
        <w:tab w:val="right" w:pos="9639"/>
      </w:tabs>
    </w:pPr>
  </w:style>
  <w:style w:type="paragraph" w:styleId="NormalWeb">
    <w:name w:val="Normal (Web)"/>
    <w:basedOn w:val="Normal"/>
    <w:uiPriority w:val="99"/>
    <w:unhideWhenUsed/>
    <w:rPr>
      <w:rFonts w:eastAsia="Calibri" w:cs="Times New Roman"/>
      <w:sz w:val="24"/>
      <w:szCs w:val="24"/>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1111111">
    <w:name w:val="1 / 1.1 / 1.1.11"/>
    <w:basedOn w:val="NoList"/>
    <w:next w:val="111111"/>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table" w:styleId="LightList-Accent4">
    <w:name w:val="Light List Accent 4"/>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footnotedefaultstyleChar">
    <w:name w:val="footnote default style Char"/>
    <w:basedOn w:val="DefaultParagraphFont"/>
    <w:link w:val="footnotedefaultstyle"/>
    <w:locked/>
    <w:rPr>
      <w:rFonts w:ascii="Verdana" w:hAnsi="Verdana"/>
    </w:rPr>
  </w:style>
  <w:style w:type="paragraph" w:customStyle="1" w:styleId="footnotedefaultstyle">
    <w:name w:val="footnote default style"/>
    <w:basedOn w:val="Normal"/>
    <w:link w:val="footnotedefaultstyleChar"/>
    <w:pPr>
      <w:spacing w:after="0" w:line="240" w:lineRule="auto"/>
      <w:ind w:left="357" w:hanging="357"/>
      <w:jc w:val="both"/>
    </w:pPr>
    <w:rPr>
      <w:rFonts w:ascii="Verdana" w:hAnsi="Verdana"/>
    </w:rPr>
  </w:style>
  <w:style w:type="paragraph" w:customStyle="1" w:styleId="rtejustify">
    <w:name w:val="rtejustify"/>
    <w:basedOn w:val="Normal"/>
    <w:pPr>
      <w:spacing w:before="100" w:beforeAutospacing="1" w:after="100" w:afterAutospacing="1" w:line="240" w:lineRule="auto"/>
    </w:pPr>
    <w:rPr>
      <w:rFonts w:eastAsia="Times New Roman" w:cs="Times New Roman"/>
      <w:sz w:val="24"/>
      <w:szCs w:val="24"/>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oc-ti">
    <w:name w:val="doc-ti"/>
    <w:basedOn w:val="Normal"/>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668">
      <w:bodyDiv w:val="1"/>
      <w:marLeft w:val="0"/>
      <w:marRight w:val="0"/>
      <w:marTop w:val="0"/>
      <w:marBottom w:val="0"/>
      <w:divBdr>
        <w:top w:val="none" w:sz="0" w:space="0" w:color="auto"/>
        <w:left w:val="none" w:sz="0" w:space="0" w:color="auto"/>
        <w:bottom w:val="none" w:sz="0" w:space="0" w:color="auto"/>
        <w:right w:val="none" w:sz="0" w:space="0" w:color="auto"/>
      </w:divBdr>
    </w:div>
    <w:div w:id="47151934">
      <w:bodyDiv w:val="1"/>
      <w:marLeft w:val="0"/>
      <w:marRight w:val="0"/>
      <w:marTop w:val="0"/>
      <w:marBottom w:val="0"/>
      <w:divBdr>
        <w:top w:val="none" w:sz="0" w:space="0" w:color="auto"/>
        <w:left w:val="none" w:sz="0" w:space="0" w:color="auto"/>
        <w:bottom w:val="none" w:sz="0" w:space="0" w:color="auto"/>
        <w:right w:val="none" w:sz="0" w:space="0" w:color="auto"/>
      </w:divBdr>
    </w:div>
    <w:div w:id="69355342">
      <w:bodyDiv w:val="1"/>
      <w:marLeft w:val="0"/>
      <w:marRight w:val="0"/>
      <w:marTop w:val="0"/>
      <w:marBottom w:val="0"/>
      <w:divBdr>
        <w:top w:val="none" w:sz="0" w:space="0" w:color="auto"/>
        <w:left w:val="none" w:sz="0" w:space="0" w:color="auto"/>
        <w:bottom w:val="none" w:sz="0" w:space="0" w:color="auto"/>
        <w:right w:val="none" w:sz="0" w:space="0" w:color="auto"/>
      </w:divBdr>
    </w:div>
    <w:div w:id="109395635">
      <w:bodyDiv w:val="1"/>
      <w:marLeft w:val="0"/>
      <w:marRight w:val="0"/>
      <w:marTop w:val="0"/>
      <w:marBottom w:val="0"/>
      <w:divBdr>
        <w:top w:val="none" w:sz="0" w:space="0" w:color="auto"/>
        <w:left w:val="none" w:sz="0" w:space="0" w:color="auto"/>
        <w:bottom w:val="none" w:sz="0" w:space="0" w:color="auto"/>
        <w:right w:val="none" w:sz="0" w:space="0" w:color="auto"/>
      </w:divBdr>
    </w:div>
    <w:div w:id="127480165">
      <w:bodyDiv w:val="1"/>
      <w:marLeft w:val="0"/>
      <w:marRight w:val="0"/>
      <w:marTop w:val="0"/>
      <w:marBottom w:val="0"/>
      <w:divBdr>
        <w:top w:val="none" w:sz="0" w:space="0" w:color="auto"/>
        <w:left w:val="none" w:sz="0" w:space="0" w:color="auto"/>
        <w:bottom w:val="none" w:sz="0" w:space="0" w:color="auto"/>
        <w:right w:val="none" w:sz="0" w:space="0" w:color="auto"/>
      </w:divBdr>
    </w:div>
    <w:div w:id="138235314">
      <w:bodyDiv w:val="1"/>
      <w:marLeft w:val="0"/>
      <w:marRight w:val="0"/>
      <w:marTop w:val="0"/>
      <w:marBottom w:val="0"/>
      <w:divBdr>
        <w:top w:val="none" w:sz="0" w:space="0" w:color="auto"/>
        <w:left w:val="none" w:sz="0" w:space="0" w:color="auto"/>
        <w:bottom w:val="none" w:sz="0" w:space="0" w:color="auto"/>
        <w:right w:val="none" w:sz="0" w:space="0" w:color="auto"/>
      </w:divBdr>
      <w:divsChild>
        <w:div w:id="1714885340">
          <w:marLeft w:val="0"/>
          <w:marRight w:val="0"/>
          <w:marTop w:val="0"/>
          <w:marBottom w:val="0"/>
          <w:divBdr>
            <w:top w:val="none" w:sz="0" w:space="0" w:color="auto"/>
            <w:left w:val="none" w:sz="0" w:space="0" w:color="auto"/>
            <w:bottom w:val="none" w:sz="0" w:space="0" w:color="auto"/>
            <w:right w:val="none" w:sz="0" w:space="0" w:color="auto"/>
          </w:divBdr>
          <w:divsChild>
            <w:div w:id="800611097">
              <w:marLeft w:val="0"/>
              <w:marRight w:val="0"/>
              <w:marTop w:val="0"/>
              <w:marBottom w:val="0"/>
              <w:divBdr>
                <w:top w:val="none" w:sz="0" w:space="0" w:color="auto"/>
                <w:left w:val="none" w:sz="0" w:space="0" w:color="auto"/>
                <w:bottom w:val="none" w:sz="0" w:space="0" w:color="auto"/>
                <w:right w:val="none" w:sz="0" w:space="0" w:color="auto"/>
              </w:divBdr>
              <w:divsChild>
                <w:div w:id="1390154784">
                  <w:marLeft w:val="0"/>
                  <w:marRight w:val="0"/>
                  <w:marTop w:val="0"/>
                  <w:marBottom w:val="0"/>
                  <w:divBdr>
                    <w:top w:val="none" w:sz="0" w:space="0" w:color="auto"/>
                    <w:left w:val="none" w:sz="0" w:space="0" w:color="auto"/>
                    <w:bottom w:val="none" w:sz="0" w:space="0" w:color="auto"/>
                    <w:right w:val="none" w:sz="0" w:space="0" w:color="auto"/>
                  </w:divBdr>
                  <w:divsChild>
                    <w:div w:id="214195939">
                      <w:marLeft w:val="0"/>
                      <w:marRight w:val="0"/>
                      <w:marTop w:val="0"/>
                      <w:marBottom w:val="0"/>
                      <w:divBdr>
                        <w:top w:val="none" w:sz="0" w:space="0" w:color="auto"/>
                        <w:left w:val="none" w:sz="0" w:space="0" w:color="auto"/>
                        <w:bottom w:val="none" w:sz="0" w:space="0" w:color="auto"/>
                        <w:right w:val="none" w:sz="0" w:space="0" w:color="auto"/>
                      </w:divBdr>
                      <w:divsChild>
                        <w:div w:id="4331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3958">
      <w:bodyDiv w:val="1"/>
      <w:marLeft w:val="0"/>
      <w:marRight w:val="0"/>
      <w:marTop w:val="0"/>
      <w:marBottom w:val="0"/>
      <w:divBdr>
        <w:top w:val="none" w:sz="0" w:space="0" w:color="auto"/>
        <w:left w:val="none" w:sz="0" w:space="0" w:color="auto"/>
        <w:bottom w:val="none" w:sz="0" w:space="0" w:color="auto"/>
        <w:right w:val="none" w:sz="0" w:space="0" w:color="auto"/>
      </w:divBdr>
    </w:div>
    <w:div w:id="180516488">
      <w:bodyDiv w:val="1"/>
      <w:marLeft w:val="0"/>
      <w:marRight w:val="0"/>
      <w:marTop w:val="0"/>
      <w:marBottom w:val="0"/>
      <w:divBdr>
        <w:top w:val="none" w:sz="0" w:space="0" w:color="auto"/>
        <w:left w:val="none" w:sz="0" w:space="0" w:color="auto"/>
        <w:bottom w:val="none" w:sz="0" w:space="0" w:color="auto"/>
        <w:right w:val="none" w:sz="0" w:space="0" w:color="auto"/>
      </w:divBdr>
    </w:div>
    <w:div w:id="183641237">
      <w:bodyDiv w:val="1"/>
      <w:marLeft w:val="0"/>
      <w:marRight w:val="0"/>
      <w:marTop w:val="0"/>
      <w:marBottom w:val="0"/>
      <w:divBdr>
        <w:top w:val="none" w:sz="0" w:space="0" w:color="auto"/>
        <w:left w:val="none" w:sz="0" w:space="0" w:color="auto"/>
        <w:bottom w:val="none" w:sz="0" w:space="0" w:color="auto"/>
        <w:right w:val="none" w:sz="0" w:space="0" w:color="auto"/>
      </w:divBdr>
    </w:div>
    <w:div w:id="205266399">
      <w:bodyDiv w:val="1"/>
      <w:marLeft w:val="0"/>
      <w:marRight w:val="0"/>
      <w:marTop w:val="0"/>
      <w:marBottom w:val="0"/>
      <w:divBdr>
        <w:top w:val="none" w:sz="0" w:space="0" w:color="auto"/>
        <w:left w:val="none" w:sz="0" w:space="0" w:color="auto"/>
        <w:bottom w:val="none" w:sz="0" w:space="0" w:color="auto"/>
        <w:right w:val="none" w:sz="0" w:space="0" w:color="auto"/>
      </w:divBdr>
    </w:div>
    <w:div w:id="207030180">
      <w:bodyDiv w:val="1"/>
      <w:marLeft w:val="0"/>
      <w:marRight w:val="0"/>
      <w:marTop w:val="0"/>
      <w:marBottom w:val="0"/>
      <w:divBdr>
        <w:top w:val="none" w:sz="0" w:space="0" w:color="auto"/>
        <w:left w:val="none" w:sz="0" w:space="0" w:color="auto"/>
        <w:bottom w:val="none" w:sz="0" w:space="0" w:color="auto"/>
        <w:right w:val="none" w:sz="0" w:space="0" w:color="auto"/>
      </w:divBdr>
    </w:div>
    <w:div w:id="262689349">
      <w:bodyDiv w:val="1"/>
      <w:marLeft w:val="0"/>
      <w:marRight w:val="0"/>
      <w:marTop w:val="0"/>
      <w:marBottom w:val="0"/>
      <w:divBdr>
        <w:top w:val="none" w:sz="0" w:space="0" w:color="auto"/>
        <w:left w:val="none" w:sz="0" w:space="0" w:color="auto"/>
        <w:bottom w:val="none" w:sz="0" w:space="0" w:color="auto"/>
        <w:right w:val="none" w:sz="0" w:space="0" w:color="auto"/>
      </w:divBdr>
    </w:div>
    <w:div w:id="291132663">
      <w:bodyDiv w:val="1"/>
      <w:marLeft w:val="0"/>
      <w:marRight w:val="0"/>
      <w:marTop w:val="0"/>
      <w:marBottom w:val="0"/>
      <w:divBdr>
        <w:top w:val="none" w:sz="0" w:space="0" w:color="auto"/>
        <w:left w:val="none" w:sz="0" w:space="0" w:color="auto"/>
        <w:bottom w:val="none" w:sz="0" w:space="0" w:color="auto"/>
        <w:right w:val="none" w:sz="0" w:space="0" w:color="auto"/>
      </w:divBdr>
    </w:div>
    <w:div w:id="300775213">
      <w:bodyDiv w:val="1"/>
      <w:marLeft w:val="0"/>
      <w:marRight w:val="0"/>
      <w:marTop w:val="0"/>
      <w:marBottom w:val="0"/>
      <w:divBdr>
        <w:top w:val="none" w:sz="0" w:space="0" w:color="auto"/>
        <w:left w:val="none" w:sz="0" w:space="0" w:color="auto"/>
        <w:bottom w:val="none" w:sz="0" w:space="0" w:color="auto"/>
        <w:right w:val="none" w:sz="0" w:space="0" w:color="auto"/>
      </w:divBdr>
    </w:div>
    <w:div w:id="372006173">
      <w:bodyDiv w:val="1"/>
      <w:marLeft w:val="0"/>
      <w:marRight w:val="0"/>
      <w:marTop w:val="0"/>
      <w:marBottom w:val="0"/>
      <w:divBdr>
        <w:top w:val="none" w:sz="0" w:space="0" w:color="auto"/>
        <w:left w:val="none" w:sz="0" w:space="0" w:color="auto"/>
        <w:bottom w:val="none" w:sz="0" w:space="0" w:color="auto"/>
        <w:right w:val="none" w:sz="0" w:space="0" w:color="auto"/>
      </w:divBdr>
    </w:div>
    <w:div w:id="373194080">
      <w:bodyDiv w:val="1"/>
      <w:marLeft w:val="0"/>
      <w:marRight w:val="0"/>
      <w:marTop w:val="0"/>
      <w:marBottom w:val="0"/>
      <w:divBdr>
        <w:top w:val="none" w:sz="0" w:space="0" w:color="auto"/>
        <w:left w:val="none" w:sz="0" w:space="0" w:color="auto"/>
        <w:bottom w:val="none" w:sz="0" w:space="0" w:color="auto"/>
        <w:right w:val="none" w:sz="0" w:space="0" w:color="auto"/>
      </w:divBdr>
    </w:div>
    <w:div w:id="460730473">
      <w:bodyDiv w:val="1"/>
      <w:marLeft w:val="0"/>
      <w:marRight w:val="0"/>
      <w:marTop w:val="0"/>
      <w:marBottom w:val="0"/>
      <w:divBdr>
        <w:top w:val="none" w:sz="0" w:space="0" w:color="auto"/>
        <w:left w:val="none" w:sz="0" w:space="0" w:color="auto"/>
        <w:bottom w:val="none" w:sz="0" w:space="0" w:color="auto"/>
        <w:right w:val="none" w:sz="0" w:space="0" w:color="auto"/>
      </w:divBdr>
    </w:div>
    <w:div w:id="461387523">
      <w:bodyDiv w:val="1"/>
      <w:marLeft w:val="0"/>
      <w:marRight w:val="0"/>
      <w:marTop w:val="0"/>
      <w:marBottom w:val="0"/>
      <w:divBdr>
        <w:top w:val="none" w:sz="0" w:space="0" w:color="auto"/>
        <w:left w:val="none" w:sz="0" w:space="0" w:color="auto"/>
        <w:bottom w:val="none" w:sz="0" w:space="0" w:color="auto"/>
        <w:right w:val="none" w:sz="0" w:space="0" w:color="auto"/>
      </w:divBdr>
    </w:div>
    <w:div w:id="575434405">
      <w:bodyDiv w:val="1"/>
      <w:marLeft w:val="0"/>
      <w:marRight w:val="0"/>
      <w:marTop w:val="0"/>
      <w:marBottom w:val="0"/>
      <w:divBdr>
        <w:top w:val="none" w:sz="0" w:space="0" w:color="auto"/>
        <w:left w:val="none" w:sz="0" w:space="0" w:color="auto"/>
        <w:bottom w:val="none" w:sz="0" w:space="0" w:color="auto"/>
        <w:right w:val="none" w:sz="0" w:space="0" w:color="auto"/>
      </w:divBdr>
    </w:div>
    <w:div w:id="607927946">
      <w:bodyDiv w:val="1"/>
      <w:marLeft w:val="0"/>
      <w:marRight w:val="0"/>
      <w:marTop w:val="0"/>
      <w:marBottom w:val="0"/>
      <w:divBdr>
        <w:top w:val="none" w:sz="0" w:space="0" w:color="auto"/>
        <w:left w:val="none" w:sz="0" w:space="0" w:color="auto"/>
        <w:bottom w:val="none" w:sz="0" w:space="0" w:color="auto"/>
        <w:right w:val="none" w:sz="0" w:space="0" w:color="auto"/>
      </w:divBdr>
      <w:divsChild>
        <w:div w:id="850022250">
          <w:marLeft w:val="0"/>
          <w:marRight w:val="0"/>
          <w:marTop w:val="0"/>
          <w:marBottom w:val="0"/>
          <w:divBdr>
            <w:top w:val="none" w:sz="0" w:space="0" w:color="auto"/>
            <w:left w:val="none" w:sz="0" w:space="0" w:color="auto"/>
            <w:bottom w:val="none" w:sz="0" w:space="0" w:color="auto"/>
            <w:right w:val="none" w:sz="0" w:space="0" w:color="auto"/>
          </w:divBdr>
          <w:divsChild>
            <w:div w:id="556169316">
              <w:marLeft w:val="0"/>
              <w:marRight w:val="0"/>
              <w:marTop w:val="0"/>
              <w:marBottom w:val="0"/>
              <w:divBdr>
                <w:top w:val="none" w:sz="0" w:space="0" w:color="auto"/>
                <w:left w:val="none" w:sz="0" w:space="0" w:color="auto"/>
                <w:bottom w:val="none" w:sz="0" w:space="0" w:color="auto"/>
                <w:right w:val="none" w:sz="0" w:space="0" w:color="auto"/>
              </w:divBdr>
              <w:divsChild>
                <w:div w:id="281882465">
                  <w:marLeft w:val="0"/>
                  <w:marRight w:val="0"/>
                  <w:marTop w:val="0"/>
                  <w:marBottom w:val="0"/>
                  <w:divBdr>
                    <w:top w:val="none" w:sz="0" w:space="0" w:color="auto"/>
                    <w:left w:val="none" w:sz="0" w:space="0" w:color="auto"/>
                    <w:bottom w:val="none" w:sz="0" w:space="0" w:color="auto"/>
                    <w:right w:val="none" w:sz="0" w:space="0" w:color="auto"/>
                  </w:divBdr>
                  <w:divsChild>
                    <w:div w:id="665787151">
                      <w:marLeft w:val="0"/>
                      <w:marRight w:val="0"/>
                      <w:marTop w:val="0"/>
                      <w:marBottom w:val="0"/>
                      <w:divBdr>
                        <w:top w:val="none" w:sz="0" w:space="0" w:color="auto"/>
                        <w:left w:val="none" w:sz="0" w:space="0" w:color="auto"/>
                        <w:bottom w:val="none" w:sz="0" w:space="0" w:color="auto"/>
                        <w:right w:val="none" w:sz="0" w:space="0" w:color="auto"/>
                      </w:divBdr>
                      <w:divsChild>
                        <w:div w:id="959649044">
                          <w:marLeft w:val="0"/>
                          <w:marRight w:val="0"/>
                          <w:marTop w:val="150"/>
                          <w:marBottom w:val="0"/>
                          <w:divBdr>
                            <w:top w:val="none" w:sz="0" w:space="0" w:color="auto"/>
                            <w:left w:val="none" w:sz="0" w:space="0" w:color="auto"/>
                            <w:bottom w:val="none" w:sz="0" w:space="0" w:color="auto"/>
                            <w:right w:val="none" w:sz="0" w:space="0" w:color="auto"/>
                          </w:divBdr>
                          <w:divsChild>
                            <w:div w:id="1542665418">
                              <w:marLeft w:val="0"/>
                              <w:marRight w:val="0"/>
                              <w:marTop w:val="0"/>
                              <w:marBottom w:val="0"/>
                              <w:divBdr>
                                <w:top w:val="none" w:sz="0" w:space="0" w:color="auto"/>
                                <w:left w:val="none" w:sz="0" w:space="0" w:color="auto"/>
                                <w:bottom w:val="none" w:sz="0" w:space="0" w:color="auto"/>
                                <w:right w:val="none" w:sz="0" w:space="0" w:color="auto"/>
                              </w:divBdr>
                              <w:divsChild>
                                <w:div w:id="355693972">
                                  <w:marLeft w:val="0"/>
                                  <w:marRight w:val="0"/>
                                  <w:marTop w:val="0"/>
                                  <w:marBottom w:val="0"/>
                                  <w:divBdr>
                                    <w:top w:val="none" w:sz="0" w:space="0" w:color="auto"/>
                                    <w:left w:val="none" w:sz="0" w:space="0" w:color="auto"/>
                                    <w:bottom w:val="none" w:sz="0" w:space="0" w:color="auto"/>
                                    <w:right w:val="none" w:sz="0" w:space="0" w:color="auto"/>
                                  </w:divBdr>
                                  <w:divsChild>
                                    <w:div w:id="1020623427">
                                      <w:marLeft w:val="0"/>
                                      <w:marRight w:val="0"/>
                                      <w:marTop w:val="0"/>
                                      <w:marBottom w:val="0"/>
                                      <w:divBdr>
                                        <w:top w:val="none" w:sz="0" w:space="0" w:color="auto"/>
                                        <w:left w:val="none" w:sz="0" w:space="0" w:color="auto"/>
                                        <w:bottom w:val="none" w:sz="0" w:space="0" w:color="auto"/>
                                        <w:right w:val="none" w:sz="0" w:space="0" w:color="auto"/>
                                      </w:divBdr>
                                      <w:divsChild>
                                        <w:div w:id="1049308148">
                                          <w:marLeft w:val="0"/>
                                          <w:marRight w:val="0"/>
                                          <w:marTop w:val="0"/>
                                          <w:marBottom w:val="0"/>
                                          <w:divBdr>
                                            <w:top w:val="none" w:sz="0" w:space="0" w:color="auto"/>
                                            <w:left w:val="none" w:sz="0" w:space="0" w:color="auto"/>
                                            <w:bottom w:val="none" w:sz="0" w:space="0" w:color="auto"/>
                                            <w:right w:val="none" w:sz="0" w:space="0" w:color="auto"/>
                                          </w:divBdr>
                                          <w:divsChild>
                                            <w:div w:id="2060124732">
                                              <w:marLeft w:val="0"/>
                                              <w:marRight w:val="0"/>
                                              <w:marTop w:val="0"/>
                                              <w:marBottom w:val="0"/>
                                              <w:divBdr>
                                                <w:top w:val="none" w:sz="0" w:space="0" w:color="auto"/>
                                                <w:left w:val="none" w:sz="0" w:space="0" w:color="auto"/>
                                                <w:bottom w:val="none" w:sz="0" w:space="0" w:color="auto"/>
                                                <w:right w:val="none" w:sz="0" w:space="0" w:color="auto"/>
                                              </w:divBdr>
                                              <w:divsChild>
                                                <w:div w:id="1241257141">
                                                  <w:marLeft w:val="0"/>
                                                  <w:marRight w:val="0"/>
                                                  <w:marTop w:val="0"/>
                                                  <w:marBottom w:val="0"/>
                                                  <w:divBdr>
                                                    <w:top w:val="none" w:sz="0" w:space="0" w:color="auto"/>
                                                    <w:left w:val="none" w:sz="0" w:space="0" w:color="auto"/>
                                                    <w:bottom w:val="none" w:sz="0" w:space="0" w:color="auto"/>
                                                    <w:right w:val="none" w:sz="0" w:space="0" w:color="auto"/>
                                                  </w:divBdr>
                                                  <w:divsChild>
                                                    <w:div w:id="581329241">
                                                      <w:marLeft w:val="0"/>
                                                      <w:marRight w:val="0"/>
                                                      <w:marTop w:val="0"/>
                                                      <w:marBottom w:val="0"/>
                                                      <w:divBdr>
                                                        <w:top w:val="none" w:sz="0" w:space="0" w:color="auto"/>
                                                        <w:left w:val="none" w:sz="0" w:space="0" w:color="auto"/>
                                                        <w:bottom w:val="none" w:sz="0" w:space="0" w:color="auto"/>
                                                        <w:right w:val="none" w:sz="0" w:space="0" w:color="auto"/>
                                                      </w:divBdr>
                                                      <w:divsChild>
                                                        <w:div w:id="206570183">
                                                          <w:marLeft w:val="0"/>
                                                          <w:marRight w:val="0"/>
                                                          <w:marTop w:val="0"/>
                                                          <w:marBottom w:val="0"/>
                                                          <w:divBdr>
                                                            <w:top w:val="none" w:sz="0" w:space="0" w:color="auto"/>
                                                            <w:left w:val="none" w:sz="0" w:space="0" w:color="auto"/>
                                                            <w:bottom w:val="none" w:sz="0" w:space="0" w:color="auto"/>
                                                            <w:right w:val="none" w:sz="0" w:space="0" w:color="auto"/>
                                                          </w:divBdr>
                                                          <w:divsChild>
                                                            <w:div w:id="462773388">
                                                              <w:marLeft w:val="0"/>
                                                              <w:marRight w:val="0"/>
                                                              <w:marTop w:val="0"/>
                                                              <w:marBottom w:val="0"/>
                                                              <w:divBdr>
                                                                <w:top w:val="none" w:sz="0" w:space="0" w:color="auto"/>
                                                                <w:left w:val="none" w:sz="0" w:space="0" w:color="auto"/>
                                                                <w:bottom w:val="none" w:sz="0" w:space="0" w:color="auto"/>
                                                                <w:right w:val="none" w:sz="0" w:space="0" w:color="auto"/>
                                                              </w:divBdr>
                                                              <w:divsChild>
                                                                <w:div w:id="1824925186">
                                                                  <w:marLeft w:val="0"/>
                                                                  <w:marRight w:val="0"/>
                                                                  <w:marTop w:val="0"/>
                                                                  <w:marBottom w:val="0"/>
                                                                  <w:divBdr>
                                                                    <w:top w:val="none" w:sz="0" w:space="0" w:color="auto"/>
                                                                    <w:left w:val="none" w:sz="0" w:space="0" w:color="auto"/>
                                                                    <w:bottom w:val="none" w:sz="0" w:space="0" w:color="auto"/>
                                                                    <w:right w:val="none" w:sz="0" w:space="0" w:color="auto"/>
                                                                  </w:divBdr>
                                                                  <w:divsChild>
                                                                    <w:div w:id="706687569">
                                                                      <w:marLeft w:val="0"/>
                                                                      <w:marRight w:val="0"/>
                                                                      <w:marTop w:val="0"/>
                                                                      <w:marBottom w:val="0"/>
                                                                      <w:divBdr>
                                                                        <w:top w:val="none" w:sz="0" w:space="0" w:color="auto"/>
                                                                        <w:left w:val="none" w:sz="0" w:space="0" w:color="auto"/>
                                                                        <w:bottom w:val="none" w:sz="0" w:space="0" w:color="auto"/>
                                                                        <w:right w:val="none" w:sz="0" w:space="0" w:color="auto"/>
                                                                      </w:divBdr>
                                                                      <w:divsChild>
                                                                        <w:div w:id="2279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213952">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54321380">
      <w:bodyDiv w:val="1"/>
      <w:marLeft w:val="0"/>
      <w:marRight w:val="0"/>
      <w:marTop w:val="0"/>
      <w:marBottom w:val="0"/>
      <w:divBdr>
        <w:top w:val="none" w:sz="0" w:space="0" w:color="auto"/>
        <w:left w:val="none" w:sz="0" w:space="0" w:color="auto"/>
        <w:bottom w:val="none" w:sz="0" w:space="0" w:color="auto"/>
        <w:right w:val="none" w:sz="0" w:space="0" w:color="auto"/>
      </w:divBdr>
    </w:div>
    <w:div w:id="814033623">
      <w:bodyDiv w:val="1"/>
      <w:marLeft w:val="0"/>
      <w:marRight w:val="0"/>
      <w:marTop w:val="0"/>
      <w:marBottom w:val="0"/>
      <w:divBdr>
        <w:top w:val="none" w:sz="0" w:space="0" w:color="auto"/>
        <w:left w:val="none" w:sz="0" w:space="0" w:color="auto"/>
        <w:bottom w:val="none" w:sz="0" w:space="0" w:color="auto"/>
        <w:right w:val="none" w:sz="0" w:space="0" w:color="auto"/>
      </w:divBdr>
    </w:div>
    <w:div w:id="932324286">
      <w:bodyDiv w:val="1"/>
      <w:marLeft w:val="0"/>
      <w:marRight w:val="0"/>
      <w:marTop w:val="0"/>
      <w:marBottom w:val="0"/>
      <w:divBdr>
        <w:top w:val="none" w:sz="0" w:space="0" w:color="auto"/>
        <w:left w:val="none" w:sz="0" w:space="0" w:color="auto"/>
        <w:bottom w:val="none" w:sz="0" w:space="0" w:color="auto"/>
        <w:right w:val="none" w:sz="0" w:space="0" w:color="auto"/>
      </w:divBdr>
    </w:div>
    <w:div w:id="968626350">
      <w:bodyDiv w:val="1"/>
      <w:marLeft w:val="0"/>
      <w:marRight w:val="0"/>
      <w:marTop w:val="0"/>
      <w:marBottom w:val="0"/>
      <w:divBdr>
        <w:top w:val="none" w:sz="0" w:space="0" w:color="auto"/>
        <w:left w:val="none" w:sz="0" w:space="0" w:color="auto"/>
        <w:bottom w:val="none" w:sz="0" w:space="0" w:color="auto"/>
        <w:right w:val="none" w:sz="0" w:space="0" w:color="auto"/>
      </w:divBdr>
    </w:div>
    <w:div w:id="1045570462">
      <w:bodyDiv w:val="1"/>
      <w:marLeft w:val="0"/>
      <w:marRight w:val="0"/>
      <w:marTop w:val="0"/>
      <w:marBottom w:val="0"/>
      <w:divBdr>
        <w:top w:val="none" w:sz="0" w:space="0" w:color="auto"/>
        <w:left w:val="none" w:sz="0" w:space="0" w:color="auto"/>
        <w:bottom w:val="none" w:sz="0" w:space="0" w:color="auto"/>
        <w:right w:val="none" w:sz="0" w:space="0" w:color="auto"/>
      </w:divBdr>
    </w:div>
    <w:div w:id="1061368972">
      <w:bodyDiv w:val="1"/>
      <w:marLeft w:val="0"/>
      <w:marRight w:val="0"/>
      <w:marTop w:val="0"/>
      <w:marBottom w:val="0"/>
      <w:divBdr>
        <w:top w:val="none" w:sz="0" w:space="0" w:color="auto"/>
        <w:left w:val="none" w:sz="0" w:space="0" w:color="auto"/>
        <w:bottom w:val="none" w:sz="0" w:space="0" w:color="auto"/>
        <w:right w:val="none" w:sz="0" w:space="0" w:color="auto"/>
      </w:divBdr>
    </w:div>
    <w:div w:id="1096756206">
      <w:bodyDiv w:val="1"/>
      <w:marLeft w:val="0"/>
      <w:marRight w:val="0"/>
      <w:marTop w:val="0"/>
      <w:marBottom w:val="0"/>
      <w:divBdr>
        <w:top w:val="none" w:sz="0" w:space="0" w:color="auto"/>
        <w:left w:val="none" w:sz="0" w:space="0" w:color="auto"/>
        <w:bottom w:val="none" w:sz="0" w:space="0" w:color="auto"/>
        <w:right w:val="none" w:sz="0" w:space="0" w:color="auto"/>
      </w:divBdr>
    </w:div>
    <w:div w:id="1105732180">
      <w:bodyDiv w:val="1"/>
      <w:marLeft w:val="0"/>
      <w:marRight w:val="0"/>
      <w:marTop w:val="0"/>
      <w:marBottom w:val="0"/>
      <w:divBdr>
        <w:top w:val="none" w:sz="0" w:space="0" w:color="auto"/>
        <w:left w:val="none" w:sz="0" w:space="0" w:color="auto"/>
        <w:bottom w:val="none" w:sz="0" w:space="0" w:color="auto"/>
        <w:right w:val="none" w:sz="0" w:space="0" w:color="auto"/>
      </w:divBdr>
    </w:div>
    <w:div w:id="1112699578">
      <w:bodyDiv w:val="1"/>
      <w:marLeft w:val="0"/>
      <w:marRight w:val="0"/>
      <w:marTop w:val="0"/>
      <w:marBottom w:val="0"/>
      <w:divBdr>
        <w:top w:val="none" w:sz="0" w:space="0" w:color="auto"/>
        <w:left w:val="none" w:sz="0" w:space="0" w:color="auto"/>
        <w:bottom w:val="none" w:sz="0" w:space="0" w:color="auto"/>
        <w:right w:val="none" w:sz="0" w:space="0" w:color="auto"/>
      </w:divBdr>
    </w:div>
    <w:div w:id="1131288496">
      <w:bodyDiv w:val="1"/>
      <w:marLeft w:val="0"/>
      <w:marRight w:val="0"/>
      <w:marTop w:val="0"/>
      <w:marBottom w:val="0"/>
      <w:divBdr>
        <w:top w:val="none" w:sz="0" w:space="0" w:color="auto"/>
        <w:left w:val="none" w:sz="0" w:space="0" w:color="auto"/>
        <w:bottom w:val="none" w:sz="0" w:space="0" w:color="auto"/>
        <w:right w:val="none" w:sz="0" w:space="0" w:color="auto"/>
      </w:divBdr>
    </w:div>
    <w:div w:id="1216622994">
      <w:bodyDiv w:val="1"/>
      <w:marLeft w:val="0"/>
      <w:marRight w:val="0"/>
      <w:marTop w:val="0"/>
      <w:marBottom w:val="0"/>
      <w:divBdr>
        <w:top w:val="none" w:sz="0" w:space="0" w:color="auto"/>
        <w:left w:val="none" w:sz="0" w:space="0" w:color="auto"/>
        <w:bottom w:val="none" w:sz="0" w:space="0" w:color="auto"/>
        <w:right w:val="none" w:sz="0" w:space="0" w:color="auto"/>
      </w:divBdr>
    </w:div>
    <w:div w:id="1228803273">
      <w:bodyDiv w:val="1"/>
      <w:marLeft w:val="0"/>
      <w:marRight w:val="0"/>
      <w:marTop w:val="0"/>
      <w:marBottom w:val="0"/>
      <w:divBdr>
        <w:top w:val="none" w:sz="0" w:space="0" w:color="auto"/>
        <w:left w:val="none" w:sz="0" w:space="0" w:color="auto"/>
        <w:bottom w:val="none" w:sz="0" w:space="0" w:color="auto"/>
        <w:right w:val="none" w:sz="0" w:space="0" w:color="auto"/>
      </w:divBdr>
    </w:div>
    <w:div w:id="1249265688">
      <w:bodyDiv w:val="1"/>
      <w:marLeft w:val="0"/>
      <w:marRight w:val="0"/>
      <w:marTop w:val="0"/>
      <w:marBottom w:val="0"/>
      <w:divBdr>
        <w:top w:val="none" w:sz="0" w:space="0" w:color="auto"/>
        <w:left w:val="none" w:sz="0" w:space="0" w:color="auto"/>
        <w:bottom w:val="none" w:sz="0" w:space="0" w:color="auto"/>
        <w:right w:val="none" w:sz="0" w:space="0" w:color="auto"/>
      </w:divBdr>
    </w:div>
    <w:div w:id="1252543980">
      <w:bodyDiv w:val="1"/>
      <w:marLeft w:val="0"/>
      <w:marRight w:val="0"/>
      <w:marTop w:val="0"/>
      <w:marBottom w:val="0"/>
      <w:divBdr>
        <w:top w:val="none" w:sz="0" w:space="0" w:color="auto"/>
        <w:left w:val="none" w:sz="0" w:space="0" w:color="auto"/>
        <w:bottom w:val="none" w:sz="0" w:space="0" w:color="auto"/>
        <w:right w:val="none" w:sz="0" w:space="0" w:color="auto"/>
      </w:divBdr>
    </w:div>
    <w:div w:id="1292201186">
      <w:bodyDiv w:val="1"/>
      <w:marLeft w:val="0"/>
      <w:marRight w:val="0"/>
      <w:marTop w:val="0"/>
      <w:marBottom w:val="0"/>
      <w:divBdr>
        <w:top w:val="none" w:sz="0" w:space="0" w:color="auto"/>
        <w:left w:val="none" w:sz="0" w:space="0" w:color="auto"/>
        <w:bottom w:val="none" w:sz="0" w:space="0" w:color="auto"/>
        <w:right w:val="none" w:sz="0" w:space="0" w:color="auto"/>
      </w:divBdr>
    </w:div>
    <w:div w:id="1316103323">
      <w:bodyDiv w:val="1"/>
      <w:marLeft w:val="0"/>
      <w:marRight w:val="0"/>
      <w:marTop w:val="0"/>
      <w:marBottom w:val="0"/>
      <w:divBdr>
        <w:top w:val="none" w:sz="0" w:space="0" w:color="auto"/>
        <w:left w:val="none" w:sz="0" w:space="0" w:color="auto"/>
        <w:bottom w:val="none" w:sz="0" w:space="0" w:color="auto"/>
        <w:right w:val="none" w:sz="0" w:space="0" w:color="auto"/>
      </w:divBdr>
    </w:div>
    <w:div w:id="1389373861">
      <w:bodyDiv w:val="1"/>
      <w:marLeft w:val="0"/>
      <w:marRight w:val="0"/>
      <w:marTop w:val="0"/>
      <w:marBottom w:val="0"/>
      <w:divBdr>
        <w:top w:val="none" w:sz="0" w:space="0" w:color="auto"/>
        <w:left w:val="none" w:sz="0" w:space="0" w:color="auto"/>
        <w:bottom w:val="none" w:sz="0" w:space="0" w:color="auto"/>
        <w:right w:val="none" w:sz="0" w:space="0" w:color="auto"/>
      </w:divBdr>
    </w:div>
    <w:div w:id="1414551358">
      <w:bodyDiv w:val="1"/>
      <w:marLeft w:val="0"/>
      <w:marRight w:val="0"/>
      <w:marTop w:val="0"/>
      <w:marBottom w:val="0"/>
      <w:divBdr>
        <w:top w:val="none" w:sz="0" w:space="0" w:color="auto"/>
        <w:left w:val="none" w:sz="0" w:space="0" w:color="auto"/>
        <w:bottom w:val="none" w:sz="0" w:space="0" w:color="auto"/>
        <w:right w:val="none" w:sz="0" w:space="0" w:color="auto"/>
      </w:divBdr>
    </w:div>
    <w:div w:id="1430467448">
      <w:bodyDiv w:val="1"/>
      <w:marLeft w:val="0"/>
      <w:marRight w:val="0"/>
      <w:marTop w:val="0"/>
      <w:marBottom w:val="0"/>
      <w:divBdr>
        <w:top w:val="none" w:sz="0" w:space="0" w:color="auto"/>
        <w:left w:val="none" w:sz="0" w:space="0" w:color="auto"/>
        <w:bottom w:val="none" w:sz="0" w:space="0" w:color="auto"/>
        <w:right w:val="none" w:sz="0" w:space="0" w:color="auto"/>
      </w:divBdr>
    </w:div>
    <w:div w:id="1503470744">
      <w:bodyDiv w:val="1"/>
      <w:marLeft w:val="0"/>
      <w:marRight w:val="0"/>
      <w:marTop w:val="0"/>
      <w:marBottom w:val="0"/>
      <w:divBdr>
        <w:top w:val="none" w:sz="0" w:space="0" w:color="auto"/>
        <w:left w:val="none" w:sz="0" w:space="0" w:color="auto"/>
        <w:bottom w:val="none" w:sz="0" w:space="0" w:color="auto"/>
        <w:right w:val="none" w:sz="0" w:space="0" w:color="auto"/>
      </w:divBdr>
    </w:div>
    <w:div w:id="1556895582">
      <w:bodyDiv w:val="1"/>
      <w:marLeft w:val="0"/>
      <w:marRight w:val="0"/>
      <w:marTop w:val="0"/>
      <w:marBottom w:val="0"/>
      <w:divBdr>
        <w:top w:val="none" w:sz="0" w:space="0" w:color="auto"/>
        <w:left w:val="none" w:sz="0" w:space="0" w:color="auto"/>
        <w:bottom w:val="none" w:sz="0" w:space="0" w:color="auto"/>
        <w:right w:val="none" w:sz="0" w:space="0" w:color="auto"/>
      </w:divBdr>
    </w:div>
    <w:div w:id="1562247636">
      <w:bodyDiv w:val="1"/>
      <w:marLeft w:val="0"/>
      <w:marRight w:val="0"/>
      <w:marTop w:val="0"/>
      <w:marBottom w:val="0"/>
      <w:divBdr>
        <w:top w:val="none" w:sz="0" w:space="0" w:color="auto"/>
        <w:left w:val="none" w:sz="0" w:space="0" w:color="auto"/>
        <w:bottom w:val="none" w:sz="0" w:space="0" w:color="auto"/>
        <w:right w:val="none" w:sz="0" w:space="0" w:color="auto"/>
      </w:divBdr>
    </w:div>
    <w:div w:id="1681808957">
      <w:bodyDiv w:val="1"/>
      <w:marLeft w:val="0"/>
      <w:marRight w:val="0"/>
      <w:marTop w:val="0"/>
      <w:marBottom w:val="0"/>
      <w:divBdr>
        <w:top w:val="none" w:sz="0" w:space="0" w:color="auto"/>
        <w:left w:val="none" w:sz="0" w:space="0" w:color="auto"/>
        <w:bottom w:val="none" w:sz="0" w:space="0" w:color="auto"/>
        <w:right w:val="none" w:sz="0" w:space="0" w:color="auto"/>
      </w:divBdr>
    </w:div>
    <w:div w:id="1698578156">
      <w:bodyDiv w:val="1"/>
      <w:marLeft w:val="0"/>
      <w:marRight w:val="0"/>
      <w:marTop w:val="0"/>
      <w:marBottom w:val="0"/>
      <w:divBdr>
        <w:top w:val="none" w:sz="0" w:space="0" w:color="auto"/>
        <w:left w:val="none" w:sz="0" w:space="0" w:color="auto"/>
        <w:bottom w:val="none" w:sz="0" w:space="0" w:color="auto"/>
        <w:right w:val="none" w:sz="0" w:space="0" w:color="auto"/>
      </w:divBdr>
    </w:div>
    <w:div w:id="1851219288">
      <w:bodyDiv w:val="1"/>
      <w:marLeft w:val="0"/>
      <w:marRight w:val="0"/>
      <w:marTop w:val="0"/>
      <w:marBottom w:val="0"/>
      <w:divBdr>
        <w:top w:val="none" w:sz="0" w:space="0" w:color="auto"/>
        <w:left w:val="none" w:sz="0" w:space="0" w:color="auto"/>
        <w:bottom w:val="none" w:sz="0" w:space="0" w:color="auto"/>
        <w:right w:val="none" w:sz="0" w:space="0" w:color="auto"/>
      </w:divBdr>
    </w:div>
    <w:div w:id="1853564359">
      <w:bodyDiv w:val="1"/>
      <w:marLeft w:val="0"/>
      <w:marRight w:val="0"/>
      <w:marTop w:val="0"/>
      <w:marBottom w:val="0"/>
      <w:divBdr>
        <w:top w:val="none" w:sz="0" w:space="0" w:color="auto"/>
        <w:left w:val="none" w:sz="0" w:space="0" w:color="auto"/>
        <w:bottom w:val="none" w:sz="0" w:space="0" w:color="auto"/>
        <w:right w:val="none" w:sz="0" w:space="0" w:color="auto"/>
      </w:divBdr>
    </w:div>
    <w:div w:id="1857964245">
      <w:bodyDiv w:val="1"/>
      <w:marLeft w:val="0"/>
      <w:marRight w:val="0"/>
      <w:marTop w:val="0"/>
      <w:marBottom w:val="0"/>
      <w:divBdr>
        <w:top w:val="none" w:sz="0" w:space="0" w:color="auto"/>
        <w:left w:val="none" w:sz="0" w:space="0" w:color="auto"/>
        <w:bottom w:val="none" w:sz="0" w:space="0" w:color="auto"/>
        <w:right w:val="none" w:sz="0" w:space="0" w:color="auto"/>
      </w:divBdr>
    </w:div>
    <w:div w:id="1946574416">
      <w:bodyDiv w:val="1"/>
      <w:marLeft w:val="0"/>
      <w:marRight w:val="0"/>
      <w:marTop w:val="0"/>
      <w:marBottom w:val="0"/>
      <w:divBdr>
        <w:top w:val="none" w:sz="0" w:space="0" w:color="auto"/>
        <w:left w:val="none" w:sz="0" w:space="0" w:color="auto"/>
        <w:bottom w:val="none" w:sz="0" w:space="0" w:color="auto"/>
        <w:right w:val="none" w:sz="0" w:space="0" w:color="auto"/>
      </w:divBdr>
    </w:div>
    <w:div w:id="2044744286">
      <w:bodyDiv w:val="1"/>
      <w:marLeft w:val="0"/>
      <w:marRight w:val="0"/>
      <w:marTop w:val="0"/>
      <w:marBottom w:val="0"/>
      <w:divBdr>
        <w:top w:val="none" w:sz="0" w:space="0" w:color="auto"/>
        <w:left w:val="none" w:sz="0" w:space="0" w:color="auto"/>
        <w:bottom w:val="none" w:sz="0" w:space="0" w:color="auto"/>
        <w:right w:val="none" w:sz="0" w:space="0" w:color="auto"/>
      </w:divBdr>
    </w:div>
    <w:div w:id="2047755262">
      <w:bodyDiv w:val="1"/>
      <w:marLeft w:val="0"/>
      <w:marRight w:val="0"/>
      <w:marTop w:val="0"/>
      <w:marBottom w:val="0"/>
      <w:divBdr>
        <w:top w:val="none" w:sz="0" w:space="0" w:color="auto"/>
        <w:left w:val="none" w:sz="0" w:space="0" w:color="auto"/>
        <w:bottom w:val="none" w:sz="0" w:space="0" w:color="auto"/>
        <w:right w:val="none" w:sz="0" w:space="0" w:color="auto"/>
      </w:divBdr>
    </w:div>
    <w:div w:id="2094424862">
      <w:bodyDiv w:val="1"/>
      <w:marLeft w:val="0"/>
      <w:marRight w:val="0"/>
      <w:marTop w:val="0"/>
      <w:marBottom w:val="0"/>
      <w:divBdr>
        <w:top w:val="none" w:sz="0" w:space="0" w:color="auto"/>
        <w:left w:val="none" w:sz="0" w:space="0" w:color="auto"/>
        <w:bottom w:val="none" w:sz="0" w:space="0" w:color="auto"/>
        <w:right w:val="none" w:sz="0" w:space="0" w:color="auto"/>
      </w:divBdr>
    </w:div>
    <w:div w:id="2101676981">
      <w:bodyDiv w:val="1"/>
      <w:marLeft w:val="0"/>
      <w:marRight w:val="0"/>
      <w:marTop w:val="0"/>
      <w:marBottom w:val="0"/>
      <w:divBdr>
        <w:top w:val="none" w:sz="0" w:space="0" w:color="auto"/>
        <w:left w:val="none" w:sz="0" w:space="0" w:color="auto"/>
        <w:bottom w:val="none" w:sz="0" w:space="0" w:color="auto"/>
        <w:right w:val="none" w:sz="0" w:space="0" w:color="auto"/>
      </w:divBdr>
    </w:div>
    <w:div w:id="210228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health/sites/health/files/programme/docs/wp2015_fr.pdf" TargetMode="External"/><Relationship Id="rId2" Type="http://schemas.openxmlformats.org/officeDocument/2006/relationships/hyperlink" Target="https://eur-lex.europa.eu/legal-content/FR/TXT/HTML/?uri=CELEX:32014D0927&amp;from=FR" TargetMode="External"/><Relationship Id="rId1" Type="http://schemas.openxmlformats.org/officeDocument/2006/relationships/hyperlink" Target="https://ec.europa.eu/health/sites/health/files/programme/docs/wp2015_amendment_fr.pdf" TargetMode="External"/><Relationship Id="rId4" Type="http://schemas.openxmlformats.org/officeDocument/2006/relationships/hyperlink" Target="https://ec.europa.eu/health/sites/health/files/programmes/docs/wp2015_fr.pdf" TargetMode="External"/></Relationships>
</file>

<file path=word/_rels/header5.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D608E-2D7F-40C7-9BA4-0288BD28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3168</Words>
  <Characters>17145</Characters>
  <Application>Microsoft Office Word</Application>
  <DocSecurity>0</DocSecurity>
  <Lines>323</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31</cp:revision>
  <cp:lastPrinted>2018-09-18T12:21:00Z</cp:lastPrinted>
  <dcterms:created xsi:type="dcterms:W3CDTF">2018-10-23T13:18:00Z</dcterms:created>
  <dcterms:modified xsi:type="dcterms:W3CDTF">2018-12-12T09:39:00Z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6.0.1, Build 20180503</vt:lpwstr>
  </property>
  <property fmtid="{D5CDD505-2E9C-101B-9397-08002B2CF9AE}" pid="7" name="Created using">
    <vt:lpwstr>LW 6.0.1, Build 20180503</vt:lpwstr>
  </property>
</Properties>
</file>