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58B" w:rsidRDefault="002E07E6" w:rsidP="002E07E6">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A81D336-2A47-439B-96BC-DDA36D77D372" style="width:451pt;height:461.25pt">
            <v:imagedata r:id="rId7" o:title=""/>
          </v:shape>
        </w:pict>
      </w:r>
    </w:p>
    <w:bookmarkEnd w:id="0"/>
    <w:p w:rsidR="00A1058B" w:rsidRDefault="00A1058B">
      <w:pPr>
        <w:rPr>
          <w:noProof/>
          <w:lang w:val="fr-BE"/>
        </w:rPr>
        <w:sectPr w:rsidR="00A1058B" w:rsidSect="002E07E6">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A1058B" w:rsidRDefault="002E07E6">
      <w:pPr>
        <w:jc w:val="center"/>
        <w:rPr>
          <w:rFonts w:ascii="Times New Roman" w:hAnsi="Times New Roman" w:cs="Times New Roman"/>
          <w:b/>
          <w:noProof/>
          <w:u w:val="single"/>
        </w:rPr>
      </w:pPr>
      <w:bookmarkStart w:id="1" w:name="_GoBack"/>
      <w:bookmarkEnd w:id="1"/>
      <w:r>
        <w:rPr>
          <w:rFonts w:ascii="Times New Roman" w:hAnsi="Times New Roman" w:cs="Times New Roman"/>
          <w:b/>
          <w:noProof/>
          <w:u w:val="single"/>
        </w:rPr>
        <w:lastRenderedPageBreak/>
        <w:t>ANNEX</w:t>
      </w:r>
    </w:p>
    <w:p w:rsidR="00A1058B" w:rsidRDefault="002E07E6">
      <w:pPr>
        <w:pStyle w:val="Pa35"/>
        <w:rPr>
          <w:rFonts w:ascii="Times New Roman" w:hAnsi="Times New Roman" w:cs="Times New Roman"/>
          <w:noProof/>
          <w:color w:val="000000"/>
          <w:sz w:val="23"/>
          <w:szCs w:val="23"/>
        </w:rPr>
      </w:pPr>
      <w:r>
        <w:rPr>
          <w:rStyle w:val="A13"/>
          <w:rFonts w:ascii="Times New Roman" w:hAnsi="Times New Roman" w:cs="Times New Roman"/>
          <w:noProof/>
          <w:sz w:val="23"/>
          <w:szCs w:val="23"/>
        </w:rPr>
        <w:t>DELIVERING ON LEGISLATIVE PRIORITIES</w:t>
      </w:r>
      <w:r>
        <w:rPr>
          <w:rStyle w:val="A13"/>
          <w:rFonts w:ascii="Times New Roman" w:hAnsi="Times New Roman" w:cs="Times New Roman"/>
          <w:noProof/>
          <w:sz w:val="23"/>
          <w:szCs w:val="23"/>
        </w:rPr>
        <w:br/>
      </w:r>
    </w:p>
    <w:tbl>
      <w:tblPr>
        <w:tblStyle w:val="TableGrid"/>
        <w:tblW w:w="11326" w:type="dxa"/>
        <w:tblInd w:w="250" w:type="dxa"/>
        <w:tblLook w:val="04A0" w:firstRow="1" w:lastRow="0" w:firstColumn="1" w:lastColumn="0" w:noHBand="0" w:noVBand="1"/>
      </w:tblPr>
      <w:tblGrid>
        <w:gridCol w:w="392"/>
        <w:gridCol w:w="10934"/>
      </w:tblGrid>
      <w:tr w:rsidR="00A1058B">
        <w:tc>
          <w:tcPr>
            <w:tcW w:w="392" w:type="dxa"/>
            <w:tcBorders>
              <w:right w:val="single" w:sz="4" w:space="0" w:color="auto"/>
            </w:tcBorders>
            <w:shd w:val="clear" w:color="auto" w:fill="00B050"/>
          </w:tcPr>
          <w:p w:rsidR="00A1058B" w:rsidRDefault="00A1058B">
            <w:pPr>
              <w:rPr>
                <w:rFonts w:ascii="Times New Roman" w:hAnsi="Times New Roman" w:cs="Times New Roman"/>
                <w:noProof/>
                <w:color w:val="000000"/>
                <w:szCs w:val="20"/>
              </w:rPr>
            </w:pPr>
          </w:p>
        </w:tc>
        <w:tc>
          <w:tcPr>
            <w:tcW w:w="10934" w:type="dxa"/>
            <w:tcBorders>
              <w:top w:val="nil"/>
              <w:left w:val="single" w:sz="4" w:space="0" w:color="auto"/>
              <w:bottom w:val="nil"/>
              <w:right w:val="nil"/>
            </w:tcBorders>
          </w:tcPr>
          <w:p w:rsidR="00A1058B" w:rsidRDefault="002E07E6">
            <w:pPr>
              <w:rPr>
                <w:rFonts w:ascii="Times New Roman" w:hAnsi="Times New Roman" w:cs="Times New Roman"/>
                <w:noProof/>
                <w:color w:val="000000"/>
                <w:szCs w:val="20"/>
              </w:rPr>
            </w:pPr>
            <w:r>
              <w:rPr>
                <w:rFonts w:ascii="Times New Roman" w:hAnsi="Times New Roman" w:cs="Times New Roman"/>
                <w:noProof/>
                <w:color w:val="000000"/>
                <w:szCs w:val="20"/>
              </w:rPr>
              <w:t>Presented and agreed</w:t>
            </w:r>
          </w:p>
        </w:tc>
      </w:tr>
      <w:tr w:rsidR="00A1058B">
        <w:tc>
          <w:tcPr>
            <w:tcW w:w="392" w:type="dxa"/>
            <w:tcBorders>
              <w:right w:val="single" w:sz="4" w:space="0" w:color="auto"/>
            </w:tcBorders>
            <w:shd w:val="clear" w:color="auto" w:fill="FFFF00"/>
          </w:tcPr>
          <w:p w:rsidR="00A1058B" w:rsidRDefault="00A1058B">
            <w:pPr>
              <w:rPr>
                <w:rFonts w:ascii="Times New Roman" w:hAnsi="Times New Roman" w:cs="Times New Roman"/>
                <w:noProof/>
                <w:color w:val="000000"/>
                <w:szCs w:val="20"/>
              </w:rPr>
            </w:pPr>
          </w:p>
        </w:tc>
        <w:tc>
          <w:tcPr>
            <w:tcW w:w="10934" w:type="dxa"/>
            <w:tcBorders>
              <w:top w:val="nil"/>
              <w:left w:val="single" w:sz="4" w:space="0" w:color="auto"/>
              <w:bottom w:val="nil"/>
              <w:right w:val="nil"/>
            </w:tcBorders>
          </w:tcPr>
          <w:p w:rsidR="00A1058B" w:rsidRDefault="002E07E6">
            <w:pPr>
              <w:rPr>
                <w:rFonts w:ascii="Times New Roman" w:hAnsi="Times New Roman" w:cs="Times New Roman"/>
                <w:noProof/>
                <w:color w:val="000000"/>
                <w:szCs w:val="20"/>
              </w:rPr>
            </w:pPr>
            <w:r>
              <w:rPr>
                <w:rFonts w:ascii="Times New Roman" w:hAnsi="Times New Roman" w:cs="Times New Roman"/>
                <w:noProof/>
                <w:color w:val="000000"/>
                <w:szCs w:val="20"/>
              </w:rPr>
              <w:t>Swift agreement possible by following normal procedures</w:t>
            </w:r>
          </w:p>
        </w:tc>
      </w:tr>
      <w:tr w:rsidR="00A1058B">
        <w:tc>
          <w:tcPr>
            <w:tcW w:w="392" w:type="dxa"/>
            <w:tcBorders>
              <w:right w:val="single" w:sz="4" w:space="0" w:color="auto"/>
            </w:tcBorders>
            <w:shd w:val="clear" w:color="auto" w:fill="F79646" w:themeFill="accent6"/>
          </w:tcPr>
          <w:p w:rsidR="00A1058B" w:rsidRDefault="00A1058B">
            <w:pPr>
              <w:rPr>
                <w:rFonts w:ascii="Times New Roman" w:hAnsi="Times New Roman" w:cs="Times New Roman"/>
                <w:noProof/>
                <w:color w:val="000000"/>
                <w:szCs w:val="20"/>
              </w:rPr>
            </w:pPr>
          </w:p>
        </w:tc>
        <w:tc>
          <w:tcPr>
            <w:tcW w:w="10934" w:type="dxa"/>
            <w:tcBorders>
              <w:top w:val="nil"/>
              <w:left w:val="single" w:sz="4" w:space="0" w:color="auto"/>
              <w:bottom w:val="nil"/>
              <w:right w:val="nil"/>
            </w:tcBorders>
          </w:tcPr>
          <w:p w:rsidR="00A1058B" w:rsidRDefault="002E07E6">
            <w:pPr>
              <w:rPr>
                <w:rFonts w:ascii="Times New Roman" w:hAnsi="Times New Roman" w:cs="Times New Roman"/>
                <w:noProof/>
                <w:color w:val="000000"/>
                <w:szCs w:val="20"/>
              </w:rPr>
            </w:pPr>
            <w:r>
              <w:rPr>
                <w:rFonts w:ascii="Times New Roman" w:hAnsi="Times New Roman" w:cs="Times New Roman"/>
                <w:noProof/>
                <w:color w:val="000000"/>
                <w:szCs w:val="20"/>
              </w:rPr>
              <w:t xml:space="preserve">Agreement possible if </w:t>
            </w:r>
            <w:r>
              <w:rPr>
                <w:rFonts w:ascii="Times New Roman" w:hAnsi="Times New Roman" w:cs="Times New Roman"/>
                <w:noProof/>
                <w:color w:val="000000"/>
                <w:szCs w:val="20"/>
              </w:rPr>
              <w:t>strong political commitment from all EU institutions</w:t>
            </w:r>
          </w:p>
        </w:tc>
      </w:tr>
    </w:tbl>
    <w:p w:rsidR="00A1058B" w:rsidRDefault="00A1058B">
      <w:pPr>
        <w:pStyle w:val="Pa35"/>
        <w:rPr>
          <w:rStyle w:val="A13"/>
          <w:rFonts w:ascii="Times New Roman" w:hAnsi="Times New Roman" w:cs="Times New Roman"/>
          <w:noProof/>
          <w:sz w:val="23"/>
          <w:szCs w:val="23"/>
        </w:rPr>
      </w:pPr>
    </w:p>
    <w:p w:rsidR="00A1058B" w:rsidRDefault="002E07E6">
      <w:pPr>
        <w:pStyle w:val="Pa35"/>
        <w:rPr>
          <w:rStyle w:val="A13"/>
          <w:rFonts w:ascii="Times New Roman" w:hAnsi="Times New Roman" w:cs="Times New Roman"/>
          <w:noProof/>
          <w:sz w:val="23"/>
          <w:szCs w:val="23"/>
        </w:rPr>
      </w:pPr>
      <w:r>
        <w:rPr>
          <w:rStyle w:val="A13"/>
          <w:rFonts w:ascii="Times New Roman" w:hAnsi="Times New Roman" w:cs="Times New Roman"/>
          <w:noProof/>
          <w:sz w:val="23"/>
          <w:szCs w:val="23"/>
        </w:rPr>
        <w:t>I) 2018 State of the Union initiatives</w:t>
      </w:r>
      <w:r>
        <w:rPr>
          <w:rStyle w:val="FootnoteReference"/>
          <w:rFonts w:ascii="Times New Roman" w:hAnsi="Times New Roman" w:cs="Times New Roman"/>
          <w:b/>
          <w:bCs/>
          <w:noProof/>
          <w:color w:val="000000"/>
          <w:sz w:val="23"/>
          <w:szCs w:val="23"/>
        </w:rPr>
        <w:footnoteReference w:id="1"/>
      </w:r>
    </w:p>
    <w:p w:rsidR="00A1058B" w:rsidRDefault="00A1058B">
      <w:pPr>
        <w:rPr>
          <w:rFonts w:ascii="Times New Roman" w:hAnsi="Times New Roman" w:cs="Times New Roman"/>
          <w:noProof/>
        </w:rPr>
      </w:pPr>
    </w:p>
    <w:tbl>
      <w:tblPr>
        <w:tblStyle w:val="TableGrid"/>
        <w:tblW w:w="0" w:type="auto"/>
        <w:jc w:val="center"/>
        <w:tblLook w:val="04A0" w:firstRow="1" w:lastRow="0" w:firstColumn="1" w:lastColumn="0" w:noHBand="0" w:noVBand="1"/>
      </w:tblPr>
      <w:tblGrid>
        <w:gridCol w:w="3085"/>
        <w:gridCol w:w="2521"/>
        <w:gridCol w:w="1378"/>
        <w:gridCol w:w="1276"/>
        <w:gridCol w:w="1146"/>
      </w:tblGrid>
      <w:tr w:rsidR="00A1058B">
        <w:trPr>
          <w:jc w:val="center"/>
        </w:trPr>
        <w:tc>
          <w:tcPr>
            <w:tcW w:w="3085" w:type="dxa"/>
            <w:vAlign w:val="center"/>
          </w:tcPr>
          <w:p w:rsidR="00A1058B" w:rsidRDefault="002E07E6">
            <w:pPr>
              <w:jc w:val="center"/>
              <w:rPr>
                <w:rFonts w:ascii="Times New Roman" w:hAnsi="Times New Roman" w:cs="Times New Roman"/>
                <w:b/>
                <w:noProof/>
              </w:rPr>
            </w:pPr>
            <w:r>
              <w:rPr>
                <w:rFonts w:ascii="Times New Roman" w:hAnsi="Times New Roman" w:cs="Times New Roman"/>
                <w:b/>
                <w:noProof/>
              </w:rPr>
              <w:t>Policy</w:t>
            </w:r>
          </w:p>
        </w:tc>
        <w:tc>
          <w:tcPr>
            <w:tcW w:w="2521" w:type="dxa"/>
            <w:vAlign w:val="center"/>
          </w:tcPr>
          <w:p w:rsidR="00A1058B" w:rsidRDefault="002E07E6">
            <w:pPr>
              <w:jc w:val="center"/>
              <w:rPr>
                <w:rFonts w:ascii="Times New Roman" w:hAnsi="Times New Roman" w:cs="Times New Roman"/>
                <w:b/>
                <w:noProof/>
              </w:rPr>
            </w:pPr>
            <w:r>
              <w:rPr>
                <w:rFonts w:ascii="Times New Roman" w:hAnsi="Times New Roman" w:cs="Times New Roman"/>
                <w:b/>
                <w:noProof/>
              </w:rPr>
              <w:t>Description</w:t>
            </w:r>
          </w:p>
        </w:tc>
        <w:tc>
          <w:tcPr>
            <w:tcW w:w="1378" w:type="dxa"/>
            <w:vAlign w:val="center"/>
          </w:tcPr>
          <w:p w:rsidR="00A1058B" w:rsidRDefault="002E07E6">
            <w:pPr>
              <w:jc w:val="center"/>
              <w:rPr>
                <w:rFonts w:ascii="Times New Roman" w:hAnsi="Times New Roman" w:cs="Times New Roman"/>
                <w:b/>
                <w:noProof/>
              </w:rPr>
            </w:pPr>
            <w:r>
              <w:rPr>
                <w:rFonts w:ascii="Times New Roman" w:hAnsi="Times New Roman" w:cs="Times New Roman"/>
                <w:b/>
                <w:noProof/>
              </w:rPr>
              <w:t>European Commission</w:t>
            </w:r>
          </w:p>
        </w:tc>
        <w:tc>
          <w:tcPr>
            <w:tcW w:w="1276" w:type="dxa"/>
            <w:vAlign w:val="center"/>
          </w:tcPr>
          <w:p w:rsidR="00A1058B" w:rsidRDefault="002E07E6">
            <w:pPr>
              <w:jc w:val="center"/>
              <w:rPr>
                <w:rFonts w:ascii="Times New Roman" w:hAnsi="Times New Roman" w:cs="Times New Roman"/>
                <w:b/>
                <w:noProof/>
              </w:rPr>
            </w:pPr>
            <w:r>
              <w:rPr>
                <w:rFonts w:ascii="Times New Roman" w:hAnsi="Times New Roman" w:cs="Times New Roman"/>
                <w:b/>
                <w:noProof/>
              </w:rPr>
              <w:t>European Parliament</w:t>
            </w:r>
          </w:p>
        </w:tc>
        <w:tc>
          <w:tcPr>
            <w:tcW w:w="1146" w:type="dxa"/>
            <w:vAlign w:val="center"/>
          </w:tcPr>
          <w:p w:rsidR="00A1058B" w:rsidRDefault="002E07E6">
            <w:pPr>
              <w:jc w:val="center"/>
              <w:rPr>
                <w:rFonts w:ascii="Times New Roman" w:hAnsi="Times New Roman" w:cs="Times New Roman"/>
                <w:b/>
                <w:noProof/>
              </w:rPr>
            </w:pPr>
            <w:r>
              <w:rPr>
                <w:rFonts w:ascii="Times New Roman" w:hAnsi="Times New Roman" w:cs="Times New Roman"/>
                <w:b/>
                <w:noProof/>
              </w:rPr>
              <w:t>Council of the European Union</w:t>
            </w:r>
          </w:p>
        </w:tc>
      </w:tr>
      <w:tr w:rsidR="00A1058B">
        <w:trPr>
          <w:jc w:val="center"/>
        </w:trPr>
        <w:tc>
          <w:tcPr>
            <w:tcW w:w="3085" w:type="dxa"/>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Prevention of the dissemination of terrorist content online</w:t>
            </w:r>
            <w:r>
              <w:rPr>
                <w:rStyle w:val="FootnoteReference"/>
                <w:rFonts w:ascii="Times New Roman" w:hAnsi="Times New Roman" w:cs="Times New Roman"/>
                <w:noProof/>
                <w:sz w:val="20"/>
                <w:szCs w:val="20"/>
              </w:rPr>
              <w:footnoteReference w:id="2"/>
            </w:r>
          </w:p>
        </w:tc>
        <w:tc>
          <w:tcPr>
            <w:tcW w:w="2521" w:type="dxa"/>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 xml:space="preserve">Proposed </w:t>
            </w:r>
            <w:r>
              <w:rPr>
                <w:rFonts w:ascii="Times New Roman" w:hAnsi="Times New Roman" w:cs="Times New Roman"/>
                <w:noProof/>
                <w:sz w:val="20"/>
                <w:szCs w:val="20"/>
              </w:rPr>
              <w:t>in September 2018; Council adopted its mandate on 6 December 2018.</w:t>
            </w:r>
          </w:p>
        </w:tc>
        <w:tc>
          <w:tcPr>
            <w:tcW w:w="1378" w:type="dxa"/>
            <w:shd w:val="clear" w:color="auto" w:fill="00B050"/>
            <w:vAlign w:val="center"/>
          </w:tcPr>
          <w:p w:rsidR="00A1058B" w:rsidRDefault="00A1058B">
            <w:pPr>
              <w:spacing w:before="180" w:after="180"/>
              <w:rPr>
                <w:rFonts w:ascii="Times New Roman" w:hAnsi="Times New Roman" w:cs="Times New Roman"/>
                <w:noProof/>
                <w:sz w:val="20"/>
                <w:szCs w:val="20"/>
              </w:rPr>
            </w:pPr>
          </w:p>
        </w:tc>
        <w:tc>
          <w:tcPr>
            <w:tcW w:w="1276" w:type="dxa"/>
            <w:shd w:val="clear" w:color="auto" w:fill="F79646" w:themeFill="accent6"/>
            <w:vAlign w:val="center"/>
          </w:tcPr>
          <w:p w:rsidR="00A1058B" w:rsidRDefault="00A1058B">
            <w:pPr>
              <w:spacing w:before="180" w:after="180"/>
              <w:rPr>
                <w:rFonts w:ascii="Times New Roman" w:hAnsi="Times New Roman" w:cs="Times New Roman"/>
                <w:noProof/>
                <w:sz w:val="20"/>
                <w:szCs w:val="20"/>
              </w:rPr>
            </w:pPr>
          </w:p>
        </w:tc>
        <w:tc>
          <w:tcPr>
            <w:tcW w:w="1146" w:type="dxa"/>
            <w:shd w:val="clear" w:color="auto" w:fill="FFFF00"/>
            <w:vAlign w:val="center"/>
          </w:tcPr>
          <w:p w:rsidR="00A1058B" w:rsidRDefault="00A1058B">
            <w:pPr>
              <w:spacing w:before="180" w:after="180"/>
              <w:jc w:val="center"/>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Extension of the mandate of the European Public Prosecutor's Office to cross-border terrorism</w:t>
            </w:r>
            <w:r>
              <w:rPr>
                <w:rStyle w:val="FootnoteReference"/>
                <w:rFonts w:ascii="Times New Roman" w:hAnsi="Times New Roman" w:cs="Times New Roman"/>
                <w:noProof/>
                <w:sz w:val="20"/>
                <w:szCs w:val="20"/>
              </w:rPr>
              <w:footnoteReference w:id="3"/>
            </w:r>
          </w:p>
        </w:tc>
        <w:tc>
          <w:tcPr>
            <w:tcW w:w="2521" w:type="dxa"/>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September 2018.</w:t>
            </w:r>
          </w:p>
        </w:tc>
        <w:tc>
          <w:tcPr>
            <w:tcW w:w="1378" w:type="dxa"/>
            <w:shd w:val="clear" w:color="auto" w:fill="00B050"/>
            <w:vAlign w:val="center"/>
          </w:tcPr>
          <w:p w:rsidR="00A1058B" w:rsidRDefault="00A1058B">
            <w:pPr>
              <w:spacing w:before="180" w:after="180"/>
              <w:rPr>
                <w:rFonts w:ascii="Times New Roman" w:hAnsi="Times New Roman" w:cs="Times New Roman"/>
                <w:noProof/>
                <w:sz w:val="20"/>
                <w:szCs w:val="20"/>
              </w:rPr>
            </w:pPr>
          </w:p>
        </w:tc>
        <w:tc>
          <w:tcPr>
            <w:tcW w:w="1276" w:type="dxa"/>
            <w:shd w:val="clear" w:color="auto" w:fill="F79646" w:themeFill="accent6"/>
            <w:vAlign w:val="center"/>
          </w:tcPr>
          <w:p w:rsidR="00A1058B" w:rsidRDefault="00A1058B">
            <w:pPr>
              <w:spacing w:before="180" w:after="180"/>
              <w:rPr>
                <w:rFonts w:ascii="Times New Roman" w:hAnsi="Times New Roman" w:cs="Times New Roman"/>
                <w:noProof/>
                <w:sz w:val="20"/>
                <w:szCs w:val="20"/>
              </w:rPr>
            </w:pPr>
          </w:p>
        </w:tc>
        <w:tc>
          <w:tcPr>
            <w:tcW w:w="1146" w:type="dxa"/>
            <w:shd w:val="clear" w:color="auto" w:fill="F79646" w:themeFill="accent6"/>
            <w:vAlign w:val="center"/>
          </w:tcPr>
          <w:p w:rsidR="00A1058B" w:rsidRDefault="00A1058B">
            <w:pPr>
              <w:spacing w:before="180" w:after="180"/>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 xml:space="preserve">Targeted change of the Regulation on party funding as </w:t>
            </w:r>
            <w:r>
              <w:rPr>
                <w:rFonts w:ascii="Times New Roman" w:hAnsi="Times New Roman" w:cs="Times New Roman"/>
                <w:noProof/>
                <w:sz w:val="20"/>
                <w:szCs w:val="20"/>
              </w:rPr>
              <w:t>regards a verification procedure related to infringements of personal data in the context of the European Parliament elections</w:t>
            </w:r>
            <w:r>
              <w:rPr>
                <w:rStyle w:val="FootnoteReference"/>
                <w:rFonts w:ascii="Times New Roman" w:hAnsi="Times New Roman" w:cs="Times New Roman"/>
                <w:noProof/>
                <w:sz w:val="20"/>
                <w:szCs w:val="20"/>
              </w:rPr>
              <w:footnoteReference w:id="4"/>
            </w:r>
          </w:p>
        </w:tc>
        <w:tc>
          <w:tcPr>
            <w:tcW w:w="2521" w:type="dxa"/>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September 2018.</w:t>
            </w:r>
          </w:p>
        </w:tc>
        <w:tc>
          <w:tcPr>
            <w:tcW w:w="1378" w:type="dxa"/>
            <w:shd w:val="clear" w:color="auto" w:fill="00B050"/>
            <w:vAlign w:val="center"/>
          </w:tcPr>
          <w:p w:rsidR="00A1058B" w:rsidRDefault="00A1058B">
            <w:pPr>
              <w:spacing w:before="180" w:after="180"/>
              <w:rPr>
                <w:rFonts w:ascii="Times New Roman" w:hAnsi="Times New Roman" w:cs="Times New Roman"/>
                <w:noProof/>
                <w:sz w:val="20"/>
                <w:szCs w:val="20"/>
              </w:rPr>
            </w:pPr>
          </w:p>
        </w:tc>
        <w:tc>
          <w:tcPr>
            <w:tcW w:w="1276" w:type="dxa"/>
            <w:shd w:val="clear" w:color="auto" w:fill="F79646" w:themeFill="accent6"/>
            <w:vAlign w:val="center"/>
          </w:tcPr>
          <w:p w:rsidR="00A1058B" w:rsidRDefault="00A1058B">
            <w:pPr>
              <w:spacing w:before="180" w:after="180"/>
              <w:rPr>
                <w:rFonts w:ascii="Times New Roman" w:hAnsi="Times New Roman" w:cs="Times New Roman"/>
                <w:noProof/>
                <w:sz w:val="20"/>
                <w:szCs w:val="20"/>
              </w:rPr>
            </w:pPr>
          </w:p>
        </w:tc>
        <w:tc>
          <w:tcPr>
            <w:tcW w:w="1146" w:type="dxa"/>
            <w:shd w:val="clear" w:color="auto" w:fill="F79646" w:themeFill="accent6"/>
            <w:vAlign w:val="center"/>
          </w:tcPr>
          <w:p w:rsidR="00A1058B" w:rsidRDefault="00A1058B">
            <w:pPr>
              <w:spacing w:before="180" w:after="180"/>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Strengthening the capacities of the European Border and Coast Guard Agency</w:t>
            </w:r>
            <w:r>
              <w:rPr>
                <w:rStyle w:val="FootnoteReference"/>
                <w:rFonts w:ascii="Times New Roman" w:hAnsi="Times New Roman" w:cs="Times New Roman"/>
                <w:noProof/>
                <w:sz w:val="20"/>
                <w:szCs w:val="20"/>
              </w:rPr>
              <w:footnoteReference w:id="5"/>
            </w:r>
          </w:p>
        </w:tc>
        <w:tc>
          <w:tcPr>
            <w:tcW w:w="2521" w:type="dxa"/>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Septembe</w:t>
            </w:r>
            <w:r>
              <w:rPr>
                <w:rFonts w:ascii="Times New Roman" w:hAnsi="Times New Roman" w:cs="Times New Roman"/>
                <w:noProof/>
                <w:sz w:val="20"/>
                <w:szCs w:val="20"/>
              </w:rPr>
              <w:t>r 2018</w:t>
            </w:r>
          </w:p>
        </w:tc>
        <w:tc>
          <w:tcPr>
            <w:tcW w:w="1378" w:type="dxa"/>
            <w:shd w:val="clear" w:color="auto" w:fill="00B050"/>
            <w:vAlign w:val="center"/>
          </w:tcPr>
          <w:p w:rsidR="00A1058B" w:rsidRDefault="00A1058B">
            <w:pPr>
              <w:spacing w:before="180" w:after="180"/>
              <w:rPr>
                <w:rFonts w:ascii="Times New Roman" w:hAnsi="Times New Roman" w:cs="Times New Roman"/>
                <w:noProof/>
                <w:sz w:val="20"/>
                <w:szCs w:val="20"/>
              </w:rPr>
            </w:pPr>
          </w:p>
        </w:tc>
        <w:tc>
          <w:tcPr>
            <w:tcW w:w="1276" w:type="dxa"/>
            <w:shd w:val="clear" w:color="auto" w:fill="F79646" w:themeFill="accent6"/>
            <w:vAlign w:val="center"/>
          </w:tcPr>
          <w:p w:rsidR="00A1058B" w:rsidRDefault="00A1058B">
            <w:pPr>
              <w:spacing w:before="180" w:after="180"/>
              <w:rPr>
                <w:rFonts w:ascii="Times New Roman" w:hAnsi="Times New Roman" w:cs="Times New Roman"/>
                <w:noProof/>
                <w:sz w:val="20"/>
                <w:szCs w:val="20"/>
              </w:rPr>
            </w:pPr>
          </w:p>
        </w:tc>
        <w:tc>
          <w:tcPr>
            <w:tcW w:w="1146" w:type="dxa"/>
            <w:shd w:val="clear" w:color="auto" w:fill="F79646" w:themeFill="accent6"/>
            <w:vAlign w:val="center"/>
          </w:tcPr>
          <w:p w:rsidR="00A1058B" w:rsidRDefault="00A1058B">
            <w:pPr>
              <w:spacing w:before="180" w:after="180"/>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European Industrial, Technology and Research Cybersecurity Competence Centre</w:t>
            </w:r>
            <w:r>
              <w:rPr>
                <w:rStyle w:val="FootnoteReference"/>
                <w:rFonts w:ascii="Times New Roman" w:hAnsi="Times New Roman" w:cs="Times New Roman"/>
                <w:noProof/>
                <w:sz w:val="20"/>
                <w:szCs w:val="20"/>
              </w:rPr>
              <w:footnoteReference w:id="6"/>
            </w:r>
          </w:p>
        </w:tc>
        <w:tc>
          <w:tcPr>
            <w:tcW w:w="2521" w:type="dxa"/>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September 2018.</w:t>
            </w:r>
          </w:p>
        </w:tc>
        <w:tc>
          <w:tcPr>
            <w:tcW w:w="1378" w:type="dxa"/>
            <w:shd w:val="clear" w:color="auto" w:fill="00B050"/>
            <w:vAlign w:val="center"/>
          </w:tcPr>
          <w:p w:rsidR="00A1058B" w:rsidRDefault="00A1058B">
            <w:pPr>
              <w:spacing w:before="180" w:after="180"/>
              <w:rPr>
                <w:rFonts w:ascii="Times New Roman" w:hAnsi="Times New Roman" w:cs="Times New Roman"/>
                <w:noProof/>
                <w:sz w:val="20"/>
                <w:szCs w:val="20"/>
              </w:rPr>
            </w:pPr>
          </w:p>
        </w:tc>
        <w:tc>
          <w:tcPr>
            <w:tcW w:w="1276" w:type="dxa"/>
            <w:shd w:val="clear" w:color="auto" w:fill="F79646" w:themeFill="accent6"/>
            <w:vAlign w:val="center"/>
          </w:tcPr>
          <w:p w:rsidR="00A1058B" w:rsidRDefault="00A1058B">
            <w:pPr>
              <w:spacing w:before="180" w:after="180"/>
              <w:rPr>
                <w:rFonts w:ascii="Times New Roman" w:hAnsi="Times New Roman" w:cs="Times New Roman"/>
                <w:noProof/>
                <w:sz w:val="20"/>
                <w:szCs w:val="20"/>
              </w:rPr>
            </w:pPr>
          </w:p>
        </w:tc>
        <w:tc>
          <w:tcPr>
            <w:tcW w:w="1146" w:type="dxa"/>
            <w:shd w:val="clear" w:color="auto" w:fill="F79646" w:themeFill="accent6"/>
            <w:vAlign w:val="center"/>
          </w:tcPr>
          <w:p w:rsidR="00A1058B" w:rsidRDefault="00A1058B">
            <w:pPr>
              <w:spacing w:before="180" w:after="180"/>
              <w:rPr>
                <w:rFonts w:ascii="Times New Roman" w:hAnsi="Times New Roman" w:cs="Times New Roman"/>
                <w:noProof/>
                <w:sz w:val="20"/>
                <w:szCs w:val="20"/>
              </w:rPr>
            </w:pPr>
          </w:p>
        </w:tc>
      </w:tr>
    </w:tbl>
    <w:p w:rsidR="00A1058B" w:rsidRDefault="002E07E6">
      <w:pPr>
        <w:rPr>
          <w:rStyle w:val="A13"/>
          <w:rFonts w:ascii="Times New Roman" w:hAnsi="Times New Roman" w:cs="Times New Roman"/>
          <w:noProof/>
          <w:color w:val="auto"/>
          <w:sz w:val="23"/>
          <w:szCs w:val="23"/>
        </w:rPr>
      </w:pPr>
      <w:r>
        <w:rPr>
          <w:rStyle w:val="A13"/>
          <w:rFonts w:ascii="Times New Roman" w:hAnsi="Times New Roman" w:cs="Times New Roman"/>
          <w:noProof/>
          <w:color w:val="auto"/>
          <w:sz w:val="23"/>
          <w:szCs w:val="23"/>
        </w:rPr>
        <w:br w:type="page"/>
      </w:r>
    </w:p>
    <w:p w:rsidR="00A1058B" w:rsidRDefault="00A1058B">
      <w:pPr>
        <w:pStyle w:val="Pa35"/>
        <w:rPr>
          <w:rStyle w:val="A13"/>
          <w:rFonts w:ascii="Times New Roman" w:hAnsi="Times New Roman" w:cs="Times New Roman"/>
          <w:noProof/>
          <w:color w:val="auto"/>
          <w:sz w:val="23"/>
          <w:szCs w:val="23"/>
        </w:rPr>
      </w:pPr>
    </w:p>
    <w:p w:rsidR="00A1058B" w:rsidRDefault="002E07E6">
      <w:pPr>
        <w:pStyle w:val="Pa35"/>
        <w:rPr>
          <w:rFonts w:ascii="Times New Roman" w:hAnsi="Times New Roman" w:cs="Times New Roman"/>
          <w:noProof/>
        </w:rPr>
      </w:pPr>
      <w:r>
        <w:rPr>
          <w:rStyle w:val="A13"/>
          <w:rFonts w:ascii="Times New Roman" w:hAnsi="Times New Roman" w:cs="Times New Roman"/>
          <w:noProof/>
          <w:color w:val="auto"/>
          <w:sz w:val="23"/>
          <w:szCs w:val="23"/>
        </w:rPr>
        <w:t>II) Priorities agreed in the Joint Declaration</w:t>
      </w:r>
      <w:r>
        <w:rPr>
          <w:rStyle w:val="FootnoteReference"/>
          <w:rFonts w:ascii="Times New Roman" w:hAnsi="Times New Roman" w:cs="Times New Roman"/>
          <w:b/>
          <w:bCs/>
          <w:noProof/>
          <w:sz w:val="23"/>
          <w:szCs w:val="23"/>
        </w:rPr>
        <w:footnoteReference w:id="7"/>
      </w:r>
      <w:r>
        <w:rPr>
          <w:rStyle w:val="A13"/>
          <w:rFonts w:ascii="Times New Roman" w:hAnsi="Times New Roman" w:cs="Times New Roman"/>
          <w:noProof/>
          <w:color w:val="auto"/>
          <w:sz w:val="23"/>
          <w:szCs w:val="23"/>
        </w:rPr>
        <w:br/>
      </w:r>
    </w:p>
    <w:tbl>
      <w:tblPr>
        <w:tblStyle w:val="TableGrid"/>
        <w:tblW w:w="0" w:type="auto"/>
        <w:jc w:val="center"/>
        <w:tblLook w:val="04A0" w:firstRow="1" w:lastRow="0" w:firstColumn="1" w:lastColumn="0" w:noHBand="0" w:noVBand="1"/>
      </w:tblPr>
      <w:tblGrid>
        <w:gridCol w:w="3085"/>
        <w:gridCol w:w="2521"/>
        <w:gridCol w:w="1378"/>
        <w:gridCol w:w="1276"/>
        <w:gridCol w:w="1146"/>
      </w:tblGrid>
      <w:tr w:rsidR="00A1058B">
        <w:trPr>
          <w:tblHeader/>
          <w:jc w:val="center"/>
        </w:trPr>
        <w:tc>
          <w:tcPr>
            <w:tcW w:w="3085" w:type="dxa"/>
            <w:vAlign w:val="center"/>
          </w:tcPr>
          <w:p w:rsidR="00A1058B" w:rsidRDefault="002E07E6">
            <w:pPr>
              <w:jc w:val="center"/>
              <w:rPr>
                <w:rFonts w:ascii="Times New Roman" w:hAnsi="Times New Roman" w:cs="Times New Roman"/>
                <w:b/>
                <w:noProof/>
              </w:rPr>
            </w:pPr>
            <w:r>
              <w:rPr>
                <w:rFonts w:ascii="Times New Roman" w:hAnsi="Times New Roman" w:cs="Times New Roman"/>
                <w:b/>
                <w:noProof/>
              </w:rPr>
              <w:t>Policy</w:t>
            </w:r>
          </w:p>
        </w:tc>
        <w:tc>
          <w:tcPr>
            <w:tcW w:w="2521" w:type="dxa"/>
            <w:vAlign w:val="center"/>
          </w:tcPr>
          <w:p w:rsidR="00A1058B" w:rsidRDefault="002E07E6">
            <w:pPr>
              <w:jc w:val="center"/>
              <w:rPr>
                <w:rFonts w:ascii="Times New Roman" w:hAnsi="Times New Roman" w:cs="Times New Roman"/>
                <w:b/>
                <w:noProof/>
              </w:rPr>
            </w:pPr>
            <w:r>
              <w:rPr>
                <w:rFonts w:ascii="Times New Roman" w:hAnsi="Times New Roman" w:cs="Times New Roman"/>
                <w:b/>
                <w:noProof/>
              </w:rPr>
              <w:t>Description</w:t>
            </w:r>
          </w:p>
        </w:tc>
        <w:tc>
          <w:tcPr>
            <w:tcW w:w="1378" w:type="dxa"/>
            <w:vAlign w:val="center"/>
          </w:tcPr>
          <w:p w:rsidR="00A1058B" w:rsidRDefault="002E07E6">
            <w:pPr>
              <w:jc w:val="center"/>
              <w:rPr>
                <w:rFonts w:ascii="Times New Roman" w:hAnsi="Times New Roman" w:cs="Times New Roman"/>
                <w:b/>
                <w:noProof/>
              </w:rPr>
            </w:pPr>
            <w:r>
              <w:rPr>
                <w:rFonts w:ascii="Times New Roman" w:hAnsi="Times New Roman" w:cs="Times New Roman"/>
                <w:b/>
                <w:noProof/>
              </w:rPr>
              <w:t>European Commission</w:t>
            </w:r>
          </w:p>
        </w:tc>
        <w:tc>
          <w:tcPr>
            <w:tcW w:w="1276" w:type="dxa"/>
            <w:vAlign w:val="center"/>
          </w:tcPr>
          <w:p w:rsidR="00A1058B" w:rsidRDefault="002E07E6">
            <w:pPr>
              <w:jc w:val="center"/>
              <w:rPr>
                <w:rFonts w:ascii="Times New Roman" w:hAnsi="Times New Roman" w:cs="Times New Roman"/>
                <w:b/>
                <w:noProof/>
              </w:rPr>
            </w:pPr>
            <w:r>
              <w:rPr>
                <w:rFonts w:ascii="Times New Roman" w:hAnsi="Times New Roman" w:cs="Times New Roman"/>
                <w:b/>
                <w:noProof/>
              </w:rPr>
              <w:t>European Parliament</w:t>
            </w:r>
          </w:p>
        </w:tc>
        <w:tc>
          <w:tcPr>
            <w:tcW w:w="1146" w:type="dxa"/>
            <w:vAlign w:val="center"/>
          </w:tcPr>
          <w:p w:rsidR="00A1058B" w:rsidRDefault="002E07E6">
            <w:pPr>
              <w:jc w:val="center"/>
              <w:rPr>
                <w:rFonts w:ascii="Times New Roman" w:hAnsi="Times New Roman" w:cs="Times New Roman"/>
                <w:b/>
                <w:noProof/>
              </w:rPr>
            </w:pPr>
            <w:r>
              <w:rPr>
                <w:rFonts w:ascii="Times New Roman" w:hAnsi="Times New Roman" w:cs="Times New Roman"/>
                <w:b/>
                <w:noProof/>
              </w:rPr>
              <w:t xml:space="preserve">Council of the European </w:t>
            </w:r>
            <w:r>
              <w:rPr>
                <w:rFonts w:ascii="Times New Roman" w:hAnsi="Times New Roman" w:cs="Times New Roman"/>
                <w:b/>
                <w:noProof/>
              </w:rPr>
              <w:t>Union</w:t>
            </w:r>
          </w:p>
        </w:tc>
      </w:tr>
      <w:tr w:rsidR="00A1058B">
        <w:trPr>
          <w:jc w:val="center"/>
        </w:trPr>
        <w:tc>
          <w:tcPr>
            <w:tcW w:w="3085" w:type="dxa"/>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European Travel Information and Authorisation System</w:t>
            </w:r>
            <w:r>
              <w:rPr>
                <w:rStyle w:val="FootnoteReference"/>
                <w:rFonts w:ascii="Times New Roman" w:hAnsi="Times New Roman" w:cs="Times New Roman"/>
                <w:noProof/>
                <w:sz w:val="20"/>
                <w:szCs w:val="20"/>
              </w:rPr>
              <w:footnoteReference w:id="8"/>
            </w:r>
          </w:p>
        </w:tc>
        <w:tc>
          <w:tcPr>
            <w:tcW w:w="2521" w:type="dxa"/>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November 2016; agreed between co-legislators; formal adoption in Autumn 2018.</w:t>
            </w:r>
          </w:p>
        </w:tc>
        <w:tc>
          <w:tcPr>
            <w:tcW w:w="1378"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276"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146"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 xml:space="preserve">European Agency for the operational management of large-scale IT systems in the area of freedom, </w:t>
            </w:r>
            <w:r>
              <w:rPr>
                <w:rFonts w:ascii="Times New Roman" w:hAnsi="Times New Roman" w:cs="Times New Roman"/>
                <w:noProof/>
                <w:sz w:val="20"/>
                <w:szCs w:val="20"/>
              </w:rPr>
              <w:t>security and justice</w:t>
            </w:r>
            <w:r>
              <w:rPr>
                <w:rStyle w:val="FootnoteReference"/>
                <w:rFonts w:ascii="Times New Roman" w:hAnsi="Times New Roman" w:cs="Times New Roman"/>
                <w:noProof/>
                <w:sz w:val="20"/>
                <w:szCs w:val="20"/>
              </w:rPr>
              <w:footnoteReference w:id="9"/>
            </w:r>
          </w:p>
        </w:tc>
        <w:tc>
          <w:tcPr>
            <w:tcW w:w="2521" w:type="dxa"/>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June 2017; agreed between co-legislators; formal adoption in Autumn 2018.</w:t>
            </w:r>
          </w:p>
        </w:tc>
        <w:tc>
          <w:tcPr>
            <w:tcW w:w="1378"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276"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146"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Strengthening the Schengen Information System</w:t>
            </w:r>
            <w:r>
              <w:rPr>
                <w:rStyle w:val="FootnoteReference"/>
                <w:rFonts w:ascii="Times New Roman" w:hAnsi="Times New Roman" w:cs="Times New Roman"/>
                <w:noProof/>
                <w:sz w:val="20"/>
                <w:szCs w:val="20"/>
              </w:rPr>
              <w:footnoteReference w:id="10"/>
            </w:r>
          </w:p>
        </w:tc>
        <w:tc>
          <w:tcPr>
            <w:tcW w:w="2521" w:type="dxa"/>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December 2016; agreed between co-legislators; formal adoption in Autumn 2018.</w:t>
            </w:r>
          </w:p>
        </w:tc>
        <w:tc>
          <w:tcPr>
            <w:tcW w:w="1378"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276"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146"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Money laundering and terrorist financing</w:t>
            </w:r>
            <w:r>
              <w:rPr>
                <w:rStyle w:val="FootnoteReference"/>
                <w:rFonts w:ascii="Times New Roman" w:hAnsi="Times New Roman" w:cs="Times New Roman"/>
                <w:noProof/>
                <w:sz w:val="20"/>
                <w:szCs w:val="20"/>
              </w:rPr>
              <w:footnoteReference w:id="11"/>
            </w:r>
          </w:p>
        </w:tc>
        <w:tc>
          <w:tcPr>
            <w:tcW w:w="2521" w:type="dxa"/>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July 2016; formal adoption in May 2018.</w:t>
            </w:r>
          </w:p>
        </w:tc>
        <w:tc>
          <w:tcPr>
            <w:tcW w:w="1378"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276"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146"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Entry/Exit System</w:t>
            </w:r>
            <w:r>
              <w:rPr>
                <w:rStyle w:val="FootnoteReference"/>
                <w:rFonts w:ascii="Times New Roman" w:hAnsi="Times New Roman" w:cs="Times New Roman"/>
                <w:noProof/>
                <w:sz w:val="20"/>
                <w:szCs w:val="20"/>
              </w:rPr>
              <w:footnoteReference w:id="12"/>
            </w:r>
          </w:p>
        </w:tc>
        <w:tc>
          <w:tcPr>
            <w:tcW w:w="2521" w:type="dxa"/>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April 2016; formal adoption in November 2017.</w:t>
            </w:r>
          </w:p>
        </w:tc>
        <w:tc>
          <w:tcPr>
            <w:tcW w:w="1378"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276"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146"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Control of the acquisition and possession of weapons</w:t>
            </w:r>
            <w:r>
              <w:rPr>
                <w:rStyle w:val="FootnoteReference"/>
                <w:rFonts w:ascii="Times New Roman" w:hAnsi="Times New Roman" w:cs="Times New Roman"/>
                <w:noProof/>
                <w:sz w:val="20"/>
                <w:szCs w:val="20"/>
              </w:rPr>
              <w:footnoteReference w:id="13"/>
            </w:r>
          </w:p>
        </w:tc>
        <w:tc>
          <w:tcPr>
            <w:tcW w:w="2521" w:type="dxa"/>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 xml:space="preserve">Proposed November 2015; </w:t>
            </w:r>
            <w:r>
              <w:rPr>
                <w:rFonts w:ascii="Times New Roman" w:hAnsi="Times New Roman" w:cs="Times New Roman"/>
                <w:noProof/>
                <w:sz w:val="20"/>
                <w:szCs w:val="20"/>
              </w:rPr>
              <w:t>formal adoption in May 2017.</w:t>
            </w:r>
          </w:p>
        </w:tc>
        <w:tc>
          <w:tcPr>
            <w:tcW w:w="1378"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276"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146"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Terrorism Directive</w:t>
            </w:r>
            <w:r>
              <w:rPr>
                <w:rStyle w:val="FootnoteReference"/>
                <w:rFonts w:ascii="Times New Roman" w:hAnsi="Times New Roman" w:cs="Times New Roman"/>
                <w:noProof/>
                <w:sz w:val="20"/>
                <w:szCs w:val="20"/>
              </w:rPr>
              <w:footnoteReference w:id="14"/>
            </w:r>
          </w:p>
        </w:tc>
        <w:tc>
          <w:tcPr>
            <w:tcW w:w="2521" w:type="dxa"/>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December 2015; formal adoption in March 2017.</w:t>
            </w:r>
          </w:p>
        </w:tc>
        <w:tc>
          <w:tcPr>
            <w:tcW w:w="1378"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276"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146"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Cybersecurity Act</w:t>
            </w:r>
            <w:r>
              <w:rPr>
                <w:rStyle w:val="FootnoteReference"/>
                <w:rFonts w:ascii="Times New Roman" w:hAnsi="Times New Roman" w:cs="Times New Roman"/>
                <w:noProof/>
                <w:sz w:val="20"/>
                <w:szCs w:val="20"/>
              </w:rPr>
              <w:footnoteReference w:id="15"/>
            </w:r>
          </w:p>
        </w:tc>
        <w:tc>
          <w:tcPr>
            <w:tcW w:w="2521" w:type="dxa"/>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September 2017; agreed between co-legislators; formal adoption in 2019.</w:t>
            </w:r>
          </w:p>
          <w:p w:rsidR="00A1058B" w:rsidRDefault="00A1058B">
            <w:pPr>
              <w:spacing w:before="180" w:after="180"/>
              <w:rPr>
                <w:rFonts w:ascii="Times New Roman" w:hAnsi="Times New Roman" w:cs="Times New Roman"/>
                <w:noProof/>
                <w:sz w:val="20"/>
                <w:szCs w:val="20"/>
              </w:rPr>
            </w:pPr>
          </w:p>
        </w:tc>
        <w:tc>
          <w:tcPr>
            <w:tcW w:w="1378"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276"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146"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r>
      <w:tr w:rsidR="00A1058B">
        <w:trPr>
          <w:jc w:val="center"/>
        </w:trPr>
        <w:tc>
          <w:tcPr>
            <w:tcW w:w="3085" w:type="dxa"/>
            <w:tcBorders>
              <w:bottom w:val="single" w:sz="4" w:space="0" w:color="auto"/>
            </w:tcBorders>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lastRenderedPageBreak/>
              <w:t xml:space="preserve">European Criminal Records </w:t>
            </w:r>
            <w:r>
              <w:rPr>
                <w:rFonts w:ascii="Times New Roman" w:hAnsi="Times New Roman" w:cs="Times New Roman"/>
                <w:noProof/>
                <w:sz w:val="20"/>
                <w:szCs w:val="20"/>
              </w:rPr>
              <w:t>Information System</w:t>
            </w:r>
            <w:r>
              <w:rPr>
                <w:rStyle w:val="FootnoteReference"/>
                <w:rFonts w:ascii="Times New Roman" w:hAnsi="Times New Roman" w:cs="Times New Roman"/>
                <w:noProof/>
                <w:sz w:val="20"/>
                <w:szCs w:val="20"/>
              </w:rPr>
              <w:footnoteReference w:id="16"/>
            </w:r>
          </w:p>
        </w:tc>
        <w:tc>
          <w:tcPr>
            <w:tcW w:w="2521" w:type="dxa"/>
            <w:tcBorders>
              <w:bottom w:val="single" w:sz="4" w:space="0" w:color="auto"/>
            </w:tcBorders>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January 2016 and supplemented in June 2017; final phase of trilogue discussions.</w:t>
            </w:r>
          </w:p>
        </w:tc>
        <w:tc>
          <w:tcPr>
            <w:tcW w:w="1378" w:type="dxa"/>
            <w:tcBorders>
              <w:bottom w:val="single" w:sz="4" w:space="0" w:color="auto"/>
            </w:tcBorders>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276" w:type="dxa"/>
            <w:tcBorders>
              <w:bottom w:val="single" w:sz="4" w:space="0" w:color="auto"/>
            </w:tcBorders>
            <w:shd w:val="clear" w:color="auto" w:fill="FFFF00"/>
            <w:vAlign w:val="center"/>
          </w:tcPr>
          <w:p w:rsidR="00A1058B" w:rsidRDefault="00A1058B">
            <w:pPr>
              <w:spacing w:before="180" w:after="180"/>
              <w:jc w:val="center"/>
              <w:rPr>
                <w:rFonts w:ascii="Times New Roman" w:hAnsi="Times New Roman" w:cs="Times New Roman"/>
                <w:noProof/>
                <w:sz w:val="20"/>
                <w:szCs w:val="20"/>
              </w:rPr>
            </w:pPr>
          </w:p>
        </w:tc>
        <w:tc>
          <w:tcPr>
            <w:tcW w:w="1146" w:type="dxa"/>
            <w:tcBorders>
              <w:bottom w:val="single" w:sz="4" w:space="0" w:color="auto"/>
            </w:tcBorders>
            <w:shd w:val="clear" w:color="auto" w:fill="FFFF00"/>
            <w:vAlign w:val="center"/>
          </w:tcPr>
          <w:p w:rsidR="00A1058B" w:rsidRDefault="00A1058B">
            <w:pPr>
              <w:spacing w:before="180" w:after="180"/>
              <w:jc w:val="center"/>
              <w:rPr>
                <w:rFonts w:ascii="Times New Roman" w:hAnsi="Times New Roman" w:cs="Times New Roman"/>
                <w:noProof/>
                <w:sz w:val="20"/>
                <w:szCs w:val="20"/>
              </w:rPr>
            </w:pPr>
          </w:p>
        </w:tc>
      </w:tr>
      <w:tr w:rsidR="00A1058B">
        <w:trPr>
          <w:jc w:val="center"/>
        </w:trPr>
        <w:tc>
          <w:tcPr>
            <w:tcW w:w="3085" w:type="dxa"/>
            <w:tcBorders>
              <w:top w:val="single" w:sz="4" w:space="0" w:color="auto"/>
            </w:tcBorders>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Interoperability between EU information systems for security, border and migration management</w:t>
            </w:r>
            <w:r>
              <w:rPr>
                <w:rStyle w:val="FootnoteReference"/>
                <w:rFonts w:ascii="Times New Roman" w:hAnsi="Times New Roman" w:cs="Times New Roman"/>
                <w:noProof/>
                <w:sz w:val="20"/>
                <w:szCs w:val="20"/>
              </w:rPr>
              <w:footnoteReference w:id="17"/>
            </w:r>
          </w:p>
        </w:tc>
        <w:tc>
          <w:tcPr>
            <w:tcW w:w="2521" w:type="dxa"/>
            <w:tcBorders>
              <w:top w:val="single" w:sz="4" w:space="0" w:color="auto"/>
            </w:tcBorders>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 xml:space="preserve">Proposed in December 2017 and amended in </w:t>
            </w:r>
            <w:r>
              <w:rPr>
                <w:rFonts w:ascii="Times New Roman" w:hAnsi="Times New Roman" w:cs="Times New Roman"/>
                <w:noProof/>
                <w:sz w:val="20"/>
                <w:szCs w:val="20"/>
              </w:rPr>
              <w:t>June 2018; final phase of trilogue discussions.</w:t>
            </w:r>
          </w:p>
        </w:tc>
        <w:tc>
          <w:tcPr>
            <w:tcW w:w="1378" w:type="dxa"/>
            <w:tcBorders>
              <w:top w:val="single" w:sz="4" w:space="0" w:color="auto"/>
            </w:tcBorders>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276" w:type="dxa"/>
            <w:tcBorders>
              <w:top w:val="single" w:sz="4" w:space="0" w:color="auto"/>
            </w:tcBorders>
            <w:shd w:val="clear" w:color="auto" w:fill="FFFF00"/>
            <w:vAlign w:val="center"/>
          </w:tcPr>
          <w:p w:rsidR="00A1058B" w:rsidRDefault="00A1058B">
            <w:pPr>
              <w:spacing w:before="180" w:after="180"/>
              <w:jc w:val="center"/>
              <w:rPr>
                <w:rFonts w:ascii="Times New Roman" w:hAnsi="Times New Roman" w:cs="Times New Roman"/>
                <w:noProof/>
                <w:sz w:val="20"/>
                <w:szCs w:val="20"/>
              </w:rPr>
            </w:pPr>
          </w:p>
        </w:tc>
        <w:tc>
          <w:tcPr>
            <w:tcW w:w="1146" w:type="dxa"/>
            <w:tcBorders>
              <w:top w:val="single" w:sz="4" w:space="0" w:color="auto"/>
            </w:tcBorders>
            <w:shd w:val="clear" w:color="auto" w:fill="FFFF00"/>
            <w:vAlign w:val="center"/>
          </w:tcPr>
          <w:p w:rsidR="00A1058B" w:rsidRDefault="00A1058B">
            <w:pPr>
              <w:spacing w:before="180" w:after="180"/>
              <w:jc w:val="center"/>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Cross-border access of law enforcement authorities to electronic evidence</w:t>
            </w:r>
            <w:r>
              <w:rPr>
                <w:rStyle w:val="FootnoteReference"/>
                <w:rFonts w:ascii="Times New Roman" w:hAnsi="Times New Roman" w:cs="Times New Roman"/>
                <w:noProof/>
                <w:sz w:val="20"/>
                <w:szCs w:val="20"/>
              </w:rPr>
              <w:footnoteReference w:id="18"/>
            </w:r>
          </w:p>
        </w:tc>
        <w:tc>
          <w:tcPr>
            <w:tcW w:w="2521" w:type="dxa"/>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 xml:space="preserve">Proposed in April 2018; Council has adopted its negotiating mandate; European Parliament needs to adopt its negotiating mandate </w:t>
            </w:r>
            <w:r>
              <w:rPr>
                <w:rFonts w:ascii="Times New Roman" w:hAnsi="Times New Roman" w:cs="Times New Roman"/>
                <w:noProof/>
                <w:sz w:val="20"/>
                <w:szCs w:val="20"/>
              </w:rPr>
              <w:t>and enter into trilogue discussions.</w:t>
            </w:r>
          </w:p>
        </w:tc>
        <w:tc>
          <w:tcPr>
            <w:tcW w:w="1378"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276" w:type="dxa"/>
            <w:shd w:val="clear" w:color="auto" w:fill="F79646" w:themeFill="accent6"/>
            <w:vAlign w:val="center"/>
          </w:tcPr>
          <w:p w:rsidR="00A1058B" w:rsidRDefault="00A1058B">
            <w:pPr>
              <w:spacing w:before="180" w:after="180"/>
              <w:jc w:val="center"/>
              <w:rPr>
                <w:rFonts w:ascii="Times New Roman" w:hAnsi="Times New Roman" w:cs="Times New Roman"/>
                <w:noProof/>
                <w:sz w:val="20"/>
                <w:szCs w:val="20"/>
              </w:rPr>
            </w:pPr>
          </w:p>
        </w:tc>
        <w:tc>
          <w:tcPr>
            <w:tcW w:w="1146" w:type="dxa"/>
            <w:shd w:val="clear" w:color="auto" w:fill="FFFF00"/>
            <w:vAlign w:val="center"/>
          </w:tcPr>
          <w:p w:rsidR="00A1058B" w:rsidRDefault="00A1058B">
            <w:pPr>
              <w:spacing w:before="180" w:after="180"/>
              <w:jc w:val="center"/>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Cross-border access to and use of financial data by law enforcement authorities</w:t>
            </w:r>
            <w:r>
              <w:rPr>
                <w:rStyle w:val="FootnoteReference"/>
                <w:rFonts w:ascii="Times New Roman" w:hAnsi="Times New Roman" w:cs="Times New Roman"/>
                <w:noProof/>
                <w:sz w:val="20"/>
                <w:szCs w:val="20"/>
              </w:rPr>
              <w:footnoteReference w:id="19"/>
            </w:r>
          </w:p>
        </w:tc>
        <w:tc>
          <w:tcPr>
            <w:tcW w:w="2521" w:type="dxa"/>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April 2018; the Council has adopted its negotiating mandate; co-legislators need to enter into trilogue discussions.</w:t>
            </w:r>
          </w:p>
        </w:tc>
        <w:tc>
          <w:tcPr>
            <w:tcW w:w="1378"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276" w:type="dxa"/>
            <w:shd w:val="clear" w:color="auto" w:fill="FFFF00"/>
            <w:vAlign w:val="center"/>
          </w:tcPr>
          <w:p w:rsidR="00A1058B" w:rsidRDefault="00A1058B">
            <w:pPr>
              <w:spacing w:before="180" w:after="180"/>
              <w:jc w:val="center"/>
              <w:rPr>
                <w:rFonts w:ascii="Times New Roman" w:hAnsi="Times New Roman" w:cs="Times New Roman"/>
                <w:noProof/>
                <w:sz w:val="20"/>
                <w:szCs w:val="20"/>
              </w:rPr>
            </w:pPr>
          </w:p>
        </w:tc>
        <w:tc>
          <w:tcPr>
            <w:tcW w:w="1146" w:type="dxa"/>
            <w:shd w:val="clear" w:color="auto" w:fill="FFFF00"/>
            <w:vAlign w:val="center"/>
          </w:tcPr>
          <w:p w:rsidR="00A1058B" w:rsidRDefault="00A1058B">
            <w:pPr>
              <w:spacing w:before="180" w:after="180"/>
              <w:jc w:val="center"/>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Strengthening Eurodac</w:t>
            </w:r>
            <w:r>
              <w:rPr>
                <w:rStyle w:val="FootnoteReference"/>
                <w:rFonts w:ascii="Times New Roman" w:hAnsi="Times New Roman" w:cs="Times New Roman"/>
                <w:noProof/>
                <w:sz w:val="20"/>
                <w:szCs w:val="20"/>
              </w:rPr>
              <w:footnoteReference w:id="20"/>
            </w:r>
          </w:p>
        </w:tc>
        <w:tc>
          <w:tcPr>
            <w:tcW w:w="2521" w:type="dxa"/>
            <w:vAlign w:val="center"/>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May 2016; European Parliament and Council need to finalise the trilogue discussions.</w:t>
            </w:r>
          </w:p>
        </w:tc>
        <w:tc>
          <w:tcPr>
            <w:tcW w:w="1378" w:type="dxa"/>
            <w:shd w:val="clear" w:color="auto" w:fill="00B050"/>
            <w:vAlign w:val="center"/>
          </w:tcPr>
          <w:p w:rsidR="00A1058B" w:rsidRDefault="00A1058B">
            <w:pPr>
              <w:spacing w:before="180" w:after="180"/>
              <w:jc w:val="center"/>
              <w:rPr>
                <w:rFonts w:ascii="Times New Roman" w:hAnsi="Times New Roman" w:cs="Times New Roman"/>
                <w:noProof/>
                <w:sz w:val="20"/>
                <w:szCs w:val="20"/>
              </w:rPr>
            </w:pPr>
          </w:p>
        </w:tc>
        <w:tc>
          <w:tcPr>
            <w:tcW w:w="1276" w:type="dxa"/>
            <w:shd w:val="clear" w:color="auto" w:fill="F79646" w:themeFill="accent6"/>
            <w:vAlign w:val="center"/>
          </w:tcPr>
          <w:p w:rsidR="00A1058B" w:rsidRDefault="00A1058B">
            <w:pPr>
              <w:spacing w:before="180" w:after="180"/>
              <w:jc w:val="center"/>
              <w:rPr>
                <w:rFonts w:ascii="Times New Roman" w:hAnsi="Times New Roman" w:cs="Times New Roman"/>
                <w:noProof/>
                <w:sz w:val="20"/>
                <w:szCs w:val="20"/>
              </w:rPr>
            </w:pPr>
          </w:p>
        </w:tc>
        <w:tc>
          <w:tcPr>
            <w:tcW w:w="1146" w:type="dxa"/>
            <w:shd w:val="clear" w:color="auto" w:fill="F79646" w:themeFill="accent6"/>
            <w:vAlign w:val="center"/>
          </w:tcPr>
          <w:p w:rsidR="00A1058B" w:rsidRDefault="00A1058B">
            <w:pPr>
              <w:spacing w:before="180" w:after="180"/>
              <w:jc w:val="center"/>
              <w:rPr>
                <w:rFonts w:ascii="Times New Roman" w:hAnsi="Times New Roman" w:cs="Times New Roman"/>
                <w:noProof/>
                <w:sz w:val="20"/>
                <w:szCs w:val="20"/>
              </w:rPr>
            </w:pPr>
          </w:p>
        </w:tc>
      </w:tr>
    </w:tbl>
    <w:p w:rsidR="00A1058B" w:rsidRDefault="00A1058B">
      <w:pPr>
        <w:rPr>
          <w:rFonts w:ascii="Times New Roman" w:hAnsi="Times New Roman" w:cs="Times New Roman"/>
          <w:noProof/>
        </w:rPr>
      </w:pPr>
    </w:p>
    <w:p w:rsidR="00A1058B" w:rsidRDefault="002E07E6">
      <w:pPr>
        <w:rPr>
          <w:rStyle w:val="A13"/>
          <w:rFonts w:ascii="Times New Roman" w:hAnsi="Times New Roman" w:cs="Times New Roman"/>
          <w:noProof/>
          <w:sz w:val="23"/>
          <w:szCs w:val="23"/>
        </w:rPr>
      </w:pPr>
      <w:r>
        <w:rPr>
          <w:rStyle w:val="A13"/>
          <w:rFonts w:ascii="Times New Roman" w:hAnsi="Times New Roman" w:cs="Times New Roman"/>
          <w:noProof/>
          <w:sz w:val="23"/>
          <w:szCs w:val="23"/>
        </w:rPr>
        <w:br w:type="page"/>
      </w:r>
    </w:p>
    <w:p w:rsidR="00A1058B" w:rsidRDefault="002E07E6">
      <w:pPr>
        <w:pStyle w:val="Pa35"/>
        <w:rPr>
          <w:rFonts w:ascii="Times New Roman" w:hAnsi="Times New Roman" w:cs="Times New Roman"/>
          <w:noProof/>
        </w:rPr>
      </w:pPr>
      <w:r>
        <w:rPr>
          <w:rStyle w:val="A13"/>
          <w:rFonts w:ascii="Times New Roman" w:hAnsi="Times New Roman" w:cs="Times New Roman"/>
          <w:noProof/>
          <w:sz w:val="23"/>
          <w:szCs w:val="23"/>
        </w:rPr>
        <w:lastRenderedPageBreak/>
        <w:t xml:space="preserve">III) </w:t>
      </w:r>
      <w:r>
        <w:rPr>
          <w:rStyle w:val="A13"/>
          <w:rFonts w:ascii="Times New Roman" w:hAnsi="Times New Roman" w:cs="Times New Roman"/>
          <w:noProof/>
          <w:color w:val="auto"/>
          <w:sz w:val="23"/>
          <w:szCs w:val="23"/>
        </w:rPr>
        <w:t>Other legislative initiatives under discussion in the Security Union</w:t>
      </w:r>
      <w:r>
        <w:rPr>
          <w:rStyle w:val="A13"/>
          <w:rFonts w:ascii="Times New Roman" w:hAnsi="Times New Roman" w:cs="Times New Roman"/>
          <w:noProof/>
          <w:color w:val="auto"/>
          <w:sz w:val="23"/>
          <w:szCs w:val="23"/>
        </w:rPr>
        <w:br/>
      </w:r>
    </w:p>
    <w:tbl>
      <w:tblPr>
        <w:tblStyle w:val="TableGrid"/>
        <w:tblW w:w="0" w:type="auto"/>
        <w:jc w:val="center"/>
        <w:tblLook w:val="04A0" w:firstRow="1" w:lastRow="0" w:firstColumn="1" w:lastColumn="0" w:noHBand="0" w:noVBand="1"/>
      </w:tblPr>
      <w:tblGrid>
        <w:gridCol w:w="3085"/>
        <w:gridCol w:w="2521"/>
        <w:gridCol w:w="1378"/>
        <w:gridCol w:w="1276"/>
        <w:gridCol w:w="1146"/>
      </w:tblGrid>
      <w:tr w:rsidR="00A1058B">
        <w:trPr>
          <w:jc w:val="center"/>
        </w:trPr>
        <w:tc>
          <w:tcPr>
            <w:tcW w:w="3085" w:type="dxa"/>
            <w:vAlign w:val="center"/>
          </w:tcPr>
          <w:p w:rsidR="00A1058B" w:rsidRDefault="002E07E6">
            <w:pPr>
              <w:jc w:val="center"/>
              <w:rPr>
                <w:rFonts w:ascii="Times New Roman" w:hAnsi="Times New Roman" w:cs="Times New Roman"/>
                <w:b/>
                <w:noProof/>
              </w:rPr>
            </w:pPr>
            <w:r>
              <w:rPr>
                <w:rFonts w:ascii="Times New Roman" w:hAnsi="Times New Roman" w:cs="Times New Roman"/>
                <w:b/>
                <w:noProof/>
              </w:rPr>
              <w:t>Policy</w:t>
            </w:r>
          </w:p>
        </w:tc>
        <w:tc>
          <w:tcPr>
            <w:tcW w:w="2521" w:type="dxa"/>
            <w:vAlign w:val="center"/>
          </w:tcPr>
          <w:p w:rsidR="00A1058B" w:rsidRDefault="002E07E6">
            <w:pPr>
              <w:jc w:val="center"/>
              <w:rPr>
                <w:rFonts w:ascii="Times New Roman" w:hAnsi="Times New Roman" w:cs="Times New Roman"/>
                <w:b/>
                <w:noProof/>
              </w:rPr>
            </w:pPr>
            <w:r>
              <w:rPr>
                <w:rFonts w:ascii="Times New Roman" w:hAnsi="Times New Roman" w:cs="Times New Roman"/>
                <w:b/>
                <w:noProof/>
              </w:rPr>
              <w:t>Description</w:t>
            </w:r>
          </w:p>
        </w:tc>
        <w:tc>
          <w:tcPr>
            <w:tcW w:w="1378" w:type="dxa"/>
            <w:vAlign w:val="center"/>
          </w:tcPr>
          <w:p w:rsidR="00A1058B" w:rsidRDefault="002E07E6">
            <w:pPr>
              <w:jc w:val="center"/>
              <w:rPr>
                <w:rFonts w:ascii="Times New Roman" w:hAnsi="Times New Roman" w:cs="Times New Roman"/>
                <w:b/>
                <w:noProof/>
              </w:rPr>
            </w:pPr>
            <w:r>
              <w:rPr>
                <w:rFonts w:ascii="Times New Roman" w:hAnsi="Times New Roman" w:cs="Times New Roman"/>
                <w:b/>
                <w:noProof/>
              </w:rPr>
              <w:t>European Commission</w:t>
            </w:r>
          </w:p>
        </w:tc>
        <w:tc>
          <w:tcPr>
            <w:tcW w:w="1276" w:type="dxa"/>
            <w:vAlign w:val="center"/>
          </w:tcPr>
          <w:p w:rsidR="00A1058B" w:rsidRDefault="002E07E6">
            <w:pPr>
              <w:jc w:val="center"/>
              <w:rPr>
                <w:rFonts w:ascii="Times New Roman" w:hAnsi="Times New Roman" w:cs="Times New Roman"/>
                <w:b/>
                <w:noProof/>
              </w:rPr>
            </w:pPr>
            <w:r>
              <w:rPr>
                <w:rFonts w:ascii="Times New Roman" w:hAnsi="Times New Roman" w:cs="Times New Roman"/>
                <w:b/>
                <w:noProof/>
              </w:rPr>
              <w:t xml:space="preserve">European </w:t>
            </w:r>
            <w:r>
              <w:rPr>
                <w:rFonts w:ascii="Times New Roman" w:hAnsi="Times New Roman" w:cs="Times New Roman"/>
                <w:b/>
                <w:noProof/>
              </w:rPr>
              <w:t>Parliament</w:t>
            </w:r>
          </w:p>
        </w:tc>
        <w:tc>
          <w:tcPr>
            <w:tcW w:w="1146" w:type="dxa"/>
            <w:vAlign w:val="center"/>
          </w:tcPr>
          <w:p w:rsidR="00A1058B" w:rsidRDefault="002E07E6">
            <w:pPr>
              <w:jc w:val="center"/>
              <w:rPr>
                <w:rFonts w:ascii="Times New Roman" w:hAnsi="Times New Roman" w:cs="Times New Roman"/>
                <w:b/>
                <w:noProof/>
              </w:rPr>
            </w:pPr>
            <w:r>
              <w:rPr>
                <w:rFonts w:ascii="Times New Roman" w:hAnsi="Times New Roman" w:cs="Times New Roman"/>
                <w:b/>
                <w:noProof/>
              </w:rPr>
              <w:t>Council of the European Union</w:t>
            </w:r>
          </w:p>
        </w:tc>
      </w:tr>
      <w:tr w:rsidR="00A1058B">
        <w:trPr>
          <w:jc w:val="center"/>
        </w:trPr>
        <w:tc>
          <w:tcPr>
            <w:tcW w:w="3085" w:type="dxa"/>
            <w:shd w:val="clear" w:color="auto" w:fill="DBE5F1" w:themeFill="accent1" w:themeFillTint="33"/>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Combating fraud and counterfeiting of non-cash means of payment</w:t>
            </w:r>
            <w:r>
              <w:rPr>
                <w:rStyle w:val="FootnoteReference"/>
                <w:rFonts w:ascii="Times New Roman" w:hAnsi="Times New Roman" w:cs="Times New Roman"/>
                <w:noProof/>
                <w:sz w:val="20"/>
                <w:szCs w:val="20"/>
              </w:rPr>
              <w:footnoteReference w:id="21"/>
            </w:r>
          </w:p>
        </w:tc>
        <w:tc>
          <w:tcPr>
            <w:tcW w:w="2521" w:type="dxa"/>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September 2017; trilogue discussions are ongoing.</w:t>
            </w:r>
          </w:p>
        </w:tc>
        <w:tc>
          <w:tcPr>
            <w:tcW w:w="1378" w:type="dxa"/>
            <w:shd w:val="clear" w:color="auto" w:fill="00B050"/>
          </w:tcPr>
          <w:p w:rsidR="00A1058B" w:rsidRDefault="00A1058B">
            <w:pPr>
              <w:spacing w:before="180" w:after="180"/>
              <w:jc w:val="center"/>
              <w:rPr>
                <w:rFonts w:ascii="Times New Roman" w:hAnsi="Times New Roman" w:cs="Times New Roman"/>
                <w:noProof/>
                <w:sz w:val="20"/>
                <w:szCs w:val="20"/>
              </w:rPr>
            </w:pPr>
          </w:p>
        </w:tc>
        <w:tc>
          <w:tcPr>
            <w:tcW w:w="1276" w:type="dxa"/>
            <w:shd w:val="clear" w:color="auto" w:fill="FFFF00"/>
          </w:tcPr>
          <w:p w:rsidR="00A1058B" w:rsidRDefault="00A1058B">
            <w:pPr>
              <w:spacing w:before="180" w:after="180"/>
              <w:jc w:val="center"/>
              <w:rPr>
                <w:rFonts w:ascii="Times New Roman" w:hAnsi="Times New Roman" w:cs="Times New Roman"/>
                <w:noProof/>
                <w:sz w:val="20"/>
                <w:szCs w:val="20"/>
              </w:rPr>
            </w:pPr>
          </w:p>
        </w:tc>
        <w:tc>
          <w:tcPr>
            <w:tcW w:w="1146" w:type="dxa"/>
            <w:shd w:val="clear" w:color="auto" w:fill="FFFF00"/>
          </w:tcPr>
          <w:p w:rsidR="00A1058B" w:rsidRDefault="00A1058B">
            <w:pPr>
              <w:spacing w:before="180" w:after="180"/>
              <w:jc w:val="center"/>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Restricting the marketing and use of explosives precursors</w:t>
            </w:r>
            <w:r>
              <w:rPr>
                <w:rStyle w:val="FootnoteReference"/>
                <w:rFonts w:ascii="Times New Roman" w:hAnsi="Times New Roman" w:cs="Times New Roman"/>
                <w:noProof/>
                <w:sz w:val="20"/>
                <w:szCs w:val="20"/>
              </w:rPr>
              <w:footnoteReference w:id="22"/>
            </w:r>
          </w:p>
        </w:tc>
        <w:tc>
          <w:tcPr>
            <w:tcW w:w="2521" w:type="dxa"/>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April 2018;</w:t>
            </w:r>
            <w:r>
              <w:rPr>
                <w:rFonts w:ascii="Times New Roman" w:hAnsi="Times New Roman" w:cs="Times New Roman"/>
                <w:noProof/>
                <w:sz w:val="20"/>
                <w:szCs w:val="20"/>
              </w:rPr>
              <w:t xml:space="preserve"> European Parliament and Council need to adopt their negotiating mandates and enter into trilogue discussions.</w:t>
            </w:r>
          </w:p>
        </w:tc>
        <w:tc>
          <w:tcPr>
            <w:tcW w:w="1378" w:type="dxa"/>
            <w:shd w:val="clear" w:color="auto" w:fill="00B050"/>
          </w:tcPr>
          <w:p w:rsidR="00A1058B" w:rsidRDefault="00A1058B">
            <w:pPr>
              <w:spacing w:before="180" w:after="180"/>
              <w:jc w:val="center"/>
              <w:rPr>
                <w:rFonts w:ascii="Times New Roman" w:hAnsi="Times New Roman" w:cs="Times New Roman"/>
                <w:noProof/>
                <w:sz w:val="20"/>
                <w:szCs w:val="20"/>
              </w:rPr>
            </w:pPr>
          </w:p>
        </w:tc>
        <w:tc>
          <w:tcPr>
            <w:tcW w:w="1276" w:type="dxa"/>
            <w:shd w:val="clear" w:color="auto" w:fill="F79646" w:themeFill="accent6"/>
          </w:tcPr>
          <w:p w:rsidR="00A1058B" w:rsidRDefault="00A1058B">
            <w:pPr>
              <w:spacing w:before="180" w:after="180"/>
              <w:jc w:val="center"/>
              <w:rPr>
                <w:rFonts w:ascii="Times New Roman" w:hAnsi="Times New Roman" w:cs="Times New Roman"/>
                <w:noProof/>
                <w:sz w:val="20"/>
                <w:szCs w:val="20"/>
              </w:rPr>
            </w:pPr>
          </w:p>
        </w:tc>
        <w:tc>
          <w:tcPr>
            <w:tcW w:w="1146" w:type="dxa"/>
            <w:shd w:val="clear" w:color="auto" w:fill="F79646" w:themeFill="accent6"/>
          </w:tcPr>
          <w:p w:rsidR="00A1058B" w:rsidRDefault="00A1058B">
            <w:pPr>
              <w:spacing w:before="180" w:after="180"/>
              <w:jc w:val="center"/>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Enhancing the security features of national identity cards and residence documents</w:t>
            </w:r>
            <w:r>
              <w:rPr>
                <w:rStyle w:val="FootnoteReference"/>
                <w:rFonts w:ascii="Times New Roman" w:hAnsi="Times New Roman" w:cs="Times New Roman"/>
                <w:noProof/>
                <w:sz w:val="20"/>
                <w:szCs w:val="20"/>
              </w:rPr>
              <w:footnoteReference w:id="23"/>
            </w:r>
          </w:p>
        </w:tc>
        <w:tc>
          <w:tcPr>
            <w:tcW w:w="2521" w:type="dxa"/>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Proposed in April 2018; the European Parliament and the C</w:t>
            </w:r>
            <w:r>
              <w:rPr>
                <w:rFonts w:ascii="Times New Roman" w:hAnsi="Times New Roman" w:cs="Times New Roman"/>
                <w:noProof/>
                <w:sz w:val="20"/>
                <w:szCs w:val="20"/>
              </w:rPr>
              <w:t>ouncil have adopted their negotiating mandates and need to enter into trilogue discussions.</w:t>
            </w:r>
          </w:p>
        </w:tc>
        <w:tc>
          <w:tcPr>
            <w:tcW w:w="1378" w:type="dxa"/>
            <w:shd w:val="clear" w:color="auto" w:fill="00B050"/>
          </w:tcPr>
          <w:p w:rsidR="00A1058B" w:rsidRDefault="00A1058B">
            <w:pPr>
              <w:spacing w:before="180" w:after="180"/>
              <w:jc w:val="center"/>
              <w:rPr>
                <w:rFonts w:ascii="Times New Roman" w:hAnsi="Times New Roman" w:cs="Times New Roman"/>
                <w:noProof/>
                <w:sz w:val="20"/>
                <w:szCs w:val="20"/>
              </w:rPr>
            </w:pPr>
          </w:p>
        </w:tc>
        <w:tc>
          <w:tcPr>
            <w:tcW w:w="1276" w:type="dxa"/>
            <w:shd w:val="clear" w:color="auto" w:fill="FFFF00"/>
          </w:tcPr>
          <w:p w:rsidR="00A1058B" w:rsidRDefault="00A1058B">
            <w:pPr>
              <w:spacing w:before="180" w:after="180"/>
              <w:jc w:val="center"/>
              <w:rPr>
                <w:rFonts w:ascii="Times New Roman" w:hAnsi="Times New Roman" w:cs="Times New Roman"/>
                <w:noProof/>
                <w:sz w:val="20"/>
                <w:szCs w:val="20"/>
              </w:rPr>
            </w:pPr>
          </w:p>
        </w:tc>
        <w:tc>
          <w:tcPr>
            <w:tcW w:w="1146" w:type="dxa"/>
            <w:shd w:val="clear" w:color="auto" w:fill="FFFF00"/>
          </w:tcPr>
          <w:p w:rsidR="00A1058B" w:rsidRDefault="00A1058B">
            <w:pPr>
              <w:spacing w:before="180" w:after="180"/>
              <w:jc w:val="center"/>
              <w:rPr>
                <w:rFonts w:ascii="Times New Roman" w:hAnsi="Times New Roman" w:cs="Times New Roman"/>
                <w:noProof/>
                <w:sz w:val="20"/>
                <w:szCs w:val="20"/>
              </w:rPr>
            </w:pPr>
          </w:p>
        </w:tc>
      </w:tr>
      <w:tr w:rsidR="00A1058B">
        <w:trPr>
          <w:jc w:val="center"/>
        </w:trPr>
        <w:tc>
          <w:tcPr>
            <w:tcW w:w="3085" w:type="dxa"/>
            <w:shd w:val="clear" w:color="auto" w:fill="DBE5F1" w:themeFill="accent1" w:themeFillTint="33"/>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Strengthening the Visa Information System</w:t>
            </w:r>
            <w:r>
              <w:rPr>
                <w:rStyle w:val="FootnoteReference"/>
                <w:rFonts w:ascii="Times New Roman" w:hAnsi="Times New Roman" w:cs="Times New Roman"/>
                <w:noProof/>
                <w:sz w:val="20"/>
                <w:szCs w:val="20"/>
              </w:rPr>
              <w:footnoteReference w:id="24"/>
            </w:r>
          </w:p>
        </w:tc>
        <w:tc>
          <w:tcPr>
            <w:tcW w:w="2521" w:type="dxa"/>
          </w:tcPr>
          <w:p w:rsidR="00A1058B" w:rsidRDefault="002E07E6">
            <w:pPr>
              <w:spacing w:before="180" w:after="180"/>
              <w:rPr>
                <w:rFonts w:ascii="Times New Roman" w:hAnsi="Times New Roman" w:cs="Times New Roman"/>
                <w:noProof/>
                <w:sz w:val="20"/>
                <w:szCs w:val="20"/>
              </w:rPr>
            </w:pPr>
            <w:r>
              <w:rPr>
                <w:rFonts w:ascii="Times New Roman" w:hAnsi="Times New Roman" w:cs="Times New Roman"/>
                <w:noProof/>
                <w:sz w:val="20"/>
                <w:szCs w:val="20"/>
              </w:rPr>
              <w:t xml:space="preserve">Proposed in May 2018; European Parliament and Council need to adopt their negotiating mandates and enter into </w:t>
            </w:r>
            <w:r>
              <w:rPr>
                <w:rFonts w:ascii="Times New Roman" w:hAnsi="Times New Roman" w:cs="Times New Roman"/>
                <w:noProof/>
                <w:sz w:val="20"/>
                <w:szCs w:val="20"/>
              </w:rPr>
              <w:t>trilogue discussions.</w:t>
            </w:r>
          </w:p>
        </w:tc>
        <w:tc>
          <w:tcPr>
            <w:tcW w:w="1378" w:type="dxa"/>
            <w:shd w:val="clear" w:color="auto" w:fill="00B050"/>
          </w:tcPr>
          <w:p w:rsidR="00A1058B" w:rsidRDefault="00A1058B">
            <w:pPr>
              <w:spacing w:before="180" w:after="180"/>
              <w:jc w:val="center"/>
              <w:rPr>
                <w:rFonts w:ascii="Times New Roman" w:hAnsi="Times New Roman" w:cs="Times New Roman"/>
                <w:noProof/>
                <w:sz w:val="20"/>
                <w:szCs w:val="20"/>
              </w:rPr>
            </w:pPr>
          </w:p>
        </w:tc>
        <w:tc>
          <w:tcPr>
            <w:tcW w:w="1276" w:type="dxa"/>
            <w:shd w:val="clear" w:color="auto" w:fill="F79646" w:themeFill="accent6"/>
          </w:tcPr>
          <w:p w:rsidR="00A1058B" w:rsidRDefault="00A1058B">
            <w:pPr>
              <w:spacing w:before="180" w:after="180"/>
              <w:jc w:val="center"/>
              <w:rPr>
                <w:rFonts w:ascii="Times New Roman" w:hAnsi="Times New Roman" w:cs="Times New Roman"/>
                <w:noProof/>
                <w:sz w:val="20"/>
                <w:szCs w:val="20"/>
              </w:rPr>
            </w:pPr>
          </w:p>
        </w:tc>
        <w:tc>
          <w:tcPr>
            <w:tcW w:w="1146" w:type="dxa"/>
            <w:shd w:val="clear" w:color="auto" w:fill="F79646" w:themeFill="accent6"/>
          </w:tcPr>
          <w:p w:rsidR="00A1058B" w:rsidRDefault="00A1058B">
            <w:pPr>
              <w:spacing w:before="180" w:after="180"/>
              <w:jc w:val="center"/>
              <w:rPr>
                <w:rFonts w:ascii="Times New Roman" w:hAnsi="Times New Roman" w:cs="Times New Roman"/>
                <w:noProof/>
                <w:sz w:val="20"/>
                <w:szCs w:val="20"/>
              </w:rPr>
            </w:pPr>
          </w:p>
        </w:tc>
      </w:tr>
    </w:tbl>
    <w:p w:rsidR="00A1058B" w:rsidRDefault="00A1058B">
      <w:pPr>
        <w:tabs>
          <w:tab w:val="left" w:pos="6345"/>
        </w:tabs>
        <w:rPr>
          <w:rFonts w:ascii="Times New Roman" w:hAnsi="Times New Roman" w:cs="Times New Roman"/>
          <w:noProof/>
          <w:sz w:val="2"/>
          <w:szCs w:val="2"/>
        </w:rPr>
      </w:pPr>
    </w:p>
    <w:sectPr w:rsidR="00A1058B">
      <w:headerReference w:type="even" r:id="rId14"/>
      <w:headerReference w:type="default" r:id="rId15"/>
      <w:footerReference w:type="even" r:id="rId16"/>
      <w:footerReference w:type="default" r:id="rId17"/>
      <w:headerReference w:type="first" r:id="rId18"/>
      <w:footerReference w:type="first" r:id="rId19"/>
      <w:pgSz w:w="11910" w:h="16840"/>
      <w:pgMar w:top="1020" w:right="400" w:bottom="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58B" w:rsidRDefault="002E07E6">
      <w:pPr>
        <w:spacing w:after="0" w:line="240" w:lineRule="auto"/>
      </w:pPr>
      <w:r>
        <w:separator/>
      </w:r>
    </w:p>
  </w:endnote>
  <w:endnote w:type="continuationSeparator" w:id="0">
    <w:p w:rsidR="00A1058B" w:rsidRDefault="002E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E6" w:rsidRPr="002E07E6" w:rsidRDefault="002E07E6" w:rsidP="002E0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E6" w:rsidRPr="002E07E6" w:rsidRDefault="002E07E6" w:rsidP="002E07E6">
    <w:pPr>
      <w:pStyle w:val="FooterCoverPage"/>
      <w:rPr>
        <w:rFonts w:ascii="Arial" w:hAnsi="Arial" w:cs="Arial"/>
        <w:b/>
        <w:sz w:val="48"/>
      </w:rPr>
    </w:pPr>
    <w:r w:rsidRPr="002E07E6">
      <w:rPr>
        <w:rFonts w:ascii="Arial" w:hAnsi="Arial" w:cs="Arial"/>
        <w:b/>
        <w:sz w:val="48"/>
      </w:rPr>
      <w:t>EN</w:t>
    </w:r>
    <w:r w:rsidRPr="002E07E6">
      <w:rPr>
        <w:rFonts w:ascii="Arial" w:hAnsi="Arial" w:cs="Arial"/>
        <w:b/>
        <w:sz w:val="48"/>
      </w:rPr>
      <w:tab/>
    </w:r>
    <w:r w:rsidRPr="002E07E6">
      <w:rPr>
        <w:rFonts w:ascii="Arial" w:hAnsi="Arial" w:cs="Arial"/>
        <w:b/>
        <w:sz w:val="48"/>
      </w:rPr>
      <w:tab/>
    </w:r>
    <w:r w:rsidRPr="002E07E6">
      <w:tab/>
    </w:r>
    <w:r w:rsidRPr="002E07E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E6" w:rsidRPr="002E07E6" w:rsidRDefault="002E07E6" w:rsidP="002E07E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8B" w:rsidRDefault="00A105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17396"/>
      <w:docPartObj>
        <w:docPartGallery w:val="Page Numbers (Bottom of Page)"/>
        <w:docPartUnique/>
      </w:docPartObj>
    </w:sdtPr>
    <w:sdtEndPr>
      <w:rPr>
        <w:rFonts w:ascii="Times New Roman" w:hAnsi="Times New Roman" w:cs="Times New Roman"/>
        <w:noProof/>
      </w:rPr>
    </w:sdtEndPr>
    <w:sdtContent>
      <w:p w:rsidR="00A1058B" w:rsidRDefault="002E07E6">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A1058B" w:rsidRDefault="00A105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8B" w:rsidRDefault="00A10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58B" w:rsidRDefault="002E07E6">
      <w:pPr>
        <w:spacing w:after="0" w:line="240" w:lineRule="auto"/>
      </w:pPr>
      <w:r>
        <w:separator/>
      </w:r>
    </w:p>
  </w:footnote>
  <w:footnote w:type="continuationSeparator" w:id="0">
    <w:p w:rsidR="00A1058B" w:rsidRDefault="002E07E6">
      <w:pPr>
        <w:spacing w:after="0" w:line="240" w:lineRule="auto"/>
      </w:pPr>
      <w:r>
        <w:continuationSeparator/>
      </w:r>
    </w:p>
  </w:footnote>
  <w:footnote w:id="1">
    <w:p w:rsidR="00A1058B" w:rsidRDefault="002E07E6">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https://ec.europa.eu/commission/sites/beta-political/files/soteu2018-speech_en_0.pdf</w:t>
        </w:r>
      </w:hyperlink>
      <w:r>
        <w:rPr>
          <w:rFonts w:ascii="Times New Roman" w:hAnsi="Times New Roman" w:cs="Times New Roman"/>
        </w:rPr>
        <w:t xml:space="preserve">. See also President Juncker's Letter of Intent: </w:t>
      </w:r>
      <w:hyperlink r:id="rId2" w:history="1">
        <w:r>
          <w:rPr>
            <w:rStyle w:val="Hyperlink"/>
            <w:rFonts w:ascii="Times New Roman" w:hAnsi="Times New Roman" w:cs="Times New Roman"/>
          </w:rPr>
          <w:t>https://ec.europa.eu/commission/sites/beta-political/files/soteu2018-letter-of-intent_en.pdf</w:t>
        </w:r>
      </w:hyperlink>
      <w:r>
        <w:rPr>
          <w:rFonts w:ascii="Times New Roman" w:hAnsi="Times New Roman" w:cs="Times New Roman"/>
        </w:rPr>
        <w:t>.</w:t>
      </w:r>
    </w:p>
  </w:footnote>
  <w:footnote w:id="2">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w:t>
      </w:r>
      <w:r>
        <w:rPr>
          <w:rFonts w:ascii="Times New Roman" w:hAnsi="Times New Roman" w:cs="Times New Roman"/>
          <w:lang w:val="pt-PT"/>
        </w:rPr>
        <w:t>OM(2018) 640 final (12.9.2018).</w:t>
      </w:r>
    </w:p>
  </w:footnote>
  <w:footnote w:id="3">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641 final (12.9.2018).</w:t>
      </w:r>
    </w:p>
  </w:footnote>
  <w:footnote w:id="4">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636 final (12.9.2018).</w:t>
      </w:r>
    </w:p>
  </w:footnote>
  <w:footnote w:id="5">
    <w:p w:rsidR="00A1058B" w:rsidRDefault="002E07E6">
      <w:pPr>
        <w:pStyle w:val="FootnoteText"/>
        <w:ind w:left="567" w:hanging="567"/>
        <w:jc w:val="both"/>
        <w:rPr>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lang w:val="pt-PT"/>
        </w:rPr>
        <w:tab/>
      </w:r>
      <w:r>
        <w:rPr>
          <w:rFonts w:ascii="Times New Roman" w:hAnsi="Times New Roman" w:cs="Times New Roman"/>
          <w:lang w:val="pt-PT"/>
        </w:rPr>
        <w:t>COM(2018) 631 final (12.9.2018).</w:t>
      </w:r>
      <w:r>
        <w:rPr>
          <w:lang w:val="pt-PT"/>
        </w:rPr>
        <w:t xml:space="preserve">  </w:t>
      </w:r>
    </w:p>
  </w:footnote>
  <w:footnote w:id="6">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630 final (12.9.2018).</w:t>
      </w:r>
    </w:p>
  </w:footnote>
  <w:footnote w:id="7">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3" w:history="1">
        <w:r>
          <w:rPr>
            <w:rStyle w:val="Hyperlink"/>
            <w:rFonts w:ascii="Times New Roman" w:hAnsi="Times New Roman" w:cs="Times New Roman"/>
            <w:lang w:val="pt-PT"/>
          </w:rPr>
          <w:t>https://ec.europa.eu/commission/sites/beta-political/files/joint-declaration-eu-legislative-priorities-2018-19_en.pdf</w:t>
        </w:r>
      </w:hyperlink>
      <w:r>
        <w:rPr>
          <w:rFonts w:ascii="Times New Roman" w:hAnsi="Times New Roman" w:cs="Times New Roman"/>
          <w:lang w:val="pt-PT"/>
        </w:rPr>
        <w:t>.</w:t>
      </w:r>
    </w:p>
  </w:footnote>
  <w:footnote w:id="8">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w:t>
      </w:r>
      <w:r>
        <w:rPr>
          <w:rFonts w:ascii="Times New Roman" w:hAnsi="Times New Roman" w:cs="Times New Roman"/>
          <w:lang w:val="pt-PT"/>
        </w:rPr>
        <w:t>M(2016) 731 final (16.11.2016).</w:t>
      </w:r>
    </w:p>
  </w:footnote>
  <w:footnote w:id="9">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352 final (29.6.2017).</w:t>
      </w:r>
    </w:p>
  </w:footnote>
  <w:footnote w:id="10">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881 final (21.12.2016), COM(2016) 882 final (21.12.2016) and COM(2016) 883 final (21.12.2016).</w:t>
      </w:r>
    </w:p>
  </w:footnote>
  <w:footnote w:id="11">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Directive (EU) 2018/841 (30.5.2018).</w:t>
      </w:r>
    </w:p>
  </w:footnote>
  <w:footnote w:id="12">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Regulation (EU) 2017/2226 (30.11.2017</w:t>
      </w:r>
      <w:r>
        <w:rPr>
          <w:rFonts w:ascii="Times New Roman" w:hAnsi="Times New Roman" w:cs="Times New Roman"/>
          <w:lang w:val="pt-PT"/>
        </w:rPr>
        <w:t>).</w:t>
      </w:r>
    </w:p>
  </w:footnote>
  <w:footnote w:id="13">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Directive (EU) 2017/853 (17.5.2017).</w:t>
      </w:r>
    </w:p>
  </w:footnote>
  <w:footnote w:id="14">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Directive (EU) 2017/541 (15.3.2017).</w:t>
      </w:r>
    </w:p>
  </w:footnote>
  <w:footnote w:id="15">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477 final (13.9.2017).</w:t>
      </w:r>
    </w:p>
  </w:footnote>
  <w:footnote w:id="16">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7 final (19.1.2016) and COM(2017) 344 final (29.6.2017).</w:t>
      </w:r>
    </w:p>
  </w:footnote>
  <w:footnote w:id="17">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793 final (12.12.2017), COM(2017) 794 final (12.12.201</w:t>
      </w:r>
      <w:r>
        <w:rPr>
          <w:rFonts w:ascii="Times New Roman" w:hAnsi="Times New Roman" w:cs="Times New Roman"/>
          <w:lang w:val="pt-PT"/>
        </w:rPr>
        <w:t>7), COM(2018) 478 final (13.6.2018) and COM(2018) 480 final (13.6.2018).</w:t>
      </w:r>
    </w:p>
  </w:footnote>
  <w:footnote w:id="18">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225 final (17.4.2018) and COM(2018) 226 final (17.4.2018).</w:t>
      </w:r>
    </w:p>
  </w:footnote>
  <w:footnote w:id="19">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213 final (17.4.2018).</w:t>
      </w:r>
    </w:p>
  </w:footnote>
  <w:footnote w:id="20">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272 final (4.5.2016).</w:t>
      </w:r>
    </w:p>
  </w:footnote>
  <w:footnote w:id="21">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489 final (13.9.2017).</w:t>
      </w:r>
    </w:p>
  </w:footnote>
  <w:footnote w:id="22">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w:t>
      </w:r>
      <w:r>
        <w:rPr>
          <w:rFonts w:ascii="Times New Roman" w:hAnsi="Times New Roman" w:cs="Times New Roman"/>
          <w:lang w:val="pt-PT"/>
        </w:rPr>
        <w:t>OM(2018) 209 final (17.4.2018).</w:t>
      </w:r>
    </w:p>
  </w:footnote>
  <w:footnote w:id="23">
    <w:p w:rsidR="00A1058B" w:rsidRDefault="002E07E6">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212 final (17.4.2018).</w:t>
      </w:r>
    </w:p>
  </w:footnote>
  <w:footnote w:id="24">
    <w:p w:rsidR="00A1058B" w:rsidRDefault="002E07E6">
      <w:pPr>
        <w:tabs>
          <w:tab w:val="left" w:pos="567"/>
        </w:tabs>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r>
        <w:rPr>
          <w:rFonts w:ascii="Times New Roman" w:hAnsi="Times New Roman" w:cs="Times New Roman"/>
          <w:sz w:val="20"/>
          <w:szCs w:val="20"/>
          <w:lang w:val="pt-PT"/>
        </w:rPr>
        <w:t>COM(2018) 302 final (16.5.2018).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E6" w:rsidRPr="002E07E6" w:rsidRDefault="002E07E6" w:rsidP="002E0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E6" w:rsidRPr="002E07E6" w:rsidRDefault="002E07E6" w:rsidP="002E07E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7E6" w:rsidRPr="002E07E6" w:rsidRDefault="002E07E6" w:rsidP="002E07E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8B" w:rsidRDefault="00A105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8B" w:rsidRDefault="00A105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8B" w:rsidRDefault="00A105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FA81D336-2A47-439B-96BC-DDA36D77D372"/>
    <w:docVar w:name="LW_COVERPAGE_TYPE" w:val="1"/>
    <w:docVar w:name="LW_CROSSREFERENCE" w:val="&lt;UNUSED&gt;"/>
    <w:docVar w:name="LW_DocType" w:val="NORMAL"/>
    <w:docVar w:name="LW_EMISSION" w:val="11.12.2018"/>
    <w:docVar w:name="LW_EMISSION_ISODATE" w:val="2018-12-11"/>
    <w:docVar w:name="LW_EMISSION_LOCATION" w:val="STR"/>
    <w:docVar w:name="LW_EMISSION_PREFIX" w:val="Strasbourg,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Seventeenth Progress Report towards an effective and genuine Security Union_x000b__x000b_List of legislative initiatives _x000b__x000b_"/>
    <w:docVar w:name="LW_PART_NBR" w:val="1"/>
    <w:docVar w:name="LW_PART_NBR_TOTAL" w:val="1"/>
    <w:docVar w:name="LW_REF.INST.NEW" w:val="COM"/>
    <w:docVar w:name="LW_REF.INST.NEW_ADOPTED" w:val="final"/>
    <w:docVar w:name="LW_REF.INST.NEW_TEXT" w:val="(2018) 8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EUROPEAN COUNCIL AND THE COUNCIL_x000b__x000b_"/>
  </w:docVars>
  <w:rsids>
    <w:rsidRoot w:val="00A1058B"/>
    <w:rsid w:val="002E07E6"/>
    <w:rsid w:val="00A105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CEF50741-10DE-46F9-97E7-BEC44E89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odyText">
    <w:name w:val="Body Text"/>
    <w:basedOn w:val="Normal"/>
    <w:link w:val="BodyTextChar"/>
    <w:uiPriority w:val="1"/>
    <w:qFormat/>
    <w:pPr>
      <w:widowControl w:val="0"/>
      <w:autoSpaceDE w:val="0"/>
      <w:autoSpaceDN w:val="0"/>
      <w:spacing w:before="4" w:after="0" w:line="240" w:lineRule="auto"/>
      <w:ind w:left="40"/>
    </w:pPr>
    <w:rPr>
      <w:rFonts w:ascii="EC Square Sans Pro" w:eastAsia="EC Square Sans Pro" w:hAnsi="EC Square Sans Pro" w:cs="EC Square Sans Pro"/>
      <w:sz w:val="18"/>
      <w:szCs w:val="18"/>
      <w:lang w:eastAsia="en-GB" w:bidi="en-GB"/>
    </w:rPr>
  </w:style>
  <w:style w:type="character" w:customStyle="1" w:styleId="BodyTextChar">
    <w:name w:val="Body Text Char"/>
    <w:basedOn w:val="DefaultParagraphFont"/>
    <w:link w:val="BodyText"/>
    <w:uiPriority w:val="1"/>
    <w:rPr>
      <w:rFonts w:ascii="EC Square Sans Pro" w:eastAsia="EC Square Sans Pro" w:hAnsi="EC Square Sans Pro" w:cs="EC Square Sans Pro"/>
      <w:sz w:val="18"/>
      <w:szCs w:val="18"/>
      <w:lang w:eastAsia="en-GB" w:bidi="en-GB"/>
    </w:rPr>
  </w:style>
  <w:style w:type="character" w:styleId="Hyperlink">
    <w:name w:val="Hyperlink"/>
    <w:basedOn w:val="DefaultParagraphFont"/>
    <w:uiPriority w:val="99"/>
    <w:unhideWhenUsed/>
    <w:rPr>
      <w:color w:val="0000FF" w:themeColor="hyperlink"/>
      <w:u w:val="single"/>
    </w:rPr>
  </w:style>
  <w:style w:type="paragraph" w:customStyle="1" w:styleId="Pa35">
    <w:name w:val="Pa35"/>
    <w:basedOn w:val="Normal"/>
    <w:next w:val="Normal"/>
    <w:uiPriority w:val="99"/>
    <w:pPr>
      <w:autoSpaceDE w:val="0"/>
      <w:autoSpaceDN w:val="0"/>
      <w:adjustRightInd w:val="0"/>
      <w:spacing w:after="0" w:line="195" w:lineRule="atLeast"/>
    </w:pPr>
    <w:rPr>
      <w:rFonts w:ascii="EC Square Sans Pro" w:hAnsi="EC Square Sans Pro"/>
      <w:sz w:val="24"/>
      <w:szCs w:val="24"/>
    </w:rPr>
  </w:style>
  <w:style w:type="character" w:customStyle="1" w:styleId="A13">
    <w:name w:val="A13"/>
    <w:uiPriority w:val="99"/>
    <w:rPr>
      <w:rFonts w:cs="EC Square Sans Pro"/>
      <w:b/>
      <w:bCs/>
      <w:color w:val="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sites/beta-political/files/joint-declaration-eu-legislative-priorities-2018-19_en.pdf" TargetMode="External"/><Relationship Id="rId2" Type="http://schemas.openxmlformats.org/officeDocument/2006/relationships/hyperlink" Target="https://ec.europa.eu/commission/sites/beta-political/files/soteu2018-letter-of-intent_en.pdf" TargetMode="External"/><Relationship Id="rId1" Type="http://schemas.openxmlformats.org/officeDocument/2006/relationships/hyperlink" Target="https://ec.europa.eu/commission/sites/beta-political/files/soteu2018-speech_en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4EEAECE-E4DF-4426-8CEB-53BB39A1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543</Words>
  <Characters>3435</Characters>
  <Application>Microsoft Office Word</Application>
  <DocSecurity>0</DocSecurity>
  <Lines>286</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(HOME)</dc:creator>
  <cp:lastModifiedBy>HEILEMANN Stefanie (SG)</cp:lastModifiedBy>
  <cp:revision>8</cp:revision>
  <cp:lastPrinted>2018-10-03T13:10:00Z</cp:lastPrinted>
  <dcterms:created xsi:type="dcterms:W3CDTF">2018-12-11T08:59:00Z</dcterms:created>
  <dcterms:modified xsi:type="dcterms:W3CDTF">2018-12-11T11:35:00Z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