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234ACC1-110F-464C-AC79-DFD7EEBE0A74" style="width:450.7pt;height:410.5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ПРИЛОЖЕНИЕ I</w:t>
      </w:r>
    </w:p>
    <w:p>
      <w:pPr>
        <w:spacing w:before="360" w:after="0" w:line="360" w:lineRule="auto"/>
        <w:jc w:val="center"/>
        <w:rPr>
          <w:noProof/>
        </w:rPr>
      </w:pPr>
      <w:r>
        <w:rPr>
          <w:noProof/>
        </w:rPr>
        <w:t>ПРОЕКТ НА</w:t>
      </w:r>
    </w:p>
    <w:p>
      <w:pPr>
        <w:spacing w:before="360" w:after="0" w:line="360" w:lineRule="auto"/>
        <w:jc w:val="center"/>
        <w:rPr>
          <w:b/>
          <w:noProof/>
        </w:rPr>
      </w:pPr>
      <w:r>
        <w:rPr>
          <w:b/>
          <w:noProof/>
        </w:rPr>
        <w:t>РЕШЕНИЕ № 2018/</w:t>
      </w:r>
      <w:r>
        <w:rPr>
          <w:b/>
          <w:noProof/>
        </w:rPr>
        <w:br/>
        <w:t>НА РЕГИОНАЛНИЯ УПРАВИТЕЛЕН КОМИТЕТ НА ТРАНСПОРТНАТА ОБЩНОСТ</w:t>
      </w:r>
    </w:p>
    <w:p>
      <w:pPr>
        <w:spacing w:before="360" w:after="0" w:line="360" w:lineRule="auto"/>
        <w:jc w:val="center"/>
        <w:rPr>
          <w:b/>
          <w:noProof/>
          <w:szCs w:val="24"/>
        </w:rPr>
      </w:pPr>
      <w:r>
        <w:rPr>
          <w:b/>
          <w:noProof/>
        </w:rPr>
        <w:t>от ...</w:t>
      </w:r>
    </w:p>
    <w:p>
      <w:pPr>
        <w:spacing w:before="0" w:after="200" w:line="276" w:lineRule="auto"/>
        <w:jc w:val="center"/>
        <w:rPr>
          <w:b/>
          <w:noProof/>
          <w:szCs w:val="24"/>
        </w:rPr>
      </w:pPr>
      <w:r>
        <w:rPr>
          <w:b/>
          <w:noProof/>
        </w:rPr>
        <w:t>за приемането на бюджета на Транспортната общност за 2019 година</w:t>
      </w:r>
    </w:p>
    <w:p>
      <w:pPr>
        <w:spacing w:before="360" w:after="360" w:line="360" w:lineRule="auto"/>
        <w:jc w:val="center"/>
        <w:rPr>
          <w:b/>
          <w:noProof/>
          <w:szCs w:val="24"/>
        </w:rPr>
      </w:pPr>
    </w:p>
    <w:p>
      <w:pPr>
        <w:keepNext/>
        <w:spacing w:before="600" w:line="360" w:lineRule="auto"/>
        <w:jc w:val="left"/>
        <w:rPr>
          <w:noProof/>
        </w:rPr>
      </w:pPr>
      <w:r>
        <w:rPr>
          <w:noProof/>
        </w:rPr>
        <w:t>РЕГИОНАЛНИЯТ УПРАВИТЕЛЕН КОМИТЕТ НА ТРАНСПОРТНАТА ОБЩНОСТ,</w:t>
      </w:r>
    </w:p>
    <w:p>
      <w:pPr>
        <w:spacing w:line="360" w:lineRule="auto"/>
        <w:jc w:val="left"/>
        <w:rPr>
          <w:noProof/>
        </w:rPr>
      </w:pPr>
      <w:r>
        <w:rPr>
          <w:noProof/>
        </w:rPr>
        <w:t>като взе предвид Договора за създаване на Транспортната общност, и по-специално член 24, параграф 1 и членове 30 и 35 от него,</w:t>
      </w:r>
    </w:p>
    <w:p>
      <w:pPr>
        <w:keepNext/>
        <w:spacing w:line="360" w:lineRule="auto"/>
        <w:jc w:val="left"/>
        <w:rPr>
          <w:noProof/>
        </w:rPr>
      </w:pPr>
      <w:r>
        <w:rPr>
          <w:noProof/>
        </w:rPr>
        <w:t>ПРИЕ НАСТОЯЩОТО РЕШЕНИЕ:</w:t>
      </w:r>
    </w:p>
    <w:p>
      <w:pPr>
        <w:keepNext/>
        <w:spacing w:before="360" w:line="360" w:lineRule="auto"/>
        <w:jc w:val="center"/>
        <w:rPr>
          <w:i/>
          <w:noProof/>
        </w:rPr>
      </w:pPr>
      <w:r>
        <w:rPr>
          <w:i/>
          <w:noProof/>
        </w:rPr>
        <w:t>Член 1</w:t>
      </w:r>
    </w:p>
    <w:p>
      <w:pPr>
        <w:spacing w:line="360" w:lineRule="auto"/>
        <w:jc w:val="left"/>
        <w:rPr>
          <w:noProof/>
        </w:rPr>
      </w:pPr>
      <w:r>
        <w:rPr>
          <w:noProof/>
        </w:rPr>
        <w:t>С настоящото се приема бюджетът на Транспортната общност за 2019 г., приложен към настоящото решение.</w:t>
      </w:r>
    </w:p>
    <w:p>
      <w:pPr>
        <w:keepNext/>
        <w:spacing w:before="360" w:line="360" w:lineRule="auto"/>
        <w:jc w:val="center"/>
        <w:rPr>
          <w:i/>
          <w:noProof/>
        </w:rPr>
      </w:pPr>
      <w:r>
        <w:rPr>
          <w:i/>
          <w:noProof/>
        </w:rPr>
        <w:t>Член 2</w:t>
      </w:r>
    </w:p>
    <w:p>
      <w:pPr>
        <w:spacing w:line="360" w:lineRule="auto"/>
        <w:jc w:val="left"/>
        <w:rPr>
          <w:noProof/>
        </w:rPr>
      </w:pPr>
      <w:r>
        <w:rPr>
          <w:noProof/>
        </w:rPr>
        <w:t>Европейската комисия отговаря за изпълнението на бюджета и за започването на работата на Постоянния секретариат на Транспортната общност в съответствие с член 3.</w:t>
      </w:r>
    </w:p>
    <w:p>
      <w:pPr>
        <w:keepNext/>
        <w:spacing w:before="360" w:line="360" w:lineRule="auto"/>
        <w:jc w:val="center"/>
        <w:rPr>
          <w:i/>
          <w:noProof/>
        </w:rPr>
      </w:pPr>
      <w:r>
        <w:rPr>
          <w:i/>
          <w:noProof/>
        </w:rPr>
        <w:t>Член 3</w:t>
      </w:r>
    </w:p>
    <w:p>
      <w:pPr>
        <w:keepNext/>
        <w:spacing w:after="0" w:line="360" w:lineRule="auto"/>
        <w:jc w:val="left"/>
        <w:rPr>
          <w:noProof/>
        </w:rPr>
      </w:pPr>
      <w:r>
        <w:rPr>
          <w:noProof/>
        </w:rPr>
        <w:t>Член 2 се прилага от xx декември 2018 г. Прилагането му се прекратява в деня преди датата, на която влиза в сила назначението на директора на Постоянния секретариат.</w:t>
      </w:r>
    </w:p>
    <w:p>
      <w:pPr>
        <w:keepNext/>
        <w:spacing w:after="0" w:line="360" w:lineRule="auto"/>
        <w:jc w:val="left"/>
        <w:rPr>
          <w:noProof/>
        </w:rPr>
      </w:pPr>
      <w:r>
        <w:rPr>
          <w:noProof/>
        </w:rPr>
        <w:t>Съставено в [...] на [...] 2018 г.</w:t>
      </w:r>
    </w:p>
    <w:p>
      <w:pPr>
        <w:keepNext/>
        <w:tabs>
          <w:tab w:val="left" w:pos="5669"/>
        </w:tabs>
        <w:spacing w:before="720" w:after="0" w:line="360" w:lineRule="auto"/>
        <w:jc w:val="left"/>
        <w:rPr>
          <w:i/>
          <w:noProof/>
        </w:rPr>
      </w:pPr>
      <w:r>
        <w:rPr>
          <w:noProof/>
        </w:rPr>
        <w:tab/>
      </w:r>
      <w:r>
        <w:rPr>
          <w:i/>
          <w:noProof/>
        </w:rPr>
        <w:t>за Регионалният управителен комитет</w:t>
      </w:r>
    </w:p>
    <w:p>
      <w:pPr>
        <w:tabs>
          <w:tab w:val="left" w:pos="5669"/>
        </w:tabs>
        <w:spacing w:before="0" w:after="0" w:line="360" w:lineRule="auto"/>
        <w:jc w:val="left"/>
        <w:rPr>
          <w:i/>
          <w:noProof/>
        </w:rPr>
      </w:pPr>
      <w:r>
        <w:rPr>
          <w:noProof/>
        </w:rPr>
        <w:tab/>
      </w:r>
      <w:r>
        <w:rPr>
          <w:i/>
          <w:noProof/>
        </w:rPr>
        <w:t>Председател</w:t>
      </w:r>
    </w:p>
    <w:p>
      <w:pPr>
        <w:spacing w:line="360" w:lineRule="auto"/>
        <w:jc w:val="left"/>
        <w:rPr>
          <w:b/>
          <w:noProof/>
        </w:rPr>
        <w:sectPr>
          <w:footerReference w:type="default" r:id="rId16"/>
          <w:footerReference w:type="first" r:id="rId17"/>
          <w:footnotePr>
            <w:numRestart w:val="eachPage"/>
          </w:footnotePr>
          <w:endnotePr>
            <w:numRestart w:val="eachSect"/>
          </w:endnotePr>
          <w:pgSz w:w="11907" w:h="16839" w:code="9"/>
          <w:pgMar w:top="1134" w:right="1134" w:bottom="1134" w:left="1134" w:header="567" w:footer="567" w:gutter="0"/>
          <w:cols w:space="708"/>
          <w:docGrid w:linePitch="360"/>
        </w:sectPr>
      </w:pPr>
    </w:p>
    <w:p>
      <w:pPr>
        <w:spacing w:before="0" w:after="200" w:line="276" w:lineRule="auto"/>
        <w:rPr>
          <w:rFonts w:asciiTheme="minorHAnsi" w:hAnsiTheme="minorHAnsi" w:cstheme="minorBidi"/>
          <w:noProof/>
          <w:szCs w:val="24"/>
          <w:u w:val="single"/>
        </w:rPr>
      </w:pPr>
      <w:r>
        <w:rPr>
          <w:b/>
          <w:noProof/>
        </w:rPr>
        <w:t>ДОПЪЛНЕНИЕ: Бюджет на транспортната общност за 2019 година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8897"/>
        <w:gridCol w:w="4819"/>
      </w:tblGrid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>Бюджетен ред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>Сума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Заплати на длъжностните лица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750 000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Вноска в здравноосигурителната/пенсионната схема за длъжностните лица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200 000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Оперативни разходи на секретариата (включително постоянни разходи/пътуване/организиране на заседания)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330 000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ИТ оборудване и обзавеждане за офиси (необхванато от Споразумението за седалището)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100 000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Разходи за назначаване (публикуване и възстановяване на разходите на кандидатите)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100 000</w:t>
            </w:r>
          </w:p>
        </w:tc>
      </w:tr>
      <w:tr>
        <w:tc>
          <w:tcPr>
            <w:tcW w:w="8897" w:type="dxa"/>
            <w:shd w:val="clear" w:color="auto" w:fill="BFBFBF" w:themeFill="background1" w:themeFillShade="BF"/>
          </w:tcPr>
          <w:p>
            <w:pPr>
              <w:spacing w:before="0" w:after="20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Общо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1 480 000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Резерв (прибл.: 10 %)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150 000</w:t>
            </w:r>
          </w:p>
        </w:tc>
      </w:tr>
      <w:tr>
        <w:tc>
          <w:tcPr>
            <w:tcW w:w="8897" w:type="dxa"/>
            <w:shd w:val="clear" w:color="auto" w:fill="BFBFBF" w:themeFill="background1" w:themeFillShade="BF"/>
          </w:tcPr>
          <w:p>
            <w:pPr>
              <w:spacing w:before="0" w:after="20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Общо всичко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1 630 000</w:t>
            </w:r>
          </w:p>
        </w:tc>
      </w:tr>
      <w:tr>
        <w:tc>
          <w:tcPr>
            <w:tcW w:w="8897" w:type="dxa"/>
          </w:tcPr>
          <w:p>
            <w:pPr>
              <w:spacing w:before="0" w:after="20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t xml:space="preserve">в т.ч.: </w:t>
            </w:r>
            <w:r>
              <w:rPr>
                <w:b/>
                <w:noProof/>
              </w:rPr>
              <w:t xml:space="preserve"> Принос от ЕС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(80 %)*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1 304 000</w:t>
            </w:r>
          </w:p>
        </w:tc>
      </w:tr>
      <w:tr>
        <w:trPr>
          <w:trHeight w:val="273"/>
        </w:trPr>
        <w:tc>
          <w:tcPr>
            <w:tcW w:w="8897" w:type="dxa"/>
          </w:tcPr>
          <w:p>
            <w:pPr>
              <w:spacing w:before="0" w:after="20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Принос от ЗБ6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(20 %: в приложение V от ДТО е посочено разпределението по държави).</w:t>
            </w:r>
          </w:p>
        </w:tc>
        <w:tc>
          <w:tcPr>
            <w:tcW w:w="4819" w:type="dxa"/>
          </w:tcPr>
          <w:p>
            <w:pPr>
              <w:spacing w:before="0" w:after="200"/>
              <w:jc w:val="righ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326 000</w:t>
            </w:r>
          </w:p>
        </w:tc>
      </w:tr>
    </w:tbl>
    <w:p>
      <w:pPr>
        <w:spacing w:before="0" w:after="200" w:line="276" w:lineRule="auto"/>
        <w:jc w:val="left"/>
        <w:rPr>
          <w:rFonts w:eastAsia="Times New Roman"/>
          <w:noProof/>
          <w:szCs w:val="24"/>
        </w:rPr>
      </w:pPr>
      <w:r>
        <w:rPr>
          <w:noProof/>
        </w:rPr>
        <w:t>* Размерът на приноса от ЕС не засяга приемането на бюджета на ЕС за 2019 г.</w:t>
      </w:r>
    </w:p>
    <w:p>
      <w:pPr>
        <w:rPr>
          <w:noProof/>
        </w:rPr>
        <w:sectPr>
          <w:headerReference w:type="default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>
      <w:pPr>
        <w:rPr>
          <w:rFonts w:asciiTheme="minorHAnsi" w:hAnsiTheme="minorHAnsi" w:cstheme="minorBidi"/>
          <w:noProof/>
          <w:sz w:val="22"/>
        </w:rPr>
      </w:pPr>
    </w:p>
    <w:sectPr>
      <w:headerReference w:type="default" r:id="rId22"/>
      <w:footerReference w:type="default" r:id="rId23"/>
      <w:headerReference w:type="first" r:id="rId24"/>
      <w:footerReference w:type="first" r:id="rId25"/>
      <w:footnotePr>
        <w:numRestart w:val="eachPage"/>
      </w:footnotePr>
      <w:endnotePr>
        <w:numRestart w:val="eachSect"/>
      </w:endnotePr>
      <w:pgSz w:w="11907" w:h="1683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60F8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A6299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EAEE3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4465D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48CE0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6BCB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2426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61CAB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8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2-13 10:59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234ACC1-110F-464C-AC79-DFD7EEBE0A74"/>
    <w:docVar w:name="LW_COVERPAGE_TYPE" w:val="1"/>
    <w:docVar w:name="LW_CROSSREFERENCE" w:val="&lt;UNUSED&gt;"/>
    <w:docVar w:name="LW_DocType" w:val="ANNEX"/>
    <w:docVar w:name="LW_EMISSION" w:val="3.12.2018"/>
    <w:docVar w:name="LW_EMISSION_ISODATE" w:val="2018-12-0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_x000b_\u1074? \u1056?\u1077?\u1075?\u1080?\u1086?\u1085?\u1072?\u1083?\u1085?\u1080?\u1103? \u1091?\u1087?\u1088?\u1072?\u1074?\u1080?\u1090?\u1077?\u1083?\u1077?\u1085? \u1082?\u1086?\u1084?\u1080?\u1090?\u1077?\u1090? \u1085?\u1072? \u1058?\u1088?\u1072?\u1085?\u1089?\u1087?\u1086?\u1088?\u1090?\u1085?\u1072?\u1090?\u1072? \u1086?\u1073?\u1097?\u1085?\u1086?\u1089?\u1090? _x000b_\u1087?\u1086? \u1086?\u1090?\u1085?\u1086?\u1096?\u1077?\u1085?\u1080?\u1077? \u1085?\u1072? \u1085?\u1103?\u1082?\u1086?\u1080? \u1073?\u1102?\u1076?\u1078?\u1077?\u1090?\u1085?\u1080? \u1080? \u1082?\u1072?\u1076?\u1088?\u1086?\u1074?\u1080? \u1074?\u1098?\u1087?\u1088?\u1086?\u1089?\u1080? \u1074?\u1098?\u1074? \u1074?\u1088?\u1098?\u1079?\u1082?\u1072? \u1089? \u1080?\u1079?\u1087?\u1098?\u1083?\u1085?\u1077?\u1085?\u1080?\u1077?\u1090?\u1086? \u1085?\u1072? \u1044?\u1086?\u1075?\u1086?\u1074?\u1086?\u1088?\u1072? \u1079?\u1072? \u1089?\u1098?\u1079?\u1076?\u1072?\u1074?\u1072?\u1085?\u1077? \u1085?\u1072? \u1058?\u1088?\u1072?\u1085?\u1089?\u1087?\u1086?\u1088?\u1090?\u1085?\u1072?\u1090?\u1072? \u1086?\u1073?\u1097?\u1085?\u1086?\u1089?\u1090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_x000b_\u1074? \u1056?\u1077?\u1075?\u1080?\u1086?\u1085?\u1072?\u1083?\u1085?\u1080?\u1103? \u1091?\u1087?\u1088?\u1072?\u1074?\u1080?\u1090?\u1077?\u1083?\u1077?\u1085? \u1082?\u1086?\u1084?\u1080?\u1090?\u1077?\u1090? \u1085?\u1072? \u1058?\u1088?\u1072?\u1085?\u1089?\u1087?\u1086?\u1088?\u1090?\u1085?\u1072?\u1090?\u1072? \u1086?\u1073?\u1097?\u1085?\u1086?\u1089?\u1090? _x000b_\u1087?\u1086? \u1086?\u1090?\u1085?\u1086?\u1096?\u1077?\u1085?\u1080?\u1077? \u1085?\u1072? \u1085?\u1103?\u1082?\u1086?\u1080? \u1073?\u1102?\u1076?\u1078?\u1077?\u1090?\u1085?\u1080? \u1080? \u1082?\u1072?\u1076?\u1088?\u1086?\u1074?\u1080? \u1074?\u1098?\u1087?\u1088?\u1086?\u1089?\u1080? \u1074?\u1098?\u1074? \u1074?\u1088?\u1098?\u1079?\u1082?\u1072? \u1089? \u1080?\u1079?\u1087?\u1098?\u1083?\u1085?\u1077?\u1085?\u1080?\u1077?\u1090?\u1086? \u1085?\u1072? \u1044?\u1086?\u1075?\u1086?\u1074?\u1086?\u1088?\u1072? \u1079?\u1072? \u1089?\u1098?\u1079?\u1076?\u1072?\u1074?\u1072?\u1085?\u1077? \u1085?\u1072? \u1058?\u1088?\u1072?\u1085?\u1089?\u1087?\u1086?\u1088?\u1090?\u1085?\u1072?\u1090?\u1072? \u1086?\u1073?\u1097?\u1085?\u1086?\u1089?\u1090?"/>
    <w:docVar w:name="LW_PART_NBR" w:val="1"/>
    <w:docVar w:name="LW_PART_NBR_TOTAL" w:val="1"/>
    <w:docVar w:name="LW_REF.INST.NEW" w:val="COM"/>
    <w:docVar w:name="LW_REF.INST.NEW_ADOPTED" w:val="final"/>
    <w:docVar w:name="LW_REF.INST.NEW_TEXT" w:val="(2018) 79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table" w:customStyle="1" w:styleId="TableGrid1">
    <w:name w:val="Table Grid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table" w:customStyle="1" w:styleId="TableGrid1">
    <w:name w:val="Table Grid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683F-BDE2-439A-9870-55C72547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264</Words>
  <Characters>1430</Characters>
  <Application>Microsoft Office Word</Application>
  <DocSecurity>0</DocSecurity>
  <Lines>59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BECUE Estelle (MOVE)</dc:creator>
  <cp:lastModifiedBy>DIGIT/C6</cp:lastModifiedBy>
  <cp:revision>8</cp:revision>
  <cp:lastPrinted>2018-10-22T12:06:00Z</cp:lastPrinted>
  <dcterms:created xsi:type="dcterms:W3CDTF">2018-12-12T10:02:00Z</dcterms:created>
  <dcterms:modified xsi:type="dcterms:W3CDTF">2018-12-13T09:59:00Z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