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AA545EE4-923C-422E-9177-045C31D6465B" style="width:450.75pt;height:379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ПРЕДМЕТ НА ПРЕДЛОЖЕНИЕТО</w:t>
      </w:r>
    </w:p>
    <w:p>
      <w:pPr>
        <w:rPr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да бъде заета от името на Европейския съюз в Регионалния управителен комитет, създаден съгласно Договора за създаване на Транспортната общност (наричан по-нататък „ДТО“), по отношение на предвидените решения по някои бюджетни и кадрови въпроси, свързани с изпълнението на ДТО, във връзка със започването на работата на Постояния секретариат на Транспортната общност.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noProof/>
        </w:rPr>
      </w:pPr>
      <w:r>
        <w:rPr>
          <w:noProof/>
          <w:color w:val="000000"/>
          <w:u w:color="000000"/>
          <w:bdr w:val="nil"/>
        </w:rPr>
        <w:t>2.1</w:t>
      </w:r>
      <w:r>
        <w:rPr>
          <w:noProof/>
        </w:rPr>
        <w:tab/>
        <w:t>Договор за създаване на Транспортната общност</w:t>
      </w:r>
    </w:p>
    <w:p>
      <w:pPr>
        <w:rPr>
          <w:bCs/>
          <w:noProof/>
          <w:szCs w:val="24"/>
        </w:rPr>
      </w:pPr>
      <w:r>
        <w:rPr>
          <w:noProof/>
        </w:rPr>
        <w:t xml:space="preserve"> След подписването ДТО се прилага временно в съответствие с член 41, параграф 3 от него. До 25 октомври 2018 г. Албания, Босна и Херцеговина, бившата югославска република Македония, Косово (наричано по-нататък Косово), Черна гора и Сърбия ратифицираха ДТО. За Съюза временното прилагане е предвидено в Решението на Съвета относно подписване, от името на Европейския съюз, и временно прилагане на Договора за създаване на Транспортната общност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rPr>
          <w:bCs/>
          <w:noProof/>
          <w:szCs w:val="24"/>
        </w:rPr>
      </w:pPr>
      <w:r>
        <w:rPr>
          <w:noProof/>
        </w:rPr>
        <w:footnoteReference w:customMarkFollows="1" w:id="2"/>
        <w:t xml:space="preserve">Европейският съюз е страна по ДТО.  </w:t>
      </w:r>
    </w:p>
    <w:p>
      <w:pPr>
        <w:pStyle w:val="ManualHeading2"/>
        <w:rPr>
          <w:noProof/>
        </w:rPr>
      </w:pPr>
      <w:r>
        <w:rPr>
          <w:noProof/>
          <w:color w:val="000000"/>
          <w:u w:color="000000"/>
          <w:bdr w:val="nil"/>
        </w:rPr>
        <w:t>2.2</w:t>
      </w:r>
      <w:r>
        <w:rPr>
          <w:noProof/>
        </w:rPr>
        <w:tab/>
        <w:t>Регионален управителен комитет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Регионалният управителен комитет е създаден с член 24 от ДТО, като предназначението му е да отговаря за администрирането на ДТО и да осигурява правилното му прилагане. За тази цел той дава препоръки и взема решения в случаите, предвидени в ДТО. По-конкретно, Регионалният управителен комитет: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а) подготвя работата на Съвета на министрите,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б) взема решения относно създаването на техническите комитети,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в) дава препоръки и взема решения в съответствие с ДТО,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г) взема съответни мерки по отношение на новоприетите актове на ЕС, по-специално чрез преразглеждане на приложение I към ДТО,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д) назначава директора на Постоянния секретариат след консултация със Съвета на министрите,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е) може да назначи един или повече заместник-директори на Постоянния секретариат,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lastRenderedPageBreak/>
        <w:t>ж) определя правилата на Постоянния секретариат,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з) може да преразгледа, посредством решение, размера на бюджетните вноски,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и) приема годишния бюджет на ДТО,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й) приема решение, с което се определят процедурите за изпълнение на бюджета, представяне и одит на сметки и инспекция,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к) взема решения по спорове, представени от страните по Договора за Транспортната общност,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л) приема общи принципи в областта на достъпа до документи по отношение на документи, намиращи се в разположение на органи, които са създадени от, или съгласно ДТО,</w:t>
      </w:r>
    </w:p>
    <w:p>
      <w:pPr>
        <w:rPr>
          <w:noProof/>
        </w:rPr>
      </w:pPr>
      <w:r>
        <w:rPr>
          <w:noProof/>
        </w:rPr>
        <w:t>м) приема годишни доклади на вниманието на Съвета на министрите относно изграждането на широкообхватната мрежа;</w:t>
      </w:r>
    </w:p>
    <w:p>
      <w:pPr>
        <w:rPr>
          <w:noProof/>
        </w:rPr>
      </w:pPr>
      <w:r>
        <w:rPr>
          <w:noProof/>
        </w:rPr>
        <w:t xml:space="preserve"> н) по отношение на някои актове на Съюза — установява сроковете и начините за транспониране от договарящите страни от Югоизточна Европа.</w:t>
      </w:r>
    </w:p>
    <w:p>
      <w:pPr>
        <w:rPr>
          <w:noProof/>
        </w:rPr>
      </w:pPr>
      <w:r>
        <w:rPr>
          <w:noProof/>
        </w:rPr>
        <w:t>Регионалният управителен комитет се състои от един представител и един негов заместник на всяка от договарящите страни. Правото на участие като наблюдател се предоставя на всички държави — членки на ЕС. Регионалният управителен комитет взема решение с единодушие.</w:t>
      </w:r>
    </w:p>
    <w:p>
      <w:pPr>
        <w:pStyle w:val="ManualHeading2"/>
        <w:rPr>
          <w:noProof/>
        </w:rPr>
      </w:pPr>
      <w:r>
        <w:rPr>
          <w:noProof/>
          <w:color w:val="000000"/>
          <w:u w:color="000000"/>
          <w:bdr w:val="nil"/>
        </w:rPr>
        <w:t>2.3</w:t>
      </w:r>
      <w:r>
        <w:rPr>
          <w:noProof/>
        </w:rPr>
        <w:tab/>
        <w:t>Предвидени актове от Регионалния управителен комитет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Cs w:val="24"/>
        </w:rPr>
      </w:pPr>
      <w:r>
        <w:rPr>
          <w:noProof/>
        </w:rPr>
        <w:t xml:space="preserve">Проектът за решение на Съвета се отнася до приемането на решения от Регионалния управителен комитет по някои бюджетни и кадрови въпроси във връзка с изпълнието на ДТО и имащи отношение към започването на работата на Постоянния секретариат.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Предвижданите решения ще станат правно обвързващи за страните по силата на член 24, параграф 1 в комбинация с членове 30 и 35 от ДТО.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b/>
          <w:noProof/>
        </w:rPr>
      </w:pPr>
      <w:r>
        <w:rPr>
          <w:b/>
          <w:noProof/>
        </w:rPr>
        <w:t>Бюджет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Вноската към бюджета на Транспортната общност е определена в приложение V към ДТО. Делът на Съюза възлиза на 80 % от бюджета, а останалите 20 % се предоставят от договарящите страни от Западните Балкани.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ЕС е заделил финансиране за подпомагане на Постоянния секретариат на Транспортната общност с помощта на две решения — през 2017 г. за сума в размер на </w:t>
      </w:r>
      <w:r>
        <w:rPr>
          <w:b/>
          <w:noProof/>
        </w:rPr>
        <w:t>1,0 млн. евро</w:t>
      </w:r>
      <w:r>
        <w:rPr>
          <w:noProof/>
        </w:rPr>
        <w:t xml:space="preserve"> (Решение C(2017) 5343 final от 27.7.2017 г. за приемане на Многонационална програма за действие за 2017 г.) и през 2018 г. за сума в размер на </w:t>
      </w:r>
      <w:r>
        <w:rPr>
          <w:b/>
          <w:noProof/>
        </w:rPr>
        <w:t>2,0 млн. евро</w:t>
      </w:r>
      <w:r>
        <w:rPr>
          <w:noProof/>
        </w:rPr>
        <w:t xml:space="preserve"> (Решение C(2018) 5074 final от 31.7.2018 г. за приемане на Многонационална програма за действие за 2018 г.). Размерът на финансирането, предоставено от Съюза възлиза на </w:t>
      </w:r>
      <w:r>
        <w:rPr>
          <w:b/>
          <w:noProof/>
        </w:rPr>
        <w:t>3,0 млн. евро</w:t>
      </w:r>
      <w:r>
        <w:rPr>
          <w:noProof/>
        </w:rPr>
        <w:t>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При липсата на назначен директор, за 2019 г. беше определен бюджет, в който се взема предвид постъпателното назначаване на персонал за Постоянния секретариат. Бюджетът следва да покрива разходите по създаването на Постоянния секретариат, както и оперативните разходи. Следва да се отбележи, че съгласно приложение I към </w:t>
      </w:r>
      <w:r>
        <w:rPr>
          <w:noProof/>
        </w:rPr>
        <w:lastRenderedPageBreak/>
        <w:t xml:space="preserve">Споразумението за седалището между Транспортната общност и Сърбия, която е приемащата държава, Сърбия трябва да предостави безплатно офиси, обзавеждане и сигурност на Постоянния секретариат. С оглед покриване на разходите за назначаване на директор и заместник-директор, както и на някои разходи, свързани със създаването на Постоянния секретариат, които не са обхванати от Споразумението за седалището с приемащата държава, е предложено изпълнението на бюджета временно да се възложи на Комисията. Проектът на решение на Регионалния управителен комитет за бюджета на Транспортната общност за 2019 г. и за оправомощаването на Комисията като бюджетен орган, е включен като приложение I към проекта на решение на Съвета.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b/>
          <w:noProof/>
        </w:rPr>
      </w:pPr>
      <w:r>
        <w:rPr>
          <w:b/>
          <w:noProof/>
        </w:rPr>
        <w:t>Правила относно назначаването, условията на работа и географския баланс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Правилата относно назначаването, условията на работа и географския баланс на персонала на Постоянния секретариат определят основните условия за назначаването на персонал, включително висшето ръководство на Постоянния секретариат (директор и заместник-директор). Те се основават на съответните правила на Секретариата на Енергийната общност и където е необходимо са изменени, като е взет под внимание опитът, придобит от него, а също и спецификите на Транспортната общност.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Проектът на решение на Регионалния управителен комитет относно правилата за назначаването, условията на работа и географския баланс е включен като приложение II към проекта на решение на Съвета.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b/>
          <w:noProof/>
        </w:rPr>
      </w:pPr>
      <w:r>
        <w:rPr>
          <w:b/>
          <w:noProof/>
        </w:rPr>
        <w:t>Правилник за персонала на Постоянния секретариат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Правилникът за персонала е изготвен, за да се осигури назначаването от Секретариата на персонал, който притежава високите стандарти на компетентност, ефективност и лоялност, изисквани от Транспортната общност. Правилникът за персонала се основава главно на правилника за персонала на Секретариата на Енергийната общност, и е изменен, където е необходимо, като се отчита опитът, придобит с него, а също и спецификите на Транспортната общност.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Проектът на решение на Регионалния управителен комитет относно Правилника за персонала на Секретариата е включен като приложение III към проекта на решение на Съвета.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b/>
          <w:noProof/>
        </w:rPr>
      </w:pPr>
      <w:r>
        <w:rPr>
          <w:b/>
          <w:noProof/>
        </w:rPr>
        <w:t>Обявления за свободна длъжност за длъжностите директор и заместник-директор на Постоянния секретариат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Директорът ше отговаря за изпълнението на бюджета на ДТО и за правилното функциониране на Постоянния секретариат. Заместник-директорът ще отговаря за финансовите и кадровите въпроси, свързани с Постоянния секретариат. Важно е да се гарантира, че кандидатите и за двете длъжности са висококвалифицирани и опитни. Изискванията са определени съответно в обявленията за свободна длъжност.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Проектите на решения на Регионалния управителен комитет относно обявленията за свободна длъжност за длъжностите директор и заместник-директор на Секретариата са включени в приложения IV и V към проекта на решение на Съвета.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Стартирането на процеса по назначаване на постоянни директор  и заместник-директор не изключва възможността — ако бъде счетено за необходимо — успоредно да се предложи назначаването на временен директор, ролята на който да се състои, преди </w:t>
      </w:r>
      <w:r>
        <w:rPr>
          <w:noProof/>
        </w:rPr>
        <w:lastRenderedPageBreak/>
        <w:t>встъпването в длъжност на постоянния директор, в осигуряването на плавен преход между SEETO, чийто мандат завършва на 31 декември 2018 г., и Транспортната общност, както и техническото създаване на Постоянния секретариат.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ПОЗИЦИЯТА, КОЯТО ТРЯБВА ДА СЕ ЗАЕМЕ ОТ ИМЕТО НА СЪЮЗА</w:t>
      </w:r>
    </w:p>
    <w:p>
      <w:pPr>
        <w:rPr>
          <w:bCs/>
          <w:noProof/>
          <w:szCs w:val="24"/>
        </w:rPr>
      </w:pPr>
      <w:r>
        <w:rPr>
          <w:noProof/>
        </w:rPr>
        <w:t>Важно е Регионалният управителен комитет да приеме решения, необходими за изпълнението на ДТО, и по-специално такива, които са необходими за започването на работата на Постоянния секретариат. Тъй като Съюзът е страна по ДТО, е необходимо да се установи позиция на Съюза.</w:t>
      </w:r>
    </w:p>
    <w:p>
      <w:pPr>
        <w:rPr>
          <w:bCs/>
          <w:noProof/>
          <w:szCs w:val="24"/>
        </w:rPr>
      </w:pPr>
      <w:r>
        <w:rPr>
          <w:noProof/>
        </w:rPr>
        <w:t xml:space="preserve">Във връзка с това трябва да се припомни, че Договорът за създаване на Транспортната общност е един от елементите, които могат да укрепят регионалното сътрудничество в Западните Балкани, както е обяснено допълнително в предложението на Комисията за решение на Съвета относно подписването на ДТО [COM(2017)324 final, подраздел „Общ контекст“].  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ПРАВНО ОСНОВАНИЕ</w:t>
      </w:r>
      <w:r>
        <w:rPr>
          <w:noProof/>
        </w:rPr>
        <w:tab/>
      </w:r>
    </w:p>
    <w:p>
      <w:pPr>
        <w:pStyle w:val="ManualHeading2"/>
        <w:rPr>
          <w:noProof/>
          <w:u w:color="000000"/>
          <w:bdr w:val="nil"/>
        </w:rPr>
      </w:pPr>
      <w:r>
        <w:rPr>
          <w:noProof/>
        </w:rPr>
        <w:t>4.1</w:t>
      </w:r>
      <w:r>
        <w:rPr>
          <w:noProof/>
        </w:rPr>
        <w:tab/>
        <w:t>Процесуалноправно основание</w:t>
      </w:r>
    </w:p>
    <w:p>
      <w:pPr>
        <w:pStyle w:val="ManualHeading3"/>
        <w:rPr>
          <w:noProof/>
        </w:rPr>
      </w:pPr>
      <w:r>
        <w:rPr>
          <w:noProof/>
        </w:rPr>
        <w:t>4.1.1 Принципи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(„ДФЕС“) се предвижда приемането на решения на Съвета за установяване на „</w:t>
      </w:r>
      <w:r>
        <w:rPr>
          <w:i/>
          <w:noProof/>
        </w:rPr>
        <w:t>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</w:t>
      </w:r>
      <w:r>
        <w:rPr>
          <w:noProof/>
        </w:rPr>
        <w:t>“.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Понятието „</w:t>
      </w:r>
      <w:r>
        <w:rPr>
          <w:i/>
          <w:noProof/>
        </w:rPr>
        <w:t>актове с правно действие</w:t>
      </w:r>
      <w:r>
        <w:rPr>
          <w:noProof/>
        </w:rPr>
        <w:t>“ включва актове с правно действие по силата на нормите на международното право, които уреждат дейността на въпросния орган. То включва също така инструменти, които нямат обвързващ характер съгласно международното право, но са „</w:t>
      </w:r>
      <w:r>
        <w:rPr>
          <w:i/>
          <w:noProof/>
        </w:rPr>
        <w:t>годни да окажат съществено въздействие върху съдържанието на приеманата от законодателя на Съюза нормативна уредба</w:t>
      </w:r>
      <w:r>
        <w:rPr>
          <w:noProof/>
        </w:rPr>
        <w:t>“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rPr>
          <w:noProof/>
        </w:rPr>
        <w:t>4.1.2 Приложение в конкретния случай</w:t>
      </w:r>
    </w:p>
    <w:p>
      <w:pPr>
        <w:rPr>
          <w:noProof/>
        </w:rPr>
      </w:pPr>
      <w:r>
        <w:rPr>
          <w:noProof/>
        </w:rPr>
        <w:t>Регионалният управителен комитет е орган, създаден по силата на споразумение, а именно ДТО.</w:t>
      </w:r>
    </w:p>
    <w:p>
      <w:pPr>
        <w:rPr>
          <w:noProof/>
        </w:rPr>
      </w:pPr>
      <w:r>
        <w:rPr>
          <w:noProof/>
        </w:rPr>
        <w:t xml:space="preserve">Актовете, които Регионалният управителен комитет има за задача да приеме, представляват актове с правно действие. Регионалният управителен комитет е оправомощен да определи правилата за функционирането на Постоянния секретариат в съответствие с член 30 от ДТО и да назначи директора и един или повече заместник-директори. Освен това, съгласно член 35 от ДТО Регионалният управителен комитет е оправомощен да приеме бюджета. По своята същност и по силата на международното право, уреждащо дейността на Регионалния управителен комитет, тези правила съдържат елементи, които засягат правната позиция на страните по ДТО, поради това и на Съюза. Следователно, за тях трябва да се приеме, че имат правно действие. </w:t>
      </w:r>
    </w:p>
    <w:p>
      <w:pPr>
        <w:rPr>
          <w:noProof/>
        </w:rPr>
      </w:pPr>
      <w:r>
        <w:rPr>
          <w:noProof/>
        </w:rPr>
        <w:lastRenderedPageBreak/>
        <w:t xml:space="preserve">По отношение на назначаването на директор и заместник-директор, предвиденото решение на Регионалния управителен комитет засега се отнася само до съответните обявления за свободна длъжност. Въпреки това, тези обявления също имат правно действие, тъй като в тях са определени критериите, които трябва да бъдат спазвани по време на процедурата по назначаване.  </w:t>
      </w:r>
    </w:p>
    <w:p>
      <w:pPr>
        <w:rPr>
          <w:noProof/>
        </w:rPr>
      </w:pPr>
      <w:r>
        <w:rPr>
          <w:noProof/>
        </w:rPr>
        <w:t>Предвидените актове не допълват, нито изменят институционалната рамка на ДТО.</w:t>
      </w:r>
    </w:p>
    <w:p>
      <w:pPr>
        <w:rPr>
          <w:rFonts w:eastAsia="Arial Unicode MS"/>
          <w:noProof/>
        </w:rPr>
      </w:pPr>
      <w:r>
        <w:rPr>
          <w:noProof/>
        </w:rPr>
        <w:t>Поради това процесуалноправното основание за предлаганото решение е член 218, параграф 9 от ДФЕС.</w:t>
      </w:r>
    </w:p>
    <w:p>
      <w:pPr>
        <w:pStyle w:val="ManualHeading2"/>
        <w:rPr>
          <w:noProof/>
          <w:u w:color="000000"/>
          <w:bdr w:val="nil"/>
        </w:rPr>
      </w:pPr>
      <w:r>
        <w:rPr>
          <w:noProof/>
        </w:rPr>
        <w:t>4.2</w:t>
      </w:r>
      <w:r>
        <w:rPr>
          <w:noProof/>
        </w:rPr>
        <w:tab/>
        <w:t>Материалноправно основание</w:t>
      </w:r>
    </w:p>
    <w:p>
      <w:pPr>
        <w:pStyle w:val="ManualHeading3"/>
        <w:rPr>
          <w:noProof/>
          <w:u w:color="000000"/>
          <w:bdr w:val="nil"/>
        </w:rPr>
      </w:pPr>
      <w:r>
        <w:rPr>
          <w:noProof/>
        </w:rPr>
        <w:t>4.2.1.</w:t>
      </w:r>
      <w:r>
        <w:rPr>
          <w:noProof/>
        </w:rPr>
        <w:tab/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по отношение на който се заема позиция от името на Съюза. Ако предвиденият акт преследва две цели или се състои от две части и ако едната от тези цели или части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това, изисквано от основната или преобладаващата цел или част.</w:t>
      </w:r>
    </w:p>
    <w:p>
      <w:pPr>
        <w:rPr>
          <w:noProof/>
        </w:rPr>
      </w:pPr>
      <w:r>
        <w:rPr>
          <w:noProof/>
        </w:rPr>
        <w:t>По отношение на даден предвиден акт, който преследва едновременно няколко цели или се състои от няколко части, които са неразривно свързани, без никоя от тях да е акцесорна по отношение на другите, материалноправното основание на решение съгласно член 218, параграф 9 от ДФЕС по изключение ще трябва да включва различните съответни правни основания.</w:t>
      </w:r>
    </w:p>
    <w:p>
      <w:pPr>
        <w:pStyle w:val="ManualHeading3"/>
        <w:rPr>
          <w:noProof/>
          <w:u w:color="000000"/>
          <w:bdr w:val="nil"/>
        </w:rPr>
      </w:pPr>
      <w:r>
        <w:rPr>
          <w:noProof/>
        </w:rPr>
        <w:t>4.2.2.</w:t>
      </w:r>
      <w:r>
        <w:rPr>
          <w:noProof/>
        </w:rPr>
        <w:tab/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Предвидените актове са необходими за правилното функциониране на ДТО. От своя страна ДТО преследва цели и съдържа части, засягащи областите на автомобилния и железопътния транспорт, както и на транспорта по вътрешните водни пътища, които са видове транспорт, обхванати от член 91 от ДФЕС, както и в областта на морския транспорт — вид транспорт, обхванат от член 100, параграф 2 от ДФЕС. Поради хоризонталния си характер, предвидените актове се отнасят до всички тези елементи. Всички те са неразривно свързани, без един от тях да е акцесорен по отношение на другите.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Поради това материалноправното основание на предложеното решение включва следните разпоредби: член 91 и член 100, параграф 2 от ДФЕС.</w:t>
      </w:r>
    </w:p>
    <w:p>
      <w:pPr>
        <w:pStyle w:val="ManualHeading2"/>
        <w:rPr>
          <w:noProof/>
        </w:rPr>
      </w:pPr>
      <w:r>
        <w:rPr>
          <w:noProof/>
        </w:rPr>
        <w:t>4.3</w:t>
      </w:r>
      <w:r>
        <w:rPr>
          <w:noProof/>
        </w:rPr>
        <w:tab/>
        <w:t>Заключение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Правното основание за предложеното решение следва да бъде член 91 и член 100, параграф 2 от ДФЕС във връзка с член 218, параграф 9 от ДФЕС.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2018/0408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относно позицията, която трябва да се заеме от името на Европейския съюз </w:t>
      </w:r>
      <w:r>
        <w:rPr>
          <w:noProof/>
        </w:rPr>
        <w:br/>
        <w:t xml:space="preserve">в Регионалния управителен комитет на Транспортната общност </w:t>
      </w:r>
      <w:r>
        <w:rPr>
          <w:noProof/>
        </w:rPr>
        <w:br/>
        <w:t>по отношение на някои бюджетни и кадрови въпроси във връзка с изпълнението на Договора за създаване на Транспортната общност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91 и член 100, параграф 2, във връзка с член 218, параграф 9 от него,</w:t>
      </w:r>
    </w:p>
    <w:p>
      <w:pPr>
        <w:spacing w:line="360" w:lineRule="auto"/>
        <w:jc w:val="left"/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spacing w:line="360" w:lineRule="auto"/>
        <w:jc w:val="left"/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Договорът за създаване на Транспортната общност („ДТО“) беше подписан от Съюза в съответствие с Решение (ЕС) 2017/1937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pStyle w:val="ManualConsidrant"/>
        <w:rPr>
          <w:bCs/>
          <w:noProof/>
          <w:szCs w:val="24"/>
          <w:vertAlign w:val="superscript"/>
        </w:rPr>
      </w:pPr>
      <w:r>
        <w:t>(2)</w:t>
      </w:r>
      <w:r>
        <w:tab/>
      </w:r>
      <w:r>
        <w:rPr>
          <w:noProof/>
        </w:rPr>
        <w:t>Съгласно член 41, параграф 3 от ДТО, ДТО се прилага временно между Европейския съюз и Република Албания, Босна и Херцеговина, бившата югославска република Македония,Косово</w:t>
      </w:r>
      <w:r>
        <w:rPr>
          <w:b/>
          <w:noProof/>
          <w:vertAlign w:val="superscript"/>
        </w:rPr>
        <w:footnoteReference w:customMarkFollows="1" w:id="5"/>
        <w:t>*</w:t>
      </w:r>
      <w:r>
        <w:rPr>
          <w:noProof/>
        </w:rPr>
        <w:t>, Черна гора и Република Сърбия, считано от 9 октомври 2017 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Ролята на Регионалния управителен комитет на Транспортната общност („Управителният комитет“) е да приема решения по определени бюджетни и кадрови въпроси, за да се гарантира, че ДТО се изпълнява.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Целесъобразно е да се установи позицията, която да се заеме от името на Съюза в рамките на Управителния комитет, тъй като тези решения са необходими за започването на работата на Постоянния секретариат на Транспортната общност и ще имат правно действие по отношение на Съюза.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Целта на оправомощаването на Комисията да изпълнява временно бюджета на Транспортната общност не променя съществения характер на правомощията, възложени на тази институция от Договорите.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Регионалния управителен комитет на Транспортната общност, се основава на проектите на решения на Регионалния управителен комитет, приложени към настоящото решение.</w:t>
      </w:r>
    </w:p>
    <w:p>
      <w:pPr>
        <w:jc w:val="left"/>
        <w:rPr>
          <w:noProof/>
        </w:rPr>
      </w:pPr>
      <w:r>
        <w:rPr>
          <w:noProof/>
        </w:rPr>
        <w:lastRenderedPageBreak/>
        <w:t>Представителите на Съюза в Регионалния управителен комитет могат да договарят незначителни промени в проектите на решения, без да е необходимо допълнително решение на Съвета.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spacing w:line="360" w:lineRule="auto"/>
        <w:jc w:val="left"/>
        <w:rPr>
          <w:noProof/>
        </w:rPr>
      </w:pPr>
      <w:r>
        <w:rPr>
          <w:noProof/>
          <w:color w:val="000000"/>
        </w:rPr>
        <w:t>Адресат</w:t>
      </w:r>
      <w:r>
        <w:rPr>
          <w:noProof/>
        </w:rPr>
        <w:t xml:space="preserve">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278, 27.10.2017 г., стр. 1.</w:t>
      </w:r>
    </w:p>
    <w:p>
      <w:pPr>
        <w:pStyle w:val="FootnoteText"/>
      </w:pPr>
    </w:p>
    <w:p/>
    <w:p>
      <w:pPr>
        <w:ind w:left="720" w:hanging="720"/>
        <w:rPr>
          <w:sz w:val="20"/>
          <w:szCs w:val="20"/>
        </w:rPr>
      </w:pPr>
      <w:r>
        <w:rPr>
          <w:sz w:val="20"/>
        </w:rPr>
        <w:t>*</w:t>
      </w:r>
      <w:r>
        <w:tab/>
      </w:r>
      <w:r>
        <w:rPr>
          <w:sz w:val="20"/>
        </w:rPr>
        <w:t>Това название не засяга позициите по отношение на статута и е съобразено с Резолюция 1244 (1999) на Съвета за сигурност на ООН и становището на Международния съд относно обявяването на независимост от страна на Косово.</w:t>
      </w:r>
    </w:p>
  </w:footnote>
  <w:footnote w:id="2">
    <w:p/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ЕС от 7 октомври 2014 г., Германия/Съвет, C-399/12, ECLI:EU:C:2014:2258, т. 61—64. 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2017/1937 на Съвета от 11 юли 2017 г. за подписване, от името на Европейския съюз, и временно прилагане на Договора за създаване на Транспортната общност (ОВ L 278, 27.10.2017 г., стр. 1).</w:t>
      </w:r>
    </w:p>
  </w:footnote>
  <w:footnote w:id="5">
    <w:p>
      <w:pPr>
        <w:pStyle w:val="FootnoteText"/>
        <w:rPr>
          <w:szCs w:val="24"/>
          <w:lang w:val="et-EE"/>
        </w:rPr>
      </w:pPr>
      <w:r>
        <w:rPr>
          <w:rStyle w:val="FootnoteReference"/>
        </w:rPr>
        <w:t>*</w:t>
      </w:r>
      <w:r>
        <w:t>Това название не засяга позициите по отношение на статута и е съобразено с Резолюция 1244/1999 на Съвета за сигурност на ООН и становището на Международния съд относно обявяването на независимост от страна на Косово.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2A84C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0B486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4C21D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2A6F6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986EF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6A4AA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D8E7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54C8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8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2-13 10:57:1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2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AA545EE4-923C-422E-9177-045C31D6465B"/>
    <w:docVar w:name="LW_COVERPAGE_TYPE" w:val="1"/>
    <w:docVar w:name="LW_CROSSREFERENCE" w:val="&lt;UNUSED&gt;"/>
    <w:docVar w:name="LW_DocType" w:val="COM"/>
    <w:docVar w:name="LW_EMISSION" w:val="3.12.2018"/>
    <w:docVar w:name="LW_EMISSION_ISODATE" w:val="2018-12-03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408"/>
    <w:docVar w:name="LW_REF.II.NEW.CP_YEAR" w:val="2018"/>
    <w:docVar w:name="LW_REF.INST.NEW" w:val="COM"/>
    <w:docVar w:name="LW_REF.INST.NEW_ADOPTED" w:val="final"/>
    <w:docVar w:name="LW_REF.INST.NEW_TEXT" w:val="(2018) 79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_x000b_\u1074? \u1056?\u1077?\u1075?\u1080?\u1086?\u1085?\u1072?\u1083?\u1085?\u1080?\u1103? \u1091?\u1087?\u1088?\u1072?\u1074?\u1080?\u1090?\u1077?\u1083?\u1077?\u1085? \u1082?\u1086?\u1084?\u1080?\u1090?\u1077?\u1090? \u1085?\u1072? \u1058?\u1088?\u1072?\u1085?\u1089?\u1087?\u1086?\u1088?\u1090?\u1085?\u1072?\u1090?\u1072? \u1086?\u1073?\u1097?\u1085?\u1086?\u1089?\u1090? _x000b_\u1087?\u1086? \u1086?\u1090?\u1085?\u1086?\u1096?\u1077?\u1085?\u1080?\u1077? \u1085?\u1072? \u1085?\u1103?\u1082?\u1086?\u1080? \u1073?\u1102?\u1076?\u1078?\u1077?\u1090?\u1085?\u1080? \u1080? \u1082?\u1072?\u1076?\u1088?\u1086?\u1074?\u1080? \u1074?\u1098?\u1087?\u1088?\u1086?\u1089?\u1080? \u1074?\u1098?\u1074? \u1074?\u1088?\u1098?\u1079?\u1082?\u1072? \u1089? \u1080?\u1079?\u1087?\u1098?\u1083?\u1085?\u1077?\u1085?\u1080?\u1077?\u1090?\u1086? \u1085?\u1072? \u1044?\u1086?\u1075?\u1086?\u1074?\u1086?\u1088?\u1072? \u1079?\u1072? \u1089?\u1098?\u1079?\u1076?\u1072?\u1074?\u1072?\u1085?\u1077? \u1085?\u1072? \u1058?\u1088?\u1072?\u1085?\u1089?\u1087?\u1086?\u1088?\u1090?\u1085?\u1072?\u1090?\u1072? \u1086?\u1073?\u1097?\u1085?\u1086?\u1089?\u109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8</Pages>
  <Words>2144</Words>
  <Characters>12459</Characters>
  <Application>Microsoft Office Word</Application>
  <DocSecurity>0</DocSecurity>
  <Lines>235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18</cp:revision>
  <dcterms:created xsi:type="dcterms:W3CDTF">2018-12-12T09:58:00Z</dcterms:created>
  <dcterms:modified xsi:type="dcterms:W3CDTF">2018-12-13T09:57:00Z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