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971694-58DE-40CC-A03B-96C0C0C5A1C1" style="width:450.75pt;height:486.7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Оценка на въздействието относно предложението за задължително предаване и обмен на данни за плащания във връзка с ДДС</w:t>
            </w:r>
          </w:p>
          <w:p>
            <w:pPr>
              <w:spacing w:before="120" w:after="120"/>
              <w:jc w:val="both"/>
              <w:rPr>
                <w:rFonts w:ascii="Tahoma" w:hAnsi="Tahoma" w:cs="Tahoma"/>
                <w:b/>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В какво се състои проблемът?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Проблем са измамите с ДДС при електронната търговия. Загубите на приходи от ДДС при презгранични доставки на стоки от предприятия за потребители в целия ЕС се оценяват на около 5 млрд. евро годишно. Не съществуват общоевропейски оценки на измамите, свързани с ДДС, при презгранични доставки на услуги от предприятия за потребители, а само отраслови документирани доказателства относно услугите за радио- и телевизионно излъчване и онлайн игрите. Без намесата на ЕС тези загуби вероятно ще се увеличават с разрастването на електронната търговия. Измамите с ДДС при електронната търговия създават сериозни трудности за данъчните администрации на държавите членки, тъй като те разполагат с твърде малко информация, за да идентифицират предприятията, извършващи дейности онлайн, особено когато са установени в друга държава; необходимата информация за оценка на задълженията по ДДС се държи от трети страни (например доставчици на платежни услуги), които често са установени в друга юрисдикция; данъчните администрации не разполагат с необходимия административен капацитет за управлението и обмена помежду си на огромния обем информация, необходима за контрола и борбата с измамите с ДДС при електронната търговия. Измамите с ДДС при електронната търговия оказват неблагоприятно влияние върху бюджетите на държавите членки и на ЕС, върху спазващите закона предприятия в ЕС, които страдат от нелоялната конкуренция, както и върху гражданите на ЕС заради намаляването на ресурсите, които могат да бъдат инвестирани в публични услуги.</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Общите цели на инициативата са да се намалят загубите от ДДС за държавите членки, като по този начин се допринася за фискална консолидация в рамките на ЕС и за създаването на условия на равнопоставеност за спазващите закона предприятия в ЕС, които страдат от нелоялната конкуренция от страна на извършващите измами субекти. Конкретната цел е да се намалят измамите с ДДС при електронната търговия чрез предоставяне на данъчните органи на ефикасни и ефективни инструменти за откриване на предприятия, които не спазват правилата.</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Държавите членки сами по себе си не разполагат със средства за борба с измамите с ДДС при електронната търговия, които по принцип са презгранични по своя характер. Правилата на ЕС за административното сътрудничество в областта на ДДС са определени в Регламент (ЕС) № 904/2010 на Съвета относно административното сътрудничество и борбата с измамите в областта на ДДС, таке че по-нататъшните инициативи в тази област следва да са съобразени със същия регламент.</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В рамките на изходния сценарий (вариант 1) данъчните органи на държавите членки се придържат към различни подходи за борба с измамите с ДДС при електронната търговия и само някои от тях събират данни от онлайн посредници.</w:t>
            </w:r>
          </w:p>
          <w:p>
            <w:pPr>
              <w:jc w:val="both"/>
              <w:rPr>
                <w:rFonts w:ascii="Arial" w:hAnsi="Arial" w:cs="Arial"/>
                <w:noProof/>
                <w:sz w:val="20"/>
                <w:szCs w:val="20"/>
              </w:rPr>
            </w:pPr>
            <w:r>
              <w:rPr>
                <w:rFonts w:ascii="Arial" w:hAnsi="Arial"/>
                <w:noProof/>
                <w:sz w:val="20"/>
              </w:rPr>
              <w:t>При нерегулаторния сценарий (вариант 2) Европейската комисия помага на данъчните органи да развият административния си капацитет за борба с измамите с ДДС при електронната търговия и публикува насоки за засилване на сътрудничеството между данъчните органи и посредниците при плащания.</w:t>
            </w:r>
          </w:p>
          <w:p>
            <w:pPr>
              <w:jc w:val="both"/>
              <w:rPr>
                <w:rFonts w:ascii="Arial" w:hAnsi="Arial" w:cs="Arial"/>
                <w:noProof/>
                <w:sz w:val="20"/>
                <w:szCs w:val="20"/>
              </w:rPr>
            </w:pPr>
            <w:r>
              <w:rPr>
                <w:rFonts w:ascii="Arial" w:hAnsi="Arial"/>
                <w:noProof/>
                <w:sz w:val="20"/>
              </w:rPr>
              <w:t>Регулаторният сценарий (вариант 3) включва изменения на нормативната уредба на ЕС, според които доставчиците на платежни услуги следва да предават определени данни за плащанията на данъчните органи, а данъчните органи следва да: 1) събират данни за плащанията и извършват анализ на риска с цел откриване на доставчици от разстояние, които не спазват задълженията по ДДС, и 2) обменят или споделя тези данни с данъчните органи на другите държави членки. В рамките на регулаторния сценарий се предвиждат различни технически решения, които да позволят на данъчните органи да обменят или споделят съответните данни за плащания. Едно от решенията предполага автоматичен достъп до базите данни на другите държави членки, докато останалите три решения предвиждат централен регистър на данни за плащанията на равнището на ЕС, достъпен за служители на държавите членки, ангажирани с борбата с измамите. Предпочетеният вариант е регулаторно решение с централен регистър на ЕС.</w:t>
            </w:r>
          </w:p>
          <w:p>
            <w:pPr>
              <w:spacing w:before="60"/>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 xml:space="preserve">Данъчните органи (18 от 23 респонденти) подкрепят регулаторен вариант, и по-специално централния регистър. Доставчиците на платежни услуги (3 от общо 3) подкрепят регулаторния вариант. </w:t>
            </w:r>
          </w:p>
          <w:p>
            <w:pPr>
              <w:jc w:val="both"/>
              <w:rPr>
                <w:rFonts w:ascii="Arial" w:hAnsi="Arial" w:cs="Arial"/>
                <w:noProof/>
                <w:sz w:val="20"/>
                <w:szCs w:val="20"/>
              </w:rPr>
            </w:pPr>
            <w:r>
              <w:rPr>
                <w:rFonts w:ascii="Arial" w:hAnsi="Arial"/>
                <w:noProof/>
                <w:sz w:val="20"/>
              </w:rPr>
              <w:t>Респондентите на откритата обществена консултация (38 от общо 52) подкрепят регулаторния вариант.</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Борбата срещу измамите с ДДС при електронната търговия ще донесе ползи за бюджетите на ЕС и на държавите членки благодарение на по-високите приходи от ДДС. По-високите приходи от ДДС също носят ползи и за гражданите на ЕС, тъй като допълнителните публични приходи могат да бъдат инвестирани в публични услуги. Спазващите закона европейски предприятия ще се възползват от по-равнопоставените условия на конкуренция. За съжаление консултациите с основните заинтересовани страни не доведоха до необходимите количествени доказателства.</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Доставчиците на платежни услуги ще трябва да се справят с административните тежести и с разходите по докладването на данни за плащанията на данъчните органи. Всяка данъчна администрация ще има еднократни разходи в размер на 7,5 млн. евро и текущи разходи от 2,9 млн. евро годишно. Европейската комисия ще трябва да направи еднократни разходи в размер на 11,8 млн. евро и да посреща текущи разходи от 4,5 млн. евро годишно. </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noProof/>
                <w:sz w:val="20"/>
              </w:rPr>
              <w:t>Хармонизирането на изискванията за докладване ще окаже положително въздействие върху МСП, предоставящи платежни услуги, които при липсата на хармонизация ще трябва да се съобразяват с различни процедури и правила за докладване пред данъчните органи в държавите членки. И накрая, МСП, ангажирани в електронната търговия и в традиционната икономика, ще се възползват от по-равнопоставените условия на конкуренция, тъй като данъчните органи на държавите членки ще бъдат в състояние да откриват извършителите на измами с ДДС при електронната търговия.</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 върху националните бюджети и администрации?</w:t>
            </w:r>
          </w:p>
        </w:tc>
      </w:tr>
      <w:tr>
        <w:tc>
          <w:tcPr>
            <w:tcW w:w="10188" w:type="dxa"/>
            <w:shd w:val="clear" w:color="auto" w:fill="auto"/>
          </w:tcPr>
          <w:p>
            <w:pPr>
              <w:jc w:val="both"/>
              <w:rPr>
                <w:rFonts w:ascii="Arial" w:hAnsi="Arial" w:cs="Arial"/>
                <w:noProof/>
                <w:sz w:val="20"/>
                <w:szCs w:val="20"/>
              </w:rPr>
            </w:pPr>
            <w:r>
              <w:rPr>
                <w:rFonts w:ascii="Arial" w:hAnsi="Arial"/>
                <w:noProof/>
                <w:sz w:val="20"/>
              </w:rPr>
              <w:t>Данните за плащанията ще дадат възможност на данъчните органи да събират допълнителен ДДС в резултат от борбата с измамите с ДДС при електронната търговия. Това положително въздействие за националните бюджети се очаква да се усети в краткосрочен план.</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друго значително въздействие?</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Личните данни ще се обработват до известна степен от националните органи с цел борба срещу измамите с ДДС при електронната търговия в съответствие с Общия регламент относно защитата на данните. </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Комисията ще продължи да следи отблизо прилагането на новата система за обмен на данни за плащанията чрез годишния доклад на Eurofisc и годишните статистически данни за обмена на информация, предоставени от държавите членки. Пет години след влизането ѝ в сила Комисията ще представи доклад до Европейския парламент и до Съвета относно прилагането на системата. </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466E5"/>
    <w:multiLevelType w:val="hybridMultilevel"/>
    <w:tmpl w:val="7E4E12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13971694-58DE-40CC-A03B-96C0C0C5A1C1"/>
    <w:docVar w:name="LW_COVERPAGE_TYPE" w:val="1"/>
    <w:docVar w:name="LW_CROSSREFERENCE" w:val="{COM(2018) 812 final} - {COM(2018) 813 final} - {SEC(2018) 495 final} - {SWD(2018) 488 final}"/>
    <w:docVar w:name="LW_DocType" w:val="NORMAL"/>
    <w:docVar w:name="LW_EMISSION" w:val="12.12.2018"/>
    <w:docVar w:name="LW_EMISSION_ISODATE" w:val="2018-12-12"/>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4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80?\u1088?\u1077?\u1082?\u1090?\u1080?\u1074?\u1072? \u1085?\u1072? \u1057?\u1098?\u1074?\u1077?\u1090?\u1072?_x000b_\u1079?\u1072? \u1080?\u1079?\u1084?\u1077?\u1085?\u1077?\u1085?\u1080?\u1077? \u1085?\u1072? \u1044?\u1080?\u1088?\u1077?\u1082?\u1090?\u1080?\u1074?\u1072? 2006/112/\u1045?\u1054? \u1087?\u1086? \u1086?\u1090?\u1085?\u1086?\u1096?\u1077?\u1085?\u1080?\u1077? \u1085?\u1072? \u1074?\u1098?\u1074?\u1077?\u1078?\u1076?\u1072?\u1085?\u1077?\u1090?\u1086? \u1085?\u1072? \u1086?\u1087?\u1088?\u1077?\u1076?\u1077?\u1083?\u1077?\u1085?\u1080? \u1080?\u1079?\u1080?\u1089?\u1082?\u1074?\u1072?\u1085?\u1080?\u1103? \u1079?\u1072? \u1076?\u1086?\u1089?\u1090?\u1072?\u1074?\u1095?\u1080?\u1094?\u1080?\u1090?\u1077? \u1085?\u1072? \u1087?\u1083?\u1072?\u1090?\u1077?\u1078?\u1085?\u1080? \u1091?\u1089?\u1083?\u1091?\u1075?\u1080?_x000b__x000b_\u1080?_x000b__x000b_\u1055?\u1088?\u1077?\u1076?\u1083?\u1086?\u1078?\u1077?\u1085?\u1080?\u1077? \u1079?\u1072? \u1056?\u1077?\u1075?\u1083?\u1072?\u1084?\u1077?\u1085?\u1090? \u1085?\u1072? \u1057?\u1098?\u1074?\u1077?\u1090?\u1072?_x000b_\u1079?\u1072? \u1080?\u1079?\u1084?\u1077?\u1085?\u1077?\u1085?\u1080?\u1077? \u1085?\u1072? \u1056?\u1077?\u1075?\u1083?\u1072?\u1084?\u1077?\u1085?\u1090? (\u1045?\u1057?) \u8470? 904/2010 \u1087?\u1086? \u1086?\u1090?\u1085?\u1086?\u1096?\u1077?\u1085?\u1080?\u1077? \u1085?\u1072? \u1084?\u1077?\u1088?\u1082?\u1080? \u1079?\u1072? \u1079?\u1072?\u1089?\u1080?\u1083?\u1074?\u1072?\u1085?\u1077? \u1085?\u1072? \u1072?\u1076?\u1084?\u1080?\u1085?\u1080?\u1089?\u1090?\u1088?\u1072?\u1090?\u1080?\u1074?\u1085?\u1086?\u1090?\u1086? \u1089?\u1098?\u1090?\u1088?\u1091?\u1076?\u1085?\u1080?\u1095?\u1077?\u1089?\u1090?\u1074?\u1086? \u1089? \u1094?\u1077?\u1083? \u1073?\u1086?\u1088?\u1073?\u1072? \u1089? \u1080?\u1079?\u1084?\u1072?\u1084?\u1080?\u1090?\u1077? \u1089? \u1044?\u1044?\u1057?_x000b_"/>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228E3-FEEC-429F-8C93-CFCC37DE565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1113</Words>
  <Characters>6489</Characters>
  <Application>Microsoft Office Word</Application>
  <DocSecurity>0</DocSecurity>
  <Lines>109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2018-10-31T08:36:00Z</dcterms:created>
  <dcterms:modified xsi:type="dcterms:W3CDTF">2018-12-11T15:18:00Z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Last edited using">
    <vt:lpwstr>LW 6.0.1, Build 20180503</vt:lpwstr>
  </property>
  <property fmtid="{D5CDD505-2E9C-101B-9397-08002B2CF9AE}" pid="13" name="Created using">
    <vt:lpwstr>LW 6.0.1, Build 20180503</vt:lpwstr>
  </property>
</Properties>
</file>