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0C93D5-E710-4A41-953D-2603AA085AD1"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Регламент (ЕС) № 603/2013</w:t>
      </w:r>
      <w:r>
        <w:rPr>
          <w:rStyle w:val="FootnoteReference"/>
          <w:noProof/>
        </w:rPr>
        <w:footnoteReference w:id="1"/>
      </w:r>
      <w:r>
        <w:rPr>
          <w:noProof/>
        </w:rPr>
        <w:t>, с който се преработва Регламент № 2725/2000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беше приет и влезе в сила на 19 юли 2013 г. Регламентът се прилага от 20 юли 2015 г.</w:t>
      </w:r>
    </w:p>
    <w:p>
      <w:pPr>
        <w:rPr>
          <w:rFonts w:eastAsia="Times New Roman"/>
          <w:noProof/>
          <w:szCs w:val="24"/>
        </w:rPr>
      </w:pPr>
      <w:r>
        <w:rPr>
          <w:noProof/>
        </w:rPr>
        <w:t xml:space="preserve">Регламент (ЕС) № 603/2013 разрешава, наред с другото, правоприлагащите органи да извършват справка в Евродак с цел предотвратяване, разкриване и разследване на терористични и други тежки престъпления. С него се цели да се предостави възможност на правоприлагащите органи да искат сравняване на дактилоскопични данни с данните, съхранявани в централната база данни на Евродак, когато се опитват да установят точната самоличност на лице, което е заподозряно в тероризъм или тежко престъпление, или да получат допълнителна информация за него. </w:t>
      </w:r>
    </w:p>
    <w:p>
      <w:pPr>
        <w:rPr>
          <w:rFonts w:eastAsia="Times New Roman"/>
          <w:noProof/>
          <w:szCs w:val="24"/>
        </w:rPr>
      </w:pPr>
      <w:r>
        <w:rPr>
          <w:noProof/>
        </w:rPr>
        <w:t>На 19 януари 2001 г. беше сключено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 (наричано по-нататък „Споразумението от 19 януари 2001 г.“)</w:t>
      </w:r>
      <w:r>
        <w:rPr>
          <w:rStyle w:val="FootnoteReference"/>
          <w:noProof/>
        </w:rPr>
        <w:footnoteReference w:id="2"/>
      </w:r>
      <w:r>
        <w:rPr>
          <w:noProof/>
        </w:rPr>
        <w:t xml:space="preserve">. </w:t>
      </w:r>
    </w:p>
    <w:p>
      <w:pPr>
        <w:rPr>
          <w:rFonts w:eastAsia="Times New Roman"/>
          <w:noProof/>
          <w:szCs w:val="24"/>
        </w:rPr>
      </w:pPr>
      <w:r>
        <w:rPr>
          <w:noProof/>
        </w:rPr>
        <w:t xml:space="preserve">Исландия и Норвегия прилагат свързаните с убежището елементи от Регламент (ЕС) № 603/2013 в съответствие със Споразумението от 19 януари 2001 г. Достъпът до Евродак за целите на правоприлагането обаче попада извън обхвата на посоченото споразумение. </w:t>
      </w:r>
    </w:p>
    <w:p>
      <w:pPr>
        <w:rPr>
          <w:rFonts w:eastAsia="Times New Roman"/>
          <w:noProof/>
          <w:szCs w:val="24"/>
        </w:rPr>
      </w:pPr>
      <w:r>
        <w:rPr>
          <w:noProof/>
        </w:rPr>
        <w:t xml:space="preserve">На заседание с представители на Комисията на 14 май 2014 г. Дания, Швейцария, Лихтенщайн, Норвегия и Исландия потвърдиха, че проявяват интерес към започването на преговори с Европейския съюз с цел включването им в обхвата на свързаните с правоприлагането разпоредби на Регламент (ЕС) № 603/2013 чрез международно споразумение. </w:t>
      </w:r>
    </w:p>
    <w:p>
      <w:pPr>
        <w:rPr>
          <w:rFonts w:eastAsia="Times New Roman"/>
          <w:noProof/>
          <w:szCs w:val="24"/>
        </w:rPr>
      </w:pPr>
      <w:r>
        <w:rPr>
          <w:noProof/>
        </w:rPr>
        <w:t>На 14 декември 2015 г. Съветът упълномощи Комисията да започне преговори относно споразумение между Европейския съюз, от една страна, и, наред с другото, Исландия и Новергия, от друга страна, относно реда и условията на участието на Исландия и Норвегия в процедурата за сравняване и предаване на данни за целите на правоприлагането, предвидена в глава VI от 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p>
    <w:p>
      <w:pPr>
        <w:rPr>
          <w:rFonts w:eastAsia="Times New Roman"/>
          <w:noProof/>
          <w:szCs w:val="24"/>
        </w:rPr>
      </w:pPr>
      <w:r>
        <w:rPr>
          <w:noProof/>
        </w:rPr>
        <w:t xml:space="preserve">Преговорите бяха финализирани и беше парафирано споразумение под формата на протокол към Споразумението от 19 януари 2001 г. за разширяване на прилагането на Споразумението от 19 януари 2001 г. за целите на правоприлагането. </w:t>
      </w:r>
    </w:p>
    <w:p>
      <w:pPr>
        <w:rPr>
          <w:rFonts w:eastAsia="Times New Roman"/>
          <w:noProof/>
          <w:szCs w:val="24"/>
        </w:rPr>
      </w:pPr>
      <w:r>
        <w:rPr>
          <w:noProof/>
        </w:rPr>
        <w:t xml:space="preserve">Включването на Исландия и Норвегия в обхвата на свързаните с правоприлагането разпоредби на Регламент (ЕС) № 603/2013 ще даде възможност на правоприлагащите органи на Исландия и Норвегия да искат сравняване на дактилоскопични данни с данните, въведени от други участващи държави и съхранявани в базата данни на Евродак, когато се опитват да установят самоличността на лице, което е заподозряно в тежко престъпление или тероризъм, или да получат допълнителна информация за него или за пострадало лице. От друга страна, то ще позволи на правоприлагащите органи на всички други участващи държави, независимо дали са държави — членки на ЕС, или асоциирани държави, да искат сравняване на дактилоскопични данни с данните, въведени от Исландия и Норвегия и съхранявани в базата данни на Евродак, за същите цели. </w:t>
      </w:r>
    </w:p>
    <w:p>
      <w:pPr>
        <w:rPr>
          <w:rFonts w:eastAsia="Times New Roman"/>
          <w:noProof/>
          <w:szCs w:val="24"/>
        </w:rPr>
      </w:pPr>
      <w:r>
        <w:rPr>
          <w:noProof/>
        </w:rPr>
        <w:t>Целта на настоящия протокол е да се установят правно обвързващи права и задължения, за да се гарантира ефективното участие на Исландия и Норвегия в свързаните с правоприлагането елементи на Регламент (ЕС) № 603/2013. С Протокола се установява, че всички участващи държави, които имат достъп до Евродак, независимо дали са държави — членки на ЕС, асоциирани държави или Исландия и Норвегия, могат също така да получат достъп до данните на другите участващи държави за целите на правоприлагането.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rFonts w:eastAsia="Times New Roman"/>
          <w:noProof/>
          <w:szCs w:val="24"/>
        </w:rPr>
      </w:pPr>
      <w:r>
        <w:rPr>
          <w:noProof/>
        </w:rPr>
        <w:t>Предложението е в съответствие с политиките на ЕС относно достъпа до базата данни на Евродак.</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rPr>
          <w:rFonts w:eastAsia="Times New Roman"/>
          <w:noProof/>
          <w:szCs w:val="24"/>
        </w:rPr>
      </w:pPr>
      <w:r>
        <w:rPr>
          <w:noProof/>
        </w:rPr>
        <w:t xml:space="preserve">Предложението е в съответствие с политиките на ЕС в областта на свободата, сигурността и правосъдието.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за настоящото предложение за решение на Съвета е член 87, параграф 2, буква а) и член 88, параграф 2, буква а) от Договора за функционирането на Европейския съюз (ДФЕС) във връзка с член 218, параграф 5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Споразумението от 19 януари 2001 г. е действащо международно споразумение, сключено от ЕС и Исландия и Норвегия. В съответствие с принципа на субсидиарност, посочен в член 5 от ДФЕС, целите на протокола към посоченото споразумение могат да бъдат постигнати единствено чрез предложение на Комисията на равнището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За да се подпомогне и засили полицейското сътрудничество между компетентните органи на държавите членки и тези на Норвегия и Исландия за целите на предотвратяването, разкриването или разследването на терористични или други тежки престъпления, е необходимо ЕС да се намеси, за да могат Норвегия и Исландия да участват в свързаните с правоприлагането аспекти на Евродак. Предложението е в съответствие с принципа на пропорционалност, тъй като не надхвърля необходимото за постигане на целите за ефективно участие на Исландия и Норвегия в свързаните с правоприлагането елементи на Регламент (ЕС) № 603/2013 относно Евродак. </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По силата на член 218, параграф 5 от ДФЕС се изисква решение на Съвета за разрешаване на подписването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Във връзка със съдържанието и напредъка на преговорите бяха проведени консултации със Съвета (работна група „Убежище“). Европейският парламент (комисията LIBE) беше уведомен. </w:t>
      </w:r>
    </w:p>
    <w:p>
      <w:pPr>
        <w:pStyle w:val="ManualHeading1"/>
        <w:rPr>
          <w:noProof/>
        </w:rPr>
      </w:pPr>
      <w:r>
        <w:rPr>
          <w:noProof/>
        </w:rPr>
        <w:t>4.</w:t>
      </w:r>
      <w:r>
        <w:rPr>
          <w:noProof/>
        </w:rPr>
        <w:tab/>
        <w:t>ДРУГИ ЕЛЕМЕНТИ</w:t>
      </w:r>
    </w:p>
    <w:p>
      <w:pPr>
        <w:pStyle w:val="ManualHeading2"/>
        <w:rPr>
          <w:noProof/>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решение за разрешаване на подписването от името на Европейския съюз на Протокола между ЕС и Исландия и Норвегия. В ДФЕС е посочено, че Съветът приема предложение на Комисията за решение за упълномощаване на подписването и на сключването на международно споразумение.</w:t>
      </w:r>
    </w:p>
    <w:p>
      <w:pPr>
        <w:pBdr>
          <w:top w:val="nil"/>
          <w:left w:val="nil"/>
          <w:bottom w:val="nil"/>
          <w:right w:val="nil"/>
          <w:between w:val="nil"/>
          <w:bar w:val="nil"/>
        </w:pBdr>
        <w:spacing w:before="0" w:after="240"/>
        <w:rPr>
          <w:noProof/>
        </w:rPr>
      </w:pPr>
      <w:r>
        <w:rPr>
          <w:noProof/>
        </w:rPr>
        <w:t>С Протокола се определя прилагането на Регламент (ЕС) № 603/2013 спрямо Исландия и Норвегия във връзка с достъпа до Евродак за целите на правоприлагането. Протоколът дава възможност на определените правоприлагащи органи на другите участващи държави и Европол да искат сравняване на дактилоскопични данни с данните, предадени на централната система на Евродак от Исландия и Норвегия. Освен това той дава възможност на определените правоприлагащи органи на Исландия и Норвегия да искат сравняване на дактилоскопични данни с данните, предадени на централната система на Евродак от другите участващи държави.</w:t>
      </w:r>
    </w:p>
    <w:p>
      <w:pPr>
        <w:pBdr>
          <w:top w:val="nil"/>
          <w:left w:val="nil"/>
          <w:bottom w:val="nil"/>
          <w:right w:val="nil"/>
          <w:between w:val="nil"/>
          <w:bar w:val="nil"/>
        </w:pBdr>
        <w:spacing w:before="0" w:after="240"/>
        <w:rPr>
          <w:noProof/>
        </w:rPr>
      </w:pPr>
      <w:r>
        <w:rPr>
          <w:noProof/>
        </w:rPr>
        <w:t>С Протокола се гарантира, че към обработването на лични данни от органите на Исландия и Норвегия и държавите членки съгласно Протокола се прилага настоящото равнище на ЕС на защита на личните данни. При такова обработване на лични данни следва да се зачитат стандартите за защита на личните данни, установени 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pPr>
        <w:pBdr>
          <w:top w:val="nil"/>
          <w:left w:val="nil"/>
          <w:bottom w:val="nil"/>
          <w:right w:val="nil"/>
          <w:between w:val="nil"/>
          <w:bar w:val="nil"/>
        </w:pBdr>
        <w:spacing w:before="0" w:after="240"/>
        <w:rPr>
          <w:noProof/>
        </w:rPr>
      </w:pPr>
      <w:r>
        <w:rPr>
          <w:noProof/>
        </w:rPr>
        <w:t>Съгласно Протокола достъпът на Исландия и Норвегия до Евродак за целите на правоприлагането зависи от предварително законодателно и техническо прилагане на Решение 2008/615/ПВР във връзка с дактилоскопичните данни.</w:t>
      </w:r>
    </w:p>
    <w:p>
      <w:pPr>
        <w:pBdr>
          <w:top w:val="nil"/>
          <w:left w:val="nil"/>
          <w:bottom w:val="nil"/>
          <w:right w:val="nil"/>
          <w:between w:val="nil"/>
          <w:bar w:val="nil"/>
        </w:pBdr>
        <w:spacing w:before="0" w:after="240"/>
        <w:rPr>
          <w:noProof/>
        </w:rPr>
      </w:pPr>
      <w:r>
        <w:rPr>
          <w:noProof/>
        </w:rPr>
        <w:t>Протоколът предвижда, че предвидените в Споразумението от 19 януари 2001 г. механизми относно измененията следва да се прилагат към всички изменения относно достъпа до Евродак за целите на правоприлагането.</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протокол между Европейския съюз, Република Исландия и Кралство Норвегия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 на молба за убежище, която е подадена в държава членка или в Исландия или Норвегия, във връзка с достъпа до Евродак за целите на правоприлагането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87, параграф 2, буква а) и член 88,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декември 2015 г. Съветът упълномощи Комисията да започне преговори с Исландия и Новергия относно реда и условията на участието на Исландия и Норвегия в сравняването и предаването на данни за целите на правоприлагането, предвидена в глава VI от Регламент (ЕС) № 603/2013 на Европейския парламент и на Съвета</w:t>
      </w:r>
      <w:r>
        <w:rPr>
          <w:rStyle w:val="FootnoteReference"/>
          <w:noProof/>
        </w:rPr>
        <w:footnoteReference w:id="3"/>
      </w:r>
      <w:r>
        <w:rPr>
          <w:noProof/>
        </w:rPr>
        <w:t xml:space="preserve">. </w:t>
      </w:r>
    </w:p>
    <w:p>
      <w:pPr>
        <w:pStyle w:val="ManualConsidrant"/>
        <w:rPr>
          <w:noProof/>
        </w:rPr>
      </w:pPr>
      <w:r>
        <w:t>(2)</w:t>
      </w:r>
      <w:r>
        <w:tab/>
      </w:r>
      <w:r>
        <w:rPr>
          <w:noProof/>
        </w:rPr>
        <w:t>Преговорите приключиха и на 21 декември 2017 г. беше парафиран Протоколът към Споразумението от 19 януари 2001 г.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w:t>
      </w:r>
    </w:p>
    <w:p>
      <w:pPr>
        <w:pStyle w:val="ManualConsidrant"/>
        <w:rPr>
          <w:noProof/>
        </w:rPr>
      </w:pPr>
      <w:r>
        <w:t>(3)</w:t>
      </w:r>
      <w:r>
        <w:tab/>
      </w:r>
      <w:r>
        <w:rPr>
          <w:noProof/>
        </w:rPr>
        <w:t xml:space="preserve">Този протокол следва да бъде подписан от името на Европейския съюз, при условие че бъде сключен на по-късна дата. </w:t>
      </w:r>
    </w:p>
    <w:p>
      <w:pPr>
        <w:pStyle w:val="ManualConsidrant"/>
        <w:rPr>
          <w:noProof/>
        </w:rPr>
      </w:pPr>
      <w:r>
        <w:t>(4)</w:t>
      </w:r>
      <w:r>
        <w:tab/>
      </w:r>
      <w:r>
        <w:rPr>
          <w:noProof/>
        </w:rPr>
        <w:t xml:space="preserve">В съответствие с член 3 от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 </w:t>
      </w:r>
    </w:p>
    <w:p>
      <w:pPr>
        <w:pStyle w:val="ManualConsidrant"/>
        <w:rPr>
          <w:noProof/>
        </w:rPr>
      </w:pPr>
      <w:r>
        <w:t>(5)</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 </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Подписването на Протокола между Европейския съюз, Република Исландия и Кралство Норвегия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 на молба за убежище, която е подадена в държава членка или в Исландия или Норвегия, във връзка с достъпа до Евродак за целите на правоприлагането се одобрява от името на Европейския съюз, при условие че този протокол бъде сключен. </w:t>
      </w:r>
    </w:p>
    <w:p>
      <w:pPr>
        <w:pStyle w:val="Titrearticle"/>
        <w:keepNext w:val="0"/>
        <w:rPr>
          <w:noProof/>
        </w:rPr>
      </w:pPr>
      <w:r>
        <w:rPr>
          <w:noProof/>
        </w:rPr>
        <w:t>Член 2</w:t>
      </w:r>
    </w:p>
    <w:p>
      <w:pPr>
        <w:keepLines/>
        <w:rPr>
          <w:noProof/>
        </w:rPr>
      </w:pPr>
      <w:r>
        <w:rPr>
          <w:noProof/>
        </w:rPr>
        <w:t xml:space="preserve">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протокола. </w:t>
      </w:r>
    </w:p>
    <w:p>
      <w:pPr>
        <w:pStyle w:val="Titrearticle"/>
        <w:keepNext w:val="0"/>
        <w:rPr>
          <w:noProof/>
        </w:rPr>
      </w:pPr>
      <w:r>
        <w:rPr>
          <w:noProof/>
        </w:rPr>
        <w:t>Член 3</w:t>
      </w:r>
    </w:p>
    <w:p>
      <w:pPr>
        <w:keepLines/>
        <w:rPr>
          <w:noProof/>
        </w:rPr>
      </w:pPr>
      <w:r>
        <w:rPr>
          <w:noProof/>
        </w:rPr>
        <w:t xml:space="preserve">Настоящото решение влиза в сила на деня след деня на публикуването му в </w:t>
      </w:r>
      <w:r>
        <w:rPr>
          <w:i/>
          <w:noProof/>
        </w:rPr>
        <w:t>Официален вестник на Европейския съюз</w:t>
      </w:r>
      <w:r>
        <w:rPr>
          <w:noProof/>
        </w:rPr>
        <w:t>.</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i w:val="0"/>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(ОВ L 180, 29.6.2013 г., стр. 1). </w:t>
      </w:r>
    </w:p>
  </w:footnote>
  <w:footnote w:id="2">
    <w:p>
      <w:pPr>
        <w:pStyle w:val="FootnoteText"/>
      </w:pPr>
      <w:r>
        <w:rPr>
          <w:rStyle w:val="FootnoteReference"/>
        </w:rPr>
        <w:footnoteRef/>
      </w:r>
      <w:r>
        <w:tab/>
        <w:t>ОВ L 93, 3.4.2001 г., стр. 40.</w:t>
      </w:r>
    </w:p>
  </w:footnote>
  <w:footnote w:id="3">
    <w:p>
      <w:pPr>
        <w:pStyle w:val="FootnoteText"/>
      </w:pPr>
      <w:r>
        <w:rPr>
          <w:rStyle w:val="FootnoteReference"/>
        </w:rPr>
        <w:footnoteRef/>
      </w:r>
      <w:r>
        <w:tab/>
        <w:t>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(OВ L 180, 29.6.2013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62CE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74DC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765B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B8DC4A"/>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43: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0C93D5-E710-4A41-953D-2603AA085AD1"/>
    <w:docVar w:name="LW_COVERPAGE_TYPE" w:val="1"/>
    <w:docVar w:name="LW_CROSSREFERENCE" w:val="&lt;UNUSED&gt;"/>
    <w:docVar w:name="LW_DocType" w:val="COM"/>
    <w:docVar w:name="LW_EMISSION" w:val="13.12.2018"/>
    <w:docVar w:name="LW_EMISSION_ISODATE" w:val="2018-12-1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20"/>
    <w:docVar w:name="LW_REF.II.NEW.CP_YEAR" w:val="2018"/>
    <w:docVar w:name="LW_REF.INST.NEW" w:val="COM"/>
    <w:docVar w:name="LW_REF.INST.NEW_ADOPTED" w:val="final"/>
    <w:docVar w:name="LW_REF.INST.NEW_TEXT" w:val="(2018)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87?\u1088?\u1086?\u1090?\u1086?\u1082?\u1086?\u1083? \u1084?\u1077?\u1078?\u1076?\u1091? \u1045?\u1074?\u1088?\u1086?\u1087?\u1077?\u1081?\u1089?\u1082?\u1080?\u1103? \u1089?\u1098?\u1102?\u1079?, \u1056?\u1077?\u1087?\u1091?\u1073?\u1083?\u1080?\u1082?\u1072? \u1048?\u1089?\u1083?\u1072?\u1085?\u1076?\u1080?\u1103? \u1080? \u1050?\u1088?\u1072?\u1083?\u1089?\u1090?\u1074?\u1086? \u1053?\u1086?\u1088?\u1074?\u1077?\u1075?\u1080?\u1103? \u1082?\u1098?\u1084? \u1057?\u1087?\u1086?\u1088?\u1072?\u1079?\u1091?\u1084?\u1077?\u1085?\u1080?\u1077?\u1090?\u1086? \u1084?\u1077?\u1078?\u1076?\u1091? \u1045?\u1074?\u1088?\u1086?\u1087?\u1077?\u1081?\u1089?\u1082?\u1072?\u1090?\u1072? \u1086?\u1073?\u1097?\u1085?\u1086?\u1089?\u1090? \u1080? \u1056?\u1077?\u1087?\u1091?\u1073?\u1083?\u1080?\u1082?\u1072? \u1048?\u1089?\u1083?\u1072?\u1085?\u1076?\u1080?\u1103? \u1080? \u1050?\u1088?\u1072?\u1083?\u1089?\u1090?\u1074?\u1086? \u1053?\u1086?\u1088?\u1074?\u1077?\u1075?\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48?\u1089?\u1083?\u1072?\u1085?\u1076?\u1080?\u1103? \u1080?\u1083?\u1080? \u1053?\u1086?\u1088?\u1074?\u1077?\u1075?\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
    <w:docVar w:name="LW_TYPE.DOC.CP" w:val="\u1056?\u1045?\u1064?\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1214">
      <w:bodyDiv w:val="1"/>
      <w:marLeft w:val="0"/>
      <w:marRight w:val="0"/>
      <w:marTop w:val="0"/>
      <w:marBottom w:val="0"/>
      <w:divBdr>
        <w:top w:val="none" w:sz="0" w:space="0" w:color="auto"/>
        <w:left w:val="none" w:sz="0" w:space="0" w:color="auto"/>
        <w:bottom w:val="none" w:sz="0" w:space="0" w:color="auto"/>
        <w:right w:val="none" w:sz="0" w:space="0" w:color="auto"/>
      </w:divBdr>
    </w:div>
    <w:div w:id="8589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1BF0-046D-41E5-9E83-7737EBDF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1742</Words>
  <Characters>9985</Characters>
  <Application>Microsoft Office Word</Application>
  <DocSecurity>0</DocSecurity>
  <Lines>188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2018-10-16T17:04:00Z</cp:lastPrinted>
  <dcterms:created xsi:type="dcterms:W3CDTF">2018-12-05T15:37:00Z</dcterms:created>
  <dcterms:modified xsi:type="dcterms:W3CDTF">2018-12-07T17:43:00Z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