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32F417-51ED-40C4-823F-E3EB7DC98A05"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Regulation (EU) No. 603/2013</w:t>
      </w:r>
      <w:r>
        <w:rPr>
          <w:rStyle w:val="FootnoteReference"/>
          <w:noProof/>
        </w:rPr>
        <w:footnoteReference w:id="1"/>
      </w:r>
      <w:r>
        <w:rPr>
          <w:rFonts w:eastAsia="Times New Roman"/>
          <w:noProof/>
          <w:szCs w:val="24"/>
        </w:rPr>
        <w:t xml:space="preserve"> that recasts Regulation No 2725/2000 of 11 December 2000 concerning the establishment of ‘Eurodac’ for the comparison of fingerprints for the effective application of the Dublin Convention was adopted and entered into force on 19 July 2013. The Regulation is applicable since 20 July 2015.</w:t>
      </w:r>
    </w:p>
    <w:p>
      <w:pPr>
        <w:rPr>
          <w:rFonts w:eastAsia="Times New Roman"/>
          <w:noProof/>
          <w:szCs w:val="24"/>
        </w:rPr>
      </w:pPr>
      <w:r>
        <w:rPr>
          <w:rFonts w:eastAsia="Times New Roman"/>
          <w:noProof/>
          <w:szCs w:val="24"/>
        </w:rPr>
        <w:t xml:space="preserve">The Regulation (EU) No. 603/2013 allows, </w:t>
      </w:r>
      <w:r>
        <w:rPr>
          <w:rFonts w:eastAsia="Times New Roman"/>
          <w:i/>
          <w:noProof/>
          <w:szCs w:val="24"/>
        </w:rPr>
        <w:t>inter alia</w:t>
      </w:r>
      <w:r>
        <w:rPr>
          <w:rFonts w:eastAsia="Times New Roman"/>
          <w:noProof/>
          <w:szCs w:val="24"/>
        </w:rPr>
        <w:t xml:space="preserve">, for the consultation of Eurodac by law enforcement authorities for the purpose of prevention, detection and investigation of terrorist offences and other serious criminal offences. This aims at enabling law enforcement authorities to request the comparison of fingerprint data with those stored in the Eurodac central database when they seek to establish the exact identity of or obtain further information concerning a person who is suspected of a terrorism or serious crime. </w:t>
      </w:r>
    </w:p>
    <w:p>
      <w:pPr>
        <w:rPr>
          <w:rFonts w:eastAsia="Times New Roman"/>
          <w:noProof/>
          <w:szCs w:val="24"/>
        </w:rPr>
      </w:pPr>
      <w:r>
        <w:rPr>
          <w:rFonts w:eastAsia="Times New Roman"/>
          <w:noProof/>
          <w:szCs w:val="24"/>
        </w:rPr>
        <w:t xml:space="preserve">On </w:t>
      </w:r>
      <w:r>
        <w:rPr>
          <w:noProof/>
          <w:szCs w:val="24"/>
        </w:rPr>
        <w:t>19 January 2001, the Agreement between the European Community and the Republic of Iceland and the Kingdom of Norway concerning the criteria and mechanisms for establishing the State responsible for examining a request for asylum lodged in a Member State or in Iceland or Norway (hereinafter: Agreement of 19 January 2001) was concluded</w:t>
      </w:r>
      <w:r>
        <w:rPr>
          <w:rStyle w:val="FootnoteReference"/>
          <w:noProof/>
        </w:rPr>
        <w:footnoteReference w:id="2"/>
      </w:r>
      <w:r>
        <w:rPr>
          <w:rFonts w:eastAsia="Times New Roman"/>
          <w:noProof/>
          <w:szCs w:val="24"/>
        </w:rPr>
        <w:t>.</w:t>
      </w:r>
      <w:r>
        <w:rPr>
          <w:noProof/>
        </w:rPr>
        <w:t xml:space="preserve"> </w:t>
      </w:r>
    </w:p>
    <w:p>
      <w:pPr>
        <w:rPr>
          <w:rFonts w:eastAsia="Times New Roman"/>
          <w:noProof/>
          <w:szCs w:val="24"/>
        </w:rPr>
      </w:pPr>
      <w:r>
        <w:rPr>
          <w:rFonts w:eastAsia="Times New Roman"/>
          <w:noProof/>
          <w:szCs w:val="24"/>
        </w:rPr>
        <w:t xml:space="preserve">Iceland and Norway apply the asylum elements of the Regulation (EU) No. 603/2013 in line with the Agreement of 19 January 2001. However, the law enforcement access to Eurodac falls outside the scope of the said Agreement. </w:t>
      </w:r>
    </w:p>
    <w:p>
      <w:pPr>
        <w:rPr>
          <w:rFonts w:eastAsia="Times New Roman"/>
          <w:noProof/>
          <w:szCs w:val="24"/>
        </w:rPr>
      </w:pPr>
      <w:r>
        <w:rPr>
          <w:rFonts w:eastAsia="Times New Roman"/>
          <w:noProof/>
          <w:szCs w:val="24"/>
        </w:rPr>
        <w:t xml:space="preserve">At a meeting on 14 May 2014 with representatives from the Commission, Denmark, Switzerland, Liechtenstein, Norway and Iceland confirmed their interest in entering into negotiations with the European Union to extend the law enforcement provisions of the Regulation (EU) No. 603/2013 to them via an international agreement. </w:t>
      </w:r>
    </w:p>
    <w:p>
      <w:pPr>
        <w:rPr>
          <w:rFonts w:eastAsia="Times New Roman"/>
          <w:noProof/>
          <w:szCs w:val="24"/>
        </w:rPr>
      </w:pPr>
      <w:r>
        <w:rPr>
          <w:rFonts w:eastAsia="Times New Roman"/>
          <w:noProof/>
          <w:szCs w:val="24"/>
        </w:rPr>
        <w:t xml:space="preserve">On 14 December 2015, the Council authorised the Commission to open negotiations on agreement between the European Union, on the one part, and, </w:t>
      </w:r>
      <w:r>
        <w:rPr>
          <w:rFonts w:eastAsia="Times New Roman"/>
          <w:i/>
          <w:noProof/>
          <w:szCs w:val="24"/>
        </w:rPr>
        <w:t>inter alia</w:t>
      </w:r>
      <w:r>
        <w:rPr>
          <w:rFonts w:eastAsia="Times New Roman"/>
          <w:noProof/>
          <w:szCs w:val="24"/>
        </w:rPr>
        <w:t>, Iceland and Norway, on the other part, on the modalities of the participation by Iceland and Norway to the procedure for comparison and data transmission for law enforcement purposes foreseen in chapter VI of the Regulation (EU) No 603/2013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w:t>
      </w:r>
    </w:p>
    <w:p>
      <w:pPr>
        <w:rPr>
          <w:rFonts w:eastAsia="Times New Roman"/>
          <w:noProof/>
          <w:szCs w:val="24"/>
        </w:rPr>
      </w:pPr>
      <w:r>
        <w:rPr>
          <w:rFonts w:eastAsia="Times New Roman"/>
          <w:noProof/>
          <w:szCs w:val="24"/>
        </w:rPr>
        <w:t xml:space="preserve">The negotiations have been finalised and an Agreement in the form of a Protocol to the Agreement of 19 January 2001, extending the application of the Agreement of 19 January 2001 to law enforcement was initialled. </w:t>
      </w:r>
    </w:p>
    <w:p>
      <w:pPr>
        <w:rPr>
          <w:rFonts w:eastAsia="Times New Roman"/>
          <w:noProof/>
          <w:szCs w:val="24"/>
        </w:rPr>
      </w:pPr>
      <w:r>
        <w:rPr>
          <w:rFonts w:eastAsia="Times New Roman"/>
          <w:noProof/>
          <w:szCs w:val="24"/>
        </w:rPr>
        <w:t xml:space="preserve">The extension of the law enforcement provisions of the Regulation (EU) No. 603/2013 to Iceland and Norway would enable the law enforcement authorities of Iceland and Norway to request a comparison of fingerprint data against the data entered by other participating States and stored in the Eurodac database when they seek to establish the identity or get further information concerning a person who is suspected of a serious crime or terrorism or concerning a victim. On the other hand, it would enable the law enforcement authorities of all other participating States, whether other EU Member States or Associates Countries, to request a comparison of fingerprint data against the data entered by Iceland and Norway and stored in the Eurodac database, for the same purposes. </w:t>
      </w:r>
    </w:p>
    <w:p>
      <w:pPr>
        <w:rPr>
          <w:rFonts w:eastAsia="Times New Roman"/>
          <w:noProof/>
          <w:szCs w:val="24"/>
        </w:rPr>
      </w:pPr>
      <w:r>
        <w:rPr>
          <w:rFonts w:eastAsia="Times New Roman"/>
          <w:noProof/>
          <w:szCs w:val="24"/>
        </w:rPr>
        <w:t>The objective of the present Protocol is to establish legally binding rights and obligations to ensure the effective participation of Iceland and Norway in the law enforcement elements of the Regulation (EU) No. 603/2013. The Protocol establishes that all participating States, whether other EU Member States, Associates Countries or Iceland and Norway, with access to Eurodac, may also access each other's data for law enforcement purposes.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existing policy provisions in the policy area</w:t>
      </w:r>
    </w:p>
    <w:p>
      <w:pPr>
        <w:rPr>
          <w:rFonts w:eastAsia="Times New Roman"/>
          <w:noProof/>
          <w:szCs w:val="24"/>
        </w:rPr>
      </w:pPr>
      <w:r>
        <w:rPr>
          <w:rFonts w:eastAsia="Times New Roman"/>
          <w:noProof/>
          <w:szCs w:val="24"/>
        </w:rPr>
        <w:t>The proposal is consistent with EU policies regarding access to Eurodac database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Consistency with other Union policies</w:t>
      </w:r>
    </w:p>
    <w:p>
      <w:pPr>
        <w:rPr>
          <w:rFonts w:eastAsia="Times New Roman"/>
          <w:noProof/>
          <w:szCs w:val="24"/>
        </w:rPr>
      </w:pPr>
      <w:r>
        <w:rPr>
          <w:rFonts w:eastAsia="Times New Roman"/>
          <w:noProof/>
          <w:szCs w:val="24"/>
        </w:rPr>
        <w:t xml:space="preserve">The proposal is consistent with the EU policies in the area of freedom, security and justice.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noProof/>
          <w:szCs w:val="24"/>
        </w:rPr>
        <w:t>The legal basis for this proposal for a Council Decision is</w:t>
      </w:r>
      <w:r>
        <w:rPr>
          <w:rFonts w:eastAsia="Times New Roman"/>
          <w:noProof/>
          <w:szCs w:val="24"/>
        </w:rPr>
        <w:t xml:space="preserve"> Article 87(2)(a), Article 88(2)(a) of the Treaty on the Functioning of the European Union (TFEU), in conjunction with Article 218(6)(a) of the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The Agreement of 19 January 2001 is an existing international agreement concluded by the EU and Iceland and Norway. In accordance with the principle of subsidiarity set out in Article 5 TEU, the objectives of the Protocol to this Agreement can only be achieved through a proposal from the Commission at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complies with the proportionality principle because it does not go beyond what is necessary in order to achieve the objectives of the effective participation of Iceland and Norway in the law enforcement elements of the Eurodac Regulation (EU) No. 603/2013.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A Decision of the Council on the conclusion of the Agreement is required under Article 218(6)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Council (Asylum Working Party) has been consulted on the content and advancement of the negotiations. The European Parliament (LIBE Committee) has been informed. </w:t>
      </w:r>
    </w:p>
    <w:p>
      <w:pPr>
        <w:pStyle w:val="ManualHeading1"/>
        <w:rPr>
          <w:noProof/>
        </w:rPr>
      </w:pPr>
      <w:r>
        <w:rPr>
          <w:noProof/>
        </w:rPr>
        <w:t>4.</w:t>
      </w:r>
      <w:r>
        <w:rPr>
          <w:noProof/>
        </w:rPr>
        <w:tab/>
        <w:t>OTHER ELEMENTS</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sets out a decision authorising the conclusion of the Protocol between the EU and Iceland and Norway on behalf of the European Union. The TFEU foresees for the Council to adopt a Commission proposal for a decision to authorise the signature and conclusion of an international agreement.</w:t>
      </w:r>
    </w:p>
    <w:p>
      <w:pPr>
        <w:pBdr>
          <w:top w:val="nil"/>
          <w:left w:val="nil"/>
          <w:bottom w:val="nil"/>
          <w:right w:val="nil"/>
          <w:between w:val="nil"/>
          <w:bar w:val="nil"/>
        </w:pBdr>
        <w:spacing w:before="0" w:after="240"/>
        <w:rPr>
          <w:noProof/>
        </w:rPr>
      </w:pPr>
      <w:r>
        <w:rPr>
          <w:noProof/>
        </w:rPr>
        <w:t>The Protocol establishes the application of Regulation (EU) No 603/2013 to Iceland and Norway regarding access to Eurodac for law enforcement purposes. Therefore it enables the designated law enforcement authorities of the other participating States and Europol to request a comparison of fingerprint data against the data transmitted to the Eurodac Central System by Iceland and Norway. It also enables the designated law enforcement authorities of Iceland and Norway to request a comparison of fingerprint data against the data transmitted to the Eurodac Central System by the other participating States.</w:t>
      </w:r>
    </w:p>
    <w:p>
      <w:pPr>
        <w:pBdr>
          <w:top w:val="nil"/>
          <w:left w:val="nil"/>
          <w:bottom w:val="nil"/>
          <w:right w:val="nil"/>
          <w:between w:val="nil"/>
          <w:bar w:val="nil"/>
        </w:pBdr>
        <w:spacing w:before="0" w:after="240"/>
        <w:rPr>
          <w:noProof/>
        </w:rPr>
      </w:pPr>
      <w:r>
        <w:rPr>
          <w:noProof/>
        </w:rPr>
        <w:t>The Protocol guarantees that the current EU level of protection of personal data is applicable to the processing of personal data pursuant to the Protocol by the authorities of Iceland and Norway and of the Member States. Such processing of personal data should be subject to a standard of protection of personal data under their national law which complies with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pPr>
        <w:pBdr>
          <w:top w:val="nil"/>
          <w:left w:val="nil"/>
          <w:bottom w:val="nil"/>
          <w:right w:val="nil"/>
          <w:between w:val="nil"/>
          <w:bar w:val="nil"/>
        </w:pBdr>
        <w:spacing w:before="0" w:after="240"/>
        <w:rPr>
          <w:noProof/>
        </w:rPr>
      </w:pPr>
      <w:r>
        <w:rPr>
          <w:noProof/>
          <w:szCs w:val="24"/>
        </w:rPr>
        <w:t>The Protocol conditions the access to Eurodac for law enforcement purposes by Iceland and Norway by prior legal and technical implementation of Decision 2008/615/JHA with regard to dactyloscopic data.</w:t>
      </w:r>
    </w:p>
    <w:p>
      <w:pPr>
        <w:pBdr>
          <w:top w:val="nil"/>
          <w:left w:val="nil"/>
          <w:bottom w:val="nil"/>
          <w:right w:val="nil"/>
          <w:between w:val="nil"/>
          <w:bar w:val="nil"/>
        </w:pBdr>
        <w:spacing w:before="0" w:after="240"/>
        <w:rPr>
          <w:noProof/>
        </w:rPr>
      </w:pPr>
      <w:r>
        <w:rPr>
          <w:noProof/>
        </w:rPr>
        <w:t>The Protocol provides that the mechanisms regarding amendments provided for in the Agreement of 19 January 2001 should apply to all amendments regarding the access to Eurodac for law enforcement purposes.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87(2)(a), Article 88(2)(a) and Article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3"/>
      </w:r>
      <w:r>
        <w:rPr>
          <w:noProof/>
        </w:rPr>
        <w:t>,</w:t>
      </w:r>
    </w:p>
    <w:p>
      <w:pPr>
        <w:rPr>
          <w:noProof/>
        </w:rPr>
      </w:pPr>
      <w:r>
        <w:rPr>
          <w:noProof/>
        </w:rPr>
        <w:t>Whereas:</w:t>
      </w:r>
    </w:p>
    <w:p>
      <w:pPr>
        <w:pStyle w:val="ManualConsidrant"/>
        <w:rPr>
          <w:noProof/>
        </w:rPr>
      </w:pPr>
      <w:r>
        <w:t>(1)</w:t>
      </w:r>
      <w:r>
        <w:tab/>
      </w:r>
      <w:r>
        <w:rPr>
          <w:noProof/>
        </w:rPr>
        <w:t>In accordance with the Decision [</w:t>
      </w:r>
      <w:r>
        <w:rPr>
          <w:noProof/>
          <w:highlight w:val="yellow"/>
        </w:rPr>
        <w:t>XXX</w:t>
      </w:r>
      <w:r>
        <w:rPr>
          <w:noProof/>
        </w:rPr>
        <w:t>] of [</w:t>
      </w:r>
      <w:r>
        <w:rPr>
          <w:noProof/>
          <w:highlight w:val="yellow"/>
        </w:rPr>
        <w:t>XXX]</w:t>
      </w:r>
      <w:r>
        <w:rPr>
          <w:rStyle w:val="FootnoteReference"/>
          <w:noProof/>
        </w:rPr>
        <w:footnoteReference w:id="4"/>
      </w:r>
      <w:r>
        <w:rPr>
          <w:noProof/>
        </w:rPr>
        <w:t xml:space="preserve">, the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 was signed on </w:t>
      </w:r>
      <w:r>
        <w:rPr>
          <w:noProof/>
          <w:highlight w:val="yellow"/>
        </w:rPr>
        <w:t>[XXX</w:t>
      </w:r>
      <w:r>
        <w:rPr>
          <w:noProof/>
        </w:rPr>
        <w:t>], subject to its conclusion at a later date.</w:t>
      </w:r>
    </w:p>
    <w:p>
      <w:pPr>
        <w:pStyle w:val="ManualConsidrant"/>
        <w:rPr>
          <w:noProof/>
        </w:rPr>
      </w:pPr>
      <w:r>
        <w:t>(2)</w:t>
      </w:r>
      <w:r>
        <w:tab/>
      </w:r>
      <w:r>
        <w:rPr>
          <w:noProof/>
        </w:rPr>
        <w:t xml:space="preserve">In order to support and strengthen police cooperation between the competent authorities of the  Member States and those of Norway and Iceland </w:t>
      </w:r>
      <w:r>
        <w:rPr>
          <w:rFonts w:eastAsia="Times New Roman"/>
          <w:noProof/>
        </w:rPr>
        <w:t>for the purpose of prevention, detection and investigation of terrorist offences and other serious criminal offences</w:t>
      </w:r>
      <w:r>
        <w:rPr>
          <w:noProof/>
        </w:rPr>
        <w:t>, the involvement of the EU is required to enable</w:t>
      </w:r>
      <w:r>
        <w:rPr>
          <w:rFonts w:eastAsia="Times New Roman"/>
          <w:noProof/>
        </w:rPr>
        <w:t xml:space="preserve"> Norway and Iceland </w:t>
      </w:r>
      <w:r>
        <w:rPr>
          <w:noProof/>
        </w:rPr>
        <w:t>to participate in the law-enforcement-related aspects of Eurodac.</w:t>
      </w:r>
    </w:p>
    <w:p>
      <w:pPr>
        <w:pStyle w:val="ManualConsidrant"/>
        <w:rPr>
          <w:noProof/>
        </w:rPr>
      </w:pPr>
      <w:r>
        <w:t>(3)</w:t>
      </w:r>
      <w:r>
        <w:tab/>
      </w:r>
      <w:r>
        <w:rPr>
          <w:noProof/>
        </w:rPr>
        <w:t>This Protocol should be approved on behalf of the European Union.</w:t>
      </w:r>
    </w:p>
    <w:p>
      <w:pPr>
        <w:pStyle w:val="ManualConsidrant"/>
        <w:rPr>
          <w:noProof/>
        </w:rPr>
      </w:pPr>
      <w:r>
        <w:t>(4)</w:t>
      </w:r>
      <w:r>
        <w:tab/>
      </w:r>
      <w:r>
        <w:rPr>
          <w:noProof/>
        </w:rPr>
        <w:t xml:space="preserve">In accordance with Article 3 of the Protocol 21 on the Position of the United Kingdom and Ireland in respect of the Area of Freedom, Security and Justice annexed to the Treaty on European Union and the Treaty on the Functioning of the European Union, these Member States have notified their wish to take part in the adoption and application of this Decision. </w:t>
      </w:r>
    </w:p>
    <w:p>
      <w:pPr>
        <w:pStyle w:val="ManualConsidrant"/>
        <w:rPr>
          <w:noProof/>
        </w:rPr>
      </w:pPr>
      <w:r>
        <w:t>(5)</w:t>
      </w:r>
      <w:r>
        <w:tab/>
      </w:r>
      <w:r>
        <w:rPr>
          <w:noProof/>
        </w:rPr>
        <w:t xml:space="preserve">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 </w:t>
      </w:r>
    </w:p>
    <w:p>
      <w:pPr>
        <w:pStyle w:val="Formuledadoption"/>
        <w:spacing w:before="240"/>
        <w:rPr>
          <w:noProof/>
        </w:rPr>
      </w:pPr>
      <w:r>
        <w:rPr>
          <w:noProof/>
        </w:rPr>
        <w:t xml:space="preserve">HAS ADOPTED THIS DECISION: </w:t>
      </w:r>
    </w:p>
    <w:p>
      <w:pPr>
        <w:pStyle w:val="Titrearticle"/>
        <w:rPr>
          <w:noProof/>
        </w:rPr>
      </w:pPr>
      <w:r>
        <w:rPr>
          <w:noProof/>
        </w:rPr>
        <w:t>Article 1</w:t>
      </w:r>
    </w:p>
    <w:p>
      <w:pPr>
        <w:rPr>
          <w:noProof/>
        </w:rPr>
      </w:pPr>
      <w:r>
        <w:rPr>
          <w:noProof/>
        </w:rPr>
        <w:t xml:space="preserve">The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 (‘the Protocol’) is hereby approved on behalf of the Union. </w:t>
      </w:r>
    </w:p>
    <w:p>
      <w:pPr>
        <w:rPr>
          <w:noProof/>
        </w:rPr>
      </w:pPr>
      <w:r>
        <w:rPr>
          <w:noProof/>
        </w:rPr>
        <w:t>The text of the Protocol is attached to this Decision.</w:t>
      </w:r>
    </w:p>
    <w:p>
      <w:pPr>
        <w:pStyle w:val="Titrearticle"/>
        <w:keepNext w:val="0"/>
        <w:rPr>
          <w:noProof/>
        </w:rPr>
      </w:pPr>
      <w:r>
        <w:rPr>
          <w:noProof/>
        </w:rPr>
        <w:t>Article 2</w:t>
      </w:r>
    </w:p>
    <w:p>
      <w:pPr>
        <w:keepLines/>
        <w:rPr>
          <w:noProof/>
        </w:rPr>
      </w:pPr>
      <w:r>
        <w:rPr>
          <w:noProof/>
        </w:rPr>
        <w:t>The President of the Council shall designate the person(s) empowered to proceed, on behalf of the European Union, to the notification provided for in Article 4(2) of the Protocol, in order to express the consent of the European Union to be bound by the Protocol.</w:t>
      </w:r>
    </w:p>
    <w:p>
      <w:pPr>
        <w:pStyle w:val="Titrearticle"/>
        <w:keepNext w:val="0"/>
        <w:rPr>
          <w:noProof/>
        </w:rPr>
      </w:pPr>
      <w:r>
        <w:rPr>
          <w:noProof/>
        </w:rPr>
        <w:t>Article 3</w:t>
      </w:r>
    </w:p>
    <w:p>
      <w:pPr>
        <w:keepLines/>
        <w:rPr>
          <w:noProof/>
        </w:rPr>
      </w:pPr>
      <w:r>
        <w:rPr>
          <w:noProof/>
        </w:rPr>
        <w:t xml:space="preserve">This Decision shall enter into force on the day following that of its publication in the </w:t>
      </w:r>
      <w:r>
        <w:rPr>
          <w:i/>
          <w:noProof/>
        </w:rPr>
        <w:t>Official Journal of the European Union.</w:t>
      </w:r>
    </w:p>
    <w:p>
      <w:pPr>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color w:val="000000"/>
        </w:rPr>
        <w:tab/>
        <w:t xml:space="preserve">Regulation (EU) No 603/2013 of the European Parliament and of the Council of 26 June 2013 on the </w:t>
      </w:r>
      <w:r>
        <w:t xml:space="preserve">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(recast) (OJ L 180, 29.6.2013, p. 1). </w:t>
      </w:r>
    </w:p>
  </w:footnote>
  <w:footnote w:id="2">
    <w:p>
      <w:pPr>
        <w:pStyle w:val="FootnoteText"/>
        <w:rPr>
          <w:lang w:val="pl-PL"/>
        </w:rPr>
      </w:pPr>
      <w:r>
        <w:rPr>
          <w:rStyle w:val="FootnoteReference"/>
        </w:rPr>
        <w:footnoteRef/>
      </w:r>
      <w:r>
        <w:rPr>
          <w:lang w:val="pl-PL"/>
        </w:rPr>
        <w:tab/>
        <w:t>OJ L 93, 03.04.2001, p. 40.</w:t>
      </w:r>
    </w:p>
  </w:footnote>
  <w:footnote w:id="3">
    <w:p>
      <w:pPr>
        <w:pStyle w:val="FootnoteText"/>
        <w:rPr>
          <w:lang w:val="pl-PL"/>
        </w:rPr>
      </w:pPr>
      <w:r>
        <w:rPr>
          <w:rStyle w:val="FootnoteReference"/>
        </w:rPr>
        <w:footnoteRef/>
      </w:r>
      <w:r>
        <w:rPr>
          <w:lang w:val="pl-PL"/>
        </w:rPr>
        <w:tab/>
        <w:t xml:space="preserve">OJ C </w:t>
      </w:r>
      <w:r>
        <w:rPr>
          <w:highlight w:val="yellow"/>
          <w:lang w:val="pl-PL"/>
        </w:rPr>
        <w:t>[…], […], p. […].</w:t>
      </w:r>
    </w:p>
  </w:footnote>
  <w:footnote w:id="4">
    <w:p>
      <w:pPr>
        <w:pStyle w:val="FootnoteText"/>
        <w:rPr>
          <w:lang w:val="pl-PL"/>
        </w:rPr>
      </w:pPr>
      <w:r>
        <w:rPr>
          <w:rStyle w:val="FootnoteReference"/>
        </w:rPr>
        <w:footnoteRef/>
      </w:r>
      <w:r>
        <w:rPr>
          <w:lang w:val="pl-PL"/>
        </w:rPr>
        <w:tab/>
        <w:t xml:space="preserve">OJ L </w:t>
      </w:r>
      <w:r>
        <w:rPr>
          <w:highlight w:val="yellow"/>
          <w:lang w:val="pl-PL"/>
        </w:rPr>
        <w:t>[…], […], p. […].</w:t>
      </w:r>
      <w:r>
        <w:rPr>
          <w:lang w:val="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A41D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7E22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A059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E96FF96"/>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28: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532F417-51ED-40C4-823F-E3EB7DC98A05"/>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19"/>
    <w:docVar w:name="LW_REF.II.NEW.CP_YEAR" w:val="2018"/>
    <w:docVar w:name="LW_REF.INST.NEW" w:val="COM"/>
    <w:docVar w:name="LW_REF.INST.NEW_ADOPTED" w:val="final"/>
    <w:docVar w:name="LW_REF.INST.NEW_TEXT" w:val="(2018)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a Protocol between the European Union, the Republic of Iceland and the Kingdom of Norway to the Agreement between the European Community and the Republic of Iceland and the Kingdom of Norway concerning the criteria and mechanisms for establishing the State responsible for examining a request for asylum lodged in a Member State or in Iceland or Norway regarding the access to Eurodac for law enforcement purposes"/>
    <w:docVar w:name="LW_TYPE.DOC.CP" w:val="COUNCIL DECISION"/>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764A-E170-417C-8226-41E5A09D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1808</Words>
  <Characters>9659</Characters>
  <Application>Microsoft Office Word</Application>
  <DocSecurity>0</DocSecurity>
  <Lines>169</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2018-06-19T13:58:00Z</cp:lastPrinted>
  <dcterms:created xsi:type="dcterms:W3CDTF">2018-12-03T15:09:00Z</dcterms:created>
  <dcterms:modified xsi:type="dcterms:W3CDTF">2018-12-07T17:28:00Z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