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D005369-066B-4E78-A859-5CB5FBA6AC56" style="width:450.4pt;height:392.6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 xml:space="preserve">ПРИЛОЖЕНИЕ </w:t>
      </w:r>
    </w:p>
    <w:p>
      <w:pPr>
        <w:spacing w:after="36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</w:rPr>
        <w:t>Втори план за действие за борба с незаконната търговия с тютюневи изделия за периода 2018—2022 г.</w:t>
      </w:r>
    </w:p>
    <w:p>
      <w:pPr>
        <w:rPr>
          <w:b/>
          <w:i/>
          <w:noProof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81"/>
        <w:gridCol w:w="2954"/>
        <w:gridCol w:w="3552"/>
        <w:gridCol w:w="2073"/>
        <w:gridCol w:w="1627"/>
        <w:gridCol w:w="2100"/>
      </w:tblGrid>
      <w:tr>
        <w:trPr>
          <w:cantSplit/>
          <w:trHeight w:val="318"/>
        </w:trPr>
        <w:tc>
          <w:tcPr>
            <w:tcW w:w="839" w:type="pct"/>
          </w:tcPr>
          <w:p>
            <w:pPr>
              <w:jc w:val="left"/>
              <w:rPr>
                <w:rFonts w:ascii="Times New Roman Bold" w:hAnsi="Times New Roman Bold"/>
                <w:b/>
                <w:caps/>
                <w:noProof/>
              </w:rPr>
            </w:pPr>
            <w:r>
              <w:rPr>
                <w:rFonts w:ascii="Times New Roman Bold" w:hAnsi="Times New Roman Bold"/>
                <w:b/>
                <w:caps/>
                <w:noProof/>
              </w:rPr>
              <w:t>Точка</w:t>
            </w:r>
          </w:p>
        </w:tc>
        <w:tc>
          <w:tcPr>
            <w:tcW w:w="999" w:type="pct"/>
          </w:tcPr>
          <w:p>
            <w:pPr>
              <w:jc w:val="left"/>
              <w:rPr>
                <w:rFonts w:ascii="Times New Roman Bold" w:hAnsi="Times New Roman Bold"/>
                <w:b/>
                <w:caps/>
                <w:noProof/>
              </w:rPr>
            </w:pPr>
            <w:r>
              <w:rPr>
                <w:rFonts w:ascii="Times New Roman Bold" w:hAnsi="Times New Roman Bold"/>
                <w:b/>
                <w:caps/>
                <w:noProof/>
              </w:rPr>
              <w:t>Наименование</w:t>
            </w:r>
          </w:p>
        </w:tc>
        <w:tc>
          <w:tcPr>
            <w:tcW w:w="1201" w:type="pct"/>
          </w:tcPr>
          <w:p>
            <w:pPr>
              <w:rPr>
                <w:rFonts w:ascii="Times New Roman Bold" w:hAnsi="Times New Roman Bold"/>
                <w:b/>
                <w:caps/>
                <w:noProof/>
              </w:rPr>
            </w:pPr>
            <w:r>
              <w:rPr>
                <w:rFonts w:ascii="Times New Roman Bold" w:hAnsi="Times New Roman Bold"/>
                <w:b/>
                <w:caps/>
                <w:noProof/>
              </w:rPr>
              <w:t>Описание</w:t>
            </w:r>
          </w:p>
        </w:tc>
        <w:tc>
          <w:tcPr>
            <w:tcW w:w="701" w:type="pct"/>
          </w:tcPr>
          <w:p>
            <w:pPr>
              <w:jc w:val="left"/>
              <w:rPr>
                <w:rFonts w:ascii="Times New Roman Bold" w:hAnsi="Times New Roman Bold"/>
                <w:b/>
                <w:caps/>
                <w:noProof/>
              </w:rPr>
            </w:pPr>
            <w:r>
              <w:rPr>
                <w:rFonts w:ascii="Times New Roman Bold" w:hAnsi="Times New Roman Bold"/>
                <w:b/>
                <w:caps/>
                <w:noProof/>
              </w:rPr>
              <w:t>Действие</w:t>
            </w:r>
          </w:p>
        </w:tc>
        <w:tc>
          <w:tcPr>
            <w:tcW w:w="550" w:type="pct"/>
          </w:tcPr>
          <w:p>
            <w:pPr>
              <w:jc w:val="left"/>
              <w:rPr>
                <w:rFonts w:ascii="Times New Roman Bold" w:hAnsi="Times New Roman Bold"/>
                <w:b/>
                <w:caps/>
                <w:noProof/>
              </w:rPr>
            </w:pPr>
            <w:r>
              <w:rPr>
                <w:rFonts w:ascii="Times New Roman Bold" w:hAnsi="Times New Roman Bold"/>
                <w:b/>
                <w:caps/>
                <w:noProof/>
              </w:rPr>
              <w:t>Срок</w:t>
            </w:r>
          </w:p>
        </w:tc>
        <w:tc>
          <w:tcPr>
            <w:tcW w:w="710" w:type="pct"/>
          </w:tcPr>
          <w:p>
            <w:pPr>
              <w:jc w:val="left"/>
              <w:rPr>
                <w:rFonts w:ascii="Times New Roman Bold" w:hAnsi="Times New Roman Bold"/>
                <w:b/>
                <w:caps/>
                <w:noProof/>
                <w:spacing w:val="-2"/>
              </w:rPr>
            </w:pPr>
            <w:r>
              <w:rPr>
                <w:rFonts w:ascii="Times New Roman Bold" w:hAnsi="Times New Roman Bold"/>
                <w:b/>
                <w:caps/>
                <w:noProof/>
                <w:spacing w:val="-2"/>
              </w:rPr>
              <w:t>Отговорност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A5A5A5" w:themeFill="background1" w:themeFillShade="A5"/>
          </w:tcPr>
          <w:p>
            <w:pPr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rFonts w:ascii="Times New Roman Bold" w:hAnsi="Times New Roman Bold"/>
                <w:b/>
                <w:smallCaps/>
                <w:noProof/>
              </w:rPr>
              <w:t>A</w:t>
            </w:r>
          </w:p>
        </w:tc>
        <w:tc>
          <w:tcPr>
            <w:tcW w:w="999" w:type="pct"/>
            <w:shd w:val="clear" w:color="auto" w:fill="A5A5A5" w:themeFill="background1" w:themeFillShade="A5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rFonts w:ascii="Times New Roman Bold" w:hAnsi="Times New Roman Bold"/>
                <w:b/>
                <w:smallCaps/>
                <w:noProof/>
              </w:rPr>
              <w:t>Работа с ключови държави на произход</w:t>
            </w:r>
          </w:p>
        </w:tc>
        <w:tc>
          <w:tcPr>
            <w:tcW w:w="1201" w:type="pct"/>
            <w:shd w:val="clear" w:color="auto" w:fill="A5A5A5" w:themeFill="background1" w:themeFillShade="A5"/>
          </w:tcPr>
          <w:p>
            <w:pPr>
              <w:rPr>
                <w:rFonts w:ascii="Times New Roman Bold" w:hAnsi="Times New Roman Bold"/>
                <w:b/>
                <w:bCs/>
                <w:smallCaps/>
                <w:noProof/>
              </w:rPr>
            </w:pPr>
          </w:p>
        </w:tc>
        <w:tc>
          <w:tcPr>
            <w:tcW w:w="701" w:type="pct"/>
            <w:shd w:val="clear" w:color="auto" w:fill="A5A5A5" w:themeFill="background1" w:themeFillShade="A5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</w:p>
        </w:tc>
        <w:tc>
          <w:tcPr>
            <w:tcW w:w="550" w:type="pct"/>
            <w:shd w:val="clear" w:color="auto" w:fill="A5A5A5" w:themeFill="background1" w:themeFillShade="A5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</w:p>
        </w:tc>
        <w:tc>
          <w:tcPr>
            <w:tcW w:w="710" w:type="pct"/>
            <w:shd w:val="clear" w:color="auto" w:fill="A5A5A5" w:themeFill="background1" w:themeFillShade="A5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  <w:shd w:val="clear" w:color="auto" w:fill="DDD9C3" w:themeFill="background2" w:themeFillShade="E6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A.1</w:t>
            </w:r>
          </w:p>
        </w:tc>
        <w:tc>
          <w:tcPr>
            <w:tcW w:w="999" w:type="pct"/>
            <w:shd w:val="clear" w:color="auto" w:fill="DDD9C3" w:themeFill="background2" w:themeFillShade="E6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Многостранни отношения — Протокол към РККТ</w:t>
            </w:r>
          </w:p>
        </w:tc>
        <w:tc>
          <w:tcPr>
            <w:tcW w:w="1201" w:type="pct"/>
            <w:shd w:val="clear" w:color="auto" w:fill="DDD9C3" w:themeFill="background2" w:themeFillShade="E6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01" w:type="pct"/>
            <w:shd w:val="clear" w:color="auto" w:fill="DDD9C3" w:themeFill="background2" w:themeFillShade="E6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550" w:type="pct"/>
            <w:shd w:val="clear" w:color="auto" w:fill="DDD9C3" w:themeFill="background2" w:themeFillShade="E6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10" w:type="pct"/>
            <w:shd w:val="clear" w:color="auto" w:fill="DDD9C3" w:themeFill="background2" w:themeFillShade="E6"/>
          </w:tcPr>
          <w:p>
            <w:pPr>
              <w:jc w:val="left"/>
              <w:rPr>
                <w:b/>
                <w:bCs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A.1.1</w:t>
            </w:r>
          </w:p>
          <w:p>
            <w:pPr>
              <w:rPr>
                <w:rFonts w:ascii="Times New Roman Bold" w:hAnsi="Times New Roman Bold"/>
                <w:b/>
                <w:bCs/>
                <w:i/>
                <w:smallCaps/>
                <w:noProof/>
              </w:rPr>
            </w:pPr>
          </w:p>
        </w:tc>
        <w:tc>
          <w:tcPr>
            <w:tcW w:w="999" w:type="pct"/>
            <w:shd w:val="clear" w:color="auto" w:fill="auto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>Превръщане на Протокола към Рамковата конвенция за контрол на тютюна (РККТ) в ефективен инструмент на глобалното управление</w:t>
            </w:r>
          </w:p>
        </w:tc>
        <w:tc>
          <w:tcPr>
            <w:tcW w:w="1201" w:type="pct"/>
            <w:shd w:val="clear" w:color="auto" w:fill="auto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>Насърчаване на ратифицирането и прилагането на Протокола към РККТ в съответните трети държави, особено в съседните на ЕС държави (по-специално страните кандидатки и потенциални кандидатки, както и държавите, обхванати от политиката на ЕС за съседство), включително чрез институционалните рамки на ЕС със съответните държави</w:t>
            </w:r>
          </w:p>
        </w:tc>
        <w:tc>
          <w:tcPr>
            <w:tcW w:w="701" w:type="pct"/>
            <w:shd w:val="clear" w:color="auto" w:fill="auto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 xml:space="preserve">Целева работа със съответните държави </w:t>
            </w:r>
          </w:p>
        </w:tc>
        <w:tc>
          <w:tcPr>
            <w:tcW w:w="550" w:type="pct"/>
            <w:shd w:val="clear" w:color="auto" w:fill="auto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>ЕСВД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A.1.2</w:t>
            </w:r>
          </w:p>
          <w:p>
            <w:pPr>
              <w:jc w:val="left"/>
              <w:rPr>
                <w:rFonts w:ascii="Times New Roman Bold" w:hAnsi="Times New Roman Bold"/>
                <w:b/>
                <w:bCs/>
                <w:i/>
                <w:smallCaps/>
                <w:noProof/>
              </w:rPr>
            </w:pPr>
          </w:p>
        </w:tc>
        <w:tc>
          <w:tcPr>
            <w:tcW w:w="999" w:type="pct"/>
            <w:shd w:val="clear" w:color="auto" w:fill="auto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>Подкрепа за прилагането на Протокола към РККТ</w:t>
            </w:r>
          </w:p>
        </w:tc>
        <w:tc>
          <w:tcPr>
            <w:tcW w:w="1201" w:type="pct"/>
            <w:shd w:val="clear" w:color="auto" w:fill="auto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>Подкрепа за държавите членки при прилагането на Протокола към РККТ чрез специална проектна група за държавите членки</w:t>
            </w:r>
          </w:p>
        </w:tc>
        <w:tc>
          <w:tcPr>
            <w:tcW w:w="701" w:type="pct"/>
            <w:shd w:val="clear" w:color="auto" w:fill="auto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 xml:space="preserve">Документация с насоки </w:t>
            </w:r>
          </w:p>
        </w:tc>
        <w:tc>
          <w:tcPr>
            <w:tcW w:w="550" w:type="pct"/>
            <w:shd w:val="clear" w:color="auto" w:fill="auto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  <w:shd w:val="clear" w:color="auto" w:fill="auto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A.1.3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Глобален център за обмен на информация</w:t>
            </w:r>
          </w:p>
        </w:tc>
        <w:tc>
          <w:tcPr>
            <w:tcW w:w="1201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Поемане на водеща роля в Работната група по системите за следене и проследяване, създадена на Първата среща на страните (Женева, 8—10 октомври 2018 г.), която ще обсъди вариантите за създаване на ефективен и ефикасен Глобален център за обмен на информация в тясно сътрудничество със секретариата на РККТ (член 8 от Протокола към РККТ)</w:t>
            </w:r>
          </w:p>
        </w:tc>
        <w:tc>
          <w:tcPr>
            <w:tcW w:w="701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Принос за изготвянето на доклад, който да бъде представен на Втората среща на страните по Протокола към РККТ </w:t>
            </w:r>
          </w:p>
        </w:tc>
        <w:tc>
          <w:tcPr>
            <w:tcW w:w="550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10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A.1.4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Използване на нови правни инструменти в международното сътрудничество </w:t>
            </w:r>
          </w:p>
        </w:tc>
        <w:tc>
          <w:tcPr>
            <w:tcW w:w="1201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Активен принос за дейността на Работната група за сътрудничество и помощ, създадена на Първата среща на страните (Женева, 8—10 октомври 2018 г.), която ще проучи как да се прилагат новите правни инструменти (като обмен на информация и взаимопомощ) съгласно част V от Протокола към РККТ</w:t>
            </w:r>
          </w:p>
        </w:tc>
        <w:tc>
          <w:tcPr>
            <w:tcW w:w="701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Принос за изготвянето на доклад, който да бъде представен на Втората среща на страните по Протокола към РККТ</w:t>
            </w:r>
          </w:p>
        </w:tc>
        <w:tc>
          <w:tcPr>
            <w:tcW w:w="550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10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A.1.5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Движение на машини за производство и опаковане на тютюневи изделия</w:t>
            </w:r>
          </w:p>
        </w:tc>
        <w:tc>
          <w:tcPr>
            <w:tcW w:w="1201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Започване на проучване за осъществимост с цел да се разработи система за по-добър контрол на движенията в рамките на ЕС на машини за производство и опаковане на тютюневи изделия (член 6 от Протокола към РККТ)</w:t>
            </w:r>
          </w:p>
        </w:tc>
        <w:tc>
          <w:tcPr>
            <w:tcW w:w="701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Проучване за осъществимост </w:t>
            </w:r>
          </w:p>
        </w:tc>
        <w:tc>
          <w:tcPr>
            <w:tcW w:w="550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A.1.6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Забрана на смесването на тютюневи с нетютюневи изделия в един и същ контейнер в зоните за свободна търговия на ЕС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Представяне на предложение за забрана на смесването на тютюневи с нетютюневи изделия в един и същ контейнер в зоните за свободна търговия на ЕС (член 12, параграф 2 от Протокола към РККТ)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Предложението е представено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2021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auto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A.1.7</w:t>
            </w:r>
          </w:p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999" w:type="pct"/>
            <w:shd w:val="clear" w:color="auto" w:fill="auto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noProof/>
              </w:rPr>
              <w:t>Подкрепа за секретариата на РККТ</w:t>
            </w:r>
          </w:p>
        </w:tc>
        <w:tc>
          <w:tcPr>
            <w:tcW w:w="1201" w:type="pct"/>
            <w:shd w:val="clear" w:color="auto" w:fill="auto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noProof/>
              </w:rPr>
              <w:t>Експертно и материално подпомагане на секретариата на РККТ при оказването на съдействие на страните за прилагане на Протокола към РККТ</w:t>
            </w:r>
          </w:p>
        </w:tc>
        <w:tc>
          <w:tcPr>
            <w:tcW w:w="701" w:type="pct"/>
            <w:shd w:val="clear" w:color="auto" w:fill="auto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noProof/>
              </w:rPr>
              <w:t>Техническа помощ</w:t>
            </w:r>
          </w:p>
        </w:tc>
        <w:tc>
          <w:tcPr>
            <w:tcW w:w="550" w:type="pct"/>
            <w:shd w:val="clear" w:color="auto" w:fill="auto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  <w:shd w:val="clear" w:color="auto" w:fill="auto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D8D8D8" w:themeFill="background1" w:themeFillShade="D8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A.2</w:t>
            </w:r>
          </w:p>
        </w:tc>
        <w:tc>
          <w:tcPr>
            <w:tcW w:w="999" w:type="pct"/>
            <w:shd w:val="clear" w:color="auto" w:fill="D8D8D8" w:themeFill="background1" w:themeFillShade="D8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Двустранни отношения</w:t>
            </w:r>
          </w:p>
        </w:tc>
        <w:tc>
          <w:tcPr>
            <w:tcW w:w="1201" w:type="pct"/>
            <w:shd w:val="clear" w:color="auto" w:fill="D8D8D8" w:themeFill="background1" w:themeFillShade="D8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01" w:type="pct"/>
            <w:shd w:val="clear" w:color="auto" w:fill="D8D8D8" w:themeFill="background1" w:themeFillShade="D8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550" w:type="pct"/>
            <w:shd w:val="clear" w:color="auto" w:fill="D8D8D8" w:themeFill="background1" w:themeFillShade="D8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10" w:type="pct"/>
            <w:shd w:val="clear" w:color="auto" w:fill="D8D8D8" w:themeFill="background1" w:themeFillShade="D8"/>
          </w:tcPr>
          <w:p>
            <w:pPr>
              <w:jc w:val="left"/>
              <w:rPr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A.2.1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tabs>
                <w:tab w:val="right" w:pos="1733"/>
              </w:tabs>
              <w:jc w:val="left"/>
              <w:rPr>
                <w:noProof/>
              </w:rPr>
            </w:pPr>
            <w:r>
              <w:rPr>
                <w:noProof/>
              </w:rPr>
              <w:t xml:space="preserve">Обмен с трети държави на информация, свързана с митниците 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Последващи действия във връзка със заключенията на Съвета от 19 декември 2016 г. относно засиления обмен на информация, свързана с митниците, с трети държави, както и със семинара на високо равнище, организиран от българското председателство на 7—8 юни 2018 г.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Оценка и възможни последващи мерки, ако е целесъобразно 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A.2.2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Споразумение за стратегическо административно сътрудничество (SACA) с Главната митническа администрация на Китай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Ефективно изпълнение на дейностите, предвидени в SACA, след подписването му през юли 2018 г.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Приключване на дейностите, предвидени в SACA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2021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A.2.3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tabs>
                <w:tab w:val="right" w:pos="1733"/>
              </w:tabs>
              <w:jc w:val="left"/>
              <w:rPr>
                <w:noProof/>
              </w:rPr>
            </w:pPr>
            <w:r>
              <w:rPr>
                <w:noProof/>
              </w:rPr>
              <w:t>Споразумение за митническо сътрудничество и административна взаимопомощ с Китай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Преглед на Споразумението за митническо сътрудничество и административна взаимопомощ с Китай от 2004 г.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Оценка и възможни последващи мерки, ако е целесъобразно 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A.2.4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tabs>
                <w:tab w:val="right" w:pos="1733"/>
              </w:tabs>
              <w:jc w:val="left"/>
              <w:rPr>
                <w:noProof/>
              </w:rPr>
            </w:pPr>
            <w:r>
              <w:rPr>
                <w:noProof/>
              </w:rPr>
              <w:t xml:space="preserve">Договореност за административно сътрудничество с Обединените арабски емирства 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По-нататъшни дискусии с Федералния митнически орган на Обединените арабски емирства за сключване на Договореност за административно сътрудничество с OLAF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Подписване на Договореност за административно сътрудничество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A.2.5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tabs>
                <w:tab w:val="right" w:pos="1733"/>
              </w:tabs>
              <w:jc w:val="left"/>
              <w:rPr>
                <w:noProof/>
              </w:rPr>
            </w:pPr>
            <w:r>
              <w:rPr>
                <w:noProof/>
              </w:rPr>
              <w:t xml:space="preserve">Споразумение за митническо сътрудничество и административна взаимопомощ с Обединените арабски емирства 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Проучване за осъществимост относно Споразумение за митническо сътрудничество и административна взаимопомощ с Обединените арабски емирства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Приключване на обсъжданията относно осъществимостта и възможни последващи мерки, ако е целесъобразно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ЕСВД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A.2.6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Сближаване на акцизните данъци от страна на трети държави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Договаряне на нови ангажименти с ключови държави кандидатки и потенциални кандидатки, както и с други съответни държави, обхванати от политиката на ЕС за съседство, за да се сближат акцизните им ставки с приложимите равнища на ЕС;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Постигане на ангажименти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ЕСВД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A.2.7</w:t>
            </w:r>
          </w:p>
          <w:p>
            <w:pPr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Митническо сътрудничество с Беларус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Укрепване на митническото сътрудничество с Беларус чрез подходяща рамка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Засилване на ефективната работа и сътрудничество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ЕСВД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A.2.9</w:t>
            </w:r>
          </w:p>
          <w:p>
            <w:pPr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Служители за връзка на OLAF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Увеличаване на броя на служителите за връзка на OLAF, разположени в ключови трети държави, в рамките на наличните ресурсни ограничения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Увеличен брой служители за връзка на OLAF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2022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ЕСВД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81"/>
        <w:gridCol w:w="2954"/>
        <w:gridCol w:w="3552"/>
        <w:gridCol w:w="2073"/>
        <w:gridCol w:w="1627"/>
        <w:gridCol w:w="2100"/>
      </w:tblGrid>
      <w:tr>
        <w:trPr>
          <w:cantSplit/>
        </w:trPr>
        <w:tc>
          <w:tcPr>
            <w:tcW w:w="839" w:type="pct"/>
            <w:shd w:val="clear" w:color="auto" w:fill="A6A6A6" w:themeFill="background1" w:themeFillShade="A6"/>
          </w:tcPr>
          <w:p>
            <w:pPr>
              <w:rPr>
                <w:noProof/>
              </w:rPr>
            </w:pPr>
            <w:r>
              <w:rPr>
                <w:rFonts w:ascii="Times New Roman Bold" w:hAnsi="Times New Roman Bold"/>
                <w:b/>
                <w:smallCaps/>
                <w:noProof/>
              </w:rPr>
              <w:t>B</w:t>
            </w:r>
          </w:p>
        </w:tc>
        <w:tc>
          <w:tcPr>
            <w:tcW w:w="999" w:type="pct"/>
            <w:shd w:val="clear" w:color="auto" w:fill="A6A6A6" w:themeFill="background1" w:themeFillShade="A6"/>
          </w:tcPr>
          <w:p>
            <w:pPr>
              <w:jc w:val="left"/>
              <w:rPr>
                <w:noProof/>
              </w:rPr>
            </w:pPr>
            <w:r>
              <w:rPr>
                <w:rFonts w:ascii="Times New Roman Bold" w:hAnsi="Times New Roman Bold"/>
                <w:b/>
                <w:smallCaps/>
                <w:noProof/>
              </w:rPr>
              <w:t>Ограничаване на предлагането</w:t>
            </w:r>
          </w:p>
        </w:tc>
        <w:tc>
          <w:tcPr>
            <w:tcW w:w="1201" w:type="pct"/>
            <w:shd w:val="clear" w:color="auto" w:fill="A6A6A6" w:themeFill="background1" w:themeFillShade="A6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01" w:type="pct"/>
            <w:shd w:val="clear" w:color="auto" w:fill="A6A6A6" w:themeFill="background1" w:themeFillShade="A6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550" w:type="pct"/>
            <w:shd w:val="clear" w:color="auto" w:fill="A6A6A6" w:themeFill="background1" w:themeFillShade="A6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10" w:type="pct"/>
            <w:shd w:val="clear" w:color="auto" w:fill="A6A6A6" w:themeFill="background1" w:themeFillShade="A6"/>
          </w:tcPr>
          <w:p>
            <w:pPr>
              <w:jc w:val="left"/>
              <w:rPr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  <w:shd w:val="clear" w:color="auto" w:fill="BFBFBF" w:themeFill="background1" w:themeFillShade="BF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B.1</w:t>
            </w:r>
          </w:p>
        </w:tc>
        <w:tc>
          <w:tcPr>
            <w:tcW w:w="999" w:type="pct"/>
            <w:shd w:val="clear" w:color="auto" w:fill="BFBFBF" w:themeFill="background1" w:themeFillShade="BF"/>
          </w:tcPr>
          <w:p>
            <w:pPr>
              <w:jc w:val="left"/>
              <w:rPr>
                <w:noProof/>
              </w:rPr>
            </w:pPr>
            <w:r>
              <w:rPr>
                <w:b/>
                <w:noProof/>
              </w:rPr>
              <w:t>Гарантиране на сигурността на веригата на доставки — нова система на ЕС за проследяване на тютюневите изделия</w:t>
            </w:r>
          </w:p>
        </w:tc>
        <w:tc>
          <w:tcPr>
            <w:tcW w:w="1201" w:type="pct"/>
            <w:shd w:val="clear" w:color="auto" w:fill="BFBFBF" w:themeFill="background1" w:themeFillShade="BF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10" w:type="pct"/>
            <w:shd w:val="clear" w:color="auto" w:fill="BFBFBF" w:themeFill="background1" w:themeFillShade="BF"/>
          </w:tcPr>
          <w:p>
            <w:pPr>
              <w:jc w:val="left"/>
              <w:rPr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B.1.1</w:t>
            </w:r>
          </w:p>
          <w:p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Подкрепа за внедряването на новата система за проследяване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Подкрепа за държавите членки при внедряването на новата система на ЕС за проследяване, предвидена по силата на Директивата за тютюневите изделия от 2014 г.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Оказана помощ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B.1.2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Популяризиране в съседните държави на системата на ЕС за проследяване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Осигуряване на помощ и подкрепа за държавите в по-широко съседство с ЕС (по-специално страните кандидатки и потенциални кандидатки, както и държавите, обхванати от политиката на ЕС за съседство) да въведат сходни и евентуално интегрирани системи за проследяване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Ефективно привеждане в съответствие на системите за проследяване в съответните държави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2022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ЕСВД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B.1.3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Преглед на системата на ЕС за проследяване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Преглед на функционирането на системата на ЕС за следене и проследяване, по-специално на процедурите за подбор на независими трети страни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Преглед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2021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B.2</w:t>
            </w:r>
          </w:p>
        </w:tc>
        <w:tc>
          <w:tcPr>
            <w:tcW w:w="99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Ограничаване на предлагането на суровини</w:t>
            </w:r>
          </w:p>
        </w:tc>
        <w:tc>
          <w:tcPr>
            <w:tcW w:w="12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1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B.2.1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Движение на суров и нарязан тютюн 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Разработване на оперативни инструменти за по-добро наблюдение и контрол на трансграничните движения на суров и нарязан тютюн към и в рамките на ЕС, включително чрез организиране на технически семинар за анализ на съответните национални системи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Мерки, предприети за наблюдение и контрол на движението на суров и нарязан тютюн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2021 г. 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B.2.2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Ограничаване на достъпа до филтри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Анализ на възможностите за ограничаване на достъпа на производителите на незаконни тютюневи изделия до ацетатни влакна и цигарени филтри в сътрудничество със съответните държави на произход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Доклад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2022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B.3</w:t>
            </w:r>
          </w:p>
        </w:tc>
        <w:tc>
          <w:tcPr>
            <w:tcW w:w="99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Укрепване на митническата уредба</w:t>
            </w:r>
          </w:p>
        </w:tc>
        <w:tc>
          <w:tcPr>
            <w:tcW w:w="12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  <w:tc>
          <w:tcPr>
            <w:tcW w:w="71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B.3.1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Система за контрол на движението на акцизни стоки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Разширяване на Системата за движението и контрола на акцизни стоки, създадена с Директива 2008/118, за да обхване и движението на стоки с платен акциз при сделки между предприятия, така че да се подобри наблюдението на движението, въз основа на предложението на Комисията от 25 май 2018 г. за преразглеждане на посочената директива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Приемане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2022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Европейският парламент 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Съветът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B.3.2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Техническа помощ за митническите следствени органи на държавите членки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Подкрепа за държавите членки в закупуването на оборудване за митнически контрол въз основа на предложението на Комисията от 12 юни 2018 г. (COM(2018) 474)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Програмата е приета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Европейският парламент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Съветът</w:t>
            </w:r>
          </w:p>
        </w:tc>
      </w:tr>
      <w:tr>
        <w:trPr>
          <w:cantSplit/>
          <w:trHeight w:val="66"/>
        </w:trPr>
        <w:tc>
          <w:tcPr>
            <w:tcW w:w="83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B.4</w:t>
            </w:r>
          </w:p>
        </w:tc>
        <w:tc>
          <w:tcPr>
            <w:tcW w:w="99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Засилване на правоприлагането, разкриването и санкциите</w:t>
            </w:r>
          </w:p>
        </w:tc>
        <w:tc>
          <w:tcPr>
            <w:tcW w:w="12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  <w:tc>
          <w:tcPr>
            <w:tcW w:w="71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B.4.1</w:t>
            </w:r>
          </w:p>
        </w:tc>
        <w:tc>
          <w:tcPr>
            <w:tcW w:w="999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Рамка за правоприлагане</w:t>
            </w:r>
          </w:p>
        </w:tc>
        <w:tc>
          <w:tcPr>
            <w:tcW w:w="1201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01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550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10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B.4.1.1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Създаване на Европейска прокуратура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Създаване на функционираща Европейска прокуратура, която разполага с подходящи правомощия и средства, за да разследва широкомащабни случаи на незаконна търговия с тютюневи изделия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Начало на функционирането на Европейската прокуратура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края на 2020 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Европейска прокуратура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B.4.1.2</w:t>
            </w:r>
          </w:p>
          <w:p>
            <w:pPr>
              <w:jc w:val="left"/>
              <w:rPr>
                <w:i/>
                <w:noProof/>
                <w:color w:val="00B050"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Законодателна рамка на OLAF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Предложение на Комисията от 23 май 2018 г. за повишаване на ефективността на разследванията на OLAF чрез изменение на Регламент 883/2013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Приемане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Европейският парламент и Съветът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B.4.1.3</w:t>
            </w:r>
          </w:p>
          <w:p>
            <w:pPr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Прилагане на Директива (ЕС) 2017/1371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Наблюдение на цялостното прилагане на Директива (ЕС) 2017/1371 на Европейския парламент и на Съвета от 5 юли 2017 г. относно борбата с измамите, засягащи финансовите интереси на Съюза, по наказателноправен ред, що се отнася до престъпленията, свързани с незаконната търговия с тютюневи изделия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Наблюдение на цялостното прилагане 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От юли 2019 г. нататък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B.4.1.4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Работни договорености между OLAF и Европол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Европол и OLAF да се споразумеят за разширени работни договорености и последващо асоцииране на OLAF към Аналитичния проект „Smoke“ на Европол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Съгласувани работни договорености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Европол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B.4.1.5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Засилване на координацията при правоприлагането в областта на митниците 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Засилване на координацията при правоприлагането в областта на митниците, с насоченост към незаконната търговия с тютюневи изделия на европейско равнище, в това число по-специално работните цикли в рамките на EMPACT (Европол) и Оперативния план за действие (работна група „Митническо сътрудничество“)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Ефективна координация на правоприлагането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Европол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Държавите членки 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B.4.1.6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Меморандум за разбирателство между OLAF и СМО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Актуализиране и засилване на споразумението за сътрудничество между OLAF и СМО от 2003 г. по отношение на данните за изземване на цигари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Приемане на меморандум за разбирателство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B.4.1.7</w:t>
            </w:r>
          </w:p>
          <w:p>
            <w:pPr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Административни санкции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Предложение на Комисията за директива относно законодателната рамка на Съюза в областта на митническите нарушения и наказания (COM/2013/0884 final)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Приемане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Европейският парламент и Съветът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B.4.2</w:t>
            </w:r>
          </w:p>
        </w:tc>
        <w:tc>
          <w:tcPr>
            <w:tcW w:w="999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Оперативни дейности</w:t>
            </w:r>
          </w:p>
        </w:tc>
        <w:tc>
          <w:tcPr>
            <w:tcW w:w="1201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01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550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710" w:type="pct"/>
            <w:shd w:val="clear" w:color="auto" w:fill="D9D9D9" w:themeFill="background1" w:themeFillShade="D9"/>
          </w:tcPr>
          <w:p>
            <w:pPr>
              <w:jc w:val="left"/>
              <w:rPr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B.4.2.1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Борба с незаконното производство на тютюневи изделия в ЕС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Засилване на оперативното сътрудничество между полицейските и митническите органи с цел откриване и демонтиране на незаконни обекти за производство на тютюневи изделия в ЕС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Разкриване и затваряне на незаконни обекти за производство на тютюневи изделия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Европол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B.4.2.2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Оперативна дейност, съсредоточена върху източната сухопътна граница на ЕС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Извършване на оперативни дейности, насочени срещу контрабандата на цигари през източната сухопътна граница на ЕС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Иззети обеми и очаквано финансово въздействие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Frontex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B.4.2.3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Оперативна дейност, съсредоточена в Източното Средиземноморие, Адриатическо и Черно море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Извършване на оперативни дейности, насочени срещу контрабандата на цигари в Източното Средиземноморие, Адриатическо и Черно море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Иззети обеми и очаквано финансово въздействие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B.4.2.4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Оперативна дейност, съсредоточена върху тютюна за наргиле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Извършване на оперативни дейности, насочени срещу контрабандата на тютюна за наргиле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Иззети обеми и очаквано финансово въздействие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B.4.2.5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Оперативна дейност, съсредоточена върху продажбата на незаконни тютюневи изделия по интернет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Извършване на оперативни дейности, насочени срещу продажбата на незаконни тютюневи изделия по интернет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Иззети обеми и очаквано финансово въздействие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2021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Държавите членки 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B.4.2.6</w:t>
            </w:r>
          </w:p>
          <w:p>
            <w:pPr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Режим транзит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Извършване на съвместни засилени дейности за справяне с нарушенията на режима транзит за акцизни стоки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Увеличение на броя на откритите нарушения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 (чрез CELBET)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81"/>
        <w:gridCol w:w="2954"/>
        <w:gridCol w:w="3552"/>
        <w:gridCol w:w="2073"/>
        <w:gridCol w:w="1627"/>
        <w:gridCol w:w="2100"/>
      </w:tblGrid>
      <w:tr>
        <w:trPr>
          <w:cantSplit/>
        </w:trPr>
        <w:tc>
          <w:tcPr>
            <w:tcW w:w="839" w:type="pct"/>
            <w:shd w:val="clear" w:color="auto" w:fill="A5A5A5" w:themeFill="background1" w:themeFillShade="A5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rFonts w:ascii="Times New Roman Bold" w:hAnsi="Times New Roman Bold"/>
                <w:b/>
                <w:smallCaps/>
                <w:noProof/>
              </w:rPr>
              <w:t>C</w:t>
            </w:r>
          </w:p>
        </w:tc>
        <w:tc>
          <w:tcPr>
            <w:tcW w:w="999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  <w:r>
              <w:rPr>
                <w:b/>
                <w:smallCaps/>
                <w:noProof/>
              </w:rPr>
              <w:t>Ограничаване на търсенето</w:t>
            </w:r>
          </w:p>
        </w:tc>
        <w:tc>
          <w:tcPr>
            <w:tcW w:w="1201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</w:p>
        </w:tc>
        <w:tc>
          <w:tcPr>
            <w:tcW w:w="701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</w:p>
        </w:tc>
        <w:tc>
          <w:tcPr>
            <w:tcW w:w="550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</w:p>
        </w:tc>
        <w:tc>
          <w:tcPr>
            <w:tcW w:w="710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C.1</w:t>
            </w:r>
          </w:p>
        </w:tc>
        <w:tc>
          <w:tcPr>
            <w:tcW w:w="99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Повишаване на осведомеността</w:t>
            </w:r>
          </w:p>
        </w:tc>
        <w:tc>
          <w:tcPr>
            <w:tcW w:w="12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1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  <w:shd w:val="clear" w:color="auto" w:fill="FFFFFF" w:themeFill="background1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C.1.1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  <w:shd w:val="clear" w:color="auto" w:fill="FFFFFF" w:themeFill="background1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Проучване на Евробарометър относно незаконните тютюневи изделия</w:t>
            </w:r>
          </w:p>
        </w:tc>
        <w:tc>
          <w:tcPr>
            <w:tcW w:w="1201" w:type="pct"/>
            <w:shd w:val="clear" w:color="auto" w:fill="FFFFFF" w:themeFill="background1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Събиране на обективни данни на национално равнище относно общественото възприятие за незаконната търговия с тютюневи изделия като продължение на специалното проучване на Евробарометър № 443 от 2016 г. </w:t>
            </w:r>
          </w:p>
        </w:tc>
        <w:tc>
          <w:tcPr>
            <w:tcW w:w="701" w:type="pct"/>
            <w:shd w:val="clear" w:color="auto" w:fill="FFFFFF" w:themeFill="background1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Публикуване на доклад на Евробарометър </w:t>
            </w:r>
          </w:p>
        </w:tc>
        <w:tc>
          <w:tcPr>
            <w:tcW w:w="550" w:type="pct"/>
            <w:shd w:val="clear" w:color="auto" w:fill="FFFFFF" w:themeFill="background1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10" w:type="pct"/>
            <w:shd w:val="clear" w:color="auto" w:fill="FFFFFF" w:themeFill="background1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C.1.2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Кампании за повишаване на осведомеността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Осигуряване на платформа, която дава възможност на държавите членки да обменят добри практики за кампании за повишаване на осведомеността, съсредоточени върху рисковете, свързани със закупуването на незаконни тютюневи изделия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Добри практики, обменяни между държавите членки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C.2</w:t>
            </w:r>
          </w:p>
        </w:tc>
        <w:tc>
          <w:tcPr>
            <w:tcW w:w="99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Намаляване на стимулите</w:t>
            </w:r>
          </w:p>
        </w:tc>
        <w:tc>
          <w:tcPr>
            <w:tcW w:w="12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  <w:tc>
          <w:tcPr>
            <w:tcW w:w="71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C.2.1</w:t>
            </w:r>
          </w:p>
          <w:p>
            <w:pPr>
              <w:jc w:val="left"/>
              <w:rPr>
                <w:i/>
                <w:noProof/>
                <w:color w:val="E36C0A" w:themeColor="accent6" w:themeShade="BF"/>
              </w:rPr>
            </w:pPr>
            <w:r>
              <w:rPr>
                <w:i/>
                <w:noProof/>
                <w:color w:val="E36C0A" w:themeColor="accent6" w:themeShade="BF"/>
              </w:rPr>
              <w:br/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Ставки и структури на акциза, прилагани към обработения тютюн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Преразглеждане на минималните ставки, приложими съгласно Директива 2011/64/ЕС относно структурата и ставките на акциза върху обработен тютюн, въз основа на заключенията в доклада на Комисията от 12 януари 2018 г. (COM(2018)017)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Доклад относно напредъка при преразглеждането на минималните ставки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81"/>
        <w:gridCol w:w="2954"/>
        <w:gridCol w:w="3552"/>
        <w:gridCol w:w="2073"/>
        <w:gridCol w:w="1627"/>
        <w:gridCol w:w="2100"/>
      </w:tblGrid>
      <w:tr>
        <w:trPr>
          <w:cantSplit/>
        </w:trPr>
        <w:tc>
          <w:tcPr>
            <w:tcW w:w="839" w:type="pct"/>
            <w:shd w:val="clear" w:color="auto" w:fill="A5A5A5" w:themeFill="background1" w:themeFillShade="A5"/>
          </w:tcPr>
          <w:p>
            <w:pPr>
              <w:jc w:val="left"/>
              <w:rPr>
                <w:rFonts w:ascii="Times New Roman Bold" w:hAnsi="Times New Roman Bold"/>
                <w:b/>
                <w:bCs/>
                <w:smallCaps/>
                <w:noProof/>
              </w:rPr>
            </w:pPr>
            <w:r>
              <w:rPr>
                <w:rFonts w:ascii="Times New Roman Bold" w:hAnsi="Times New Roman Bold"/>
                <w:b/>
                <w:smallCaps/>
                <w:noProof/>
              </w:rPr>
              <w:t>D</w:t>
            </w:r>
          </w:p>
        </w:tc>
        <w:tc>
          <w:tcPr>
            <w:tcW w:w="999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  <w:r>
              <w:rPr>
                <w:b/>
                <w:smallCaps/>
                <w:noProof/>
              </w:rPr>
              <w:t>Анализ и събиране на сведения</w:t>
            </w:r>
          </w:p>
        </w:tc>
        <w:tc>
          <w:tcPr>
            <w:tcW w:w="1201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</w:p>
        </w:tc>
        <w:tc>
          <w:tcPr>
            <w:tcW w:w="701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</w:p>
        </w:tc>
        <w:tc>
          <w:tcPr>
            <w:tcW w:w="550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</w:p>
        </w:tc>
        <w:tc>
          <w:tcPr>
            <w:tcW w:w="710" w:type="pct"/>
            <w:shd w:val="clear" w:color="auto" w:fill="A5A5A5" w:themeFill="background1" w:themeFillShade="A5"/>
          </w:tcPr>
          <w:p>
            <w:pPr>
              <w:jc w:val="left"/>
              <w:rPr>
                <w:b/>
                <w:bCs/>
                <w:smallCaps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D.1</w:t>
            </w:r>
          </w:p>
        </w:tc>
        <w:tc>
          <w:tcPr>
            <w:tcW w:w="99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Събиране и анализ на данни</w:t>
            </w:r>
          </w:p>
        </w:tc>
        <w:tc>
          <w:tcPr>
            <w:tcW w:w="12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1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D.1.1</w:t>
            </w:r>
          </w:p>
          <w:p>
            <w:pPr>
              <w:jc w:val="left"/>
              <w:rPr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По-добро докладване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Систематично докладване от страна на държавите членки за съответните изземвания и събиране на сведения в приложението AFIS (МИС+), улеснено чрез прилагането на подхода „отделно докладване за всяко изземване“ и въз основа на насоки, които следва да бъдат обсъдени на техническа работна среща за митническите органи.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Пълно отразяване в МИС+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D.1.2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Усъвършенстван ИТ инструмент за статистика относно изземванията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Предоставяне на държавите членки на усъвършенстван ИТ инструмент за докладване относно иззети цигари и за обмен на информация във връзка с тютюневите изделия (МИС+)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Предоставяне на ИТ приложение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От 2018 г. нататък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D.1.3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Анализ на данни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Осигуряване на подкрепа за аналитичния капацитет на държавите членки за откриване на незаконни пратки, включително чрез срещи на експертно ниво и подходяща ИТ инфраструктура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Техническа помощ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Специален проект за тютюневите изделия от 2019 г. нататък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D.1.4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Анализ на риска относно Системата за движението и контрола на акцизни стоки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По-добро използване на данните от Системата за движението и контрола на акцизни стоки за целите на анализа на риска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Доклад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До 2020 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D.1.5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Използване на данните, генерирани от системата на ЕС за проследяване на тютюневите изделия, за целите на анализа на данни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Подкрепа за държавите членки чрез предоставяне на практически и аналитични средства за използване на информацията, събрана в системата за съхранение на данни от следене и проследяване.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Помощ, предоставена на държавите членки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От 2020 г. нататък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D.1.6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Измерване на незаконния пазар на тютюневи изделия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Проучване за осъществимост на измерването на незаконния пазар на тютюневи изделия като основа за оперативно и политическо вземане на решения, основано на факти.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Публикуване на проучването и, ако е целесъобразно, стартиране на пилотен проект за изпитване на методологията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D.1.7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Лаборатория на ЕС за тютюневи изделия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Предоставяне на химически и технически анализ на избрани образци на иззети тютюневи изделия и популяризиране на възможностите на лабораторията сред националните митнически служби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Брой на предложените анализи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Дейности за популяризиране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D.2</w:t>
            </w:r>
          </w:p>
        </w:tc>
        <w:tc>
          <w:tcPr>
            <w:tcW w:w="999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Засилено сътрудничество и координация</w:t>
            </w:r>
          </w:p>
        </w:tc>
        <w:tc>
          <w:tcPr>
            <w:tcW w:w="12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  <w:tc>
          <w:tcPr>
            <w:tcW w:w="710" w:type="pct"/>
            <w:shd w:val="clear" w:color="auto" w:fill="BFBFBF" w:themeFill="background1" w:themeFillShade="BF"/>
          </w:tcPr>
          <w:p>
            <w:pPr>
              <w:jc w:val="left"/>
              <w:rPr>
                <w:b/>
                <w:bCs/>
                <w:noProof/>
              </w:rPr>
            </w:pP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D.2.1</w:t>
            </w:r>
          </w:p>
          <w:p>
            <w:pPr>
              <w:jc w:val="left"/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Годишен доклад относно незаконната търговия с тютюневи изделия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Представяне на годишен доклад, целящ да информира митническите органи на държавите членки относно събраната информация за незаконната търговия с тютюневи изделия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Доклад 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От 2019 г. нататък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D.2.2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Обмен на информация с държавите членки относно незаконната търговия с тютюневи изделия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Обмен на информация с експерти от държавите членки относно тенденциите и възможните корективни мерки в рамките на експертната група на Комисията за борба с незаконната търговия с тютюневи изделия 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Две заседания годишно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Държавите членки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D.2.3</w:t>
            </w:r>
          </w:p>
          <w:p>
            <w:pPr>
              <w:jc w:val="left"/>
              <w:rPr>
                <w:b/>
                <w:i/>
                <w:noProof/>
                <w:highlight w:val="darkGray"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  <w:highlight w:val="darkGray"/>
              </w:rPr>
            </w:pPr>
            <w:r>
              <w:rPr>
                <w:noProof/>
              </w:rPr>
              <w:t>Сътрудничество в областта на стратегическия анализ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Споделяне на стратегически анализи между OLAF и Европол, както и други съответни публични субекти, по целесъобразност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Споделени и обсъдени анализи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Безсрочно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OLAF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Европол</w:t>
            </w:r>
          </w:p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Други съответни публични субекти</w:t>
            </w:r>
          </w:p>
        </w:tc>
      </w:tr>
      <w:tr>
        <w:trPr>
          <w:cantSplit/>
        </w:trPr>
        <w:tc>
          <w:tcPr>
            <w:tcW w:w="839" w:type="pct"/>
          </w:tcPr>
          <w:p>
            <w:pPr>
              <w:rPr>
                <w:noProof/>
              </w:rPr>
            </w:pPr>
            <w:r>
              <w:rPr>
                <w:noProof/>
              </w:rPr>
              <w:t>D.2.4</w:t>
            </w:r>
          </w:p>
          <w:p>
            <w:pPr>
              <w:rPr>
                <w:i/>
                <w:noProof/>
              </w:rPr>
            </w:pPr>
          </w:p>
        </w:tc>
        <w:tc>
          <w:tcPr>
            <w:tcW w:w="999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Конференция на заинтересованите страни относно незаконната търговия с тютюневи изделия</w:t>
            </w:r>
          </w:p>
        </w:tc>
        <w:tc>
          <w:tcPr>
            <w:tcW w:w="12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Организиране на проява със заинтересованите страни с цел информиране за тенденциите в незаконната търговия с тютюневи изделия и обсъждане на мненията на обществеността за това предизвикателство</w:t>
            </w:r>
          </w:p>
        </w:tc>
        <w:tc>
          <w:tcPr>
            <w:tcW w:w="701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Организиране на конференция на заинтересованите страни</w:t>
            </w:r>
          </w:p>
        </w:tc>
        <w:tc>
          <w:tcPr>
            <w:tcW w:w="55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2022 г.</w:t>
            </w:r>
          </w:p>
        </w:tc>
        <w:tc>
          <w:tcPr>
            <w:tcW w:w="710" w:type="pct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Комисията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  <w:r>
      <w:rPr>
        <w:rFonts w:ascii="Arial" w:hAnsi="Arial"/>
        <w:b/>
        <w:sz w:val="48"/>
      </w:rPr>
      <w:t>BG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/>
        <w:b/>
        <w:sz w:val="48"/>
      </w:rPr>
      <w:t>BG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D005369-066B-4E78-A859-5CB5FBA6AC56"/>
    <w:docVar w:name="LW_COVERPAGE_TYPE" w:val="1"/>
    <w:docVar w:name="LW_CROSSREFERENCE" w:val="&lt;UNUSED&gt;"/>
    <w:docVar w:name="LW_DocType" w:val="NORMAL"/>
    <w:docVar w:name="LW_EMISSION" w:val="7.12.2018"/>
    <w:docVar w:name="LW_EMISSION_ISODATE" w:val="2018-12-07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2?\u1090?\u1086?\u1088?\u1080? \u1087?\u1083?\u1072?\u1085? \u1079?\u1072? \u1076?\u1077?\u1081?\u1089?\u1090?\u1074?\u1080?\u1077? \u1079?\u1072? \u1073?\u1086?\u1088?\u1073?\u1072? \u1089? \u1085?\u1077?\u1079?\u1072?\u1082?\u1086?\u1085?\u1085?\u1072?\u1090?\u1072? \u1090?\u1098?\u1088?\u1075?\u1086?\u1074?\u1080?\u1103? \u1089? \u1090?\u1102?\u1090?\u1102?\u1085?\u1077?\u1074?\u1080? \u1080?\u1079?\u1076?\u1077?\u1083?\u1080?\u1103? \u1079?\u1072? \u1087?\u1077?\u1088?\u1080?\u1086?\u1076?\u1072? 2018\u8212?2022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8) 8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98?\u1086?\u1073?\u1097?\u1077?\u1085?\u1080?\u1077?\u1090?\u1086? \u1085?\u1072? \u1050?\u1086?\u1084?\u1080?\u1089?\u1080?\u1103?\u1090?\u1072? \u1076?\u1086? \u1045?\u1074?\u1088?\u1086?\u1087?\u1077?\u1081?\u1089?\u1082?\u1080?\u1103? \u1087?\u1072?\u1088?\u1083?\u1072?\u1084?\u1077?\u1085?\u1090?, \u1057?\u1098?\u1074?\u1077?\u1090?\u1072? \u1080? \u1045?\u1074?\u1088?\u1086?\u1087?\u1077?\u1081?\u1089?\u1082?\u1080?\u1103? \u1080?\u1082?\u1086?\u1085?\u1086?\u1084?\u1080?\u1095?\u1077?\u1089?\u1082?\u1080? \u1080? \u1089?\u1086?\u1094?\u1080?\u1072?\u1083?\u1077?\u1085? \u1082?\u1086?\u1084?\u1080?\u1090?\u1077?\u109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paragraph" w:customStyle="1" w:styleId="Annexetitre">
    <w:name w:val="Annexe titre"/>
    <w:basedOn w:val="Normal"/>
    <w:next w:val="Normal"/>
    <w:link w:val="AnnexetitreChar"/>
    <w:pPr>
      <w:jc w:val="center"/>
    </w:pPr>
    <w:rPr>
      <w:b/>
      <w:u w:val="single"/>
    </w:rPr>
  </w:style>
  <w:style w:type="table" w:styleId="TableGrid">
    <w:name w:val="Table Grid"/>
    <w:basedOn w:val="TableNormal"/>
    <w:uiPriority w:val="59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nnexetitreChar">
    <w:name w:val="Annexe titre Char"/>
    <w:basedOn w:val="DefaultParagraphFont"/>
    <w:link w:val="Annexetitre"/>
    <w:rPr>
      <w:rFonts w:ascii="Times New Roman" w:hAnsi="Times New Roman" w:cs="Times New Roman"/>
      <w:b/>
      <w:sz w:val="24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AnnexetitreChar"/>
    <w:link w:val="FooterSensitivity"/>
    <w:rPr>
      <w:rFonts w:ascii="Times New Roman" w:hAnsi="Times New Roman" w:cs="Times New Roman"/>
      <w:b/>
      <w:sz w:val="32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AnnexetitreChar"/>
    <w:link w:val="Head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AnnexetitreChar"/>
    <w:link w:val="HeaderSensitivity"/>
    <w:rPr>
      <w:rFonts w:ascii="Times New Roman" w:hAnsi="Times New Roman" w:cs="Times New Roman"/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paragraph" w:customStyle="1" w:styleId="Annexetitre">
    <w:name w:val="Annexe titre"/>
    <w:basedOn w:val="Normal"/>
    <w:next w:val="Normal"/>
    <w:link w:val="AnnexetitreChar"/>
    <w:pPr>
      <w:jc w:val="center"/>
    </w:pPr>
    <w:rPr>
      <w:b/>
      <w:u w:val="single"/>
    </w:rPr>
  </w:style>
  <w:style w:type="table" w:styleId="TableGrid">
    <w:name w:val="Table Grid"/>
    <w:basedOn w:val="TableNormal"/>
    <w:uiPriority w:val="59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nnexetitreChar">
    <w:name w:val="Annexe titre Char"/>
    <w:basedOn w:val="DefaultParagraphFont"/>
    <w:link w:val="Annexetitre"/>
    <w:rPr>
      <w:rFonts w:ascii="Times New Roman" w:hAnsi="Times New Roman" w:cs="Times New Roman"/>
      <w:b/>
      <w:sz w:val="24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AnnexetitreChar"/>
    <w:link w:val="FooterSensitivity"/>
    <w:rPr>
      <w:rFonts w:ascii="Times New Roman" w:hAnsi="Times New Roman" w:cs="Times New Roman"/>
      <w:b/>
      <w:sz w:val="32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AnnexetitreChar"/>
    <w:link w:val="Head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AnnexetitreChar"/>
    <w:link w:val="HeaderSensitivity"/>
    <w:rPr>
      <w:rFonts w:ascii="Times New Roman" w:hAnsi="Times New Roman" w:cs="Times New Roman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19</Pages>
  <Words>2362</Words>
  <Characters>14389</Characters>
  <Application>Microsoft Office Word</Application>
  <DocSecurity>0</DocSecurity>
  <Lines>1106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CASTOVA Klara (OLAF-EXT)</dc:creator>
  <cp:lastModifiedBy>DIGIT/C6</cp:lastModifiedBy>
  <cp:revision>10</cp:revision>
  <dcterms:created xsi:type="dcterms:W3CDTF">2018-11-16T14:58:00Z</dcterms:created>
  <dcterms:modified xsi:type="dcterms:W3CDTF">2018-12-14T08:32:00Z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