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E27D7DA-24B1-477F-9E67-E96FF951C119" style="width:450.75pt;height:478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rPr>
          <w:noProof/>
        </w:rPr>
      </w:pPr>
    </w:p>
    <w:p>
      <w:pPr>
        <w:pStyle w:val="Typedudocument"/>
        <w:rPr>
          <w:noProof/>
        </w:rPr>
      </w:pPr>
      <w:r>
        <w:rPr>
          <w:noProof/>
        </w:rPr>
        <w:t>РЕШЕНИЕ № 1 НА РАБОТНАТА ГРУПА ПО ЛОЗАРО-ВИНАРСКИТЕ ПРОДУКТИ ЕС—ЯПОНИЯ</w:t>
      </w:r>
    </w:p>
    <w:p>
      <w:pPr>
        <w:pStyle w:val="Typedudocument"/>
        <w:rPr>
          <w:noProof/>
        </w:rPr>
      </w:pPr>
      <w:r>
        <w:rPr>
          <w:noProof/>
        </w:rPr>
        <w:t>от ...</w:t>
      </w:r>
    </w:p>
    <w:p>
      <w:pPr>
        <w:pStyle w:val="Titreobjet"/>
        <w:rPr>
          <w:noProof/>
        </w:rPr>
      </w:pPr>
      <w:r>
        <w:rPr>
          <w:noProof/>
        </w:rPr>
        <w:t>за приемане на формулярите, които трябва да бъдат използвани като сертификати за вноса в Европейския съюз на лозаро-винарски продукти с произход от Япония, и на условията за прилагане на самостоятелно сертифициране</w:t>
      </w:r>
    </w:p>
    <w:p>
      <w:pPr>
        <w:pStyle w:val="Institutionquiagit"/>
        <w:rPr>
          <w:noProof/>
        </w:rPr>
      </w:pPr>
      <w:r>
        <w:rPr>
          <w:noProof/>
        </w:rPr>
        <w:t>РАБОТНАТА ГРУПА ПО ЛОЗАРО-ВИНАРСКИТЕ ПРОДУКТИ,</w:t>
      </w:r>
    </w:p>
    <w:p>
      <w:pPr>
        <w:rPr>
          <w:noProof/>
        </w:rPr>
      </w:pPr>
      <w:r>
        <w:rPr>
          <w:noProof/>
        </w:rPr>
        <w:t>като взе предвид Споразумението за икономическо партньорство между Европейския съюз и Япония (наричано по-нататък „споразумението“), и по-специално членове 2.28 и 2.35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Споразумението за икономическо партньорство между Европейския съюз и Япония (наричано по-нататък „споразумението“) следва да влезе в сила на [1 февруари 2019 г.].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С член 22.4 от споразумението се създава Работна група по лозаро-винарските продукти, която, наред с другите си функции, е отговорна за ефективното прилагане и изпълнение на раздел В и приложение 2-Д към споразумението.</w:t>
      </w:r>
    </w:p>
    <w:p>
      <w:pPr>
        <w:pStyle w:val="Considrant"/>
        <w:rPr>
          <w:noProof/>
        </w:rPr>
      </w:pPr>
      <w:r>
        <w:rPr>
          <w:noProof/>
        </w:rPr>
        <w:t>В съответствие с член 2.28 от споразумението сертификат, чиято автентичност е удостоверена в съответствие със законовите и подзаконовите актове на Япония, включително самостоятелно издаден сертификат от производител, оторизиран от компетентния орган на Япония, се счита за достатъчен за изпълнението на изискванията за вноса и продажбата в Европейския съюз на лозаро-винарски продукти с произход от Япония.</w:t>
      </w:r>
    </w:p>
    <w:p>
      <w:pPr>
        <w:pStyle w:val="Considrant"/>
        <w:rPr>
          <w:noProof/>
        </w:rPr>
      </w:pPr>
      <w:r>
        <w:rPr>
          <w:noProof/>
        </w:rPr>
        <w:t>Съгласно член 2.28, параграф 2, буква а) от споразумението формулярите, които трябва да бъдат използвани като сертификати, и информацията, която трябва да бъде посочена в сертификатите, се приемат с решение на Работната група по лозаро-винарските продукти, създадена по силата на член 22.4 от споразумението.</w:t>
      </w:r>
    </w:p>
    <w:p>
      <w:pPr>
        <w:pStyle w:val="Considrant"/>
        <w:rPr>
          <w:noProof/>
        </w:rPr>
      </w:pPr>
      <w:r>
        <w:rPr>
          <w:noProof/>
        </w:rPr>
        <w:t>Съгласно член 2.35, параграф 2, буква а) от споразумението условията относно самостоятелното сертифициране следва да бъдат приети от Работната група по лозаро-винарските продукти,</w:t>
      </w:r>
    </w:p>
    <w:p>
      <w:pPr>
        <w:pStyle w:val="Formuledadoption"/>
        <w:rPr>
          <w:noProof/>
        </w:rPr>
      </w:pPr>
      <w:r>
        <w:rPr>
          <w:noProof/>
        </w:rPr>
        <w:t>РЕШИ: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Формулярът, който трябва да бъде използван за сертификатите, чиято автентичност е удостоверена в съответствие със законовите и подзаконовите актове на Япония, се съдържа в приложение I към настоящото решение.</w:t>
      </w: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Формулярът, който трябва да бъде използван за самостоятелно издаден сертификат от производител, оторизиран от компетентния орган на Япония, се съдържа в приложение II към настоящото решение.</w:t>
      </w:r>
    </w:p>
    <w:p>
      <w:pPr>
        <w:pStyle w:val="NumPar1"/>
        <w:rPr>
          <w:noProof/>
        </w:rPr>
      </w:pPr>
      <w:r>
        <w:rPr>
          <w:noProof/>
        </w:rPr>
        <w:t>Условията относно самостоятелното сертифициране на производители, оторизирани от компетентния орган на Япония, се съдържат в приложение III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на [1 февруари 2019 г./датата на влизане в сила на споразумението].</w:t>
      </w:r>
    </w:p>
    <w:p>
      <w:pPr>
        <w:pStyle w:val="Institutionquisigne"/>
        <w:rPr>
          <w:noProof/>
        </w:rPr>
      </w:pPr>
      <w:r>
        <w:rPr>
          <w:noProof/>
        </w:rPr>
        <w:t xml:space="preserve">                                                          За Работната група по лозаро-винарските продукти</w:t>
      </w:r>
    </w:p>
    <w:p>
      <w:pPr>
        <w:pStyle w:val="Personnequisigne"/>
        <w:rPr>
          <w:noProof/>
        </w:rPr>
      </w:pPr>
      <w:r>
        <w:rPr>
          <w:noProof/>
        </w:rPr>
        <w:tab/>
        <w:t>[...]</w:t>
      </w:r>
    </w:p>
    <w:p>
      <w:pPr>
        <w:pStyle w:val="Institutionquisigne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rFonts w:eastAsia="Times New Roman"/>
          <w:noProof/>
          <w:szCs w:val="24"/>
          <w:u w:val="single"/>
        </w:rPr>
      </w:pPr>
      <w:r>
        <w:rPr>
          <w:noProof/>
          <w:szCs w:val="24"/>
          <w:u w:val="single"/>
        </w:rPr>
        <w:t>ПРИЛОЖЕНИЕ I</w:t>
      </w:r>
    </w:p>
    <w:p>
      <w:pPr>
        <w:jc w:val="center"/>
        <w:rPr>
          <w:rFonts w:eastAsia="MS Mincho"/>
          <w:b/>
          <w:bCs/>
          <w:noProof/>
        </w:rPr>
      </w:pPr>
      <w:r>
        <w:rPr>
          <w:b/>
          <w:bCs/>
          <w:noProof/>
        </w:rPr>
        <w:t>ОБРАЗЕЦ ЗА СЕРТИФИКАТ, ИЗДАДЕН ОТ НАЦИОНАЛНИЯ ИЗСЛЕДОВАТЕЛСКИ ИНСТИТУТ ПО ПИВОВАРСТВО [NRIB], ЗА ВНОС В ЕС НА ЛОЗАРО-ВИНАРСКИ ПРОДУКТИ С ПРОИЗХОД ОТ ЯПОНИЯ</w:t>
      </w:r>
      <w:r>
        <w:rPr>
          <w:rStyle w:val="FootnoteReference"/>
          <w:noProof/>
        </w:rPr>
        <w:footnoteReference w:id="1"/>
      </w:r>
      <w:r>
        <w:rPr>
          <w:b/>
          <w:bCs/>
          <w:noProof/>
        </w:rPr>
        <w:t xml:space="preserve"> </w:t>
      </w:r>
    </w:p>
    <w:p>
      <w:pPr>
        <w:jc w:val="center"/>
        <w:rPr>
          <w:rFonts w:eastAsia="MS Mincho"/>
          <w:bCs/>
          <w:i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1.Износител (пълно наименование и адрес)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 xml:space="preserve">Издаваща трета държава:  </w:t>
            </w:r>
            <w:r>
              <w:rPr>
                <w:b/>
                <w:noProof/>
              </w:rPr>
              <w:t>ЯПОНИЯ</w:t>
            </w:r>
            <w:r>
              <w:rPr>
                <w:noProof/>
              </w:rPr>
              <w:t xml:space="preserve"> 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jc w:val="left"/>
              <w:rPr>
                <w:rFonts w:eastAsia="MS Mincho"/>
                <w:noProof/>
              </w:rPr>
            </w:pPr>
            <w:r>
              <w:rPr>
                <w:noProof/>
              </w:rPr>
              <w:t>Опростен VI 1 Сериен №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noProof/>
              </w:rPr>
              <w:t xml:space="preserve">: </w:t>
            </w:r>
          </w:p>
          <w:p>
            <w:pPr>
              <w:spacing w:after="0"/>
              <w:jc w:val="left"/>
              <w:rPr>
                <w:rFonts w:eastAsia="MS Mincho"/>
                <w:noProof/>
              </w:rPr>
            </w:pPr>
          </w:p>
          <w:p>
            <w:pPr>
              <w:spacing w:after="0"/>
              <w:jc w:val="center"/>
              <w:rPr>
                <w:rFonts w:eastAsia="MS Mincho"/>
                <w:b/>
                <w:noProof/>
              </w:rPr>
            </w:pPr>
            <w:r>
              <w:rPr>
                <w:b/>
                <w:noProof/>
              </w:rPr>
              <w:t>ДОКУМЕНТ ЗА ВНОС В ЕВРОПЕЙСКИЯ СЪЮЗ НА ВИНО, СОК ОТ ГРОЗДЕ ИЛИ ГРОЗДОВА МЪСТ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2.Получател (наименование и адрес)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3.Митнически печат (само за служебно ползване в ЕС)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4.Начин на превоз и данни за превоза</w:t>
            </w:r>
            <w:r>
              <w:rPr>
                <w:rStyle w:val="FootnoteReference"/>
                <w:noProof/>
              </w:rPr>
              <w:footnoteReference w:id="3"/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5.Място на разтоварване (ако е различно от 2)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</w:tr>
      <w:tr>
        <w:tc>
          <w:tcPr>
            <w:tcW w:w="4644" w:type="dxa"/>
            <w:vMerge w:val="restart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6.Описание на внасяния продукт</w:t>
            </w:r>
            <w:r>
              <w:rPr>
                <w:rStyle w:val="FootnoteReference"/>
                <w:noProof/>
              </w:rPr>
              <w:footnoteReference w:id="4"/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 xml:space="preserve">7.Количество в l/hl/kg  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</w:tr>
      <w:tr>
        <w:tc>
          <w:tcPr>
            <w:tcW w:w="4644" w:type="dxa"/>
            <w:vMerge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8.Брой на опаковките</w:t>
            </w:r>
            <w:r>
              <w:rPr>
                <w:rStyle w:val="FootnoteReference"/>
                <w:noProof/>
              </w:rPr>
              <w:footnoteReference w:id="5"/>
            </w:r>
            <w:r>
              <w:rPr>
                <w:noProof/>
              </w:rPr>
              <w:t xml:space="preserve"> </w:t>
            </w:r>
          </w:p>
          <w:p>
            <w:pPr>
              <w:spacing w:after="0"/>
              <w:rPr>
                <w:rFonts w:eastAsia="MS Mincho"/>
                <w:i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</w:tr>
      <w:tr>
        <w:tc>
          <w:tcPr>
            <w:tcW w:w="9288" w:type="dxa"/>
            <w:gridSpan w:val="2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9.Сертификат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i/>
                <w:noProof/>
              </w:rPr>
            </w:pPr>
            <w:r>
              <w:rPr>
                <w:noProof/>
              </w:rPr>
              <w:t>„Описаният по-горе продукт е предназначен за пряка консумация от човека и отговаря на определенията и енологичните практики, разрешени в глава 2, раздел В от Споразумението за икономическо партньорство между Европейския съюз и Япония“.</w:t>
            </w:r>
          </w:p>
          <w:p>
            <w:pPr>
              <w:spacing w:after="0"/>
              <w:rPr>
                <w:rFonts w:eastAsia="MS Mincho"/>
                <w:i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Наименование и адрес на производителя: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 xml:space="preserve">Пълно наименование и адрес на компетентния орган:                Място и дата: </w:t>
            </w:r>
          </w:p>
          <w:p>
            <w:pPr>
              <w:spacing w:after="0"/>
              <w:rPr>
                <w:rFonts w:eastAsia="MS Mincho"/>
                <w:b/>
                <w:noProof/>
                <w:sz w:val="21"/>
              </w:rPr>
            </w:pPr>
            <w:r>
              <w:rPr>
                <w:b/>
                <w:noProof/>
                <w:sz w:val="21"/>
              </w:rPr>
              <w:t xml:space="preserve">Национален изследователски институт по пивоварство (National Research Institute of Brewing) </w:t>
            </w:r>
          </w:p>
          <w:p>
            <w:pPr>
              <w:spacing w:after="0"/>
              <w:rPr>
                <w:rFonts w:eastAsia="MS Mincho"/>
                <w:b/>
                <w:noProof/>
                <w:sz w:val="21"/>
              </w:rPr>
            </w:pPr>
            <w:r>
              <w:rPr>
                <w:b/>
                <w:noProof/>
                <w:sz w:val="21"/>
              </w:rPr>
              <w:t>под надзора на Министерството на финансите на Япония</w:t>
            </w:r>
          </w:p>
          <w:p>
            <w:pPr>
              <w:spacing w:after="0"/>
              <w:rPr>
                <w:rFonts w:eastAsia="MS Mincho"/>
                <w:b/>
                <w:noProof/>
              </w:rPr>
            </w:pPr>
            <w:r>
              <w:rPr>
                <w:b/>
                <w:noProof/>
              </w:rPr>
              <w:t>3-7-1, Kagamiyama, Higashihiroshima, Hiroshima, Japan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 xml:space="preserve">Печат на компетентния орган:                                        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 xml:space="preserve">Подпис, име и длъжност на служителя на компетентния орган: 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</w:tr>
    </w:tbl>
    <w:p>
      <w:pPr>
        <w:spacing w:before="0" w:after="0" w:line="259" w:lineRule="auto"/>
        <w:ind w:right="1952"/>
        <w:jc w:val="right"/>
        <w:rPr>
          <w:rFonts w:eastAsia="Calibri"/>
          <w:b/>
          <w:noProof/>
          <w:color w:val="000000"/>
          <w:sz w:val="22"/>
          <w:lang w:eastAsia="en-GB"/>
        </w:rPr>
      </w:pPr>
    </w:p>
    <w:p>
      <w:pPr>
        <w:spacing w:before="0" w:after="0" w:line="259" w:lineRule="auto"/>
        <w:ind w:right="1952"/>
        <w:jc w:val="right"/>
        <w:rPr>
          <w:rFonts w:eastAsia="Calibri"/>
          <w:noProof/>
          <w:color w:val="000000"/>
          <w:sz w:val="22"/>
        </w:rPr>
      </w:pPr>
      <w:r>
        <w:rPr>
          <w:b/>
          <w:noProof/>
          <w:color w:val="000000"/>
          <w:sz w:val="22"/>
        </w:rPr>
        <w:t>Записване</w:t>
      </w:r>
      <w:r>
        <w:rPr>
          <w:noProof/>
          <w:color w:val="000000"/>
          <w:sz w:val="22"/>
        </w:rPr>
        <w:t xml:space="preserve"> (въвеждане в свободно обращение и издаване на извлечения)</w:t>
      </w:r>
    </w:p>
    <w:p>
      <w:pPr>
        <w:spacing w:before="0" w:after="0" w:line="259" w:lineRule="auto"/>
        <w:ind w:right="1952"/>
        <w:jc w:val="right"/>
        <w:rPr>
          <w:rFonts w:eastAsia="Calibri"/>
          <w:noProof/>
          <w:color w:val="000000"/>
          <w:sz w:val="22"/>
          <w:lang w:eastAsia="en-GB"/>
        </w:rPr>
      </w:pPr>
    </w:p>
    <w:tbl>
      <w:tblPr>
        <w:tblStyle w:val="TableGrid"/>
        <w:tblW w:w="9498" w:type="dxa"/>
        <w:tblInd w:w="-137" w:type="dxa"/>
        <w:tblCellMar>
          <w:top w:w="153" w:type="dxa"/>
          <w:right w:w="73" w:type="dxa"/>
        </w:tblCellMar>
        <w:tblLook w:val="04A0" w:firstRow="1" w:lastRow="0" w:firstColumn="1" w:lastColumn="0" w:noHBand="0" w:noVBand="1"/>
      </w:tblPr>
      <w:tblGrid>
        <w:gridCol w:w="2144"/>
        <w:gridCol w:w="2152"/>
        <w:gridCol w:w="2156"/>
        <w:gridCol w:w="946"/>
        <w:gridCol w:w="293"/>
        <w:gridCol w:w="1040"/>
        <w:gridCol w:w="767"/>
      </w:tblGrid>
      <w:tr>
        <w:trPr>
          <w:trHeight w:val="1004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Количество</w:t>
            </w:r>
            <w:r>
              <w:rPr>
                <w:rFonts w:ascii="Calibri" w:hAnsi="Calibri"/>
                <w:noProof/>
                <w:color w:val="000000"/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0" w:after="0"/>
              <w:ind w:left="180" w:right="36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10. № и дата на митническия документ за пускане в свободно обращение и на извлечението</w:t>
            </w:r>
          </w:p>
          <w:p>
            <w:pPr>
              <w:spacing w:before="0" w:after="0"/>
              <w:ind w:left="180" w:right="36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  <w:p>
            <w:pPr>
              <w:spacing w:before="0" w:after="0"/>
              <w:ind w:left="180" w:right="36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0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11. Пълно наименование и адрес на получателя (извлечение)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12. Печат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на 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компетентния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орган </w:t>
            </w:r>
          </w:p>
        </w:tc>
      </w:tr>
      <w:tr>
        <w:trPr>
          <w:trHeight w:val="693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Налично 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ind w:left="183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  <w:tr>
        <w:trPr>
          <w:trHeight w:val="69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Записано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  <w:tr>
        <w:trPr>
          <w:trHeight w:val="69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Налично 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ind w:left="183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  <w:tr>
        <w:trPr>
          <w:trHeight w:val="69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16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Записано </w:t>
            </w:r>
          </w:p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16"/>
              </w:rPr>
            </w:pPr>
          </w:p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16"/>
              </w:rPr>
            </w:pPr>
          </w:p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</w:tbl>
    <w:p>
      <w:pPr>
        <w:rPr>
          <w:rFonts w:eastAsia="MS Mincho"/>
          <w:noProof/>
        </w:rPr>
      </w:pPr>
    </w:p>
    <w:tbl>
      <w:tblPr>
        <w:tblStyle w:val="TableGrid"/>
        <w:tblW w:w="9498" w:type="dxa"/>
        <w:tblInd w:w="-137" w:type="dxa"/>
        <w:tblCellMar>
          <w:top w:w="153" w:type="dxa"/>
          <w:right w:w="73" w:type="dxa"/>
        </w:tblCellMar>
        <w:tblLook w:val="04A0" w:firstRow="1" w:lastRow="0" w:firstColumn="1" w:lastColumn="0" w:noHBand="0" w:noVBand="1"/>
      </w:tblPr>
      <w:tblGrid>
        <w:gridCol w:w="2791"/>
        <w:gridCol w:w="2758"/>
        <w:gridCol w:w="2758"/>
        <w:gridCol w:w="1191"/>
      </w:tblGrid>
      <w:tr>
        <w:trPr>
          <w:trHeight w:val="694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Налично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  <w:tr>
        <w:trPr>
          <w:trHeight w:val="691"/>
        </w:trPr>
        <w:tc>
          <w:tcPr>
            <w:tcW w:w="2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Записано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  <w:tr>
        <w:trPr>
          <w:trHeight w:val="3952"/>
        </w:trPr>
        <w:tc>
          <w:tcPr>
            <w:tcW w:w="27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13. Допълнителни констатации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3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</w:tbl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spacing w:before="360"/>
        <w:jc w:val="center"/>
        <w:rPr>
          <w:rFonts w:eastAsia="Times New Roman"/>
          <w:noProof/>
          <w:szCs w:val="24"/>
          <w:u w:val="single"/>
        </w:rPr>
      </w:pPr>
      <w:r>
        <w:rPr>
          <w:noProof/>
          <w:szCs w:val="24"/>
          <w:u w:val="single"/>
        </w:rPr>
        <w:t>ПРИЛОЖЕНИЕ II</w:t>
      </w:r>
    </w:p>
    <w:p>
      <w:pPr>
        <w:jc w:val="center"/>
        <w:rPr>
          <w:rFonts w:eastAsia="MS Mincho"/>
          <w:b/>
          <w:bCs/>
          <w:noProof/>
        </w:rPr>
      </w:pPr>
      <w:r>
        <w:rPr>
          <w:b/>
          <w:bCs/>
          <w:noProof/>
        </w:rPr>
        <w:t>ОБРАЗЕЦ ЗА САМОСТОЯТЕЛНО ИЗДАДЕН СЕРТИФИКАТ ЗА ВНОСА В ЕВРОПЕЙСКИЯ СЪЮЗ НА ЛОЗАРО-ВИНАРСКИ ПРОДУКТИ С ПРОИЗХОД ОТ ЯПОНИЯ</w:t>
      </w:r>
      <w:r>
        <w:rPr>
          <w:rStyle w:val="FootnoteReference"/>
          <w:noProof/>
        </w:rPr>
        <w:footnoteReference w:id="6"/>
      </w:r>
      <w:r>
        <w:rPr>
          <w:b/>
          <w:bCs/>
          <w:noProof/>
        </w:rPr>
        <w:t xml:space="preserve"> </w:t>
      </w:r>
    </w:p>
    <w:p>
      <w:pPr>
        <w:rPr>
          <w:rFonts w:eastAsia="MS Mincho"/>
          <w:bCs/>
          <w:i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1. Износител (пълно наименование и адрес)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 xml:space="preserve">Издаваща трета държава:  </w:t>
            </w:r>
            <w:r>
              <w:rPr>
                <w:b/>
                <w:noProof/>
              </w:rPr>
              <w:t>ЯПОНИЯ</w:t>
            </w:r>
            <w:r>
              <w:rPr>
                <w:noProof/>
              </w:rPr>
              <w:t xml:space="preserve"> 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Опростен VI 1                   Сериен №</w:t>
            </w:r>
            <w:r>
              <w:rPr>
                <w:rStyle w:val="FootnoteReference"/>
                <w:noProof/>
              </w:rPr>
              <w:footnoteReference w:id="7"/>
            </w:r>
            <w:r>
              <w:rPr>
                <w:noProof/>
              </w:rPr>
              <w:t xml:space="preserve">: 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jc w:val="center"/>
              <w:rPr>
                <w:rFonts w:eastAsia="MS Mincho"/>
                <w:b/>
                <w:noProof/>
              </w:rPr>
            </w:pPr>
            <w:r>
              <w:rPr>
                <w:b/>
                <w:noProof/>
              </w:rPr>
              <w:t>ДОКУМЕНТ ЗА ВНОС В ЕВРОПЕЙСКИЯ СЪЮЗ НА ВИНО, СОК ОТ ГРОЗДЕ ИЛИ ГРОЗДОВА МЪСТ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2.Получател (наименование и адрес)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3.Митнически печат (само за служебно ползване в ЕС)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4.Начин на превоз и данни за превоза</w:t>
            </w:r>
            <w:r>
              <w:rPr>
                <w:rStyle w:val="FootnoteReference"/>
                <w:noProof/>
              </w:rPr>
              <w:footnoteReference w:id="8"/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5.Място на разтоварване (ако е различно от 2)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tabs>
                <w:tab w:val="left" w:pos="2825"/>
              </w:tabs>
              <w:rPr>
                <w:rFonts w:eastAsia="MS Mincho"/>
                <w:noProof/>
              </w:rPr>
            </w:pPr>
            <w:r>
              <w:rPr>
                <w:noProof/>
              </w:rPr>
              <w:tab/>
            </w:r>
          </w:p>
        </w:tc>
      </w:tr>
      <w:tr>
        <w:tc>
          <w:tcPr>
            <w:tcW w:w="4644" w:type="dxa"/>
            <w:vMerge w:val="restart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6.Описание на внасяния продукт</w:t>
            </w:r>
            <w:r>
              <w:rPr>
                <w:rStyle w:val="FootnoteReference"/>
                <w:noProof/>
              </w:rPr>
              <w:footnoteReference w:id="9"/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 xml:space="preserve">7.Количество в l/hl/kg  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</w:tr>
      <w:tr>
        <w:tc>
          <w:tcPr>
            <w:tcW w:w="4644" w:type="dxa"/>
            <w:vMerge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8.Брой на опаковките</w:t>
            </w:r>
            <w:r>
              <w:rPr>
                <w:rStyle w:val="FootnoteReference"/>
                <w:noProof/>
              </w:rPr>
              <w:footnoteReference w:id="10"/>
            </w:r>
            <w:r>
              <w:rPr>
                <w:noProof/>
              </w:rPr>
              <w:t xml:space="preserve"> 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</w:tr>
      <w:tr>
        <w:tc>
          <w:tcPr>
            <w:tcW w:w="9288" w:type="dxa"/>
            <w:gridSpan w:val="2"/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9.Сертификат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rPr>
                <w:i/>
                <w:iCs/>
                <w:noProof/>
              </w:rPr>
            </w:pPr>
            <w:r>
              <w:rPr>
                <w:noProof/>
              </w:rPr>
              <w:t>„Описаният по-горе продукт е предназначен за пряка консумация от човека и отговаря на определенията и енологичните практики, разрешени в глава 2, раздел В от Споразумението за икономическо партньорство между Европейския съюз и Япония.</w:t>
            </w:r>
            <w:r>
              <w:rPr>
                <w:i/>
                <w:noProof/>
              </w:rPr>
              <w:t xml:space="preserve"> Продуктът е произведен от производител, който е индивидуално оторизиран от Националната данъчна агенция на Япония за производство на вино и от Националния изследователски институт по пивоварство (NRIB) за самостоятелно сертифициране.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i/>
                <w:noProof/>
              </w:rPr>
              <w:t>Производителят подлежи на инспекция и надзор от страна на NRIB“.</w:t>
            </w: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Наименование, адрес и регистрационен номер/номер на разрешението на оторизирания производител: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 xml:space="preserve">Пълно наименование и адрес на компетентния орган:                   Място и дата: </w:t>
            </w:r>
          </w:p>
          <w:p>
            <w:pPr>
              <w:spacing w:after="0"/>
              <w:rPr>
                <w:rFonts w:eastAsia="MS Mincho"/>
                <w:b/>
                <w:noProof/>
                <w:sz w:val="21"/>
              </w:rPr>
            </w:pPr>
            <w:r>
              <w:rPr>
                <w:b/>
                <w:noProof/>
                <w:sz w:val="21"/>
              </w:rPr>
              <w:t xml:space="preserve">Национален изследователски институт по пивоварство (National Research Institute of Brewing) </w:t>
            </w:r>
          </w:p>
          <w:p>
            <w:pPr>
              <w:spacing w:after="0"/>
              <w:rPr>
                <w:rFonts w:eastAsia="MS Mincho"/>
                <w:b/>
                <w:noProof/>
                <w:sz w:val="21"/>
              </w:rPr>
            </w:pPr>
            <w:r>
              <w:rPr>
                <w:b/>
                <w:noProof/>
                <w:sz w:val="21"/>
              </w:rPr>
              <w:t>под надзора на Министерството на финансите на Япония</w:t>
            </w:r>
          </w:p>
          <w:p>
            <w:pPr>
              <w:spacing w:after="0"/>
              <w:rPr>
                <w:rFonts w:eastAsia="MS Mincho"/>
                <w:b/>
                <w:noProof/>
              </w:rPr>
            </w:pPr>
            <w:r>
              <w:rPr>
                <w:b/>
                <w:noProof/>
              </w:rPr>
              <w:t>3-7-1, Kagamiyama, Higashihiroshima, Hiroshima, Japan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 xml:space="preserve">Печат на оторизирания производител:                                     Подпис на оторизирания производител: 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</w:tr>
    </w:tbl>
    <w:p>
      <w:pPr>
        <w:rPr>
          <w:rFonts w:eastAsia="MS Mincho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10.ДОКЛАД ЗА ИЗВЪРШЕН АНАЛИЗ (описание на аналитичните характеристики на продукта, описан по-горе)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ЗА ГРОЗДОВА МЪСТ И СОК ОТ ГРОЗДЕ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 xml:space="preserve"> Не се изисква информация.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ЗА ВИНО И ГРОЗДОВА МЪСТ В ПРОЦЕС НА ФЕРМЕНТАЦИЯ: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b/>
                <w:noProof/>
              </w:rPr>
            </w:pPr>
            <w:r>
              <w:rPr>
                <w:noProof/>
              </w:rPr>
              <w:t xml:space="preserve">— </w:t>
            </w:r>
            <w:r>
              <w:rPr>
                <w:b/>
                <w:noProof/>
              </w:rPr>
              <w:t>Действително алкохолно съдържание: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ЗА ВСИЧКИ ПРОДУКТИ: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b/>
                <w:noProof/>
              </w:rPr>
              <w:t>— Общо съдържание на серен диоксид: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 xml:space="preserve">— </w:t>
            </w:r>
            <w:r>
              <w:rPr>
                <w:b/>
                <w:noProof/>
              </w:rPr>
              <w:t>Обща киселинност:</w:t>
            </w:r>
            <w:r>
              <w:rPr>
                <w:noProof/>
              </w:rPr>
              <w:t xml:space="preserve">                               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Печат на оторизирания производител:                                    Място и дата: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  <w:r>
              <w:rPr>
                <w:noProof/>
              </w:rPr>
              <w:t>Подпис, наименование и длъжност на оторизирания производител: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</w:tr>
      <w:tr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/>
              <w:rPr>
                <w:rFonts w:eastAsia="MS Mincho"/>
                <w:noProof/>
              </w:rPr>
            </w:pPr>
          </w:p>
          <w:p>
            <w:pPr>
              <w:spacing w:after="0"/>
              <w:jc w:val="center"/>
              <w:rPr>
                <w:rFonts w:eastAsia="MS Mincho"/>
                <w:noProof/>
              </w:rPr>
            </w:pPr>
            <w:r>
              <w:rPr>
                <w:rFonts w:ascii="Calibri" w:hAnsi="Calibri"/>
                <w:b/>
                <w:noProof/>
                <w:color w:val="000000"/>
                <w:sz w:val="22"/>
              </w:rPr>
              <w:t>Записване</w:t>
            </w:r>
            <w:r>
              <w:rPr>
                <w:rFonts w:ascii="Calibri" w:hAnsi="Calibri"/>
                <w:noProof/>
                <w:color w:val="000000"/>
                <w:sz w:val="22"/>
              </w:rPr>
              <w:t xml:space="preserve"> (въвеждане в свободно обращение и издаване на извлечения)</w:t>
            </w:r>
          </w:p>
          <w:p>
            <w:pPr>
              <w:spacing w:after="0"/>
              <w:rPr>
                <w:rFonts w:eastAsia="MS Mincho"/>
                <w:noProof/>
              </w:rPr>
            </w:pPr>
          </w:p>
        </w:tc>
      </w:tr>
    </w:tbl>
    <w:tbl>
      <w:tblPr>
        <w:tblStyle w:val="TableGrid"/>
        <w:tblW w:w="9498" w:type="dxa"/>
        <w:tblInd w:w="-137" w:type="dxa"/>
        <w:tblCellMar>
          <w:top w:w="153" w:type="dxa"/>
          <w:right w:w="73" w:type="dxa"/>
        </w:tblCellMar>
        <w:tblLook w:val="04A0" w:firstRow="1" w:lastRow="0" w:firstColumn="1" w:lastColumn="0" w:noHBand="0" w:noVBand="1"/>
      </w:tblPr>
      <w:tblGrid>
        <w:gridCol w:w="2167"/>
        <w:gridCol w:w="2141"/>
        <w:gridCol w:w="2152"/>
        <w:gridCol w:w="943"/>
        <w:gridCol w:w="292"/>
        <w:gridCol w:w="1040"/>
        <w:gridCol w:w="763"/>
      </w:tblGrid>
      <w:tr>
        <w:trPr>
          <w:trHeight w:val="1004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Количество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1" w:right="34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11. № и дата на митническия документ за пускане в свободно обращение и на извлечението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1" w:right="34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12. Пълно наименование и адрес на получателя (извлечение)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13. Печат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на 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компетентния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орган </w:t>
            </w:r>
          </w:p>
        </w:tc>
      </w:tr>
      <w:tr>
        <w:trPr>
          <w:trHeight w:val="693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Налично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ind w:left="183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  <w:tr>
        <w:trPr>
          <w:trHeight w:val="69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Записано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  <w:tr>
        <w:trPr>
          <w:trHeight w:val="69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Налично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ind w:left="183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  <w:tr>
        <w:trPr>
          <w:trHeight w:val="69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16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Записано</w:t>
            </w:r>
          </w:p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16"/>
              </w:rPr>
            </w:pPr>
          </w:p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16"/>
              </w:rPr>
            </w:pPr>
          </w:p>
          <w:p>
            <w:pPr>
              <w:spacing w:before="0" w:after="0"/>
              <w:ind w:left="182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  <w:tr>
        <w:trPr>
          <w:trHeight w:val="694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Налично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  <w:tr>
        <w:trPr>
          <w:trHeight w:val="69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Записано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  <w:tr>
        <w:trPr>
          <w:trHeight w:val="395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14. Допълнителни констатации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3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214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  <w:p>
            <w:pPr>
              <w:spacing w:before="0" w:after="0"/>
              <w:ind w:left="18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</w:p>
        </w:tc>
      </w:tr>
    </w:tbl>
    <w:p>
      <w:pPr>
        <w:jc w:val="center"/>
        <w:rPr>
          <w:rFonts w:eastAsia="Times New Roman"/>
          <w:b/>
          <w:noProof/>
          <w:szCs w:val="24"/>
          <w:u w:val="single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noProof/>
          <w:szCs w:val="24"/>
          <w:u w:val="single"/>
        </w:rPr>
      </w:pPr>
    </w:p>
    <w:p>
      <w:pPr>
        <w:jc w:val="center"/>
        <w:rPr>
          <w:noProof/>
          <w:szCs w:val="24"/>
        </w:rPr>
      </w:pPr>
      <w:r>
        <w:rPr>
          <w:noProof/>
          <w:szCs w:val="24"/>
          <w:u w:val="single"/>
        </w:rPr>
        <w:t>Приложение III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 xml:space="preserve">Условия относно самостоятелното сертифициране </w:t>
      </w:r>
    </w:p>
    <w:p>
      <w:pPr>
        <w:rPr>
          <w:noProof/>
          <w:highlight w:val="green"/>
        </w:rPr>
      </w:pP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Националния изследователски институт по пивоварство, под надзора на Министерство на финансите на Япония:</w:t>
      </w:r>
    </w:p>
    <w:p>
      <w:pPr>
        <w:rPr>
          <w:noProof/>
          <w:szCs w:val="24"/>
        </w:rPr>
      </w:pPr>
    </w:p>
    <w:p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>индивидуално определя производителите в Япония, оторизирани самостоятелно да издават сертификати, посочени в член 2.28 от Споразумението за икономическо партньорство между Европейския съюз и Япония;</w:t>
      </w:r>
    </w:p>
    <w:p>
      <w:pPr>
        <w:pStyle w:val="Point1"/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осъществява надзор и проверка на оторизираните производители; и </w:t>
      </w:r>
    </w:p>
    <w:p>
      <w:pPr>
        <w:ind w:left="426"/>
        <w:rPr>
          <w:noProof/>
          <w:szCs w:val="24"/>
        </w:rPr>
      </w:pPr>
    </w:p>
    <w:p>
      <w:pPr>
        <w:pStyle w:val="Point1"/>
        <w:rPr>
          <w:noProof/>
        </w:rPr>
      </w:pPr>
      <w:r>
        <w:rPr>
          <w:noProof/>
        </w:rPr>
        <w:t>iii)</w:t>
      </w:r>
      <w:r>
        <w:rPr>
          <w:noProof/>
        </w:rPr>
        <w:tab/>
        <w:t>уведомява Европейския съюз:</w:t>
      </w:r>
    </w:p>
    <w:p>
      <w:pPr>
        <w:rPr>
          <w:noProof/>
          <w:szCs w:val="24"/>
        </w:rPr>
      </w:pPr>
    </w:p>
    <w:p>
      <w:pPr>
        <w:pStyle w:val="Bullet2"/>
        <w:numPr>
          <w:ilvl w:val="0"/>
          <w:numId w:val="12"/>
        </w:numPr>
        <w:rPr>
          <w:noProof/>
        </w:rPr>
      </w:pPr>
      <w:r>
        <w:rPr>
          <w:noProof/>
        </w:rPr>
        <w:t>два пъти годишно — през януари и през юли — за наименованията, адресите и официалните регистрационни номера на оторизираните производители, и</w:t>
      </w:r>
    </w:p>
    <w:p>
      <w:pPr>
        <w:rPr>
          <w:noProof/>
          <w:szCs w:val="24"/>
        </w:rPr>
      </w:pPr>
    </w:p>
    <w:p>
      <w:pPr>
        <w:pStyle w:val="Bullet2"/>
        <w:rPr>
          <w:noProof/>
        </w:rPr>
      </w:pPr>
      <w:r>
        <w:rPr>
          <w:noProof/>
        </w:rPr>
        <w:t>незабавно за всяка промяна в наименованията и адресите или за оттегляне на оторизиран производител.</w:t>
      </w:r>
    </w:p>
    <w:p>
      <w:pPr>
        <w:jc w:val="left"/>
        <w:rPr>
          <w:noProof/>
          <w:szCs w:val="24"/>
        </w:rPr>
      </w:pPr>
    </w:p>
    <w:p>
      <w:pPr>
        <w:pStyle w:val="Point0"/>
        <w:spacing w:after="0"/>
        <w:ind w:left="851" w:hanging="85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Европейския съюз незабавно публикува и актуализира наименованията и адресите на оторизираните производители в списък, озаглавен „Компетентни органи, определени лаборатории, оторизирани производители на лозаро-винарски продукти и преработватели от трети държави за изготвянето на документи VI-1 за внос на вина в ЕС“, който е достъпен на официалната уебсайт на Европейската комисия: </w:t>
      </w:r>
    </w:p>
    <w:p>
      <w:pPr>
        <w:pStyle w:val="Point0"/>
        <w:spacing w:before="0"/>
        <w:ind w:left="851" w:hanging="851"/>
        <w:rPr>
          <w:noProof/>
        </w:rPr>
      </w:pPr>
      <w:r>
        <w:rPr>
          <w:noProof/>
        </w:rPr>
        <w:tab/>
        <w:t>ec.europa.eu/agriculture/sites/agriculture/files/wine/lists/06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В съответствие с член 2.28 от Споразумението за икономическо партньорство между ЕС и Япония.</w:t>
      </w:r>
    </w:p>
  </w:footnote>
  <w:footnote w:id="2">
    <w:p>
      <w:pPr>
        <w:spacing w:after="0"/>
        <w:rPr>
          <w:i/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ab/>
        <w:t xml:space="preserve">Номер за проследяване на партидата, определен от NRIB.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Да се посочи: превозът, използван за доставка до точката на въвеждане в ЕС,видът превоз (морски, въздушен и т.н.), името на кораба и т.н.</w:t>
      </w:r>
    </w:p>
  </w:footnote>
  <w:footnote w:id="4">
    <w:p>
      <w:pPr>
        <w:spacing w:after="0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ab/>
        <w:t>Да се посочи следната информация:</w:t>
      </w:r>
    </w:p>
    <w:p>
      <w:pPr>
        <w:spacing w:after="0"/>
        <w:ind w:firstLine="142"/>
        <w:rPr>
          <w:sz w:val="20"/>
          <w:szCs w:val="20"/>
        </w:rPr>
      </w:pPr>
      <w:r>
        <w:rPr>
          <w:sz w:val="20"/>
          <w:szCs w:val="20"/>
        </w:rPr>
        <w:t>— данни за търговско обозначение, както е отбелязано на етикета (например наименование на производителя, лозарски район, търговска марка и т.н.);</w:t>
      </w:r>
    </w:p>
    <w:p>
      <w:pPr>
        <w:spacing w:after="0"/>
        <w:ind w:firstLine="142"/>
        <w:rPr>
          <w:sz w:val="20"/>
          <w:szCs w:val="20"/>
        </w:rPr>
      </w:pPr>
      <w:r>
        <w:rPr>
          <w:sz w:val="20"/>
          <w:szCs w:val="20"/>
        </w:rPr>
        <w:t>— име на държавата на произход: [да се посочи „Япония“];</w:t>
      </w:r>
    </w:p>
    <w:p>
      <w:pPr>
        <w:pStyle w:val="FootnoteText"/>
        <w:ind w:firstLine="142"/>
      </w:pPr>
      <w:r>
        <w:t>— наименование на географското означение, ако е приложимо;</w:t>
      </w:r>
    </w:p>
    <w:p>
      <w:pPr>
        <w:pStyle w:val="FootnoteText"/>
        <w:ind w:firstLine="142"/>
      </w:pPr>
      <w:r>
        <w:t>— действително алкохолно съдържание в обемни проценти;</w:t>
      </w:r>
    </w:p>
    <w:p>
      <w:pPr>
        <w:pStyle w:val="FootnoteText"/>
        <w:ind w:firstLine="142"/>
      </w:pPr>
      <w:r>
        <w:t>— цвят на продукта (посочва се само „червено“, „розе“, „розово“, или „бяло“);</w:t>
      </w:r>
    </w:p>
    <w:p>
      <w:pPr>
        <w:pStyle w:val="FootnoteText"/>
        <w:ind w:firstLine="142"/>
        <w:rPr>
          <w:sz w:val="22"/>
          <w:szCs w:val="22"/>
        </w:rPr>
      </w:pPr>
      <w:r>
        <w:t>— код по комбинираната номенклатура (код по КН).</w:t>
      </w:r>
    </w:p>
  </w:footnote>
  <w:footnote w:id="5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tab/>
        <w:t>Опаковка означава съд за вино с вместимост, по-малка от 60 l.</w:t>
      </w:r>
      <w:r>
        <w:rPr>
          <w:i/>
        </w:rPr>
        <w:t xml:space="preserve"> </w:t>
      </w:r>
      <w:r>
        <w:t xml:space="preserve">Броят на опаковките може да бъде броят на бутилките. </w:t>
      </w:r>
    </w:p>
    <w:p>
      <w:pPr>
        <w:pStyle w:val="FootnoteText"/>
      </w:pP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В съответствие с член 2.28 от Споразумението за икономическо партньорство между Европейския съюз и Япония.</w:t>
      </w:r>
    </w:p>
  </w:footnote>
  <w:footnote w:id="7">
    <w:p>
      <w:pPr>
        <w:spacing w:after="0"/>
        <w:rPr>
          <w:i/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ab/>
        <w:t>Номер за проследяване на партидата, определен от NRIB.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Да се посочи: превозът, използван за доставка до точката на въвеждане в ЕС, видът превоз (морски, въздушен и т.н.),  името на кораба и т.н.</w:t>
      </w:r>
    </w:p>
  </w:footnote>
  <w:footnote w:id="9">
    <w:p>
      <w:pPr>
        <w:spacing w:after="0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ab/>
        <w:t>Да се посочи следната информация:</w:t>
      </w:r>
    </w:p>
    <w:p>
      <w:pPr>
        <w:spacing w:after="0"/>
        <w:ind w:firstLine="142"/>
        <w:rPr>
          <w:sz w:val="20"/>
          <w:szCs w:val="20"/>
        </w:rPr>
      </w:pPr>
      <w:r>
        <w:rPr>
          <w:sz w:val="20"/>
          <w:szCs w:val="20"/>
        </w:rPr>
        <w:t>— данни за търговско обозначение, както е отбелязано на етикета (например наименование на производителя, лозарски район, търговска марка и т.н.);</w:t>
      </w:r>
    </w:p>
    <w:p>
      <w:pPr>
        <w:spacing w:after="0"/>
        <w:ind w:firstLine="142"/>
        <w:rPr>
          <w:sz w:val="20"/>
          <w:szCs w:val="20"/>
        </w:rPr>
      </w:pPr>
      <w:r>
        <w:rPr>
          <w:sz w:val="20"/>
          <w:szCs w:val="20"/>
        </w:rPr>
        <w:t>— име на държавата на произход: [Да се посочи „Япония“];</w:t>
      </w:r>
    </w:p>
    <w:p>
      <w:pPr>
        <w:pStyle w:val="FootnoteText"/>
        <w:ind w:firstLine="142"/>
      </w:pPr>
      <w:r>
        <w:t>— наименованието на географското означение, ако е приложимо;</w:t>
      </w:r>
    </w:p>
    <w:p>
      <w:pPr>
        <w:pStyle w:val="FootnoteText"/>
        <w:ind w:firstLine="142"/>
      </w:pPr>
      <w:r>
        <w:t>— действително алкохолно съдържание в обемни проценти;</w:t>
      </w:r>
    </w:p>
    <w:p>
      <w:pPr>
        <w:pStyle w:val="FootnoteText"/>
        <w:ind w:firstLine="142"/>
      </w:pPr>
      <w:r>
        <w:t>— цвят на продукта (посочва се само „червено“, „розе“, „розово“, или „бяло“);</w:t>
      </w:r>
    </w:p>
    <w:p>
      <w:pPr>
        <w:pStyle w:val="FootnoteText"/>
        <w:ind w:firstLine="142"/>
        <w:rPr>
          <w:sz w:val="22"/>
          <w:szCs w:val="22"/>
        </w:rPr>
      </w:pPr>
      <w:r>
        <w:t>— код по комбинираната номенклатура (код по КН).</w:t>
      </w:r>
    </w:p>
  </w:footnote>
  <w:footnote w:id="10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tab/>
        <w:t>Опаковка означава съд за вино с вместимост, по-малка от 60 l.</w:t>
      </w:r>
      <w:r>
        <w:rPr>
          <w:i/>
        </w:rPr>
        <w:t xml:space="preserve"> </w:t>
      </w:r>
      <w:r>
        <w:t xml:space="preserve">Броят на опаковките може да бъде броят на бутилките. </w:t>
      </w:r>
    </w:p>
    <w:p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BCAB1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F3C66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45252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E10FD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E4865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96E5A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C5E02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FE459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3DDB3F67"/>
    <w:multiLevelType w:val="hybridMultilevel"/>
    <w:tmpl w:val="5BFAFF58"/>
    <w:lvl w:ilvl="0" w:tplc="60089146">
      <w:start w:val="3"/>
      <w:numFmt w:val="bullet"/>
      <w:pStyle w:val="Dash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2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13"/>
  </w:num>
  <w:num w:numId="15">
    <w:abstractNumId w:val="21"/>
  </w:num>
  <w:num w:numId="16">
    <w:abstractNumId w:val="11"/>
  </w:num>
  <w:num w:numId="17">
    <w:abstractNumId w:val="14"/>
  </w:num>
  <w:num w:numId="18">
    <w:abstractNumId w:val="9"/>
  </w:num>
  <w:num w:numId="19">
    <w:abstractNumId w:val="20"/>
  </w:num>
  <w:num w:numId="20">
    <w:abstractNumId w:val="8"/>
  </w:num>
  <w:num w:numId="21">
    <w:abstractNumId w:val="15"/>
  </w:num>
  <w:num w:numId="22">
    <w:abstractNumId w:val="17"/>
  </w:num>
  <w:num w:numId="23">
    <w:abstractNumId w:val="18"/>
  </w:num>
  <w:num w:numId="24">
    <w:abstractNumId w:val="10"/>
  </w:num>
  <w:num w:numId="25">
    <w:abstractNumId w:val="16"/>
  </w:num>
  <w:num w:numId="26">
    <w:abstractNumId w:val="22"/>
  </w:num>
  <w:num w:numId="27">
    <w:abstractNumId w:val="19"/>
  </w:num>
  <w:num w:numId="28">
    <w:abstractNumId w:val="13"/>
  </w:num>
  <w:num w:numId="29">
    <w:abstractNumId w:val="21"/>
  </w:num>
  <w:num w:numId="30">
    <w:abstractNumId w:val="11"/>
  </w:num>
  <w:num w:numId="31">
    <w:abstractNumId w:val="14"/>
  </w:num>
  <w:num w:numId="32">
    <w:abstractNumId w:val="9"/>
  </w:num>
  <w:num w:numId="33">
    <w:abstractNumId w:val="20"/>
  </w:num>
  <w:num w:numId="34">
    <w:abstractNumId w:val="8"/>
  </w:num>
  <w:num w:numId="35">
    <w:abstractNumId w:val="15"/>
  </w:num>
  <w:num w:numId="36">
    <w:abstractNumId w:val="17"/>
  </w:num>
  <w:num w:numId="37">
    <w:abstractNumId w:val="18"/>
  </w:num>
  <w:num w:numId="38">
    <w:abstractNumId w:val="10"/>
  </w:num>
  <w:num w:numId="39">
    <w:abstractNumId w:val="16"/>
  </w:num>
  <w:num w:numId="4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2-12 09:59:0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3"/>
    <w:docVar w:name="DQCResult_UnknownFonts" w:val="0;0"/>
    <w:docVar w:name="DQCResult_UnknownStyles" w:val="0;9"/>
    <w:docVar w:name="DQCStatus" w:val="Green"/>
    <w:docVar w:name="DQCVersion" w:val="3"/>
    <w:docVar w:name="DQCWithWarnings" w:val="0"/>
    <w:docVar w:name="LW_ACCOMPAGNANT" w:val="\u1082?\u1098?\u1084? \u1087?\u1088?\u1077?\u1076?\u1083?\u1086?\u1078?\u1077?\u1085?\u1080?\u1077?\u1090?\u1086? \u1079?\u1072?"/>
    <w:docVar w:name="LW_ACCOMPAGNANT.CP" w:val="\u1082?\u1098?\u1084? \u1087?\u1088?\u1077?\u1076?\u1083?\u1086?\u1078?\u1077?\u1085?\u1080?\u1077?\u1090?\u1086? \u1079?\u1072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BE27D7DA-24B1-477F-9E67-E96FF951C119"/>
    <w:docVar w:name="LW_COVERPAGE_TYPE" w:val="1"/>
    <w:docVar w:name="LW_CROSSREFERENCE" w:val="&lt;UNUSED&gt;"/>
    <w:docVar w:name="LW_DocType" w:val="ANNEX"/>
    <w:docVar w:name="LW_EMISSION" w:val="14.12.2018"/>
    <w:docVar w:name="LW_EMISSION_ISODATE" w:val="2018-12-1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6?\u1072?\u1073?\u1086?\u1090?\u1085?\u1072?\u1090?\u1072? \u1075?\u1088?\u1091?\u1087?\u1072? \u1087?\u1086? \u1083?\u1086?\u1079?\u1072?\u1088?\u1086?-\u1074?\u1080?\u1085?\u1072?\u1088?\u1089?\u1082?\u1080?\u1090?\u1077? \u1087?\u1088?\u1086?\u1076?\u1091?\u1082?\u1090?\u1080?, \u1089?\u1098?\u1079?\u1076?\u1072?\u1076?\u1077?\u1085?\u1072? \u1089?\u1098?\u1089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71?\u1087?\u1086?\u1085?\u1080?\u1103?, \u1087?\u1086? \u1086?\u1090?\u1085?\u1086?\u1096?\u1077?\u1085?\u1080?\u1077? \u1085?\u1072? \u1092?\u1086?\u1088?\u1084?\u1091?\u1083?\u1103?\u1088?\u1080?\u1090?\u1077?, \u1082?\u1086?\u1080?\u1090?\u1086? \u1090?\u1088?\u1103?\u1073?\u1074?\u1072? \u1076?\u1072? \u1073?\u1098?\u1076?\u1072?\u1090? \u1080?\u1079?\u1087?\u1086?\u1083?\u1079?\u1074?\u1072?\u1085?\u1080? \u1082?\u1072?\u1090?\u1086? \u1089?\u1077?\u1088?\u1090?\u1080?\u1092?\u1080?\u1082?\u1072?\u1090?\u1080? \u1079?\u1072? \u1074?\u1085?\u1086?\u1089?\u1072? \u1074? \u1045?\u1074?\u1088?\u1086?\u1087?\u1077?\u1081?\u1089?\u1082?\u1080?\u1103? \u1089?\u1098?\u1102?\u1079? \u1085?\u1072? \u1083?\u1086?\u1079?\u1072?\u1088?\u1086?-\u1074?\u1080?\u1085?\u1072?\u1088?\u1089?\u1082?\u1080? \u1087?\u1088?\u1086?\u1076?\u1091?\u1082?\u1090?\u1080? \u1089? \u1087?\u1088?\u1086?\u1080?\u1079?\u1093?\u1086?\u1076? \u1086?\u1090? \u1071?\u1087?\u1086?\u1085?\u1080?\u1103?, \u1080? \u1085?\u1072? \u1091?\u1089?\u1083?\u1086?\u1074?\u1080?\u1103?\u1090?\u1072? \u1079?\u1072? \u1087?\u1088?\u1080?\u1083?\u1072?\u1075?\u1072?\u1085?\u1077? \u1085?\u1072? \u1089?\u1072?\u1084?\u1086?\u1089?\u1090?\u1086?\u1103?\u1090?\u1077?\u1083?\u1085?\u1086? \u1089?\u1077?\u1088?\u1090?\u1080?\u1092?\u1080?\u1094?\u1080?\u1088?\u1072?\u1085?\u1077?_x000b_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6?\u1072?\u1073?\u1086?\u1090?\u1085?\u1072?\u1090?\u1072? \u1075?\u1088?\u1091?\u1087?\u1072? \u1087?\u1086? \u1083?\u1086?\u1079?\u1072?\u1088?\u1086?-\u1074?\u1080?\u1085?\u1072?\u1088?\u1089?\u1082?\u1080?\u1090?\u1077? \u1087?\u1088?\u1086?\u1076?\u1091?\u1082?\u1090?\u1080?, \u1089?\u1098?\u1079?\u1076?\u1072?\u1076?\u1077?\u1085?\u1072? \u1089?\u1098?\u1089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71?\u1087?\u1086?\u1085?\u1080?\u1103?, \u1087?\u1086? \u1086?\u1090?\u1085?\u1086?\u1096?\u1077?\u1085?\u1080?\u1077? \u1085?\u1072? \u1092?\u1086?\u1088?\u1084?\u1091?\u1083?\u1103?\u1088?\u1080?\u1090?\u1077?, \u1082?\u1086?\u1080?\u1090?\u1086? \u1090?\u1088?\u1103?\u1073?\u1074?\u1072? \u1076?\u1072? \u1073?\u1098?\u1076?\u1072?\u1090? \u1080?\u1079?\u1087?\u1086?\u1083?\u1079?\u1074?\u1072?\u1085?\u1080? \u1082?\u1072?\u1090?\u1086? \u1089?\u1077?\u1088?\u1090?\u1080?\u1092?\u1080?\u1082?\u1072?\u1090?\u1080? \u1079?\u1072? \u1074?\u1085?\u1086?\u1089?\u1072? \u1074? \u1045?\u1074?\u1088?\u1086?\u1087?\u1077?\u1081?\u1089?\u1082?\u1080?\u1103? \u1089?\u1098?\u1102?\u1079? \u1085?\u1072? \u1083?\u1086?\u1079?\u1072?\u1088?\u1086?-\u1074?\u1080?\u1085?\u1072?\u1088?\u1089?\u1082?\u1080? \u1087?\u1088?\u1086?\u1076?\u1091?\u1082?\u1090?\u1080? \u1089? \u1087?\u1088?\u1086?\u1080?\u1079?\u1093?\u1086?\u1076? \u1086?\u1090? \u1071?\u1087?\u1086?\u1085?\u1080?\u1103?, \u1080? \u1085?\u1072? \u1091?\u1089?\u1083?\u1086?\u1074?\u1080?\u1103?\u1090?\u1072? \u1079?\u1072? \u1087?\u1088?\u1080?\u1083?\u1072?\u1075?\u1072?\u1085?\u1077? \u1085?\u1072? \u1089?\u1072?\u1084?\u1086?\u1089?\u1090?\u1086?\u1103?\u1090?\u1077?\u1083?\u1085?\u1086? \u1089?\u1077?\u1088?\u1090?\u1080?\u1092?\u1080?\u1094?\u1080?\u1088?\u1072?\u1085?\u1077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8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_x000b_"/>
    <w:docVar w:name="LW_TYPEACTEPRINCIPAL.CP" w:val="\u1056?\u1045?\u1064?\u1045?\u1053?\u1048?\u1045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">
    <w:name w:val="Dash"/>
    <w:basedOn w:val="ListParagraph"/>
    <w:pPr>
      <w:numPr>
        <w:numId w:val="11"/>
      </w:numPr>
    </w:pPr>
    <w:rPr>
      <w:szCs w:val="24"/>
    </w:rPr>
  </w:style>
  <w:style w:type="table" w:customStyle="1" w:styleId="TableGrid">
    <w:name w:val="TableGrid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">
    <w:name w:val="Dash"/>
    <w:basedOn w:val="ListParagraph"/>
    <w:pPr>
      <w:numPr>
        <w:numId w:val="11"/>
      </w:numPr>
    </w:pPr>
    <w:rPr>
      <w:szCs w:val="24"/>
    </w:rPr>
  </w:style>
  <w:style w:type="table" w:customStyle="1" w:styleId="TableGrid">
    <w:name w:val="TableGrid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F7F46A-A04B-4AB3-B2D4-11B1F7AD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11</Pages>
  <Words>1115</Words>
  <Characters>7017</Characters>
  <Application>Microsoft Office Word</Application>
  <DocSecurity>0</DocSecurity>
  <Lines>412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DECLEYRE Martine (AGRI)</dc:creator>
  <cp:lastModifiedBy>WES PDFC Administrator</cp:lastModifiedBy>
  <cp:revision>8</cp:revision>
  <cp:lastPrinted>2018-11-22T15:33:00Z</cp:lastPrinted>
  <dcterms:created xsi:type="dcterms:W3CDTF">2018-12-10T10:58:00Z</dcterms:created>
  <dcterms:modified xsi:type="dcterms:W3CDTF">2018-12-12T08:59:00Z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