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B77A8D-C9F7-4BAF-9475-3D17EA093F6F"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groupe de travail sur les vins en ce qui concerne l’adoption envisagée d’une décision portant sur les formulaires à utiliser comme certificats pour l’importation dans l’Union européenne de produits vitivinicoles originaires du Japon ainsi que les modalités de l’autocertification. La présente proposition vise à garantir que le groupe de travail sur les vins puisse adopter ladite décision lors de l’entrée en vigueur de l’accord de partenariat économique entre l’Union européenne et le Japon (le 1</w:t>
      </w:r>
      <w:r>
        <w:rPr>
          <w:noProof/>
          <w:vertAlign w:val="superscript"/>
        </w:rPr>
        <w:t>er</w:t>
      </w:r>
      <w:r>
        <w:rPr>
          <w:noProof/>
        </w:rPr>
        <w:t xml:space="preserve"> février 2019).</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w:t>
      </w:r>
    </w:p>
    <w:p>
      <w:pPr>
        <w:rPr>
          <w:rFonts w:eastAsia="Arial Unicode MS"/>
          <w:noProof/>
        </w:rPr>
      </w:pPr>
      <w:r>
        <w:rPr>
          <w:noProof/>
        </w:rPr>
        <w:t>L’accord de partenariat économique entre l’Union européenne et le Japon (ci-après, «l’accord») a pour objectifs de libéraliser et de faciliter le commerce et l’investissement et de promouvoir des relations économiques plus étroites entre les parties. L’accord entre en vigueur le [date de l’entrée en vigueur].</w:t>
      </w:r>
    </w:p>
    <w:p>
      <w:pPr>
        <w:pStyle w:val="ManualHeading2"/>
        <w:rPr>
          <w:noProof/>
        </w:rPr>
      </w:pPr>
      <w:r>
        <w:t>2.2.</w:t>
      </w:r>
      <w:r>
        <w:tab/>
      </w:r>
      <w:r>
        <w:rPr>
          <w:noProof/>
        </w:rPr>
        <w:t>Le groupe de travail sur les vins</w:t>
      </w:r>
    </w:p>
    <w:p>
      <w:pPr>
        <w:rPr>
          <w:rFonts w:eastAsia="Arial Unicode MS"/>
          <w:noProof/>
        </w:rPr>
      </w:pPr>
      <w:r>
        <w:rPr>
          <w:noProof/>
        </w:rPr>
        <w:t xml:space="preserve">Un groupe de travail sur les vins a été institué en vertu de l'article 22.4 de l’accord. Le groupe de travail sur les vins est chargé de la mise en œuvre et du fonctionnement effectifs de la section C et de l'annexe 2-E. </w:t>
      </w:r>
    </w:p>
    <w:p>
      <w:pPr>
        <w:pStyle w:val="ManualHeading2"/>
        <w:rPr>
          <w:noProof/>
        </w:rPr>
      </w:pPr>
      <w:r>
        <w:t>2.3.</w:t>
      </w:r>
      <w:r>
        <w:tab/>
      </w:r>
      <w:r>
        <w:rPr>
          <w:noProof/>
        </w:rPr>
        <w:t>L’acte envisagé du groupe de travail sur les vins</w:t>
      </w:r>
    </w:p>
    <w:p>
      <w:pPr>
        <w:rPr>
          <w:rFonts w:eastAsia="Arial Unicode MS"/>
          <w:noProof/>
        </w:rPr>
      </w:pPr>
      <w:r>
        <w:rPr>
          <w:noProof/>
        </w:rPr>
        <w:t>En vertu de l’article 2.35, paragraphe 3, de l’accord, le groupe de travail sur les vins tient sa première réunion le jour de l'entrée en vigueur de l'accord. Le [date de l’entrée en vigueur], pendant sa première réunion, le groupe de travail doit adopter une décision portant sur les formulaires à utiliser comme certificats pour l’importation dans l’Union européenne de produits vitivinicoles originaires du Japon et les modalités de l’autocertification (ci-après, «l’acte envisagé»).</w:t>
      </w:r>
    </w:p>
    <w:p>
      <w:pPr>
        <w:rPr>
          <w:rFonts w:eastAsia="Arial Unicode MS"/>
          <w:noProof/>
        </w:rPr>
      </w:pPr>
      <w:r>
        <w:rPr>
          <w:noProof/>
        </w:rPr>
        <w:t>L’objectif de l’acte envisagé est la mise en œuvre effective de la section C et de l'annexe 2-E de l’accord, et notamment de l’article 2.28, paragraphe 1, de l’accord.</w:t>
      </w:r>
    </w:p>
    <w:p>
      <w:pPr>
        <w:pStyle w:val="ManualHeading1"/>
        <w:rPr>
          <w:rFonts w:eastAsia="Arial Unicode MS"/>
          <w:noProof/>
        </w:rPr>
      </w:pPr>
      <w:r>
        <w:t>3.</w:t>
      </w:r>
      <w:r>
        <w:tab/>
      </w:r>
      <w:r>
        <w:rPr>
          <w:noProof/>
        </w:rPr>
        <w:t>Position à prendre au nom de l’Union</w:t>
      </w:r>
    </w:p>
    <w:p>
      <w:pPr>
        <w:rPr>
          <w:noProof/>
        </w:rPr>
      </w:pPr>
      <w:r>
        <w:rPr>
          <w:noProof/>
        </w:rPr>
        <w:t xml:space="preserve">L’accord de partenariat économique entre l’Union européenne et le Japon, qui fait l’objet de la proposition de décision du Conseil COM(2018) 192, présentée par la Commission, contient une section complète sur la facilitation mutuelle des exportations de vin, appelée «paquet sur les vins». Cette section prévoit notamment l'élimination complète des droits de douane, dès l’entrée en vigueur de l’accord, pour les vins européens et les vins mousseux exportés au Japon, la protection sur le territoire japonais d’environ 130 dénominations d’indications géographiques de vins, l’autorisation de plusieurs pratiques œnologiques européennes, dont les additifs prioritaires dans le vin, et l’adoption de la certification simplifiée des vins japonais importés dans l’UE, par une décision du groupe de travail sur les vins. </w:t>
      </w:r>
    </w:p>
    <w:p>
      <w:pPr>
        <w:rPr>
          <w:noProof/>
        </w:rPr>
      </w:pPr>
      <w:r>
        <w:rPr>
          <w:noProof/>
        </w:rPr>
        <w:t xml:space="preserve">L’acte envisagé du groupe de travail permet la mise en œuvre de cette section complète en adoptant les formulaires à utiliser comme certificats pour l’importation dans l’UE de produits vitivinicoles originaires du Japon ainsi que les modalités de l’autocertification. </w:t>
      </w:r>
    </w:p>
    <w:p>
      <w:pPr>
        <w:rPr>
          <w:noProof/>
        </w:rPr>
      </w:pPr>
      <w:r>
        <w:rPr>
          <w:noProof/>
        </w:rPr>
        <w:t xml:space="preserve">Les formulaires et modalités concernant l’autocertification sont conformes aux politiques de l’Union européenne visant à faciliter le commerce et à coopérer en matière de prévention de la fraude avec les pays tiers ayant conclu des accords avec l’Union. </w:t>
      </w:r>
    </w:p>
    <w:p>
      <w:pPr>
        <w:rPr>
          <w:noProof/>
        </w:rPr>
      </w:pPr>
      <w:r>
        <w:rPr>
          <w:noProof/>
        </w:rPr>
        <w:t>Il convient donc d’approuver leur adoption.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groupe de travail sur les vins est une instance instituée par l’accord.</w:t>
      </w:r>
    </w:p>
    <w:p>
      <w:pPr>
        <w:rPr>
          <w:noProof/>
        </w:rPr>
      </w:pPr>
      <w:r>
        <w:rPr>
          <w:noProof/>
        </w:rPr>
        <w:t xml:space="preserve">L’acte que le groupe de travail sur les vins est appelé à adopter constitue un acte ayant des effets juridiques. L’acte envisagé sera contraignant en vertu du droit international, conformément à l’article 1.3 de l’accord.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r>
        <w:rPr>
          <w:noProof/>
        </w:rPr>
        <w:t>L’objectif et le contenu de l’acte envisagé concernent essentiellement la libéralisation et la facilitation du commerce des produits vitivinicoles.</w:t>
      </w:r>
    </w:p>
    <w:p>
      <w:pPr>
        <w:rPr>
          <w:noProof/>
        </w:rPr>
      </w:pPr>
      <w:r>
        <w:rPr>
          <w:noProof/>
        </w:rPr>
        <w:t>La base juridique matérielle de la décision proposée est donc l’article 207 du TFUE</w:t>
      </w:r>
      <w:r>
        <w:t>.</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les exigences de l’acte du groupe de travail sur les vins devront être mises en œuvre par les autorités douanières et les importateurs dans l’UE, il convient de le publier au </w:t>
      </w:r>
      <w:r>
        <w:rPr>
          <w:i/>
          <w:noProof/>
        </w:rPr>
        <w:t xml:space="preserve">Journal officiel de l’Union européenne </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groupe de travail sur les vins institué par l’accord de partenariat économique entre l’Union européenne et le Japon en ce qui concerne les formulaires à utiliser comme certificats pour l’importation dans l’Union européenne de produits vitivinicoles originaires du Japon ainsi que les modalités de l’autocertification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w:t>
      </w:r>
      <w:r>
        <w:t xml:space="preserve"> </w:t>
      </w:r>
      <w:r>
        <w:rPr>
          <w:noProof/>
        </w:rPr>
        <w:t>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entre l’Union européenne et le Japon (ci-après, «l’accord») a été conclu au nom de l’Union par la décision [...] du Conseil</w:t>
      </w:r>
      <w:r>
        <w:rPr>
          <w:rStyle w:val="FootnoteReference"/>
          <w:noProof/>
        </w:rPr>
        <w:footnoteReference w:id="2"/>
      </w:r>
      <w:r>
        <w:rPr>
          <w:noProof/>
        </w:rPr>
        <w:t>. Il entre en vigueur le [1</w:t>
      </w:r>
      <w:r>
        <w:rPr>
          <w:noProof/>
          <w:vertAlign w:val="superscript"/>
        </w:rPr>
        <w:t>er</w:t>
      </w:r>
      <w:r>
        <w:rPr>
          <w:noProof/>
        </w:rPr>
        <w:t xml:space="preserve"> février 2019]. </w:t>
      </w:r>
    </w:p>
    <w:p>
      <w:pPr>
        <w:pStyle w:val="ManualConsidrant"/>
        <w:rPr>
          <w:noProof/>
        </w:rPr>
      </w:pPr>
      <w:r>
        <w:t>(2)</w:t>
      </w:r>
      <w:r>
        <w:tab/>
      </w:r>
      <w:r>
        <w:rPr>
          <w:noProof/>
        </w:rPr>
        <w:t>En vertu de l’article 2.28, paragraphe 2,</w:t>
      </w:r>
      <w:r>
        <w:t xml:space="preserve"> </w:t>
      </w:r>
      <w:r>
        <w:rPr>
          <w:noProof/>
        </w:rPr>
        <w:t>de l’accord, le groupe de travail sur les vins adopte, par décision, les modalités d'application du paragraphe 1 de cet article prévoyant la certification pour l’importation  et la vente dans l’Union européenne de produits vitivinicoles originaires du Japon, notamment les formulaires à utiliser et les informations à faire figurer sur le certificat.</w:t>
      </w:r>
    </w:p>
    <w:p>
      <w:pPr>
        <w:pStyle w:val="ManualConsidrant"/>
        <w:rPr>
          <w:noProof/>
        </w:rPr>
      </w:pPr>
      <w:r>
        <w:t>(3)</w:t>
      </w:r>
      <w:r>
        <w:tab/>
      </w:r>
      <w:r>
        <w:rPr>
          <w:noProof/>
        </w:rPr>
        <w:t xml:space="preserve"> L’article 2.35, paragraphe 2, point a), de l’accord dispose que le groupe de travail sur les vins a notamment pour fonction d’adopter les modalités de l'autocertification.</w:t>
      </w:r>
    </w:p>
    <w:p>
      <w:pPr>
        <w:pStyle w:val="ManualConsidrant"/>
        <w:rPr>
          <w:noProof/>
        </w:rPr>
      </w:pPr>
      <w:r>
        <w:t>(4)</w:t>
      </w:r>
      <w:r>
        <w:tab/>
      </w:r>
      <w:r>
        <w:rPr>
          <w:noProof/>
        </w:rPr>
        <w:t>En vertu de l’article 2.35, paragraphe 3, de l’accord, le groupe de travail sur les vins tient sa première réunion le jour de l'entrée en vigueur de l'accord.</w:t>
      </w:r>
    </w:p>
    <w:p>
      <w:pPr>
        <w:pStyle w:val="ManualConsidrant"/>
        <w:rPr>
          <w:noProof/>
        </w:rPr>
      </w:pPr>
      <w:r>
        <w:t>(5)</w:t>
      </w:r>
      <w:r>
        <w:tab/>
      </w:r>
      <w:r>
        <w:rPr>
          <w:noProof/>
        </w:rPr>
        <w:t>Le groupe de travail sur les vins, au cours de sa première réunion le [1</w:t>
      </w:r>
      <w:r>
        <w:rPr>
          <w:noProof/>
          <w:vertAlign w:val="superscript"/>
        </w:rPr>
        <w:t>er</w:t>
      </w:r>
      <w:r>
        <w:rPr>
          <w:noProof/>
        </w:rPr>
        <w:t xml:space="preserve"> février 2019/date d’entrée en vigueur de l’accord], doit adopter une décision portant sur les formulaires à utiliser comme certificats pour l’importation dans l’Union européenne de produits vitivinicoles originaires du Japon et les modalités de l’autocertification afin de permettre une mise en œuvre efficace de l’accord et de simplifier ainsi les importations de produits vitivinicoles originaires du Japon. Les formulaires et modalités de l’autocertification envisagés sont conformes aux politiques de l’Union européenne visant à faciliter le commerce et à coopérer en matière de prévention de la fraude aves les pays tiers ayant conclu des accords avec l’Union.</w:t>
      </w:r>
    </w:p>
    <w:p>
      <w:pPr>
        <w:pStyle w:val="ManualConsidrant"/>
        <w:rPr>
          <w:noProof/>
        </w:rPr>
      </w:pPr>
      <w:r>
        <w:t>(6)</w:t>
      </w:r>
      <w:r>
        <w:tab/>
      </w:r>
      <w:r>
        <w:rPr>
          <w:noProof/>
        </w:rPr>
        <w:t>Il convient de définir la position à prendre, au nom de l’Union, au sein du groupe de travail sur les vins, étant donné que la décision qui sera adoptée par ledit groupe de travail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p>
    <w:p>
      <w:pPr>
        <w:jc w:val="left"/>
        <w:rPr>
          <w:noProof/>
        </w:rPr>
      </w:pPr>
      <w:r>
        <w:rPr>
          <w:noProof/>
        </w:rPr>
        <w:t>La position à prendre, au nom de l’Union, lors de la première réunion du groupe de travail sur les vins est basée sur le projet de décision du groupe de travail sur les vins joint à la présente décision.</w:t>
      </w:r>
    </w:p>
    <w:p>
      <w:pPr>
        <w:pStyle w:val="Titrearticle"/>
        <w:rPr>
          <w:noProof/>
        </w:rPr>
      </w:pPr>
      <w:r>
        <w:rPr>
          <w:noProof/>
        </w:rPr>
        <w:t>Article 2</w:t>
      </w:r>
    </w:p>
    <w:p>
      <w:pPr>
        <w:rPr>
          <w:noProof/>
        </w:rPr>
      </w:pPr>
      <w:r>
        <w:rPr>
          <w:noProof/>
        </w:rPr>
        <w:t xml:space="preserve"> </w:t>
      </w:r>
    </w:p>
    <w:p>
      <w:pPr>
        <w:rPr>
          <w:noProof/>
        </w:rPr>
      </w:pPr>
      <w:r>
        <w:rPr>
          <w:noProof/>
        </w:rPr>
        <w:t xml:space="preserve">Une fois adoptée, la décision du groupe de travail sur les vins est publiée au </w:t>
      </w:r>
      <w:r>
        <w:rPr>
          <w:i/>
          <w:noProof/>
        </w:rPr>
        <w:t>Journal officiel de l'Union européenne</w:t>
      </w:r>
      <w:r>
        <w:rPr>
          <w:noProof/>
        </w:rPr>
        <w:t xml:space="preserve">. </w:t>
      </w:r>
    </w:p>
    <w:p>
      <w:pPr>
        <w:pStyle w:val="Titrearticle"/>
        <w:rPr>
          <w:noProof/>
        </w:rPr>
      </w:pPr>
      <w:r>
        <w:rPr>
          <w:noProof/>
        </w:rPr>
        <w:t>Article 3</w:t>
      </w:r>
    </w:p>
    <w:p>
      <w:pPr>
        <w:rPr>
          <w:noProof/>
        </w:rPr>
      </w:pPr>
      <w:r>
        <w:rPr>
          <w:noProof/>
        </w:rPr>
        <w:t xml:space="preserve">La Commission est destinataire de la présente décision. </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dans l'affaire C-399/12, Allemagne/Conseil, EU:C:2014:2258, points 61 à 64. </w:t>
      </w:r>
    </w:p>
  </w:footnote>
  <w:footnote w:id="2">
    <w:p>
      <w:pPr>
        <w:pStyle w:val="FootnoteText"/>
      </w:pPr>
      <w:r>
        <w:rPr>
          <w:rStyle w:val="FootnoteReference"/>
        </w:rPr>
        <w:footnoteRef/>
      </w:r>
      <w:r>
        <w:tab/>
        <w:t>JO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6E75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80A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F449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808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069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DE89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38437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C3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2 09:54: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B77A8D-C9F7-4BAF-9475-3D17EA093F6F"/>
    <w:docVar w:name="LW_COVERPAGE_TYPE" w:val="1"/>
    <w:docVar w:name="LW_CROSSREFERENCE" w:val="&lt;UNUSED&gt;"/>
    <w:docVar w:name="LW_DocType" w:val="COM"/>
    <w:docVar w:name="LW_EMISSION" w:val="14.12.2018"/>
    <w:docVar w:name="LW_EMISSION_ISODATE" w:val="2018-12-1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5"/>
    <w:docVar w:name="LW_REF.II.NEW.CP_YEAR" w:val="2018"/>
    <w:docVar w:name="LW_REF.INST.NEW" w:val="COM"/>
    <w:docVar w:name="LW_REF.INST.NEW_ADOPTED" w:val="final"/>
    <w:docVar w:name="LW_REF.INST.NEW_TEXT" w:val="(2018) 8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groupe de travail sur les vins institué par l\u8217?accord de partenariat économique entre l\u8217?Union européenne et le Japon en ce qui concerne les formulaires à utiliser comme certificats pour l\u8217?importation dans l\u8217?Union européenne de produits vitivinicoles originaires du Japon ainsi que les modalités de l\u8217?autocertific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oru">
    <w:name w:val="Foru"/>
    <w:basedOn w:val="Considrant"/>
    <w:pPr>
      <w:numPr>
        <w:numId w:val="0"/>
      </w:numPr>
      <w:ind w:left="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oru">
    <w:name w:val="Foru"/>
    <w:basedOn w:val="Considrant"/>
    <w:pPr>
      <w:numPr>
        <w:numId w:val="0"/>
      </w:numPr>
      <w:ind w:left="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2247">
      <w:bodyDiv w:val="1"/>
      <w:marLeft w:val="0"/>
      <w:marRight w:val="0"/>
      <w:marTop w:val="0"/>
      <w:marBottom w:val="0"/>
      <w:divBdr>
        <w:top w:val="none" w:sz="0" w:space="0" w:color="auto"/>
        <w:left w:val="none" w:sz="0" w:space="0" w:color="auto"/>
        <w:bottom w:val="none" w:sz="0" w:space="0" w:color="auto"/>
        <w:right w:val="none" w:sz="0" w:space="0" w:color="auto"/>
      </w:divBdr>
    </w:div>
    <w:div w:id="1532259344">
      <w:bodyDiv w:val="1"/>
      <w:marLeft w:val="0"/>
      <w:marRight w:val="0"/>
      <w:marTop w:val="0"/>
      <w:marBottom w:val="0"/>
      <w:divBdr>
        <w:top w:val="none" w:sz="0" w:space="0" w:color="auto"/>
        <w:left w:val="none" w:sz="0" w:space="0" w:color="auto"/>
        <w:bottom w:val="none" w:sz="0" w:space="0" w:color="auto"/>
        <w:right w:val="none" w:sz="0" w:space="0" w:color="auto"/>
      </w:divBdr>
    </w:div>
    <w:div w:id="18519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00FE1A-DE8F-4250-9B0F-5903832B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1446</Words>
  <Characters>7811</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2018-11-22T15:34:00Z</cp:lastPrinted>
  <dcterms:created xsi:type="dcterms:W3CDTF">2018-12-03T15:35:00Z</dcterms:created>
  <dcterms:modified xsi:type="dcterms:W3CDTF">2018-12-12T08:54:00Z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