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5F15225-F437-48BE-95ED-1D249A88C867" style="width:451.55pt;height:448.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rFonts w:eastAsia="Times New Roman"/>
          <w:noProof/>
          <w:szCs w:val="24"/>
        </w:rPr>
      </w:pPr>
      <w:r>
        <w:rPr>
          <w:noProof/>
        </w:rPr>
        <w:t>Le règlement (UE) nº 603/2013</w:t>
      </w:r>
      <w:r>
        <w:rPr>
          <w:rStyle w:val="FootnoteReference"/>
          <w:noProof/>
        </w:rPr>
        <w:footnoteReference w:id="1"/>
      </w:r>
      <w:r>
        <w:rPr>
          <w:noProof/>
        </w:rPr>
        <w:t>, qui constitue la refonte du règlement (CE) nº 2725/2000 du 11 décembre 2000 concernant la création du système «Eurodac» pour la comparaison des empreintes digitales aux fins de l’application efficace de la convention de Dublin, a été adopté et est entré en vigueur le 19 juillet 2013. Il est applicable depuis le 20 juillet 2015.</w:t>
      </w:r>
    </w:p>
    <w:p>
      <w:pPr>
        <w:rPr>
          <w:rFonts w:eastAsia="Times New Roman"/>
          <w:noProof/>
          <w:szCs w:val="24"/>
        </w:rPr>
      </w:pPr>
      <w:r>
        <w:rPr>
          <w:noProof/>
        </w:rPr>
        <w:t xml:space="preserve">Le règlement (UE) nº 603/2013 permet notamment aux autorités répressives de consulter Eurodac aux fins de la prévention et de la détection des infractions terroristes et autres infractions pénales graves ainsi que des enquêtes en la matière. L’objectif est de permettre aux autorités répressives de demander la comparaison de données dactyloscopiques avec celles conservées dans la base de données centrale Eurodac lorsqu’elles tentent d’établir l’identité exacte d’une personne soupçonnée de terrorisme ou d’une infraction grave, ou d’obtenir davantage d’informations sur cette personne. </w:t>
      </w:r>
    </w:p>
    <w:p>
      <w:pPr>
        <w:rPr>
          <w:rFonts w:eastAsia="Times New Roman"/>
          <w:noProof/>
          <w:szCs w:val="24"/>
        </w:rPr>
      </w:pPr>
      <w:r>
        <w:rPr>
          <w:noProof/>
        </w:rPr>
        <w:t>Conformément aux articles 1</w:t>
      </w:r>
      <w:r>
        <w:rPr>
          <w:noProof/>
          <w:vertAlign w:val="superscript"/>
        </w:rPr>
        <w:t>er</w:t>
      </w:r>
      <w:r>
        <w:rPr>
          <w:noProof/>
        </w:rPr>
        <w:t xml:space="preserve"> et 2 du protocole nº 22 sur la position du Royaume de Danemark (ci-après le «Danemark»), annexé au traité sur l’Union européenne et au traité sur le fonctionnement de l’Union européenne, le Danemark ne participe pas à l’adoption de l’acquis relevant du titre V et ne participe donc pas au règlement (UE) nº 603/2013. </w:t>
      </w:r>
    </w:p>
    <w:p>
      <w:pPr>
        <w:rPr>
          <w:rFonts w:eastAsia="Times New Roman"/>
          <w:noProof/>
          <w:szCs w:val="24"/>
        </w:rPr>
      </w:pPr>
      <w:r>
        <w:rPr>
          <w:noProof/>
        </w:rPr>
        <w:t>Le 8 mars 2006, l’accord entre la Communauté européenne et le Royaume de Danemark concernant les critères et mécanismes de détermination de l’État membre responsable de l’examen d’une demande d’asile présentée par un ressortissant d’un pays tiers au Danemark ou dans tout autre État membre de l’Union européenne et le système «Eurodac» pour la comparaison des empreintes digitales aux fins de l’application efficace de la convention de Dublin (ci-après l’«accord du 8 mars 2006») a été conclu</w:t>
      </w:r>
      <w:r>
        <w:rPr>
          <w:rStyle w:val="FootnoteReference"/>
          <w:noProof/>
        </w:rPr>
        <w:footnoteReference w:id="2"/>
      </w:r>
      <w:r>
        <w:rPr>
          <w:noProof/>
        </w:rPr>
        <w:t>.</w:t>
      </w:r>
    </w:p>
    <w:p>
      <w:pPr>
        <w:rPr>
          <w:rFonts w:eastAsia="Times New Roman"/>
          <w:noProof/>
          <w:szCs w:val="24"/>
        </w:rPr>
      </w:pPr>
      <w:r>
        <w:rPr>
          <w:noProof/>
        </w:rPr>
        <w:t>Le Danemark applique les éléments relatifs à l’asile figurant dans le règlement (UE) nº 603/2013, conformément à l’accord du 8 mars 2006. Cependant, l’accès à Eurodac à des fins répressives ne relève pas du champ d’application dudit accord.</w:t>
      </w:r>
    </w:p>
    <w:p>
      <w:pPr>
        <w:rPr>
          <w:rFonts w:eastAsia="Times New Roman"/>
          <w:noProof/>
          <w:szCs w:val="24"/>
        </w:rPr>
      </w:pPr>
      <w:r>
        <w:rPr>
          <w:noProof/>
        </w:rPr>
        <w:t xml:space="preserve">Lors d’une réunion qui s’est tenue le 14 mai 2014 avec des représentants de la Commission, le Danemark et les pays associés ont confirmé leur volonté d’entamer des négociations avec l’Union européenne pour que les dispositions du règlement (UE) nº 603/2013 régissant l’accès à des fins répressives leur deviennent applicables par l’intermédiaire d’un accord international. </w:t>
      </w:r>
    </w:p>
    <w:p>
      <w:pPr>
        <w:rPr>
          <w:rFonts w:eastAsia="Times New Roman"/>
          <w:noProof/>
          <w:szCs w:val="24"/>
        </w:rPr>
      </w:pPr>
      <w:r>
        <w:rPr>
          <w:noProof/>
        </w:rPr>
        <w:t>Le 14 décembre 2015, le Conseil a autorisé la Commission à ouvrir des négociations sur un accord entre l’Union européenne, d’une part, et le Danemark, d’autre part, fixant les modalités de la participation du Danemark à la procédure de comparaison et à la transmission des données à des fins répressives prévues au chapitre VI du règlement (UE) nº 603/2013 relatif à la création d’Eurodac pour la comparaison des empreintes digitales aux fins de l’application efficace du règlement (UE) nº 604/2013 établissant les critères et mécanismes de détermination de l’État membre responsable de l’examen d’une demande de protection internationale introduite dans l’un des États membres par un ressortissant de pays tiers ou un apatride et relatif aux demandes de comparaison avec les données d’Eurodac présentées par les autorités répressives des États membres et Europol à des fins répressives.</w:t>
      </w:r>
    </w:p>
    <w:p>
      <w:pPr>
        <w:rPr>
          <w:rFonts w:eastAsia="Times New Roman"/>
          <w:noProof/>
          <w:szCs w:val="24"/>
        </w:rPr>
      </w:pPr>
      <w:r>
        <w:rPr>
          <w:noProof/>
        </w:rPr>
        <w:t xml:space="preserve">Les négociations ont été menées à bien et un accord sous la forme d’un protocole à l’accord du 8 mars 2006, qui étend l’application de l’accord du 8 mars 2006 en ce qui concerne l’accès à des fins répressives, a été paraphé. </w:t>
      </w:r>
    </w:p>
    <w:p>
      <w:pPr>
        <w:rPr>
          <w:rFonts w:eastAsia="Times New Roman"/>
          <w:noProof/>
          <w:szCs w:val="24"/>
        </w:rPr>
      </w:pPr>
      <w:r>
        <w:rPr>
          <w:noProof/>
        </w:rPr>
        <w:t xml:space="preserve">L’extension, au Danemark, de l’application des dispositions régissant l’accès à des fins répressives du règlement (UE) nº 603/2013 permettrait aux autorités répressives de ce pays de demander la comparaison de données dactyloscopiques avec celles saisies par les autres États participants et conservées dans la base de données Eurodac, lorsqu’elles tentent d’établir l’identité d’une personne soupçonnée de terrorisme ou d’une infraction grave, ou d’obtenir davantage d’informations sur cette personne. Par ailleurs, cette extension permettrait aux autorités répressives de tous les autres États participants, qu’il s’agisse d’autres États membres de l’Union ou de pays associés, de demander la comparaison de données dactyloscopiques avec celles saisies par le Danemark et conservées dans la base de données Eurodac, aux mêmes fins. </w:t>
      </w:r>
    </w:p>
    <w:p>
      <w:pPr>
        <w:rPr>
          <w:rFonts w:eastAsia="Times New Roman"/>
          <w:noProof/>
          <w:szCs w:val="24"/>
        </w:rPr>
      </w:pPr>
      <w:r>
        <w:rPr>
          <w:noProof/>
        </w:rPr>
        <w:t>L’objectif du protocole est d’instaurer des droits et des obligations juridiquement contraignants en vue d’assurer la participation effective du Danemark aux volets du règlement (UE) nº 603/2013 qui concernent l’accès à des fins répressives. Le protocole établit que tous les États participants - qu’il s’agisse d’autres États membres de l’UE, de pays associés ou du Danemark - ayant accès à Eurodac peuvent également accéder aux données les uns des autres, à des fins répressives.</w:t>
      </w:r>
    </w:p>
    <w:p>
      <w:pPr>
        <w:pStyle w:val="ManualHeading2"/>
        <w:rPr>
          <w:rFonts w:eastAsia="Arial Unicode MS"/>
          <w:noProof/>
          <w:u w:color="000000"/>
          <w:bdr w:val="nil"/>
        </w:rPr>
      </w:pPr>
      <w:r>
        <w:rPr>
          <w:noProof/>
        </w:rPr>
        <w:t>•</w:t>
      </w:r>
      <w:r>
        <w:rPr>
          <w:noProof/>
        </w:rPr>
        <w:tab/>
        <w:t>Cohérence avec les dispositions existantes dans le domaine d’action</w:t>
      </w:r>
    </w:p>
    <w:p>
      <w:pPr>
        <w:rPr>
          <w:rFonts w:eastAsia="Times New Roman"/>
          <w:noProof/>
          <w:szCs w:val="24"/>
        </w:rPr>
      </w:pPr>
      <w:r>
        <w:rPr>
          <w:noProof/>
        </w:rPr>
        <w:t>La proposition est cohérente avec les mesures de l’Union relatives à l’accès à la base de données Eurodac.</w:t>
      </w:r>
    </w:p>
    <w:p>
      <w:pPr>
        <w:pStyle w:val="ManualHeading2"/>
        <w:rPr>
          <w:rFonts w:eastAsia="Arial Unicode MS"/>
          <w:noProof/>
          <w:u w:color="000000"/>
          <w:bdr w:val="nil"/>
        </w:rPr>
      </w:pPr>
      <w:r>
        <w:rPr>
          <w:noProof/>
        </w:rPr>
        <w:t>•</w:t>
      </w:r>
      <w:r>
        <w:rPr>
          <w:noProof/>
        </w:rPr>
        <w:tab/>
        <w:t>Cohérence avec les autres politiques de l’Union</w:t>
      </w:r>
    </w:p>
    <w:p>
      <w:pPr>
        <w:rPr>
          <w:rFonts w:eastAsia="Times New Roman"/>
          <w:noProof/>
          <w:szCs w:val="24"/>
        </w:rPr>
      </w:pPr>
      <w:r>
        <w:rPr>
          <w:noProof/>
        </w:rPr>
        <w:t xml:space="preserve">La proposition est conforme aux politiques de l’Union relevant de l’espace de liberté, de sécurité et de justice.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rFonts w:eastAsia="Times New Roman"/>
          <w:noProof/>
          <w:szCs w:val="24"/>
        </w:rPr>
      </w:pPr>
      <w:r>
        <w:rPr>
          <w:noProof/>
        </w:rPr>
        <w:t xml:space="preserve">La base juridique de la présente proposition de décision du Conseil est l’article 87, paragraphe 2, point a), et l’article 88, paragraphe 2, point a), du traité sur le fonctionnement de l’Union européenne (TFUE), en liaison avec l’article 218, paragraphe 5, du TFUE. </w:t>
      </w:r>
    </w:p>
    <w:p>
      <w:pPr>
        <w:pStyle w:val="ManualHeading2"/>
        <w:rPr>
          <w:rFonts w:eastAsia="Arial Unicode MS"/>
          <w:noProof/>
          <w:u w:color="000000"/>
          <w:bdr w:val="nil"/>
        </w:rPr>
      </w:pPr>
      <w:r>
        <w:rPr>
          <w:noProof/>
        </w:rPr>
        <w:t>•</w:t>
      </w:r>
      <w:r>
        <w:rPr>
          <w:noProof/>
        </w:rPr>
        <w:tab/>
        <w:t xml:space="preserve">Subsidiarité (en cas de compétence non exclusive) </w:t>
      </w:r>
    </w:p>
    <w:p>
      <w:pPr>
        <w:rPr>
          <w:rFonts w:eastAsia="Times New Roman"/>
          <w:noProof/>
          <w:szCs w:val="24"/>
        </w:rPr>
      </w:pPr>
      <w:r>
        <w:rPr>
          <w:noProof/>
        </w:rPr>
        <w:t>L’accord du 8 mars 2006 est un accord international déjà existant, conclu par l’Union européenne et le Danemark. Conformément au principe de subsidiarité énoncé à l’article 5 du TUE, les objectifs du protocole à cet accord ne peuvent être atteints que par une proposition de la Commission au niveau de l’Union.</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 xml:space="preserve">Afin de soutenir et de renforcer la coopération policière entre les autorités compétentes des États membres et celles du Royaume de Danemark aux fins de la prévention et de la détection des infractions terroristes et autres infractions pénales graves ainsi que des enquêtes en la matière, l’intervention de l’Union est nécessaire pour permettre au Danemark de participer aux volets d’Eurodac qui concernent l’accès à des fins répressives. La proposition est conforme au principe de proportionnalité parce qu’elle ne va pas au-delà de ce qui est nécessaire pour atteindre les objectifs de la participation effective du Danemark aux volets du règlement (UE) nº 603/2013 qui concernent l’accès à des fins répressives. </w:t>
      </w:r>
    </w:p>
    <w:p>
      <w:pPr>
        <w:pStyle w:val="ManualHeading2"/>
        <w:rPr>
          <w:rFonts w:eastAsia="Arial Unicode MS"/>
          <w:noProof/>
          <w:u w:color="000000"/>
          <w:bdr w:val="nil"/>
        </w:rPr>
      </w:pPr>
      <w:r>
        <w:rPr>
          <w:noProof/>
        </w:rPr>
        <w:t>•</w:t>
      </w:r>
      <w:r>
        <w:rPr>
          <w:noProof/>
        </w:rPr>
        <w:tab/>
        <w:t>Choix de l’instrument</w:t>
      </w:r>
    </w:p>
    <w:p>
      <w:pPr>
        <w:rPr>
          <w:rFonts w:eastAsia="Times New Roman"/>
          <w:noProof/>
          <w:szCs w:val="24"/>
        </w:rPr>
      </w:pPr>
      <w:r>
        <w:rPr>
          <w:noProof/>
        </w:rPr>
        <w:t>Une décision du Conseil autorisant la signature de l’accord est requise en vertu de l’article 218, paragraphe 5, du TFUE.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 xml:space="preserve">Le Conseil (groupe «Asile») a été consulté sur le contenu et l’avancement des négociations. Le Parlement européen (commission LIBE) a été informé. </w:t>
      </w:r>
    </w:p>
    <w:p>
      <w:pPr>
        <w:pStyle w:val="ManualHeading1"/>
        <w:rPr>
          <w:noProof/>
        </w:rPr>
      </w:pPr>
      <w:r>
        <w:rPr>
          <w:noProof/>
        </w:rPr>
        <w:t>4.</w:t>
      </w:r>
      <w:r>
        <w:rPr>
          <w:noProof/>
        </w:rPr>
        <w:tab/>
        <w:t>AUTRES ÉLÉMENTS</w:t>
      </w:r>
    </w:p>
    <w:p>
      <w:pPr>
        <w:pStyle w:val="ManualHeading2"/>
        <w:rPr>
          <w:noProof/>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noProof/>
        </w:rPr>
      </w:pPr>
      <w:r>
        <w:rPr>
          <w:noProof/>
        </w:rPr>
        <w:t>La proposition établit une décision autorisant la signature du protocole entre l’Union et le Danemark au nom de l’Union européenne. Le TFUE prévoit que le Conseil adopte, sur proposition de la Commission, une décision autorisant la signature et la conclusion d’un accord international.</w:t>
      </w:r>
    </w:p>
    <w:p>
      <w:pPr>
        <w:pBdr>
          <w:top w:val="nil"/>
          <w:left w:val="nil"/>
          <w:bottom w:val="nil"/>
          <w:right w:val="nil"/>
          <w:between w:val="nil"/>
          <w:bar w:val="nil"/>
        </w:pBdr>
        <w:spacing w:before="0" w:after="240"/>
        <w:rPr>
          <w:noProof/>
        </w:rPr>
      </w:pPr>
      <w:r>
        <w:rPr>
          <w:noProof/>
        </w:rPr>
        <w:t>Le protocole prévoit l’application du règlement (UE) nº 603/2013 au Danemark en ce qui concerne l’accès à Eurodac à des fins répressives. Il permet donc aux autorités répressives désignées des autres États participants et à Europol de demander une comparaison de données dactyloscopiques avec celles transmises au système central d’Eurodac par le Danemark. Il autorise aussi les autorités répressives désignées du Danemark de demander la comparaison de données dactyloscopiques avec celles transmises au système central d’Eurodac par les autres États participants.</w:t>
      </w:r>
    </w:p>
    <w:p>
      <w:pPr>
        <w:pBdr>
          <w:top w:val="nil"/>
          <w:left w:val="nil"/>
          <w:bottom w:val="nil"/>
          <w:right w:val="nil"/>
          <w:between w:val="nil"/>
          <w:bar w:val="nil"/>
        </w:pBdr>
        <w:spacing w:before="0" w:after="240"/>
        <w:rPr>
          <w:noProof/>
        </w:rPr>
      </w:pPr>
      <w:r>
        <w:rPr>
          <w:noProof/>
        </w:rPr>
        <w:t>Le protocole garantit que le niveau actuel de protection des données à caractère personnel dans l’UE s’applique aux traitements de données à caractère personnel effectués en vertu du protocole par les autorités du Danemark et des États membres. Ces traitements de données à caractère personnel devraient faire l’objet d’un niveau de protection de ces données, en vertu du droit national applicable, qui soit conforme à la directive (UE) 2016/680 du Parlement européen et du Conseil du 27 avril 2016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et abrogeant la décision-cadre 2008/977/JAI du Conseil.</w:t>
      </w:r>
    </w:p>
    <w:p>
      <w:pPr>
        <w:pBdr>
          <w:top w:val="nil"/>
          <w:left w:val="nil"/>
          <w:bottom w:val="nil"/>
          <w:right w:val="nil"/>
          <w:between w:val="nil"/>
          <w:bar w:val="nil"/>
        </w:pBdr>
        <w:spacing w:before="0" w:after="240"/>
        <w:rPr>
          <w:noProof/>
        </w:rPr>
      </w:pPr>
      <w:r>
        <w:rPr>
          <w:noProof/>
        </w:rPr>
        <w:t>Le protocole subordonne l’accès à Eurodac à des fins répressives, par le Danemark, à la mise en œuvre préalable, d’un point de vue juridique et technique, de la décision 2008/615/JAI pour ce qui concerne les données dactyloscopiques.</w:t>
      </w:r>
    </w:p>
    <w:p>
      <w:pPr>
        <w:pBdr>
          <w:top w:val="nil"/>
          <w:left w:val="nil"/>
          <w:bottom w:val="nil"/>
          <w:right w:val="nil"/>
          <w:between w:val="nil"/>
          <w:bar w:val="nil"/>
        </w:pBdr>
        <w:spacing w:before="0" w:after="240"/>
        <w:rPr>
          <w:noProof/>
        </w:rPr>
      </w:pPr>
      <w:r>
        <w:rPr>
          <w:noProof/>
        </w:rPr>
        <w:t>Le protocole prévoit que les mécanismes de modification prévus dans l’accord du 8 mars 2006 devraient s’appliquer à toutes les modifications portant sur l’accès à Eurodac à des fins répressives.</w:t>
      </w:r>
    </w:p>
    <w:p>
      <w:pPr>
        <w:pBdr>
          <w:top w:val="nil"/>
          <w:left w:val="nil"/>
          <w:bottom w:val="nil"/>
          <w:right w:val="nil"/>
          <w:between w:val="nil"/>
          <w:bar w:val="nil"/>
        </w:pBdr>
        <w:spacing w:before="0" w:after="240"/>
        <w:rPr>
          <w:noProof/>
        </w:rPr>
      </w:pPr>
    </w:p>
    <w:p>
      <w:pPr>
        <w:pBdr>
          <w:top w:val="nil"/>
          <w:left w:val="nil"/>
          <w:bottom w:val="nil"/>
          <w:right w:val="nil"/>
          <w:between w:val="nil"/>
          <w:bar w:val="nil"/>
        </w:pBdr>
        <w:spacing w:before="0" w:after="240"/>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2018/0424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au nom de l’Union européenne, d’un protocole à l’accord entre la Communauté européenne et le Royaume de Danemark concernant les critères et mécanismes de détermination de l’État membre responsable de l’examen d’une demande d’asile présentée par un ressortissant d’un pays tiers au Danemark ou dans tout autre État membre de l’Union européenne et le système «Eurodac» pour la comparaison des empreintes digitales aux fins de l’application efficace de la convention de Dublin, relatif à l’extension dudit accord en ce qui concerne l’accès à des fins répressives</w:t>
      </w:r>
      <w:r>
        <w:rPr>
          <w:noProof/>
        </w:rPr>
        <w:br/>
      </w:r>
    </w:p>
    <w:p>
      <w:pPr>
        <w:pStyle w:val="Institutionquiagit"/>
        <w:rPr>
          <w:noProof/>
        </w:rPr>
      </w:pPr>
      <w:r>
        <w:rPr>
          <w:noProof/>
        </w:rPr>
        <w:t>LE CONSEIL DE L’UNION EUROPÉENNE,</w:t>
      </w:r>
    </w:p>
    <w:p>
      <w:pPr>
        <w:rPr>
          <w:noProof/>
        </w:rPr>
      </w:pPr>
      <w:r>
        <w:rPr>
          <w:noProof/>
        </w:rPr>
        <w:t>vu le traité sur le fonctionnement de l’Union européenne, et notamment son article 87, paragraphe 2, point a), son article 88, paragraphe 2, point a), en liaison avec son article 218, paragraphe 5,</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14 décembre 2015, le Conseil a autorisé la Commission à ouvrir des négociations avec le Danemark sur les modalités de la participation de ce pays à la procédure de comparaison et à la transmission des données à des fins répressives prévues au chapitre VI du règlement (UE) nº 603/2013 du Parlement européen et du Conseil</w:t>
      </w:r>
      <w:r>
        <w:rPr>
          <w:rStyle w:val="FootnoteReference"/>
          <w:noProof/>
        </w:rPr>
        <w:footnoteReference w:id="3"/>
      </w:r>
      <w:r>
        <w:rPr>
          <w:noProof/>
        </w:rPr>
        <w:t xml:space="preserve">. </w:t>
      </w:r>
    </w:p>
    <w:p>
      <w:pPr>
        <w:pStyle w:val="ManualConsidrant"/>
        <w:rPr>
          <w:noProof/>
        </w:rPr>
      </w:pPr>
      <w:r>
        <w:t>(2)</w:t>
      </w:r>
      <w:r>
        <w:tab/>
      </w:r>
      <w:r>
        <w:rPr>
          <w:noProof/>
        </w:rPr>
        <w:t>Les négociations ont été menées à bien et le protocole à l’accord entre la Communauté européenne et le Royaume de Danemark concernant les critères et mécanismes de détermination de l’État membre responsable de l’examen d’une demande d’asile présentée par un ressortissant d’un pays tiers au Danemark ou dans tout autre État membre de l’Union européenne et le système «Eurodac» pour la comparaison des empreintes digitales aux fins de l’application efficace de la convention de Dublin a été paraphé le 11 décembre 2017.</w:t>
      </w:r>
    </w:p>
    <w:p>
      <w:pPr>
        <w:pStyle w:val="ManualConsidrant"/>
        <w:rPr>
          <w:noProof/>
        </w:rPr>
      </w:pPr>
      <w:r>
        <w:t>(3)</w:t>
      </w:r>
      <w:r>
        <w:tab/>
      </w:r>
      <w:r>
        <w:rPr>
          <w:noProof/>
        </w:rPr>
        <w:t xml:space="preserve">Il convient que le protocole soit signé au nom de l’Union européenne, sous réserve de sa conclusion à une date ultérieure. </w:t>
      </w:r>
    </w:p>
    <w:p>
      <w:pPr>
        <w:pStyle w:val="ManualConsidrant"/>
        <w:rPr>
          <w:noProof/>
        </w:rPr>
      </w:pPr>
      <w:r>
        <w:t>(4)</w:t>
      </w:r>
      <w:r>
        <w:tab/>
      </w:r>
      <w:r>
        <w:rPr>
          <w:noProof/>
        </w:rPr>
        <w:t xml:space="preserve">Conformément à l’article 3 du protocole sur la position du Royaume-Uni et de l’Irlande à l’égard de l’espace de liberté, de sécurité et de justice annexé au traité sur l’Union européenne et au traité sur le fonctionnement de l’Union européenne, ces États membres ont notifié leur souhait de participer à l’adoption et à l’application de la présente décision. </w:t>
      </w:r>
    </w:p>
    <w:p>
      <w:pPr>
        <w:pStyle w:val="ManualConsidrant"/>
        <w:rPr>
          <w:noProof/>
        </w:rPr>
      </w:pPr>
      <w:r>
        <w:t>(5)</w:t>
      </w:r>
      <w:r>
        <w:tab/>
      </w:r>
      <w:r>
        <w:rPr>
          <w:noProof/>
        </w:rPr>
        <w:t>Conformément aux articles 1</w:t>
      </w:r>
      <w:r>
        <w:rPr>
          <w:noProof/>
          <w:vertAlign w:val="superscript"/>
        </w:rPr>
        <w:t>er</w:t>
      </w:r>
      <w:r>
        <w:rPr>
          <w:noProof/>
        </w:rPr>
        <w:t xml:space="preserve"> et 2 du protocole nº 22 sur la position du Danemark annexé au traité sur l’Union européenne et au traité sur le fonctionnement de l’Union européenne, le Danemark ne participe pas à l’adoption de la présente décision et n’est pas lié par celle-ci ni soumis à son application, </w:t>
      </w:r>
    </w:p>
    <w:p>
      <w:pPr>
        <w:rPr>
          <w:noProof/>
        </w:rPr>
      </w:pP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 xml:space="preserve">La signature du protocole à l’accord entre la Communauté européenne et le Royaume de Danemark concernant les critères et mécanismes de détermination de l’État membre responsable de l’examen d’une demande d’asile présentée par un ressortissant d’un pays tiers au Danemark ou dans tout autre État membre de l’Union européenne et le système «Eurodac» pour la comparaison des empreintes digitales aux fins de l’application efficace de la convention de Dublin, relatif à l’extension dudit accord aux en ce qui concerne l’accès à des fins répressives, est approuvée au nom de l’Union européenne, sous réserve de la conclusion dudit protocole. </w:t>
      </w:r>
    </w:p>
    <w:p>
      <w:pPr>
        <w:pStyle w:val="Titrearticle"/>
        <w:keepNext w:val="0"/>
        <w:rPr>
          <w:noProof/>
        </w:rPr>
      </w:pPr>
      <w:r>
        <w:rPr>
          <w:noProof/>
        </w:rPr>
        <w:t>Article 2</w:t>
      </w:r>
    </w:p>
    <w:p>
      <w:pPr>
        <w:keepLines/>
        <w:rPr>
          <w:noProof/>
        </w:rPr>
      </w:pPr>
      <w:r>
        <w:rPr>
          <w:noProof/>
        </w:rPr>
        <w:t xml:space="preserve">Le secrétariat général du Conseil établit l’instrument donnant à la (aux) personne(s) indiquée(s) par le négociateur du protocole les pleins pouvoirs pour signer ce dernier, sous réserve de sa conclusion.  </w:t>
      </w:r>
    </w:p>
    <w:p>
      <w:pPr>
        <w:pStyle w:val="Titrearticle"/>
        <w:keepNext w:val="0"/>
        <w:rPr>
          <w:noProof/>
        </w:rPr>
      </w:pPr>
      <w:r>
        <w:rPr>
          <w:noProof/>
        </w:rPr>
        <w:t>Article 3</w:t>
      </w:r>
    </w:p>
    <w:p>
      <w:pPr>
        <w:rPr>
          <w:noProof/>
        </w:rPr>
      </w:pPr>
      <w:r>
        <w:rPr>
          <w:noProof/>
        </w:rPr>
        <w:t xml:space="preserve">La présente décision entre en vigueur le jour suivant celui de sa publication au </w:t>
      </w:r>
      <w:r>
        <w:rPr>
          <w:i/>
          <w:noProof/>
        </w:rPr>
        <w:t>Journal officiel de l’Union européenne</w:t>
      </w:r>
      <w:r>
        <w:rPr>
          <w:noProof/>
        </w:rPr>
        <w:t xml:space="preserve">. </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i w:val="0"/>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 xml:space="preserve">Règlement (UE) nº 603/2013 du Parlement européen et du Conseil du 26 juin 2013 relatif à la création d’Eurodac pour la comparaison des empreintes digitales aux fins de l’application efficace du règlement (UE) nº 604/2013 établissant les critères et mécanismes de détermination de l’État membre responsable de l’examen d’une demande de protection internationale introduite dans l’un des États membres par un ressortissant de pays tiers ou un apatride et relatif aux demandes de comparaison avec les données d’Eurodac présentées par les autorités répressives des États membres et Europol à des fins répressives, et modifiant le règlement (UE) nº 1077/2011 portant création d’une agence européenne pour la gestion opérationnelle des systèmes d’information à grande échelle au sein de l’espace de liberté, de sécurité et de justice (JO L 180 du 29.6.2013, p. 1). </w:t>
      </w:r>
    </w:p>
  </w:footnote>
  <w:footnote w:id="2">
    <w:p>
      <w:pPr>
        <w:pStyle w:val="FootnoteText"/>
        <w:rPr>
          <w:lang w:val="fr-BE"/>
        </w:rPr>
      </w:pPr>
      <w:r>
        <w:rPr>
          <w:rStyle w:val="FootnoteReference"/>
        </w:rPr>
        <w:footnoteRef/>
      </w:r>
      <w:r>
        <w:rPr>
          <w:lang w:val="fr-BE"/>
        </w:rPr>
        <w:tab/>
        <w:t>JO L 66 du 8.3.2006, p. 38.</w:t>
      </w:r>
    </w:p>
  </w:footnote>
  <w:footnote w:id="3">
    <w:p>
      <w:pPr>
        <w:pStyle w:val="FootnoteText"/>
        <w:rPr>
          <w:lang w:val="fr-BE"/>
        </w:rPr>
      </w:pPr>
      <w:r>
        <w:rPr>
          <w:rStyle w:val="FootnoteReference"/>
        </w:rPr>
        <w:footnoteRef/>
      </w:r>
      <w:r>
        <w:rPr>
          <w:lang w:val="fr-BE"/>
        </w:rPr>
        <w:tab/>
        <w:t>Règlement (UE) nº 603/2013 relatif à la création d’Eurodac pour la comparaison des empreintes digitales aux fins de l’application efficace du règlement (UE) nº 604/2013 établissant les critères et mécanismes de détermination de l’État membre responsable de l’examen d’une demande de protection internationale introduite dans l’un des États membres par un ressortissant de pays tiers ou un apatride et relatif aux demandes de comparaison avec les données d’Eurodac présentées par les autorités répressives des États membres et Europol à des fins répressives (JO L 180 du 29.6.2013,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A4692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8741AD4"/>
    <w:lvl w:ilvl="0">
      <w:start w:val="1"/>
      <w:numFmt w:val="decimal"/>
      <w:pStyle w:val="ListNumber3"/>
      <w:lvlText w:val="%1."/>
      <w:lvlJc w:val="left"/>
      <w:pPr>
        <w:tabs>
          <w:tab w:val="num" w:pos="926"/>
        </w:tabs>
        <w:ind w:left="926" w:hanging="360"/>
      </w:pPr>
    </w:lvl>
  </w:abstractNum>
  <w:abstractNum w:abstractNumId="2">
    <w:nsid w:val="FFFFFF7F"/>
    <w:multiLevelType w:val="singleLevel"/>
    <w:tmpl w:val="0868BC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0532B01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7FC97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EA250E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B69196"/>
    <w:lvl w:ilvl="0">
      <w:start w:val="1"/>
      <w:numFmt w:val="decimal"/>
      <w:pStyle w:val="ListNumber"/>
      <w:lvlText w:val="%1."/>
      <w:lvlJc w:val="left"/>
      <w:pPr>
        <w:tabs>
          <w:tab w:val="num" w:pos="360"/>
        </w:tabs>
        <w:ind w:left="360" w:hanging="360"/>
      </w:pPr>
    </w:lvl>
  </w:abstractNum>
  <w:abstractNum w:abstractNumId="7">
    <w:nsid w:val="FFFFFF89"/>
    <w:multiLevelType w:val="singleLevel"/>
    <w:tmpl w:val="8F4820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11 16:42:3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5F15225-F437-48BE-95ED-1D249A88C867"/>
    <w:docVar w:name="LW_COVERPAGE_TYPE" w:val="1"/>
    <w:docVar w:name="LW_CROSSREFERENCE" w:val="&lt;UNUSED&gt;"/>
    <w:docVar w:name="LW_DocType" w:val="COM"/>
    <w:docVar w:name="LW_EMISSION" w:val="14.12.2018"/>
    <w:docVar w:name="LW_EMISSION_ISODATE" w:val="2018-12-14"/>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424"/>
    <w:docVar w:name="LW_REF.II.NEW.CP_YEAR" w:val="2018"/>
    <w:docVar w:name="LW_REF.INST.NEW" w:val="COM"/>
    <w:docVar w:name="LW_REF.INST.NEW_ADOPTED" w:val="final"/>
    <w:docVar w:name="LW_REF.INST.NEW_TEXT" w:val="(2018) 8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signature, au nom de l\u8217?Union européenne, d\u8217?un protocole à l\u8217?accord entre la Communauté européenne et le Royaume de Danemark concernant les critères et mécanismes de détermination de l\u8217?État membre responsable de l\u8217?examen d\u8217?une demande d\u8217?asile présentée par un ressortissant d\u8217?un pays tiers au Danemark ou dans tout autre État membre de l\u8217?Union européenne et le système «Eurodac» pour la comparaison des empreintes digitales aux fins de l\u8217?application efficace de la convention de Dublin, relatif à l\u8217?extension dudit accord en ce qui concerne l\u8217?accès à des fins répressives_x000b_"/>
    <w:docVar w:name="LW_TYPE.DOC.CP" w:val="DÉCISION DU CONSEIL"/>
  </w:docVar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0097">
      <w:bodyDiv w:val="1"/>
      <w:marLeft w:val="0"/>
      <w:marRight w:val="0"/>
      <w:marTop w:val="0"/>
      <w:marBottom w:val="0"/>
      <w:divBdr>
        <w:top w:val="none" w:sz="0" w:space="0" w:color="auto"/>
        <w:left w:val="none" w:sz="0" w:space="0" w:color="auto"/>
        <w:bottom w:val="none" w:sz="0" w:space="0" w:color="auto"/>
        <w:right w:val="none" w:sz="0" w:space="0" w:color="auto"/>
      </w:divBdr>
    </w:div>
    <w:div w:id="211898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997B5-D6E8-4D21-B14C-A7EADA9E7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7</Pages>
  <Words>2026</Words>
  <Characters>11067</Characters>
  <Application>Microsoft Office Word</Application>
  <DocSecurity>0</DocSecurity>
  <Lines>190</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2018-06-19T13:58:00Z</cp:lastPrinted>
  <dcterms:created xsi:type="dcterms:W3CDTF">2018-12-03T13:23:00Z</dcterms:created>
  <dcterms:modified xsi:type="dcterms:W3CDTF">2018-12-11T15:42:00Z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