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D846307-9D00-4CEF-BFE7-86104C7E5BF5"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Default"/>
        <w:jc w:val="center"/>
        <w:rPr>
          <w:b/>
          <w:bCs/>
          <w:noProof/>
          <w:sz w:val="23"/>
          <w:szCs w:val="23"/>
        </w:rPr>
      </w:pPr>
      <w:bookmarkStart w:id="1" w:name="_GoBack"/>
      <w:bookmarkEnd w:id="1"/>
      <w:r>
        <w:rPr>
          <w:b/>
          <w:noProof/>
          <w:sz w:val="23"/>
        </w:rPr>
        <w:lastRenderedPageBreak/>
        <w:t>ДОКЛАД НА КОМИСИЯТА ДО ЕВРОПЕЙСКИЯ ПАРЛАМЕНТ И СЪВЕТА относно упражняването на правомощието за приемане на делегирани актове, предоставено на Комисията съгласно Директива 2008/105/ЕО за определяне на стандарти за качество на околната среда в областта на политиката за водите</w:t>
      </w:r>
    </w:p>
    <w:p>
      <w:pPr>
        <w:pStyle w:val="Default"/>
        <w:jc w:val="both"/>
        <w:rPr>
          <w:noProof/>
          <w:sz w:val="23"/>
          <w:szCs w:val="23"/>
        </w:rPr>
      </w:pPr>
      <w:r>
        <w:rPr>
          <w:b/>
          <w:noProof/>
          <w:sz w:val="23"/>
        </w:rPr>
        <w:t xml:space="preserve"> </w:t>
      </w:r>
    </w:p>
    <w:p>
      <w:pPr>
        <w:pStyle w:val="Default"/>
        <w:jc w:val="both"/>
        <w:rPr>
          <w:noProof/>
          <w:sz w:val="23"/>
          <w:szCs w:val="23"/>
        </w:rPr>
      </w:pPr>
      <w:r>
        <w:rPr>
          <w:noProof/>
          <w:sz w:val="23"/>
        </w:rPr>
        <w:t xml:space="preserve">1. ВЪВЕДЕНИЕ </w:t>
      </w:r>
    </w:p>
    <w:p>
      <w:pPr>
        <w:pStyle w:val="Default"/>
        <w:jc w:val="both"/>
        <w:rPr>
          <w:noProof/>
          <w:sz w:val="23"/>
          <w:szCs w:val="23"/>
        </w:rPr>
      </w:pPr>
    </w:p>
    <w:p>
      <w:pPr>
        <w:pStyle w:val="Default"/>
        <w:jc w:val="both"/>
        <w:rPr>
          <w:noProof/>
          <w:sz w:val="23"/>
          <w:szCs w:val="23"/>
        </w:rPr>
      </w:pPr>
      <w:r>
        <w:rPr>
          <w:noProof/>
          <w:sz w:val="23"/>
        </w:rPr>
        <w:t>Директива № 2008/105/ЕО</w:t>
      </w:r>
      <w:r>
        <w:rPr>
          <w:rStyle w:val="FootnoteReference"/>
          <w:noProof/>
          <w:sz w:val="23"/>
        </w:rPr>
        <w:footnoteReference w:id="1"/>
      </w:r>
      <w:r>
        <w:rPr>
          <w:noProof/>
          <w:sz w:val="23"/>
        </w:rPr>
        <w:t xml:space="preserve"> на Европейския парламент и на Съвета за определянето на стандарти за качество на околната среда в областта на политиката за водите, изменена с Директива 2013/39/ЕС</w:t>
      </w:r>
      <w:r>
        <w:rPr>
          <w:rStyle w:val="FootnoteReference"/>
          <w:noProof/>
          <w:sz w:val="23"/>
        </w:rPr>
        <w:footnoteReference w:id="2"/>
      </w:r>
      <w:r>
        <w:rPr>
          <w:noProof/>
          <w:sz w:val="23"/>
        </w:rPr>
        <w:t>, определя стандарти за качество на околната среда за приоритетни вещества, определени съгласно Рамковата директива за водите</w:t>
      </w:r>
      <w:r>
        <w:rPr>
          <w:rStyle w:val="FootnoteReference"/>
          <w:noProof/>
          <w:sz w:val="23"/>
        </w:rPr>
        <w:footnoteReference w:id="3"/>
      </w:r>
      <w:r>
        <w:rPr>
          <w:noProof/>
          <w:sz w:val="23"/>
        </w:rPr>
        <w:t xml:space="preserve"> (2000/60/ЕО) като представляващи значителен риск на равнището на ЕС за и чрез водните екосистеми. Директива 2008/105/ЕО е дъщерна на Рамковата директива за водите, която има за цел опазване, възстановяване и подобряване на състоянието на водните екосистеми.</w:t>
      </w:r>
    </w:p>
    <w:p>
      <w:pPr>
        <w:pStyle w:val="Default"/>
        <w:jc w:val="both"/>
        <w:rPr>
          <w:noProof/>
          <w:sz w:val="23"/>
          <w:szCs w:val="23"/>
        </w:rPr>
      </w:pPr>
    </w:p>
    <w:p>
      <w:pPr>
        <w:pStyle w:val="Default"/>
        <w:jc w:val="both"/>
        <w:rPr>
          <w:noProof/>
          <w:sz w:val="23"/>
          <w:szCs w:val="23"/>
        </w:rPr>
      </w:pPr>
      <w:r>
        <w:rPr>
          <w:noProof/>
          <w:sz w:val="23"/>
        </w:rPr>
        <w:t>С Директива 2008/105/ЕО (изменена) Комисията се оправомощава да приема делегирани актове с цел да се адаптират към научния или техническия напредък спецификациите в точка 3 от част Б на приложение I към директивата, т.е. спецификации, отнасящи се за частите</w:t>
      </w:r>
      <w:r>
        <w:rPr>
          <w:rStyle w:val="FootnoteReference"/>
          <w:noProof/>
          <w:sz w:val="23"/>
        </w:rPr>
        <w:footnoteReference w:id="4"/>
      </w:r>
      <w:r>
        <w:rPr>
          <w:noProof/>
          <w:sz w:val="23"/>
        </w:rPr>
        <w:t xml:space="preserve">, в която са определени стандартите за качество на околната среда по отношение на водите и спецификации, отнасящи се за оценката на съответствието със стандартите за качество на околната среда по отношение на металите. </w:t>
      </w:r>
    </w:p>
    <w:p>
      <w:pPr>
        <w:pStyle w:val="Default"/>
        <w:jc w:val="both"/>
        <w:rPr>
          <w:noProof/>
          <w:sz w:val="23"/>
          <w:szCs w:val="23"/>
        </w:rPr>
      </w:pPr>
    </w:p>
    <w:p>
      <w:pPr>
        <w:pStyle w:val="Default"/>
        <w:jc w:val="both"/>
        <w:rPr>
          <w:noProof/>
          <w:sz w:val="23"/>
          <w:szCs w:val="23"/>
        </w:rPr>
      </w:pPr>
      <w:r>
        <w:rPr>
          <w:noProof/>
          <w:sz w:val="23"/>
        </w:rPr>
        <w:t xml:space="preserve">2. ПРАВНО ОСНОВАНИЕ </w:t>
      </w:r>
    </w:p>
    <w:p>
      <w:pPr>
        <w:pStyle w:val="Default"/>
        <w:jc w:val="both"/>
        <w:rPr>
          <w:noProof/>
          <w:sz w:val="23"/>
          <w:szCs w:val="23"/>
        </w:rPr>
      </w:pPr>
      <w:r>
        <w:rPr>
          <w:noProof/>
          <w:sz w:val="23"/>
        </w:rPr>
        <w:t xml:space="preserve">Настоящият доклад се изисква съгласно член 9а, параграф 2 от Директива 2008/105/ЕО, изменена с Директива 2013/39/ЕС. Съгласно тази разпоредба правомощието да приема делегирани актове, посочено в член 3, параграф 8, се предоставя на Комисията за срок от шест години, считано от 13 септември 2013 г., като Комисията се задължава да изготви доклад относно делегирането на правомощия не по-късно от девет месеца преди изтичането на шестгодишния срок. Делегирането на правомощията се подновява автоматично за срокове със същата продължителност, освен ако Европейският парламент или Съветът не се противопоставят на такова подновяване в съответствие с член 9а. </w:t>
      </w:r>
    </w:p>
    <w:p>
      <w:pPr>
        <w:pStyle w:val="Default"/>
        <w:jc w:val="both"/>
        <w:rPr>
          <w:noProof/>
          <w:sz w:val="23"/>
          <w:szCs w:val="23"/>
        </w:rPr>
      </w:pPr>
    </w:p>
    <w:p>
      <w:pPr>
        <w:pStyle w:val="Default"/>
        <w:jc w:val="both"/>
        <w:rPr>
          <w:noProof/>
          <w:sz w:val="23"/>
          <w:szCs w:val="23"/>
        </w:rPr>
      </w:pPr>
      <w:r>
        <w:rPr>
          <w:noProof/>
          <w:sz w:val="23"/>
        </w:rPr>
        <w:t xml:space="preserve">3. УПРАЖНЯВАНЕ НА ДЕЛЕГИРАНЕТО </w:t>
      </w:r>
    </w:p>
    <w:p>
      <w:pPr>
        <w:pStyle w:val="Default"/>
        <w:jc w:val="both"/>
        <w:rPr>
          <w:noProof/>
          <w:sz w:val="23"/>
          <w:szCs w:val="23"/>
        </w:rPr>
      </w:pPr>
      <w:r>
        <w:rPr>
          <w:noProof/>
          <w:sz w:val="23"/>
        </w:rPr>
        <w:t>Подобно правомощие беше включено в първоначалната версия на Директива 2008/105/ЕО, но не беше използвано преди директивата да бъде изменена по обикновената законодателна процедура през 2013 г. Изменението от 2013 г. направи някои промени в текста в част Б, точка 3 от приложение I, за да се отчете техническият напредък, свързан с оценката на съответствието със стандартите за качество на околната среда за метали, по-специално да се потвърди въвеждането на стандарти за качество на околната среда за средна годишна стойност на бионаличността на два метала в сладки води, както и напредъка, постигнат в моделирането на бионаличността.</w:t>
      </w:r>
    </w:p>
    <w:p>
      <w:pPr>
        <w:pStyle w:val="Default"/>
        <w:jc w:val="both"/>
        <w:rPr>
          <w:noProof/>
          <w:sz w:val="23"/>
          <w:szCs w:val="23"/>
        </w:rPr>
      </w:pPr>
      <w:r>
        <w:rPr>
          <w:noProof/>
          <w:sz w:val="23"/>
        </w:rPr>
        <w:t xml:space="preserve"> </w:t>
      </w:r>
    </w:p>
    <w:p>
      <w:pPr>
        <w:pStyle w:val="Default"/>
        <w:jc w:val="both"/>
        <w:rPr>
          <w:noProof/>
          <w:sz w:val="23"/>
          <w:szCs w:val="23"/>
        </w:rPr>
      </w:pPr>
      <w:r>
        <w:rPr>
          <w:noProof/>
          <w:sz w:val="23"/>
        </w:rPr>
        <w:t>Научният и технически напредък от тогава все още не е наложил допълнително адаптиране на част Б, точка 3 от приложение I и следователно Комисията не е упражнила делегираното ѝ правомощие по време на отчетния период. Въпреки това, може да се наложи да се използват делегираните правомощия в бъдеще, особено като се има предвид, че необходимостта да се вземат под внимание съответни научни или технически разработки може да не съвпадне с момента на други евентуални бъдещи изменения на директивата.</w:t>
      </w:r>
    </w:p>
    <w:p>
      <w:pPr>
        <w:rPr>
          <w:rFonts w:ascii="Times New Roman" w:hAnsi="Times New Roman" w:cs="Times New Roman"/>
          <w:noProof/>
          <w:color w:val="000000"/>
          <w:sz w:val="23"/>
          <w:szCs w:val="23"/>
        </w:rPr>
      </w:pPr>
      <w:r>
        <w:rPr>
          <w:noProof/>
        </w:rPr>
        <w:br w:type="page"/>
      </w:r>
    </w:p>
    <w:p>
      <w:pPr>
        <w:pStyle w:val="Default"/>
        <w:jc w:val="both"/>
        <w:rPr>
          <w:noProof/>
          <w:sz w:val="23"/>
          <w:szCs w:val="23"/>
        </w:rPr>
      </w:pPr>
    </w:p>
    <w:p>
      <w:pPr>
        <w:pStyle w:val="Default"/>
        <w:jc w:val="both"/>
        <w:rPr>
          <w:noProof/>
          <w:sz w:val="23"/>
          <w:szCs w:val="23"/>
        </w:rPr>
      </w:pPr>
      <w:r>
        <w:rPr>
          <w:noProof/>
          <w:sz w:val="23"/>
        </w:rPr>
        <w:t xml:space="preserve">4. ЗАКЛЮЧЕНИЕ </w:t>
      </w:r>
    </w:p>
    <w:p>
      <w:pPr>
        <w:jc w:val="both"/>
        <w:rPr>
          <w:rFonts w:ascii="Times New Roman" w:hAnsi="Times New Roman" w:cs="Times New Roman"/>
          <w:noProof/>
          <w:color w:val="000000"/>
          <w:sz w:val="23"/>
          <w:szCs w:val="23"/>
        </w:rPr>
      </w:pPr>
      <w:r>
        <w:rPr>
          <w:rFonts w:ascii="Times New Roman" w:hAnsi="Times New Roman"/>
          <w:noProof/>
          <w:color w:val="000000"/>
          <w:sz w:val="23"/>
        </w:rPr>
        <w:t>Комисията не е упражнила делегираните правомощия, предоставени ѝ съгласно Директива 2008/105/ЕО, но може да се наложи да го направи в бъдеще. Комисията приканва Европейския парламент и Съвета да вземат под внимание настоящия доклад.</w:t>
      </w:r>
    </w:p>
    <w:sectPr>
      <w:headerReference w:type="even" r:id="rId15"/>
      <w:headerReference w:type="default" r:id="rId16"/>
      <w:footerReference w:type="even" r:id="rId17"/>
      <w:footerReference w:type="default" r:id="rId18"/>
      <w:headerReference w:type="first" r:id="rId19"/>
      <w:footerReference w:type="first" r:id="rId20"/>
      <w:pgSz w:w="14175" w:h="16838"/>
      <w:pgMar w:top="1417" w:right="368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854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t xml:space="preserve"> </w:t>
      </w:r>
      <w:r>
        <w:rPr>
          <w:i/>
        </w:rPr>
        <w:t>ОВ L 348, 24.12.2008 г., стр. 84-97</w:t>
      </w:r>
    </w:p>
  </w:footnote>
  <w:footnote w:id="2">
    <w:p>
      <w:pPr>
        <w:pStyle w:val="FootnoteText"/>
        <w:rPr>
          <w:lang w:val="pl-PL"/>
        </w:rPr>
      </w:pPr>
      <w:r>
        <w:rPr>
          <w:rStyle w:val="FootnoteReference"/>
        </w:rPr>
        <w:footnoteRef/>
      </w:r>
      <w:r>
        <w:t xml:space="preserve"> </w:t>
      </w:r>
      <w:r>
        <w:rPr>
          <w:i/>
        </w:rPr>
        <w:t>ОВ L 226, 24.8.2013 г., стр. 1-17</w:t>
      </w:r>
    </w:p>
  </w:footnote>
  <w:footnote w:id="3">
    <w:p>
      <w:pPr>
        <w:pStyle w:val="FootnoteText"/>
        <w:rPr>
          <w:lang w:val="pl-PL"/>
        </w:rPr>
      </w:pPr>
      <w:r>
        <w:rPr>
          <w:rStyle w:val="FootnoteReference"/>
        </w:rPr>
        <w:footnoteRef/>
      </w:r>
      <w:r>
        <w:t xml:space="preserve"> </w:t>
      </w:r>
      <w:r>
        <w:rPr>
          <w:i/>
        </w:rPr>
        <w:t>ОВ L 327, 22.12.2000 г., стр. 1-73</w:t>
      </w:r>
    </w:p>
  </w:footnote>
  <w:footnote w:id="4">
    <w:p>
      <w:pPr>
        <w:pStyle w:val="FootnoteText"/>
      </w:pPr>
      <w:r>
        <w:rPr>
          <w:rStyle w:val="FootnoteReference"/>
        </w:rPr>
        <w:footnoteRef/>
      </w:r>
      <w:r>
        <w:t xml:space="preserve"> т.е. цялата вода или разтворени части.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D846307-9D00-4CEF-BFE7-86104C7E5BF5"/>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2008/105/\u1045?\u1054? \u1079?\u1072? \u1086?\u1087?\u1088?\u1077?\u1076?\u1077?\u1083?\u1103?\u1085?\u1077? \u1085?\u1072? \u1089?\u1090?\u1072?\u1085?\u1076?\u1072?\u1088?\u1090?\u1080? \u1079?\u1072? \u1082?\u1072?\u1095?\u1077?\u1089?\u1090?\u1074?\u1086? \u1085?\u1072? \u1086?\u1082?\u1086?\u1083?\u1085?\u1072?\u1090?\u1072? \u1089?\u1088?\u1077?\u1076?\u1072? \u1074? \u1086?\u1073?\u1083?\u1072?\u1089?\u1090?\u1090?\u1072? \u1085?\u1072? \u1087?\u1086?\u1083?\u1080?\u1090?\u1080?\u1082?\u1072?\u1090?\u1072? \u1079?\u1072? \u1074?\u1086?\u1076?\u1080?\u1090?\u1077?&lt;/FMT&gt;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01EF-5908-4C9F-AC10-62D4B005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505</Words>
  <Characters>2939</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17</cp:revision>
  <dcterms:created xsi:type="dcterms:W3CDTF">2018-11-12T12:20:00Z</dcterms:created>
  <dcterms:modified xsi:type="dcterms:W3CDTF">2018-12-10T12:54:00Z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