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A4E57DF-C900-46E3-A843-592AADE8DFF2" style="width:450.75pt;height:434.25pt">
            <v:imagedata r:id="rId12" o:title=""/>
          </v:shape>
        </w:pict>
      </w:r>
    </w:p>
    <w:bookmarkEnd w:id="0"/>
    <w:p>
      <w:pPr>
        <w:rPr>
          <w:b/>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itle"/>
        <w:spacing w:before="0" w:after="240"/>
        <w:rPr>
          <w:rFonts w:ascii="Times New Roman" w:hAnsi="Times New Roman"/>
          <w:i/>
          <w:noProof/>
          <w:sz w:val="24"/>
          <w:szCs w:val="24"/>
        </w:rPr>
      </w:pPr>
      <w:bookmarkStart w:id="1" w:name="_Toc463018899"/>
      <w:bookmarkStart w:id="2" w:name="_GoBack"/>
      <w:bookmarkEnd w:id="2"/>
      <w:r>
        <w:rPr>
          <w:rFonts w:ascii="Times New Roman" w:hAnsi="Times New Roman"/>
          <w:i/>
          <w:noProof/>
          <w:sz w:val="24"/>
        </w:rPr>
        <w:lastRenderedPageBreak/>
        <w:t>ПРИЛОЖЕНИЕ 1.1</w:t>
      </w:r>
    </w:p>
    <w:p>
      <w:pPr>
        <w:pStyle w:val="Title"/>
        <w:spacing w:before="0" w:after="120"/>
        <w:rPr>
          <w:rFonts w:ascii="Times New Roman" w:hAnsi="Times New Roman"/>
          <w:noProof/>
          <w:sz w:val="24"/>
          <w:szCs w:val="24"/>
        </w:rPr>
      </w:pPr>
      <w:r>
        <w:rPr>
          <w:rFonts w:ascii="Times New Roman" w:hAnsi="Times New Roman"/>
          <w:noProof/>
          <w:sz w:val="24"/>
        </w:rPr>
        <w:t xml:space="preserve">Кумулативно финансово изпълнение на ЕСИ фондовете по тематична цел, отчетено по програмите до 31 декември 2017 г. (общо разходи и равнища на подбор на проекти и усвояване на разходите) </w:t>
      </w:r>
    </w:p>
    <w:tbl>
      <w:tblPr>
        <w:tblW w:w="5000" w:type="pct"/>
        <w:tblInd w:w="108" w:type="dxa"/>
        <w:tblLayout w:type="fixed"/>
        <w:tblLook w:val="04A0" w:firstRow="1" w:lastRow="0" w:firstColumn="1" w:lastColumn="0" w:noHBand="0" w:noVBand="1"/>
      </w:tblPr>
      <w:tblGrid>
        <w:gridCol w:w="536"/>
        <w:gridCol w:w="2277"/>
        <w:gridCol w:w="1339"/>
        <w:gridCol w:w="1337"/>
        <w:gridCol w:w="1337"/>
        <w:gridCol w:w="1071"/>
        <w:gridCol w:w="936"/>
      </w:tblGrid>
      <w:tr>
        <w:trPr>
          <w:trHeight w:val="334"/>
        </w:trPr>
        <w:tc>
          <w:tcPr>
            <w:tcW w:w="303" w:type="pct"/>
            <w:vMerge w:val="restart"/>
            <w:tcBorders>
              <w:top w:val="single" w:sz="4" w:space="0" w:color="auto"/>
              <w:left w:val="single" w:sz="4" w:space="0" w:color="auto"/>
              <w:bottom w:val="single" w:sz="4" w:space="0" w:color="000000"/>
              <w:right w:val="nil"/>
            </w:tcBorders>
            <w:shd w:val="clear" w:color="000000" w:fill="8DB4E2"/>
            <w:vAlign w:val="center"/>
          </w:tcPr>
          <w:p>
            <w:pPr>
              <w:spacing w:after="0"/>
              <w:jc w:val="center"/>
              <w:rPr>
                <w:b/>
                <w:bCs/>
                <w:noProof/>
                <w:sz w:val="20"/>
              </w:rPr>
            </w:pPr>
          </w:p>
        </w:tc>
        <w:tc>
          <w:tcPr>
            <w:tcW w:w="1289"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left"/>
              <w:rPr>
                <w:b/>
                <w:bCs/>
                <w:noProof/>
                <w:sz w:val="20"/>
              </w:rPr>
            </w:pPr>
            <w:r>
              <w:rPr>
                <w:b/>
                <w:noProof/>
                <w:sz w:val="20"/>
              </w:rPr>
              <w:t>Тематични цели</w:t>
            </w:r>
          </w:p>
        </w:tc>
        <w:tc>
          <w:tcPr>
            <w:tcW w:w="758"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Обща планирана сума</w:t>
            </w:r>
          </w:p>
        </w:tc>
        <w:tc>
          <w:tcPr>
            <w:tcW w:w="757"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 xml:space="preserve">Общ размер на допустимите разходи по избраните проекти </w:t>
            </w:r>
          </w:p>
        </w:tc>
        <w:tc>
          <w:tcPr>
            <w:tcW w:w="757"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 xml:space="preserve">Общ размер на разходите, отчетени по избраните проекти </w:t>
            </w:r>
          </w:p>
        </w:tc>
        <w:tc>
          <w:tcPr>
            <w:tcW w:w="606"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Равнище на подбор на проекти</w:t>
            </w:r>
          </w:p>
        </w:tc>
        <w:tc>
          <w:tcPr>
            <w:tcW w:w="530"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Равнище на усвояване на разходите</w:t>
            </w:r>
          </w:p>
        </w:tc>
      </w:tr>
      <w:tr>
        <w:trPr>
          <w:trHeight w:val="254"/>
        </w:trPr>
        <w:tc>
          <w:tcPr>
            <w:tcW w:w="303"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rPr>
            </w:pPr>
          </w:p>
        </w:tc>
        <w:tc>
          <w:tcPr>
            <w:tcW w:w="1289"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rPr>
            </w:pPr>
          </w:p>
        </w:tc>
        <w:tc>
          <w:tcPr>
            <w:tcW w:w="758"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милиони евро</w:t>
            </w:r>
          </w:p>
        </w:tc>
        <w:tc>
          <w:tcPr>
            <w:tcW w:w="757"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милиони евро</w:t>
            </w:r>
          </w:p>
        </w:tc>
        <w:tc>
          <w:tcPr>
            <w:tcW w:w="757"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милиони евро</w:t>
            </w:r>
          </w:p>
        </w:tc>
        <w:tc>
          <w:tcPr>
            <w:tcW w:w="606"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c>
          <w:tcPr>
            <w:tcW w:w="530"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r>
      <w:tr>
        <w:trPr>
          <w:trHeight w:val="26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Научни изследвания и иновации</w:t>
            </w:r>
          </w:p>
        </w:tc>
        <w:tc>
          <w:tcPr>
            <w:tcW w:w="75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60 175,6 </w:t>
            </w:r>
          </w:p>
        </w:tc>
        <w:tc>
          <w:tcPr>
            <w:tcW w:w="757"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30 670,2 </w:t>
            </w:r>
          </w:p>
        </w:tc>
        <w:tc>
          <w:tcPr>
            <w:tcW w:w="757"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4 895,9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51,0 %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8,1 %</w:t>
            </w:r>
          </w:p>
        </w:tc>
      </w:tr>
      <w:tr>
        <w:trPr>
          <w:trHeight w:val="36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Информационни и комуникационни технологии</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18 368,0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8 772,9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900,8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47,8 %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4,9 %</w:t>
            </w:r>
          </w:p>
        </w:tc>
      </w:tr>
      <w:tr>
        <w:trPr>
          <w:trHeight w:val="192"/>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Конкурентоспособност на МСП</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85 401,9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47 014,7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15 378,3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55,1 %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18,0 %</w:t>
            </w:r>
          </w:p>
        </w:tc>
      </w:tr>
      <w:tr>
        <w:trPr>
          <w:trHeight w:val="168"/>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Нисковъглеродна икономика</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52 095,1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23 333,0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3 774,7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44,8 %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7,2 %</w:t>
            </w:r>
          </w:p>
        </w:tc>
      </w:tr>
      <w:tr>
        <w:trPr>
          <w:trHeight w:val="31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Адаптиране към изменението на климата и предотвратяване на рискове</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38 069,3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22 134,9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12 613,0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58,1 %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33,1 %</w:t>
            </w:r>
          </w:p>
        </w:tc>
      </w:tr>
      <w:tr>
        <w:trPr>
          <w:trHeight w:val="34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Опазване на околната среда и ресурсна ефективност</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73 147,4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38 091,3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15 917,9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52,1 %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21,8 %</w:t>
            </w:r>
          </w:p>
        </w:tc>
      </w:tr>
      <w:tr>
        <w:trPr>
          <w:trHeight w:val="483"/>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Мрежови инфраструктури в областта на транспорта и енергетиката</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66 372,3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41 368,9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11 548,9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62,3 %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17,4 %</w:t>
            </w:r>
          </w:p>
        </w:tc>
      </w:tr>
      <w:tr>
        <w:trPr>
          <w:trHeight w:val="35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Устойчива и качествена заетост</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48 788,3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24 764,5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8 210,6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50,8 %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16,8 %</w:t>
            </w:r>
          </w:p>
        </w:tc>
      </w:tr>
      <w:tr>
        <w:trPr>
          <w:trHeight w:val="28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Социално приобщаване</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53 986,2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25 008,9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5 616,2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46,3 %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10,4 %</w:t>
            </w:r>
          </w:p>
        </w:tc>
      </w:tr>
      <w:tr>
        <w:trPr>
          <w:trHeight w:val="30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Образование и професионално обучение</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40 981,3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21 296,0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5 241,9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52,0 %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12,8 %</w:t>
            </w:r>
          </w:p>
        </w:tc>
      </w:tr>
      <w:tr>
        <w:trPr>
          <w:trHeight w:val="170"/>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Ефективна публична администрация</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6 109,3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2 936,4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351,9 </w:t>
            </w:r>
          </w:p>
        </w:tc>
        <w:tc>
          <w:tcPr>
            <w:tcW w:w="6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48,1 %</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5,8 %</w:t>
            </w:r>
          </w:p>
        </w:tc>
      </w:tr>
      <w:tr>
        <w:trPr>
          <w:trHeight w:val="424"/>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Най-отдалечени и слабо населени региони</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220,5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428,4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225,3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194,2 %</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102,2 %</w:t>
            </w:r>
          </w:p>
        </w:tc>
      </w:tr>
      <w:tr>
        <w:trPr>
          <w:trHeight w:val="182"/>
        </w:trPr>
        <w:tc>
          <w:tcPr>
            <w:tcW w:w="303"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ПМ</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Преустановени мерки</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176,3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56,9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0,0 %</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32,3 %</w:t>
            </w:r>
          </w:p>
        </w:tc>
      </w:tr>
      <w:tr>
        <w:trPr>
          <w:trHeight w:val="462"/>
        </w:trPr>
        <w:tc>
          <w:tcPr>
            <w:tcW w:w="303"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Множество тематични цели (ЕФРР/КФ/ЕСФ)</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81 042,3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43 357,8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8 161,4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53,5 %</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10,1 %</w:t>
            </w:r>
          </w:p>
        </w:tc>
      </w:tr>
      <w:tr>
        <w:trPr>
          <w:trHeight w:val="141"/>
        </w:trPr>
        <w:tc>
          <w:tcPr>
            <w:tcW w:w="303"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ТП</w:t>
            </w:r>
          </w:p>
        </w:tc>
        <w:tc>
          <w:tcPr>
            <w:tcW w:w="1289"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Техническа помощ</w:t>
            </w:r>
          </w:p>
        </w:tc>
        <w:tc>
          <w:tcPr>
            <w:tcW w:w="758" w:type="pct"/>
            <w:tcBorders>
              <w:top w:val="nil"/>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19 097,8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9 010,2 </w:t>
            </w:r>
          </w:p>
        </w:tc>
        <w:tc>
          <w:tcPr>
            <w:tcW w:w="757" w:type="pct"/>
            <w:tcBorders>
              <w:top w:val="nil"/>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 xml:space="preserve">                     2 791,5 </w:t>
            </w:r>
          </w:p>
        </w:tc>
        <w:tc>
          <w:tcPr>
            <w:tcW w:w="606"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47,2 %</w:t>
            </w:r>
          </w:p>
        </w:tc>
        <w:tc>
          <w:tcPr>
            <w:tcW w:w="530" w:type="pct"/>
            <w:tcBorders>
              <w:top w:val="nil"/>
              <w:left w:val="nil"/>
              <w:bottom w:val="single" w:sz="4" w:space="0" w:color="auto"/>
              <w:right w:val="single" w:sz="4" w:space="0" w:color="auto"/>
            </w:tcBorders>
            <w:shd w:val="clear" w:color="auto" w:fill="FFFFFF" w:themeFill="background1"/>
            <w:vAlign w:val="bottom"/>
          </w:tcPr>
          <w:p>
            <w:pPr>
              <w:spacing w:after="0"/>
              <w:jc w:val="right"/>
              <w:rPr>
                <w:b/>
                <w:bCs/>
                <w:noProof/>
                <w:sz w:val="20"/>
              </w:rPr>
            </w:pPr>
            <w:r>
              <w:rPr>
                <w:noProof/>
                <w:color w:val="000000"/>
                <w:sz w:val="20"/>
              </w:rPr>
              <w:t>14,6 %</w:t>
            </w:r>
          </w:p>
        </w:tc>
      </w:tr>
      <w:tr>
        <w:trPr>
          <w:trHeight w:val="290"/>
        </w:trPr>
        <w:tc>
          <w:tcPr>
            <w:tcW w:w="303" w:type="pct"/>
            <w:tcBorders>
              <w:top w:val="nil"/>
              <w:left w:val="single" w:sz="4" w:space="0" w:color="auto"/>
              <w:bottom w:val="single" w:sz="4" w:space="0" w:color="auto"/>
              <w:right w:val="nil"/>
            </w:tcBorders>
            <w:shd w:val="clear" w:color="000000" w:fill="8DB4E2"/>
            <w:vAlign w:val="center"/>
            <w:hideMark/>
          </w:tcPr>
          <w:p>
            <w:pPr>
              <w:spacing w:before="120" w:after="120"/>
              <w:jc w:val="left"/>
              <w:rPr>
                <w:b/>
                <w:bCs/>
                <w:noProof/>
                <w:sz w:val="20"/>
              </w:rPr>
            </w:pPr>
            <w:r>
              <w:rPr>
                <w:b/>
                <w:noProof/>
                <w:sz w:val="20"/>
              </w:rPr>
              <w:t> </w:t>
            </w:r>
          </w:p>
        </w:tc>
        <w:tc>
          <w:tcPr>
            <w:tcW w:w="1289" w:type="pct"/>
            <w:tcBorders>
              <w:top w:val="nil"/>
              <w:left w:val="nil"/>
              <w:bottom w:val="single" w:sz="4" w:space="0" w:color="auto"/>
              <w:right w:val="single" w:sz="4" w:space="0" w:color="auto"/>
            </w:tcBorders>
            <w:shd w:val="clear" w:color="000000" w:fill="8DB4E2"/>
            <w:vAlign w:val="bottom"/>
            <w:hideMark/>
          </w:tcPr>
          <w:p>
            <w:pPr>
              <w:spacing w:before="120" w:after="120"/>
              <w:jc w:val="left"/>
              <w:rPr>
                <w:b/>
                <w:bCs/>
                <w:noProof/>
                <w:sz w:val="20"/>
              </w:rPr>
            </w:pPr>
            <w:r>
              <w:rPr>
                <w:b/>
                <w:noProof/>
                <w:sz w:val="20"/>
              </w:rPr>
              <w:t>Общ сбор</w:t>
            </w:r>
          </w:p>
        </w:tc>
        <w:tc>
          <w:tcPr>
            <w:tcW w:w="758" w:type="pct"/>
            <w:tcBorders>
              <w:top w:val="nil"/>
              <w:left w:val="single" w:sz="4" w:space="0" w:color="auto"/>
              <w:bottom w:val="single" w:sz="4" w:space="0" w:color="auto"/>
              <w:right w:val="single" w:sz="4" w:space="0" w:color="auto"/>
            </w:tcBorders>
            <w:shd w:val="clear" w:color="auto" w:fill="8DB3E2" w:themeFill="text2" w:themeFillTint="66"/>
            <w:vAlign w:val="bottom"/>
          </w:tcPr>
          <w:p>
            <w:pPr>
              <w:spacing w:before="120" w:after="120"/>
              <w:jc w:val="right"/>
              <w:rPr>
                <w:b/>
                <w:bCs/>
                <w:noProof/>
                <w:sz w:val="20"/>
              </w:rPr>
            </w:pPr>
            <w:r>
              <w:rPr>
                <w:b/>
                <w:noProof/>
                <w:sz w:val="20"/>
              </w:rPr>
              <w:t xml:space="preserve">644 031,6 </w:t>
            </w:r>
          </w:p>
        </w:tc>
        <w:tc>
          <w:tcPr>
            <w:tcW w:w="757"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center"/>
              <w:rPr>
                <w:b/>
                <w:bCs/>
                <w:noProof/>
                <w:sz w:val="20"/>
              </w:rPr>
            </w:pPr>
            <w:r>
              <w:rPr>
                <w:b/>
                <w:noProof/>
                <w:sz w:val="20"/>
              </w:rPr>
              <w:t xml:space="preserve">338 188,2 </w:t>
            </w:r>
          </w:p>
        </w:tc>
        <w:tc>
          <w:tcPr>
            <w:tcW w:w="757"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right"/>
              <w:rPr>
                <w:b/>
                <w:bCs/>
                <w:noProof/>
                <w:sz w:val="20"/>
              </w:rPr>
            </w:pPr>
            <w:r>
              <w:rPr>
                <w:b/>
                <w:noProof/>
                <w:sz w:val="20"/>
              </w:rPr>
              <w:t xml:space="preserve">95 685,3 </w:t>
            </w:r>
          </w:p>
        </w:tc>
        <w:tc>
          <w:tcPr>
            <w:tcW w:w="606"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right"/>
              <w:rPr>
                <w:b/>
                <w:bCs/>
                <w:noProof/>
                <w:sz w:val="20"/>
              </w:rPr>
            </w:pPr>
            <w:r>
              <w:rPr>
                <w:b/>
                <w:noProof/>
                <w:sz w:val="20"/>
              </w:rPr>
              <w:t>52,5 %</w:t>
            </w:r>
          </w:p>
        </w:tc>
        <w:tc>
          <w:tcPr>
            <w:tcW w:w="530" w:type="pct"/>
            <w:tcBorders>
              <w:top w:val="nil"/>
              <w:left w:val="nil"/>
              <w:bottom w:val="single" w:sz="4" w:space="0" w:color="auto"/>
              <w:right w:val="single" w:sz="4" w:space="0" w:color="auto"/>
            </w:tcBorders>
            <w:shd w:val="clear" w:color="auto" w:fill="8DB3E2" w:themeFill="text2" w:themeFillTint="66"/>
            <w:vAlign w:val="bottom"/>
          </w:tcPr>
          <w:p>
            <w:pPr>
              <w:spacing w:before="120" w:after="120"/>
              <w:jc w:val="right"/>
              <w:rPr>
                <w:b/>
                <w:bCs/>
                <w:noProof/>
                <w:sz w:val="20"/>
              </w:rPr>
            </w:pPr>
            <w:r>
              <w:rPr>
                <w:b/>
                <w:noProof/>
                <w:sz w:val="20"/>
              </w:rPr>
              <w:t>14,9 %</w:t>
            </w:r>
          </w:p>
        </w:tc>
      </w:tr>
    </w:tbl>
    <w:p>
      <w:pPr>
        <w:rPr>
          <w:i/>
          <w:noProof/>
          <w:sz w:val="20"/>
        </w:rPr>
      </w:pPr>
      <w:r>
        <w:rPr>
          <w:i/>
          <w:noProof/>
          <w:sz w:val="20"/>
        </w:rPr>
        <w:t xml:space="preserve">Източник: Европейска комисия въз основа на данни, докладвани по програмите, достъпни в портала за свободно достъпни данни на Европейския структурен и инвестиционен фонд (ЕСИФ) </w:t>
      </w:r>
      <w:r>
        <w:rPr>
          <w:rStyle w:val="Hyperlink"/>
          <w:i/>
          <w:noProof/>
          <w:sz w:val="20"/>
        </w:rPr>
        <w:t xml:space="preserve">https://cohesiondata.ec.europa.eu/d/99js-gm52  </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rPr>
        <w:t>ПРИЛОЖЕНИЕ 1.2</w:t>
      </w:r>
    </w:p>
    <w:p>
      <w:pPr>
        <w:pStyle w:val="Title"/>
        <w:spacing w:before="0" w:after="120"/>
        <w:rPr>
          <w:noProof/>
        </w:rPr>
      </w:pPr>
      <w:r>
        <w:rPr>
          <w:rFonts w:ascii="Times New Roman" w:hAnsi="Times New Roman"/>
          <w:noProof/>
          <w:sz w:val="24"/>
        </w:rPr>
        <w:t>Кумулативно финансово изпълнение на ЕСИ фондовете по тематична цел, отчетено по програмите до есента на 2018 г. (общо разходи и равнища на подбор на проекти и усвояване на разходите) (данни към 8.11.2018 г.)</w:t>
      </w:r>
    </w:p>
    <w:tbl>
      <w:tblPr>
        <w:tblW w:w="4985" w:type="pct"/>
        <w:tblInd w:w="108" w:type="dxa"/>
        <w:tblLayout w:type="fixed"/>
        <w:tblLook w:val="04A0" w:firstRow="1" w:lastRow="0" w:firstColumn="1" w:lastColumn="0" w:noHBand="0" w:noVBand="1"/>
      </w:tblPr>
      <w:tblGrid>
        <w:gridCol w:w="402"/>
        <w:gridCol w:w="2445"/>
        <w:gridCol w:w="1355"/>
        <w:gridCol w:w="1219"/>
        <w:gridCol w:w="1355"/>
        <w:gridCol w:w="1083"/>
        <w:gridCol w:w="948"/>
      </w:tblGrid>
      <w:tr>
        <w:trPr>
          <w:trHeight w:val="334"/>
        </w:trPr>
        <w:tc>
          <w:tcPr>
            <w:tcW w:w="228" w:type="pct"/>
            <w:vMerge w:val="restart"/>
            <w:tcBorders>
              <w:top w:val="single" w:sz="4" w:space="0" w:color="auto"/>
              <w:left w:val="single" w:sz="4" w:space="0" w:color="auto"/>
              <w:bottom w:val="single" w:sz="4" w:space="0" w:color="000000"/>
              <w:right w:val="nil"/>
            </w:tcBorders>
            <w:shd w:val="clear" w:color="000000" w:fill="8DB4E2"/>
            <w:vAlign w:val="center"/>
          </w:tcPr>
          <w:p>
            <w:pPr>
              <w:spacing w:after="0"/>
              <w:jc w:val="center"/>
              <w:rPr>
                <w:b/>
                <w:bCs/>
                <w:noProof/>
                <w:sz w:val="20"/>
              </w:rPr>
            </w:pPr>
          </w:p>
        </w:tc>
        <w:tc>
          <w:tcPr>
            <w:tcW w:w="1388" w:type="pct"/>
            <w:vMerge w:val="restart"/>
            <w:tcBorders>
              <w:top w:val="single" w:sz="4" w:space="0" w:color="auto"/>
              <w:left w:val="nil"/>
              <w:bottom w:val="single" w:sz="4" w:space="0" w:color="000000"/>
              <w:right w:val="single" w:sz="4" w:space="0" w:color="auto"/>
            </w:tcBorders>
            <w:shd w:val="clear" w:color="000000" w:fill="8DB4E2"/>
            <w:vAlign w:val="center"/>
            <w:hideMark/>
          </w:tcPr>
          <w:p>
            <w:pPr>
              <w:spacing w:after="0"/>
              <w:jc w:val="left"/>
              <w:rPr>
                <w:b/>
                <w:bCs/>
                <w:noProof/>
                <w:sz w:val="20"/>
              </w:rPr>
            </w:pPr>
            <w:r>
              <w:rPr>
                <w:b/>
                <w:noProof/>
                <w:sz w:val="20"/>
              </w:rPr>
              <w:t>Тематични цели</w:t>
            </w:r>
          </w:p>
        </w:tc>
        <w:tc>
          <w:tcPr>
            <w:tcW w:w="769"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Обща планирана сума</w:t>
            </w:r>
          </w:p>
        </w:tc>
        <w:tc>
          <w:tcPr>
            <w:tcW w:w="692"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Общ размер на допустимите разходи по избраните проекти</w:t>
            </w:r>
          </w:p>
        </w:tc>
        <w:tc>
          <w:tcPr>
            <w:tcW w:w="769"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 xml:space="preserve">Общ размер на разходите, отчетени по избраните проекти </w:t>
            </w:r>
          </w:p>
        </w:tc>
        <w:tc>
          <w:tcPr>
            <w:tcW w:w="615"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Равнище на подбор на проекти</w:t>
            </w:r>
          </w:p>
        </w:tc>
        <w:tc>
          <w:tcPr>
            <w:tcW w:w="538"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Равнище на усвояване на разходите</w:t>
            </w:r>
          </w:p>
        </w:tc>
      </w:tr>
      <w:tr>
        <w:trPr>
          <w:trHeight w:val="254"/>
        </w:trPr>
        <w:tc>
          <w:tcPr>
            <w:tcW w:w="228" w:type="pct"/>
            <w:vMerge/>
            <w:tcBorders>
              <w:top w:val="single" w:sz="4" w:space="0" w:color="auto"/>
              <w:left w:val="single" w:sz="4" w:space="0" w:color="auto"/>
              <w:bottom w:val="single" w:sz="4" w:space="0" w:color="000000"/>
              <w:right w:val="nil"/>
            </w:tcBorders>
            <w:vAlign w:val="center"/>
            <w:hideMark/>
          </w:tcPr>
          <w:p>
            <w:pPr>
              <w:spacing w:after="0"/>
              <w:jc w:val="left"/>
              <w:rPr>
                <w:b/>
                <w:bCs/>
                <w:noProof/>
                <w:sz w:val="20"/>
              </w:rPr>
            </w:pPr>
          </w:p>
        </w:tc>
        <w:tc>
          <w:tcPr>
            <w:tcW w:w="1388" w:type="pct"/>
            <w:vMerge/>
            <w:tcBorders>
              <w:top w:val="single" w:sz="4" w:space="0" w:color="auto"/>
              <w:left w:val="nil"/>
              <w:bottom w:val="single" w:sz="4" w:space="0" w:color="000000"/>
              <w:right w:val="single" w:sz="4" w:space="0" w:color="auto"/>
            </w:tcBorders>
            <w:vAlign w:val="center"/>
            <w:hideMark/>
          </w:tcPr>
          <w:p>
            <w:pPr>
              <w:spacing w:after="0"/>
              <w:jc w:val="left"/>
              <w:rPr>
                <w:b/>
                <w:bCs/>
                <w:noProof/>
                <w:sz w:val="20"/>
              </w:rPr>
            </w:pPr>
          </w:p>
        </w:tc>
        <w:tc>
          <w:tcPr>
            <w:tcW w:w="769"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милиони евро</w:t>
            </w:r>
          </w:p>
        </w:tc>
        <w:tc>
          <w:tcPr>
            <w:tcW w:w="692"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милиони евро</w:t>
            </w:r>
          </w:p>
        </w:tc>
        <w:tc>
          <w:tcPr>
            <w:tcW w:w="769"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милиони евро</w:t>
            </w:r>
          </w:p>
        </w:tc>
        <w:tc>
          <w:tcPr>
            <w:tcW w:w="615"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c>
          <w:tcPr>
            <w:tcW w:w="538" w:type="pct"/>
            <w:tcBorders>
              <w:left w:val="single" w:sz="4" w:space="0" w:color="auto"/>
              <w:bottom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r>
      <w:tr>
        <w:trPr>
          <w:trHeight w:val="26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01</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Научни изследвания и иновации</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60 251,6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39 600,6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8 413,9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65,7 %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14,0 %</w:t>
            </w:r>
          </w:p>
        </w:tc>
      </w:tr>
      <w:tr>
        <w:trPr>
          <w:trHeight w:val="36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02</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Информационни и комуникационни технологии</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18 055,1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11 162,9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1 502,4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61,8 %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8,3 %</w:t>
            </w:r>
          </w:p>
        </w:tc>
      </w:tr>
      <w:tr>
        <w:trPr>
          <w:trHeight w:val="192"/>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03</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Конкурентоспособност на МСП</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86 446,5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52 156,7</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22 151,7</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60,3 %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25,6 %</w:t>
            </w:r>
          </w:p>
        </w:tc>
      </w:tr>
      <w:tr>
        <w:trPr>
          <w:trHeight w:val="168"/>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04</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Нисковъглеродна икономика</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49 771,9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28 027,6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6 162,4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56,3 %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12,4 %</w:t>
            </w:r>
          </w:p>
        </w:tc>
      </w:tr>
      <w:tr>
        <w:trPr>
          <w:trHeight w:val="31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05</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Адаптиране към изменението на климата и предотвратяване на рискове</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38 617,5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23 045,2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14 883,8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59,7 %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38,5 %</w:t>
            </w:r>
          </w:p>
        </w:tc>
      </w:tr>
      <w:tr>
        <w:trPr>
          <w:trHeight w:val="34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06</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Опазване на околната среда и ресурсна ефективност</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73 673,9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43 091,8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19 699,2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58,5 %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26,7 %</w:t>
            </w:r>
          </w:p>
        </w:tc>
      </w:tr>
      <w:tr>
        <w:trPr>
          <w:trHeight w:val="483"/>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07</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Мрежови инфраструктури в областта на транспорта и енергетиката</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66 171,4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49 416,5</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16 010,2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74,7 %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24,2 %</w:t>
            </w:r>
          </w:p>
        </w:tc>
      </w:tr>
      <w:tr>
        <w:trPr>
          <w:trHeight w:val="35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08</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Устойчива и качествена заетост</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49 543,1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30 035,8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11 281,0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60,6 %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22,8 %</w:t>
            </w:r>
          </w:p>
        </w:tc>
      </w:tr>
      <w:tr>
        <w:trPr>
          <w:trHeight w:val="28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09</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Социално приобщаване</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54 105,7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29 971,0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9 512,2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55,4 %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17,6 %</w:t>
            </w:r>
          </w:p>
        </w:tc>
      </w:tr>
      <w:tr>
        <w:trPr>
          <w:trHeight w:val="30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10</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Образование и професионално обучение</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40 662,1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26 549,8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8 464,3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65,3 %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20,8 %</w:t>
            </w:r>
          </w:p>
        </w:tc>
      </w:tr>
      <w:tr>
        <w:trPr>
          <w:trHeight w:val="170"/>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11</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Ефективна публична администрация</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6 145,7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3 743,2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723,2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60,9 %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11,8 %</w:t>
            </w:r>
          </w:p>
        </w:tc>
      </w:tr>
      <w:tr>
        <w:trPr>
          <w:trHeight w:val="424"/>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12</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Най-отдалечени и слабо населени региони</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220,5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527,8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334,0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239,3 %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151,4 %</w:t>
            </w:r>
          </w:p>
        </w:tc>
      </w:tr>
      <w:tr>
        <w:trPr>
          <w:trHeight w:val="182"/>
        </w:trPr>
        <w:tc>
          <w:tcPr>
            <w:tcW w:w="228" w:type="pct"/>
            <w:tcBorders>
              <w:top w:val="nil"/>
              <w:left w:val="single" w:sz="4" w:space="0" w:color="auto"/>
              <w:bottom w:val="single" w:sz="4" w:space="0" w:color="auto"/>
              <w:right w:val="nil"/>
            </w:tcBorders>
            <w:shd w:val="clear" w:color="auto" w:fill="auto"/>
            <w:noWrap/>
            <w:hideMark/>
          </w:tcPr>
          <w:p>
            <w:pPr>
              <w:spacing w:after="0"/>
              <w:ind w:right="-134"/>
              <w:jc w:val="left"/>
              <w:rPr>
                <w:noProof/>
                <w:sz w:val="20"/>
              </w:rPr>
            </w:pPr>
            <w:r>
              <w:rPr>
                <w:noProof/>
                <w:sz w:val="20"/>
              </w:rPr>
              <w:t>ПМ</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Преустановени мерки</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172,8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73,2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0,0 %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42,4 %</w:t>
            </w:r>
          </w:p>
        </w:tc>
      </w:tr>
      <w:tr>
        <w:trPr>
          <w:trHeight w:val="462"/>
        </w:trPr>
        <w:tc>
          <w:tcPr>
            <w:tcW w:w="228" w:type="pct"/>
            <w:tcBorders>
              <w:top w:val="nil"/>
              <w:left w:val="single" w:sz="4" w:space="0" w:color="auto"/>
              <w:bottom w:val="single" w:sz="4" w:space="0" w:color="auto"/>
              <w:right w:val="nil"/>
            </w:tcBorders>
            <w:shd w:val="clear" w:color="auto" w:fill="auto"/>
            <w:noWrap/>
          </w:tcPr>
          <w:p>
            <w:pPr>
              <w:spacing w:after="0"/>
              <w:jc w:val="left"/>
              <w:rPr>
                <w:noProof/>
                <w:sz w:val="20"/>
              </w:rPr>
            </w:pP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Множество тематични цели (ЕФРР/КФ/ЕСФ)</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83 770,8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56 268,6</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14 085,4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67,2 %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16,8 %</w:t>
            </w:r>
          </w:p>
        </w:tc>
      </w:tr>
      <w:tr>
        <w:trPr>
          <w:trHeight w:val="141"/>
        </w:trPr>
        <w:tc>
          <w:tcPr>
            <w:tcW w:w="228" w:type="pct"/>
            <w:tcBorders>
              <w:top w:val="nil"/>
              <w:left w:val="single" w:sz="4" w:space="0" w:color="auto"/>
              <w:bottom w:val="single" w:sz="4" w:space="0" w:color="auto"/>
              <w:right w:val="nil"/>
            </w:tcBorders>
            <w:shd w:val="clear" w:color="auto" w:fill="auto"/>
            <w:noWrap/>
            <w:hideMark/>
          </w:tcPr>
          <w:p>
            <w:pPr>
              <w:spacing w:after="0"/>
              <w:jc w:val="left"/>
              <w:rPr>
                <w:noProof/>
                <w:sz w:val="20"/>
              </w:rPr>
            </w:pPr>
            <w:r>
              <w:rPr>
                <w:noProof/>
                <w:sz w:val="20"/>
              </w:rPr>
              <w:t>ТП</w:t>
            </w:r>
          </w:p>
        </w:tc>
        <w:tc>
          <w:tcPr>
            <w:tcW w:w="1388" w:type="pct"/>
            <w:tcBorders>
              <w:top w:val="nil"/>
              <w:left w:val="nil"/>
              <w:bottom w:val="single" w:sz="4" w:space="0" w:color="auto"/>
              <w:right w:val="single" w:sz="4" w:space="0" w:color="auto"/>
            </w:tcBorders>
            <w:shd w:val="clear" w:color="auto" w:fill="auto"/>
            <w:hideMark/>
          </w:tcPr>
          <w:p>
            <w:pPr>
              <w:spacing w:after="0"/>
              <w:jc w:val="left"/>
              <w:rPr>
                <w:b/>
                <w:bCs/>
                <w:noProof/>
                <w:sz w:val="20"/>
              </w:rPr>
            </w:pPr>
            <w:r>
              <w:rPr>
                <w:b/>
                <w:noProof/>
                <w:sz w:val="20"/>
              </w:rPr>
              <w:t>Техническа помощ</w:t>
            </w:r>
          </w:p>
        </w:tc>
        <w:tc>
          <w:tcPr>
            <w:tcW w:w="769" w:type="pct"/>
            <w:tcBorders>
              <w:top w:val="single" w:sz="4" w:space="0" w:color="auto"/>
              <w:left w:val="nil"/>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19 049,2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11 046,9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4 115,8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58,0 %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pPr>
              <w:spacing w:after="0"/>
              <w:jc w:val="right"/>
              <w:rPr>
                <w:b/>
                <w:bCs/>
                <w:noProof/>
                <w:sz w:val="20"/>
              </w:rPr>
            </w:pPr>
            <w:r>
              <w:rPr>
                <w:noProof/>
                <w:color w:val="000000"/>
                <w:sz w:val="20"/>
              </w:rPr>
              <w:t>21,6 %</w:t>
            </w:r>
          </w:p>
        </w:tc>
      </w:tr>
      <w:tr>
        <w:trPr>
          <w:trHeight w:val="290"/>
        </w:trPr>
        <w:tc>
          <w:tcPr>
            <w:tcW w:w="228" w:type="pct"/>
            <w:tcBorders>
              <w:top w:val="nil"/>
              <w:left w:val="single" w:sz="4" w:space="0" w:color="auto"/>
              <w:bottom w:val="single" w:sz="4" w:space="0" w:color="auto"/>
              <w:right w:val="nil"/>
            </w:tcBorders>
            <w:shd w:val="clear" w:color="000000" w:fill="8DB4E2"/>
            <w:vAlign w:val="center"/>
            <w:hideMark/>
          </w:tcPr>
          <w:p>
            <w:pPr>
              <w:spacing w:before="120" w:after="120"/>
              <w:jc w:val="left"/>
              <w:rPr>
                <w:b/>
                <w:bCs/>
                <w:noProof/>
                <w:sz w:val="20"/>
              </w:rPr>
            </w:pPr>
            <w:r>
              <w:rPr>
                <w:b/>
                <w:noProof/>
                <w:sz w:val="20"/>
              </w:rPr>
              <w:t> </w:t>
            </w:r>
          </w:p>
        </w:tc>
        <w:tc>
          <w:tcPr>
            <w:tcW w:w="1388" w:type="pct"/>
            <w:tcBorders>
              <w:top w:val="nil"/>
              <w:left w:val="nil"/>
              <w:bottom w:val="single" w:sz="4" w:space="0" w:color="auto"/>
              <w:right w:val="single" w:sz="4" w:space="0" w:color="auto"/>
            </w:tcBorders>
            <w:shd w:val="clear" w:color="000000" w:fill="8DB4E2"/>
            <w:vAlign w:val="bottom"/>
            <w:hideMark/>
          </w:tcPr>
          <w:p>
            <w:pPr>
              <w:spacing w:before="120" w:after="120"/>
              <w:jc w:val="left"/>
              <w:rPr>
                <w:b/>
                <w:bCs/>
                <w:noProof/>
                <w:sz w:val="20"/>
              </w:rPr>
            </w:pPr>
            <w:r>
              <w:rPr>
                <w:b/>
                <w:noProof/>
                <w:sz w:val="20"/>
              </w:rPr>
              <w:t>Общо</w:t>
            </w:r>
          </w:p>
        </w:tc>
        <w:tc>
          <w:tcPr>
            <w:tcW w:w="769" w:type="pct"/>
            <w:tcBorders>
              <w:top w:val="single" w:sz="4" w:space="0" w:color="auto"/>
              <w:left w:val="nil"/>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646 657,9</w:t>
            </w:r>
          </w:p>
        </w:tc>
        <w:tc>
          <w:tcPr>
            <w:tcW w:w="692"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404 644,6</w:t>
            </w:r>
          </w:p>
        </w:tc>
        <w:tc>
          <w:tcPr>
            <w:tcW w:w="76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137 412,5</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62,6 %</w:t>
            </w:r>
          </w:p>
        </w:tc>
        <w:tc>
          <w:tcPr>
            <w:tcW w:w="53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pPr>
              <w:spacing w:before="120" w:after="120"/>
              <w:jc w:val="left"/>
              <w:rPr>
                <w:b/>
                <w:bCs/>
                <w:noProof/>
                <w:sz w:val="20"/>
              </w:rPr>
            </w:pPr>
            <w:r>
              <w:rPr>
                <w:b/>
                <w:noProof/>
                <w:sz w:val="20"/>
              </w:rPr>
              <w:t>21,2 %</w:t>
            </w:r>
          </w:p>
        </w:tc>
      </w:tr>
    </w:tbl>
    <w:p>
      <w:pPr>
        <w:rPr>
          <w:i/>
          <w:noProof/>
          <w:sz w:val="20"/>
        </w:rPr>
      </w:pPr>
      <w:r>
        <w:rPr>
          <w:i/>
          <w:noProof/>
          <w:sz w:val="20"/>
        </w:rPr>
        <w:t xml:space="preserve">Източник: Европейска комисия въз основа на данни, докладвани по програмите, достъпни в портала за свободно достъпни данни на Европейския структурен и инвестиционен фонд (ЕСИФ) </w:t>
      </w:r>
      <w:r>
        <w:rPr>
          <w:rStyle w:val="Hyperlink"/>
          <w:i/>
          <w:noProof/>
          <w:sz w:val="20"/>
        </w:rPr>
        <w:t>https://cohesiondata.ec.europa.eu/d/99js-gm52</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rPr>
        <w:t>ПРИЛОЖЕНИЕ 2.1</w:t>
      </w:r>
    </w:p>
    <w:p>
      <w:pPr>
        <w:jc w:val="center"/>
        <w:rPr>
          <w:b/>
          <w:noProof/>
        </w:rPr>
      </w:pPr>
      <w:r>
        <w:rPr>
          <w:b/>
          <w:noProof/>
        </w:rPr>
        <w:t>Кумулативно финансово изпълнение на ЕСИ фондовете по държава членка, отчетено по програмите до 31 декември 2017 г. (общо разходи и равнища на подбор на проекти и усвояване на разходи)</w:t>
      </w:r>
      <w:bookmarkEnd w:id="1"/>
      <w:r>
        <w:rPr>
          <w:b/>
          <w:noProof/>
        </w:rPr>
        <w:t xml:space="preserve"> </w:t>
      </w:r>
      <w:bookmarkStart w:id="3" w:name="_Toc463018900"/>
      <w:r>
        <w:rPr>
          <w:b/>
          <w:noProof/>
        </w:rPr>
        <w:t xml:space="preserve"> </w:t>
      </w:r>
      <w:bookmarkEnd w:id="3"/>
    </w:p>
    <w:tbl>
      <w:tblPr>
        <w:tblW w:w="5216" w:type="pct"/>
        <w:tblInd w:w="108" w:type="dxa"/>
        <w:tblLayout w:type="fixed"/>
        <w:tblLook w:val="04A0" w:firstRow="1" w:lastRow="0" w:firstColumn="1" w:lastColumn="0" w:noHBand="0" w:noVBand="1"/>
      </w:tblPr>
      <w:tblGrid>
        <w:gridCol w:w="1420"/>
        <w:gridCol w:w="1134"/>
        <w:gridCol w:w="1415"/>
        <w:gridCol w:w="1563"/>
        <w:gridCol w:w="1557"/>
        <w:gridCol w:w="993"/>
        <w:gridCol w:w="1133"/>
      </w:tblGrid>
      <w:tr>
        <w:trPr>
          <w:trHeight w:val="520"/>
        </w:trPr>
        <w:tc>
          <w:tcPr>
            <w:tcW w:w="770" w:type="pct"/>
            <w:vMerge w:val="restart"/>
            <w:tcBorders>
              <w:top w:val="single" w:sz="4" w:space="0" w:color="auto"/>
              <w:left w:val="single" w:sz="4" w:space="0" w:color="auto"/>
              <w:right w:val="single" w:sz="4" w:space="0" w:color="auto"/>
            </w:tcBorders>
            <w:shd w:val="clear" w:color="000000" w:fill="8DB4E2"/>
            <w:vAlign w:val="center"/>
            <w:hideMark/>
          </w:tcPr>
          <w:p>
            <w:pPr>
              <w:spacing w:after="0"/>
              <w:jc w:val="left"/>
              <w:rPr>
                <w:b/>
                <w:noProof/>
                <w:sz w:val="20"/>
              </w:rPr>
            </w:pPr>
            <w:r>
              <w:rPr>
                <w:b/>
                <w:noProof/>
                <w:sz w:val="20"/>
              </w:rPr>
              <w:t> </w:t>
            </w:r>
          </w:p>
        </w:tc>
        <w:tc>
          <w:tcPr>
            <w:tcW w:w="615"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Разпределена сума от ЕС</w:t>
            </w:r>
          </w:p>
        </w:tc>
        <w:tc>
          <w:tcPr>
            <w:tcW w:w="76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Обща планирана сума</w:t>
            </w:r>
          </w:p>
        </w:tc>
        <w:tc>
          <w:tcPr>
            <w:tcW w:w="848"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Общ размер на допустимите разходи по избраните проекти</w:t>
            </w:r>
          </w:p>
        </w:tc>
        <w:tc>
          <w:tcPr>
            <w:tcW w:w="845" w:type="pct"/>
            <w:vMerge w:val="restart"/>
            <w:tcBorders>
              <w:top w:val="single" w:sz="4" w:space="0" w:color="auto"/>
              <w:left w:val="single" w:sz="4" w:space="0" w:color="auto"/>
              <w:right w:val="single" w:sz="4" w:space="0" w:color="auto"/>
            </w:tcBorders>
            <w:shd w:val="clear" w:color="000000" w:fill="8DB4E2"/>
            <w:hideMark/>
          </w:tcPr>
          <w:p>
            <w:pPr>
              <w:spacing w:after="0"/>
              <w:jc w:val="center"/>
              <w:rPr>
                <w:b/>
                <w:bCs/>
                <w:noProof/>
                <w:sz w:val="20"/>
              </w:rPr>
            </w:pPr>
            <w:r>
              <w:rPr>
                <w:b/>
                <w:noProof/>
                <w:sz w:val="20"/>
              </w:rPr>
              <w:t xml:space="preserve">Общ размер на разходите, отчетени по избраните проекти </w:t>
            </w:r>
          </w:p>
          <w:p>
            <w:pPr>
              <w:spacing w:after="0"/>
              <w:jc w:val="center"/>
              <w:rPr>
                <w:b/>
                <w:bCs/>
                <w:noProof/>
                <w:sz w:val="20"/>
              </w:rPr>
            </w:pPr>
            <w:r>
              <w:rPr>
                <w:b/>
                <w:noProof/>
                <w:sz w:val="20"/>
              </w:rPr>
              <w:t>края на 2017 г.</w:t>
            </w:r>
          </w:p>
          <w:p>
            <w:pPr>
              <w:spacing w:after="0"/>
              <w:jc w:val="center"/>
              <w:rPr>
                <w:b/>
                <w:bCs/>
                <w:noProof/>
                <w:sz w:val="20"/>
              </w:rPr>
            </w:pPr>
          </w:p>
          <w:p>
            <w:pPr>
              <w:spacing w:after="0"/>
              <w:jc w:val="center"/>
              <w:rPr>
                <w:b/>
                <w:bCs/>
                <w:noProof/>
                <w:sz w:val="20"/>
              </w:rPr>
            </w:pPr>
            <w:r>
              <w:rPr>
                <w:b/>
                <w:noProof/>
                <w:sz w:val="20"/>
              </w:rPr>
              <w:t>милиони евро</w:t>
            </w:r>
          </w:p>
        </w:tc>
        <w:tc>
          <w:tcPr>
            <w:tcW w:w="539"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Равнище на подбор на проекти</w:t>
            </w:r>
          </w:p>
        </w:tc>
        <w:tc>
          <w:tcPr>
            <w:tcW w:w="615"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Равнище на усвояване на разходите</w:t>
            </w:r>
          </w:p>
        </w:tc>
      </w:tr>
      <w:tr>
        <w:trPr>
          <w:trHeight w:val="260"/>
        </w:trPr>
        <w:tc>
          <w:tcPr>
            <w:tcW w:w="770" w:type="pct"/>
            <w:vMerge/>
            <w:tcBorders>
              <w:left w:val="single" w:sz="4" w:space="0" w:color="auto"/>
              <w:right w:val="single" w:sz="4" w:space="0" w:color="auto"/>
            </w:tcBorders>
            <w:vAlign w:val="center"/>
            <w:hideMark/>
          </w:tcPr>
          <w:p>
            <w:pPr>
              <w:spacing w:after="0"/>
              <w:jc w:val="left"/>
              <w:rPr>
                <w:b/>
                <w:noProof/>
                <w:sz w:val="20"/>
              </w:rPr>
            </w:pPr>
          </w:p>
        </w:tc>
        <w:tc>
          <w:tcPr>
            <w:tcW w:w="615"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 г.</w:t>
            </w:r>
          </w:p>
        </w:tc>
        <w:tc>
          <w:tcPr>
            <w:tcW w:w="768" w:type="pct"/>
            <w:tcBorders>
              <w:left w:val="single" w:sz="4" w:space="0" w:color="auto"/>
              <w:right w:val="single" w:sz="4" w:space="0" w:color="auto"/>
            </w:tcBorders>
            <w:shd w:val="clear" w:color="000000" w:fill="8DB4E2"/>
            <w:vAlign w:val="center"/>
          </w:tcPr>
          <w:p>
            <w:pPr>
              <w:spacing w:after="0"/>
              <w:jc w:val="center"/>
              <w:rPr>
                <w:b/>
                <w:bCs/>
                <w:noProof/>
                <w:sz w:val="20"/>
              </w:rPr>
            </w:pPr>
            <w:r>
              <w:rPr>
                <w:b/>
                <w:noProof/>
                <w:sz w:val="20"/>
              </w:rPr>
              <w:t>(ЕС и национални)</w:t>
            </w:r>
          </w:p>
        </w:tc>
        <w:tc>
          <w:tcPr>
            <w:tcW w:w="848"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към края на 2017 г. </w:t>
            </w:r>
          </w:p>
        </w:tc>
        <w:tc>
          <w:tcPr>
            <w:tcW w:w="845" w:type="pct"/>
            <w:vMerge/>
            <w:tcBorders>
              <w:left w:val="single" w:sz="4" w:space="0" w:color="auto"/>
              <w:bottom w:val="single" w:sz="4" w:space="0" w:color="auto"/>
              <w:right w:val="single" w:sz="4" w:space="0" w:color="auto"/>
            </w:tcBorders>
            <w:shd w:val="clear" w:color="auto" w:fill="8DB3E2" w:themeFill="text2" w:themeFillTint="66"/>
            <w:hideMark/>
          </w:tcPr>
          <w:p>
            <w:pPr>
              <w:spacing w:after="0"/>
              <w:jc w:val="left"/>
              <w:rPr>
                <w:b/>
                <w:bCs/>
                <w:noProof/>
                <w:sz w:val="20"/>
              </w:rPr>
            </w:pPr>
          </w:p>
        </w:tc>
        <w:tc>
          <w:tcPr>
            <w:tcW w:w="539" w:type="pct"/>
            <w:tcBorders>
              <w:left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c>
          <w:tcPr>
            <w:tcW w:w="615" w:type="pct"/>
            <w:tcBorders>
              <w:left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r>
      <w:tr>
        <w:trPr>
          <w:trHeight w:val="70"/>
        </w:trPr>
        <w:tc>
          <w:tcPr>
            <w:tcW w:w="770" w:type="pct"/>
            <w:vMerge/>
            <w:tcBorders>
              <w:left w:val="single" w:sz="4" w:space="0" w:color="auto"/>
              <w:bottom w:val="single" w:sz="4" w:space="0" w:color="auto"/>
              <w:right w:val="single" w:sz="4" w:space="0" w:color="auto"/>
            </w:tcBorders>
            <w:vAlign w:val="center"/>
            <w:hideMark/>
          </w:tcPr>
          <w:p>
            <w:pPr>
              <w:spacing w:after="0"/>
              <w:jc w:val="left"/>
              <w:rPr>
                <w:b/>
                <w:noProof/>
                <w:sz w:val="20"/>
              </w:rPr>
            </w:pPr>
          </w:p>
        </w:tc>
        <w:tc>
          <w:tcPr>
            <w:tcW w:w="615" w:type="pct"/>
            <w:tcBorders>
              <w:left w:val="single" w:sz="4" w:space="0" w:color="auto"/>
              <w:bottom w:val="single" w:sz="4" w:space="0" w:color="auto"/>
              <w:right w:val="single" w:sz="4" w:space="0" w:color="auto"/>
            </w:tcBorders>
            <w:shd w:val="clear" w:color="000000" w:fill="8DB4E2"/>
            <w:vAlign w:val="center"/>
          </w:tcPr>
          <w:p>
            <w:pPr>
              <w:spacing w:after="0"/>
              <w:jc w:val="center"/>
              <w:rPr>
                <w:b/>
                <w:bCs/>
                <w:noProof/>
                <w:sz w:val="20"/>
              </w:rPr>
            </w:pPr>
            <w:r>
              <w:rPr>
                <w:b/>
                <w:noProof/>
                <w:sz w:val="20"/>
              </w:rPr>
              <w:t>милиони евро</w:t>
            </w:r>
          </w:p>
        </w:tc>
        <w:tc>
          <w:tcPr>
            <w:tcW w:w="768" w:type="pct"/>
            <w:tcBorders>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милиони евро</w:t>
            </w:r>
          </w:p>
        </w:tc>
        <w:tc>
          <w:tcPr>
            <w:tcW w:w="848" w:type="pct"/>
            <w:tcBorders>
              <w:left w:val="single" w:sz="4" w:space="0" w:color="auto"/>
              <w:right w:val="single" w:sz="4" w:space="0" w:color="auto"/>
            </w:tcBorders>
            <w:shd w:val="clear" w:color="000000" w:fill="8DB4E2"/>
            <w:vAlign w:val="center"/>
          </w:tcPr>
          <w:p>
            <w:pPr>
              <w:spacing w:after="0"/>
              <w:jc w:val="center"/>
              <w:rPr>
                <w:b/>
                <w:noProof/>
                <w:sz w:val="20"/>
              </w:rPr>
            </w:pPr>
            <w:r>
              <w:rPr>
                <w:b/>
                <w:noProof/>
                <w:sz w:val="20"/>
              </w:rPr>
              <w:t>милиони евро</w:t>
            </w:r>
          </w:p>
        </w:tc>
        <w:tc>
          <w:tcPr>
            <w:tcW w:w="845" w:type="pct"/>
            <w:vMerge/>
            <w:tcBorders>
              <w:left w:val="single" w:sz="4" w:space="0" w:color="auto"/>
              <w:right w:val="single" w:sz="4" w:space="0" w:color="auto"/>
            </w:tcBorders>
            <w:vAlign w:val="center"/>
            <w:hideMark/>
          </w:tcPr>
          <w:p>
            <w:pPr>
              <w:spacing w:after="0"/>
              <w:jc w:val="left"/>
              <w:rPr>
                <w:b/>
                <w:bCs/>
                <w:noProof/>
                <w:sz w:val="20"/>
              </w:rPr>
            </w:pPr>
          </w:p>
        </w:tc>
        <w:tc>
          <w:tcPr>
            <w:tcW w:w="539" w:type="pct"/>
            <w:tcBorders>
              <w:left w:val="single" w:sz="4" w:space="0" w:color="auto"/>
              <w:right w:val="single" w:sz="4" w:space="0" w:color="auto"/>
            </w:tcBorders>
            <w:shd w:val="clear" w:color="auto" w:fill="8DB3E2" w:themeFill="text2" w:themeFillTint="66"/>
          </w:tcPr>
          <w:p>
            <w:pPr>
              <w:spacing w:after="0"/>
              <w:jc w:val="left"/>
              <w:rPr>
                <w:b/>
                <w:bCs/>
                <w:noProof/>
                <w:sz w:val="20"/>
              </w:rPr>
            </w:pPr>
          </w:p>
        </w:tc>
        <w:tc>
          <w:tcPr>
            <w:tcW w:w="615" w:type="pct"/>
            <w:tcBorders>
              <w:left w:val="single" w:sz="4" w:space="0" w:color="auto"/>
              <w:right w:val="single" w:sz="4" w:space="0" w:color="auto"/>
            </w:tcBorders>
            <w:shd w:val="clear" w:color="auto" w:fill="8DB3E2" w:themeFill="text2" w:themeFillTint="66"/>
          </w:tcPr>
          <w:p>
            <w:pPr>
              <w:spacing w:after="0"/>
              <w:jc w:val="left"/>
              <w:rPr>
                <w:b/>
                <w:bCs/>
                <w:noProof/>
                <w:sz w:val="20"/>
              </w:rPr>
            </w:pP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Австрия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4 922,9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10 649,9</w:t>
            </w:r>
          </w:p>
        </w:tc>
        <w:tc>
          <w:tcPr>
            <w:tcW w:w="848"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5 362,3</w:t>
            </w:r>
          </w:p>
        </w:tc>
        <w:tc>
          <w:tcPr>
            <w:tcW w:w="845"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3 321,2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50,4 %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31,2 %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Белгия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2 741,7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6 088,8</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4 282,9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795,9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70,3 %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13,1 %</w:t>
            </w:r>
          </w:p>
        </w:tc>
      </w:tr>
      <w:tr>
        <w:trPr>
          <w:trHeight w:val="27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България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9 876,1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11 734,0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6 636,0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1 696,4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56,6 %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14,5 %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Хърватия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10 727,4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12 653,7</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5 121,8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1 090,6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8,6 %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Кипър</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917,3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1 169,6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507,5</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205,0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43,4 %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17,5 %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Чешка република</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23 865,0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32 379,5</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14 951,7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3 670,5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46,2 %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11,3 %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Дания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1 546,8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2 264,8</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1 283,7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421,0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56,7 %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18,6 %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Естония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4 423,5</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5 966,2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3 417,8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1 102,5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57,3 %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18,5 %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Финландия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3 765,0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8 435,2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5 765,5</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3 450,2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68,4 %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40,9 %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Франция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27 273,8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45 704,8</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22 078,7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8 655,5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48,3 %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18,9 %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Германия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27 935,0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44 754,4</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24 941,7</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9 267,5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20,7 %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Гърция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21 382,0</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26 221,0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12 982,9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4 566,2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49,5 %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17,4 %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Унгария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25 013,9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29 649,6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28 404,1</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3 991,2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95,8 %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Ирландия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3 361,6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6 139,7</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3 843,6</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1 824,2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62,6 %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29,7 %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Италия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44 656,1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75 065,7</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32 679,2</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6 598,1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43,5 %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8,8 %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Латвия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5 633,7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6 908,0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4 052,8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1 210,7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58,7 %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17,5 %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Литва</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8 385,9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9 947,2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4 901,9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1 976,0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49,3 %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19,9 %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Люксембург</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140,1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456,4</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240,3</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135,0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52,6 %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29,6 %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Малта</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827,9</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1 023,9</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516,6</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8,2 %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Нидерландия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1 947,4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3 745,1</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2 413,0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785,3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64,4 %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21,0 %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Полша</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86 111,6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104 921,4</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57 837,9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13 739,5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13,1 %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Португалия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25 856,1</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32 654,2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21 394,0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7 478,7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65,5 %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22,9 %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Румъния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30 882,6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37 564,3</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14 638,8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4 370,9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39,0 %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11,6 %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Словакия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15 287,3</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19 559,2</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10 001,2</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2 266,9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51,1 %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11,6 %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Словения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3 930,6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4 958,0</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2 464,0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690,4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49,7 %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Испания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39 835,6</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56 218,3</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17 641,8</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5 509,9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31,4 %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9,8 %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Швеция</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3 626,7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7 938,6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4 802,9</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2 020,1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25,4 %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Interreg</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9 335,4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12 441,6</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7 133,6</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607,8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57,3 %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4,9 %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Обединено кралство</w:t>
            </w:r>
          </w:p>
        </w:tc>
        <w:tc>
          <w:tcPr>
            <w:tcW w:w="615" w:type="pct"/>
            <w:tcBorders>
              <w:top w:val="single" w:sz="4" w:space="0" w:color="auto"/>
              <w:bottom w:val="single" w:sz="4" w:space="0" w:color="auto"/>
            </w:tcBorders>
            <w:noWrap/>
            <w:vAlign w:val="center"/>
          </w:tcPr>
          <w:p>
            <w:pPr>
              <w:spacing w:after="0"/>
              <w:jc w:val="right"/>
              <w:rPr>
                <w:noProof/>
                <w:sz w:val="20"/>
              </w:rPr>
            </w:pPr>
            <w:r>
              <w:rPr>
                <w:noProof/>
                <w:sz w:val="20"/>
              </w:rPr>
              <w:t>16 470,8</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26 818,5</w:t>
            </w:r>
          </w:p>
        </w:tc>
        <w:tc>
          <w:tcPr>
            <w:tcW w:w="848"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17 890,0</w:t>
            </w:r>
          </w:p>
        </w:tc>
        <w:tc>
          <w:tcPr>
            <w:tcW w:w="845" w:type="pct"/>
            <w:tcBorders>
              <w:top w:val="nil"/>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4 154,3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66,7 %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15,5 %</w:t>
            </w:r>
          </w:p>
        </w:tc>
      </w:tr>
      <w:tr>
        <w:trPr>
          <w:trHeight w:val="260"/>
        </w:trPr>
        <w:tc>
          <w:tcPr>
            <w:tcW w:w="770"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pPr>
              <w:spacing w:before="120" w:after="120"/>
              <w:jc w:val="left"/>
              <w:rPr>
                <w:b/>
                <w:bCs/>
                <w:noProof/>
                <w:sz w:val="20"/>
              </w:rPr>
            </w:pPr>
            <w:r>
              <w:rPr>
                <w:b/>
                <w:noProof/>
                <w:sz w:val="20"/>
              </w:rPr>
              <w:t>Общ сбор</w:t>
            </w:r>
          </w:p>
        </w:tc>
        <w:tc>
          <w:tcPr>
            <w:tcW w:w="615" w:type="pct"/>
            <w:tcBorders>
              <w:top w:val="single" w:sz="4" w:space="0" w:color="auto"/>
              <w:bottom w:val="single" w:sz="4" w:space="0" w:color="auto"/>
            </w:tcBorders>
            <w:shd w:val="clear" w:color="auto" w:fill="8DB3E2" w:themeFill="text2" w:themeFillTint="66"/>
            <w:noWrap/>
            <w:vAlign w:val="center"/>
          </w:tcPr>
          <w:p>
            <w:pPr>
              <w:spacing w:before="120" w:after="120"/>
              <w:jc w:val="right"/>
              <w:rPr>
                <w:b/>
                <w:bCs/>
                <w:noProof/>
                <w:sz w:val="20"/>
              </w:rPr>
            </w:pPr>
            <w:r>
              <w:rPr>
                <w:b/>
                <w:noProof/>
                <w:sz w:val="20"/>
              </w:rPr>
              <w:t>460 680,0</w:t>
            </w:r>
          </w:p>
        </w:tc>
        <w:tc>
          <w:tcPr>
            <w:tcW w:w="768" w:type="pct"/>
            <w:tcBorders>
              <w:top w:val="single" w:sz="4" w:space="0" w:color="auto"/>
              <w:left w:val="single" w:sz="4" w:space="0" w:color="auto"/>
              <w:bottom w:val="single" w:sz="4" w:space="0" w:color="auto"/>
              <w:right w:val="single" w:sz="4" w:space="0" w:color="auto"/>
            </w:tcBorders>
            <w:shd w:val="clear" w:color="000000" w:fill="8DB4E2"/>
            <w:noWrap/>
            <w:vAlign w:val="center"/>
          </w:tcPr>
          <w:p>
            <w:pPr>
              <w:spacing w:before="120" w:after="120"/>
              <w:jc w:val="right"/>
              <w:rPr>
                <w:b/>
                <w:bCs/>
                <w:noProof/>
                <w:sz w:val="20"/>
              </w:rPr>
            </w:pPr>
            <w:r>
              <w:rPr>
                <w:b/>
                <w:noProof/>
                <w:sz w:val="20"/>
              </w:rPr>
              <w:t>644 031,6</w:t>
            </w:r>
          </w:p>
        </w:tc>
        <w:tc>
          <w:tcPr>
            <w:tcW w:w="848" w:type="pct"/>
            <w:tcBorders>
              <w:top w:val="single" w:sz="4" w:space="0" w:color="auto"/>
              <w:left w:val="single" w:sz="4" w:space="0" w:color="auto"/>
              <w:bottom w:val="single" w:sz="4" w:space="0" w:color="auto"/>
              <w:right w:val="single" w:sz="4" w:space="0" w:color="auto"/>
            </w:tcBorders>
            <w:shd w:val="clear" w:color="000000" w:fill="8DB4E2"/>
            <w:noWrap/>
            <w:vAlign w:val="center"/>
          </w:tcPr>
          <w:p>
            <w:pPr>
              <w:spacing w:before="120" w:after="120"/>
              <w:jc w:val="right"/>
              <w:rPr>
                <w:b/>
                <w:bCs/>
                <w:noProof/>
                <w:sz w:val="20"/>
              </w:rPr>
            </w:pPr>
            <w:r>
              <w:rPr>
                <w:b/>
                <w:noProof/>
                <w:color w:val="000000"/>
                <w:sz w:val="20"/>
              </w:rPr>
              <w:t>338 188,2</w:t>
            </w:r>
          </w:p>
        </w:tc>
        <w:tc>
          <w:tcPr>
            <w:tcW w:w="845" w:type="pct"/>
            <w:tcBorders>
              <w:top w:val="single" w:sz="4" w:space="0" w:color="auto"/>
              <w:left w:val="single" w:sz="4" w:space="0" w:color="auto"/>
              <w:bottom w:val="single" w:sz="4" w:space="0" w:color="auto"/>
              <w:right w:val="single" w:sz="4" w:space="0" w:color="auto"/>
            </w:tcBorders>
            <w:shd w:val="clear" w:color="000000" w:fill="8DB4E2"/>
            <w:noWrap/>
            <w:vAlign w:val="center"/>
          </w:tcPr>
          <w:p>
            <w:pPr>
              <w:spacing w:before="120" w:after="120"/>
              <w:jc w:val="right"/>
              <w:rPr>
                <w:b/>
                <w:bCs/>
                <w:noProof/>
                <w:sz w:val="20"/>
              </w:rPr>
            </w:pPr>
            <w:r>
              <w:rPr>
                <w:b/>
                <w:noProof/>
                <w:color w:val="000000"/>
                <w:sz w:val="20"/>
              </w:rPr>
              <w:t>95 685,3</w:t>
            </w:r>
          </w:p>
        </w:tc>
        <w:tc>
          <w:tcPr>
            <w:tcW w:w="539" w:type="pct"/>
            <w:tcBorders>
              <w:top w:val="single" w:sz="4" w:space="0" w:color="auto"/>
              <w:left w:val="single" w:sz="4" w:space="0" w:color="auto"/>
              <w:bottom w:val="single" w:sz="4" w:space="0" w:color="auto"/>
              <w:right w:val="single" w:sz="4" w:space="0" w:color="auto"/>
            </w:tcBorders>
            <w:shd w:val="clear" w:color="000000" w:fill="8DB4E2"/>
            <w:vAlign w:val="center"/>
          </w:tcPr>
          <w:p>
            <w:pPr>
              <w:spacing w:before="120" w:after="120"/>
              <w:jc w:val="right"/>
              <w:rPr>
                <w:b/>
                <w:bCs/>
                <w:noProof/>
                <w:sz w:val="20"/>
              </w:rPr>
            </w:pPr>
            <w:r>
              <w:rPr>
                <w:b/>
                <w:noProof/>
                <w:color w:val="000000"/>
                <w:sz w:val="20"/>
              </w:rPr>
              <w:t>52,5 %</w:t>
            </w:r>
          </w:p>
        </w:tc>
        <w:tc>
          <w:tcPr>
            <w:tcW w:w="615" w:type="pct"/>
            <w:tcBorders>
              <w:top w:val="single" w:sz="4" w:space="0" w:color="auto"/>
              <w:left w:val="single" w:sz="4" w:space="0" w:color="auto"/>
              <w:bottom w:val="single" w:sz="4" w:space="0" w:color="auto"/>
              <w:right w:val="single" w:sz="4" w:space="0" w:color="auto"/>
            </w:tcBorders>
            <w:shd w:val="clear" w:color="000000" w:fill="8DB4E2"/>
            <w:vAlign w:val="center"/>
          </w:tcPr>
          <w:p>
            <w:pPr>
              <w:spacing w:before="120" w:after="120"/>
              <w:jc w:val="right"/>
              <w:rPr>
                <w:b/>
                <w:bCs/>
                <w:noProof/>
                <w:sz w:val="20"/>
              </w:rPr>
            </w:pPr>
            <w:r>
              <w:rPr>
                <w:b/>
                <w:noProof/>
                <w:color w:val="000000"/>
                <w:sz w:val="20"/>
              </w:rPr>
              <w:t>14,9 %</w:t>
            </w:r>
          </w:p>
        </w:tc>
      </w:tr>
    </w:tbl>
    <w:p>
      <w:pPr>
        <w:rPr>
          <w:i/>
          <w:noProof/>
          <w:sz w:val="20"/>
        </w:rPr>
      </w:pPr>
      <w:bookmarkStart w:id="4" w:name="_Toc463018901"/>
      <w:r>
        <w:rPr>
          <w:i/>
          <w:noProof/>
          <w:sz w:val="20"/>
        </w:rPr>
        <w:t xml:space="preserve">Източник: Европейска комисия въз основа на данни, докладвани по програмите, достъпни в портала за свободно достъпни данни на Европейския структурен и инвестиционен фонд (ЕСИФ) </w:t>
      </w:r>
      <w:r>
        <w:rPr>
          <w:rStyle w:val="Hyperlink"/>
          <w:i/>
          <w:noProof/>
          <w:sz w:val="20"/>
        </w:rPr>
        <w:t>https://cohesiondata.ec.europa.eu/d/99js-gm52</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rPr>
        <w:t>ПРИЛОЖЕНИЕ 2.2</w:t>
      </w:r>
    </w:p>
    <w:p>
      <w:pPr>
        <w:pStyle w:val="ListParagraph"/>
        <w:spacing w:after="120"/>
        <w:ind w:left="0"/>
        <w:contextualSpacing w:val="0"/>
        <w:jc w:val="center"/>
        <w:outlineLvl w:val="0"/>
        <w:rPr>
          <w:b/>
          <w:noProof/>
        </w:rPr>
      </w:pPr>
      <w:r>
        <w:rPr>
          <w:b/>
          <w:noProof/>
        </w:rPr>
        <w:t>Кумулативно финансово изпълнение на ЕСИ фондовете по държава членка, отчетено по програмите до есента на 2018 г. (общо разходи и равнища на подбор на проекти и усвояване на разходите) (данни към 8.11.2018 г.)</w:t>
      </w:r>
    </w:p>
    <w:tbl>
      <w:tblPr>
        <w:tblW w:w="5216" w:type="pct"/>
        <w:tblInd w:w="108" w:type="dxa"/>
        <w:tblLayout w:type="fixed"/>
        <w:tblLook w:val="04A0" w:firstRow="1" w:lastRow="0" w:firstColumn="1" w:lastColumn="0" w:noHBand="0" w:noVBand="1"/>
      </w:tblPr>
      <w:tblGrid>
        <w:gridCol w:w="1418"/>
        <w:gridCol w:w="1276"/>
        <w:gridCol w:w="1277"/>
        <w:gridCol w:w="1559"/>
        <w:gridCol w:w="1559"/>
        <w:gridCol w:w="993"/>
        <w:gridCol w:w="1133"/>
      </w:tblGrid>
      <w:tr>
        <w:trPr>
          <w:trHeight w:val="520"/>
        </w:trPr>
        <w:tc>
          <w:tcPr>
            <w:tcW w:w="769" w:type="pct"/>
            <w:vMerge w:val="restart"/>
            <w:tcBorders>
              <w:top w:val="single" w:sz="4" w:space="0" w:color="auto"/>
              <w:left w:val="single" w:sz="4" w:space="0" w:color="auto"/>
              <w:right w:val="single" w:sz="4" w:space="0" w:color="auto"/>
            </w:tcBorders>
            <w:shd w:val="clear" w:color="000000" w:fill="8DB4E2"/>
            <w:vAlign w:val="center"/>
            <w:hideMark/>
          </w:tcPr>
          <w:bookmarkEnd w:id="4"/>
          <w:p>
            <w:pPr>
              <w:spacing w:after="0"/>
              <w:jc w:val="left"/>
              <w:rPr>
                <w:b/>
                <w:noProof/>
                <w:sz w:val="20"/>
              </w:rPr>
            </w:pPr>
            <w:r>
              <w:rPr>
                <w:b/>
                <w:noProof/>
                <w:sz w:val="20"/>
              </w:rPr>
              <w:t> </w:t>
            </w:r>
          </w:p>
        </w:tc>
        <w:tc>
          <w:tcPr>
            <w:tcW w:w="692"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Разпределена сума от ЕС</w:t>
            </w:r>
          </w:p>
        </w:tc>
        <w:tc>
          <w:tcPr>
            <w:tcW w:w="693"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Обща планирана сума</w:t>
            </w:r>
          </w:p>
        </w:tc>
        <w:tc>
          <w:tcPr>
            <w:tcW w:w="846" w:type="pct"/>
            <w:tcBorders>
              <w:top w:val="single" w:sz="4" w:space="0" w:color="auto"/>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Общ размер на допустимите разходи по избраните проекти</w:t>
            </w:r>
          </w:p>
        </w:tc>
        <w:tc>
          <w:tcPr>
            <w:tcW w:w="846" w:type="pct"/>
            <w:vMerge w:val="restart"/>
            <w:tcBorders>
              <w:top w:val="single" w:sz="4" w:space="0" w:color="auto"/>
              <w:left w:val="single" w:sz="4" w:space="0" w:color="auto"/>
              <w:right w:val="single" w:sz="4" w:space="0" w:color="auto"/>
            </w:tcBorders>
            <w:shd w:val="clear" w:color="000000" w:fill="8DB4E2"/>
            <w:hideMark/>
          </w:tcPr>
          <w:p>
            <w:pPr>
              <w:spacing w:after="0"/>
              <w:jc w:val="center"/>
              <w:rPr>
                <w:b/>
                <w:bCs/>
                <w:noProof/>
                <w:sz w:val="20"/>
              </w:rPr>
            </w:pPr>
            <w:r>
              <w:rPr>
                <w:b/>
                <w:noProof/>
                <w:sz w:val="20"/>
              </w:rPr>
              <w:t xml:space="preserve">Общ размер на разходите, отчетени по избраните проекти </w:t>
            </w:r>
          </w:p>
          <w:p>
            <w:pPr>
              <w:spacing w:after="0"/>
              <w:jc w:val="center"/>
              <w:rPr>
                <w:b/>
                <w:bCs/>
                <w:noProof/>
                <w:sz w:val="20"/>
              </w:rPr>
            </w:pPr>
            <w:r>
              <w:rPr>
                <w:b/>
                <w:noProof/>
                <w:sz w:val="20"/>
              </w:rPr>
              <w:t>есента на 2018 г.</w:t>
            </w:r>
          </w:p>
          <w:p>
            <w:pPr>
              <w:spacing w:after="0"/>
              <w:jc w:val="center"/>
              <w:rPr>
                <w:b/>
                <w:bCs/>
                <w:noProof/>
                <w:sz w:val="20"/>
              </w:rPr>
            </w:pPr>
          </w:p>
          <w:p>
            <w:pPr>
              <w:spacing w:after="0"/>
              <w:jc w:val="center"/>
              <w:rPr>
                <w:b/>
                <w:bCs/>
                <w:noProof/>
                <w:sz w:val="20"/>
              </w:rPr>
            </w:pPr>
            <w:r>
              <w:rPr>
                <w:b/>
                <w:noProof/>
                <w:sz w:val="20"/>
              </w:rPr>
              <w:t>милиони евро</w:t>
            </w:r>
          </w:p>
        </w:tc>
        <w:tc>
          <w:tcPr>
            <w:tcW w:w="539"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Равнище на подбор на проекти</w:t>
            </w:r>
          </w:p>
        </w:tc>
        <w:tc>
          <w:tcPr>
            <w:tcW w:w="615" w:type="pct"/>
            <w:tcBorders>
              <w:top w:val="single" w:sz="4" w:space="0" w:color="auto"/>
              <w:left w:val="single" w:sz="4" w:space="0" w:color="auto"/>
              <w:right w:val="single" w:sz="4" w:space="0" w:color="auto"/>
            </w:tcBorders>
            <w:shd w:val="clear" w:color="000000" w:fill="8DB4E2"/>
          </w:tcPr>
          <w:p>
            <w:pPr>
              <w:spacing w:after="0"/>
              <w:jc w:val="center"/>
              <w:rPr>
                <w:b/>
                <w:bCs/>
                <w:noProof/>
                <w:sz w:val="20"/>
              </w:rPr>
            </w:pPr>
            <w:r>
              <w:rPr>
                <w:b/>
                <w:noProof/>
                <w:sz w:val="20"/>
              </w:rPr>
              <w:t>Равнище на усвояване на разходите</w:t>
            </w:r>
          </w:p>
        </w:tc>
      </w:tr>
      <w:tr>
        <w:trPr>
          <w:trHeight w:val="260"/>
        </w:trPr>
        <w:tc>
          <w:tcPr>
            <w:tcW w:w="769" w:type="pct"/>
            <w:vMerge/>
            <w:tcBorders>
              <w:left w:val="single" w:sz="4" w:space="0" w:color="auto"/>
              <w:right w:val="single" w:sz="4" w:space="0" w:color="auto"/>
            </w:tcBorders>
            <w:vAlign w:val="center"/>
            <w:hideMark/>
          </w:tcPr>
          <w:p>
            <w:pPr>
              <w:spacing w:after="0"/>
              <w:jc w:val="left"/>
              <w:rPr>
                <w:b/>
                <w:noProof/>
                <w:sz w:val="20"/>
              </w:rPr>
            </w:pPr>
          </w:p>
        </w:tc>
        <w:tc>
          <w:tcPr>
            <w:tcW w:w="692"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2014-2020 г.</w:t>
            </w:r>
          </w:p>
        </w:tc>
        <w:tc>
          <w:tcPr>
            <w:tcW w:w="693" w:type="pct"/>
            <w:tcBorders>
              <w:left w:val="single" w:sz="4" w:space="0" w:color="auto"/>
              <w:right w:val="single" w:sz="4" w:space="0" w:color="auto"/>
            </w:tcBorders>
            <w:shd w:val="clear" w:color="000000" w:fill="8DB4E2"/>
            <w:vAlign w:val="center"/>
          </w:tcPr>
          <w:p>
            <w:pPr>
              <w:spacing w:after="0"/>
              <w:jc w:val="center"/>
              <w:rPr>
                <w:b/>
                <w:bCs/>
                <w:noProof/>
                <w:sz w:val="20"/>
              </w:rPr>
            </w:pPr>
            <w:r>
              <w:rPr>
                <w:b/>
                <w:noProof/>
                <w:sz w:val="20"/>
              </w:rPr>
              <w:t>(ЕС и национални)</w:t>
            </w:r>
          </w:p>
        </w:tc>
        <w:tc>
          <w:tcPr>
            <w:tcW w:w="846" w:type="pct"/>
            <w:tcBorders>
              <w:left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 xml:space="preserve">есента на 2018 г. </w:t>
            </w:r>
          </w:p>
        </w:tc>
        <w:tc>
          <w:tcPr>
            <w:tcW w:w="846" w:type="pct"/>
            <w:vMerge/>
            <w:tcBorders>
              <w:left w:val="single" w:sz="4" w:space="0" w:color="auto"/>
              <w:bottom w:val="single" w:sz="4" w:space="0" w:color="auto"/>
              <w:right w:val="single" w:sz="4" w:space="0" w:color="auto"/>
            </w:tcBorders>
            <w:shd w:val="clear" w:color="auto" w:fill="8DB3E2" w:themeFill="text2" w:themeFillTint="66"/>
            <w:hideMark/>
          </w:tcPr>
          <w:p>
            <w:pPr>
              <w:spacing w:after="0"/>
              <w:jc w:val="left"/>
              <w:rPr>
                <w:b/>
                <w:bCs/>
                <w:noProof/>
                <w:sz w:val="20"/>
              </w:rPr>
            </w:pPr>
          </w:p>
        </w:tc>
        <w:tc>
          <w:tcPr>
            <w:tcW w:w="539" w:type="pct"/>
            <w:tcBorders>
              <w:left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c>
          <w:tcPr>
            <w:tcW w:w="615" w:type="pct"/>
            <w:tcBorders>
              <w:left w:val="single" w:sz="4" w:space="0" w:color="auto"/>
              <w:right w:val="single" w:sz="4" w:space="0" w:color="auto"/>
            </w:tcBorders>
            <w:shd w:val="clear" w:color="auto" w:fill="8DB3E2" w:themeFill="text2" w:themeFillTint="66"/>
          </w:tcPr>
          <w:p>
            <w:pPr>
              <w:spacing w:after="0"/>
              <w:jc w:val="center"/>
              <w:rPr>
                <w:b/>
                <w:bCs/>
                <w:noProof/>
                <w:sz w:val="20"/>
              </w:rPr>
            </w:pPr>
            <w:r>
              <w:rPr>
                <w:b/>
                <w:noProof/>
                <w:sz w:val="20"/>
              </w:rPr>
              <w:t>%</w:t>
            </w:r>
          </w:p>
        </w:tc>
      </w:tr>
      <w:tr>
        <w:trPr>
          <w:trHeight w:val="70"/>
        </w:trPr>
        <w:tc>
          <w:tcPr>
            <w:tcW w:w="769" w:type="pct"/>
            <w:vMerge/>
            <w:tcBorders>
              <w:left w:val="single" w:sz="4" w:space="0" w:color="auto"/>
              <w:bottom w:val="single" w:sz="4" w:space="0" w:color="auto"/>
              <w:right w:val="single" w:sz="4" w:space="0" w:color="auto"/>
            </w:tcBorders>
            <w:vAlign w:val="center"/>
            <w:hideMark/>
          </w:tcPr>
          <w:p>
            <w:pPr>
              <w:spacing w:after="0"/>
              <w:jc w:val="left"/>
              <w:rPr>
                <w:b/>
                <w:noProof/>
                <w:sz w:val="20"/>
              </w:rPr>
            </w:pPr>
          </w:p>
        </w:tc>
        <w:tc>
          <w:tcPr>
            <w:tcW w:w="692" w:type="pct"/>
            <w:tcBorders>
              <w:left w:val="single" w:sz="4" w:space="0" w:color="auto"/>
              <w:bottom w:val="single" w:sz="4" w:space="0" w:color="auto"/>
              <w:right w:val="single" w:sz="4" w:space="0" w:color="auto"/>
            </w:tcBorders>
            <w:shd w:val="clear" w:color="000000" w:fill="8DB4E2"/>
            <w:vAlign w:val="center"/>
          </w:tcPr>
          <w:p>
            <w:pPr>
              <w:spacing w:after="0"/>
              <w:jc w:val="center"/>
              <w:rPr>
                <w:b/>
                <w:bCs/>
                <w:noProof/>
                <w:sz w:val="20"/>
              </w:rPr>
            </w:pPr>
            <w:r>
              <w:rPr>
                <w:b/>
                <w:noProof/>
                <w:sz w:val="20"/>
              </w:rPr>
              <w:t>милиони евро</w:t>
            </w:r>
          </w:p>
        </w:tc>
        <w:tc>
          <w:tcPr>
            <w:tcW w:w="693" w:type="pct"/>
            <w:tcBorders>
              <w:left w:val="single" w:sz="4" w:space="0" w:color="auto"/>
              <w:bottom w:val="single" w:sz="4" w:space="0" w:color="auto"/>
              <w:right w:val="single" w:sz="4" w:space="0" w:color="auto"/>
            </w:tcBorders>
            <w:shd w:val="clear" w:color="000000" w:fill="8DB4E2"/>
            <w:vAlign w:val="center"/>
            <w:hideMark/>
          </w:tcPr>
          <w:p>
            <w:pPr>
              <w:spacing w:after="0"/>
              <w:jc w:val="center"/>
              <w:rPr>
                <w:b/>
                <w:bCs/>
                <w:noProof/>
                <w:sz w:val="20"/>
              </w:rPr>
            </w:pPr>
            <w:r>
              <w:rPr>
                <w:b/>
                <w:noProof/>
                <w:sz w:val="20"/>
              </w:rPr>
              <w:t>милиони евро</w:t>
            </w:r>
          </w:p>
        </w:tc>
        <w:tc>
          <w:tcPr>
            <w:tcW w:w="846" w:type="pct"/>
            <w:tcBorders>
              <w:left w:val="single" w:sz="4" w:space="0" w:color="auto"/>
              <w:bottom w:val="single" w:sz="4" w:space="0" w:color="auto"/>
              <w:right w:val="single" w:sz="4" w:space="0" w:color="auto"/>
            </w:tcBorders>
            <w:shd w:val="clear" w:color="000000" w:fill="8DB4E2"/>
            <w:vAlign w:val="center"/>
          </w:tcPr>
          <w:p>
            <w:pPr>
              <w:spacing w:after="0"/>
              <w:jc w:val="center"/>
              <w:rPr>
                <w:b/>
                <w:noProof/>
                <w:sz w:val="20"/>
              </w:rPr>
            </w:pPr>
            <w:r>
              <w:rPr>
                <w:b/>
                <w:noProof/>
                <w:sz w:val="20"/>
              </w:rPr>
              <w:t>милиони евро</w:t>
            </w:r>
          </w:p>
        </w:tc>
        <w:tc>
          <w:tcPr>
            <w:tcW w:w="846" w:type="pct"/>
            <w:vMerge/>
            <w:tcBorders>
              <w:left w:val="single" w:sz="4" w:space="0" w:color="auto"/>
              <w:bottom w:val="single" w:sz="4" w:space="0" w:color="auto"/>
              <w:right w:val="single" w:sz="4" w:space="0" w:color="auto"/>
            </w:tcBorders>
            <w:vAlign w:val="center"/>
            <w:hideMark/>
          </w:tcPr>
          <w:p>
            <w:pPr>
              <w:spacing w:after="0"/>
              <w:jc w:val="left"/>
              <w:rPr>
                <w:b/>
                <w:bCs/>
                <w:noProof/>
                <w:sz w:val="20"/>
              </w:rPr>
            </w:pPr>
          </w:p>
        </w:tc>
        <w:tc>
          <w:tcPr>
            <w:tcW w:w="539" w:type="pct"/>
            <w:tcBorders>
              <w:left w:val="single" w:sz="4" w:space="0" w:color="auto"/>
              <w:bottom w:val="single" w:sz="4" w:space="0" w:color="auto"/>
              <w:right w:val="single" w:sz="4" w:space="0" w:color="auto"/>
            </w:tcBorders>
            <w:shd w:val="clear" w:color="auto" w:fill="8DB3E2" w:themeFill="text2" w:themeFillTint="66"/>
          </w:tcPr>
          <w:p>
            <w:pPr>
              <w:spacing w:after="0"/>
              <w:jc w:val="left"/>
              <w:rPr>
                <w:b/>
                <w:bCs/>
                <w:noProof/>
                <w:sz w:val="20"/>
              </w:rPr>
            </w:pPr>
          </w:p>
        </w:tc>
        <w:tc>
          <w:tcPr>
            <w:tcW w:w="615" w:type="pct"/>
            <w:tcBorders>
              <w:left w:val="single" w:sz="4" w:space="0" w:color="auto"/>
              <w:bottom w:val="single" w:sz="4" w:space="0" w:color="auto"/>
              <w:right w:val="single" w:sz="4" w:space="0" w:color="auto"/>
            </w:tcBorders>
            <w:shd w:val="clear" w:color="auto" w:fill="8DB3E2" w:themeFill="text2" w:themeFillTint="66"/>
          </w:tcPr>
          <w:p>
            <w:pPr>
              <w:spacing w:after="0"/>
              <w:jc w:val="left"/>
              <w:rPr>
                <w:b/>
                <w:bCs/>
                <w:noProof/>
                <w:sz w:val="20"/>
              </w:rPr>
            </w:pP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Австрия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4 922,9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10 649,8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5 877,1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3 902,1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55,2 %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36,6 %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Белгия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2 741,7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6 088,8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4 600,0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1 264,7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75,5 %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20,8 %</w:t>
            </w:r>
          </w:p>
        </w:tc>
      </w:tr>
      <w:tr>
        <w:trPr>
          <w:trHeight w:val="27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България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9 876,1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11 726,4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7 787,0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2 585,5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66,4 %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22,0 %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Хърватия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917,3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1 169,7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683,2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265,2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58,4 %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22,7 %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Кипър</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23 786,3</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33 309,7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19 187,0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6 327,1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57,6 %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19,0 %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Чешка република</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27 935,0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44 742,6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28 170,5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12 675,1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63,0 %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28,3 %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Дания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1 546,8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2 264,8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1 380,7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539,6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61,0 %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23,8 %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Естония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4 423,5</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5 965,7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3 919,6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1 631,7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65,7 %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27,4 %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Финландия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39 589,2</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55 795,8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24 438,0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7 295,3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43,8 %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13,1 %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Франция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3 765,0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8 435,2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6 070,1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3 907,6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72,0 %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46,3 %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Германия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27 277,4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46 088,0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25 764,2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12 114,3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55,9 %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26,3 %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Гърция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21 382,0</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26 662,1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16 087,8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5 216,1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60,3 %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19,6 %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Унгария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10 727,4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12 649,1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7 277,4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1 753,8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57,5 %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13,9 %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Ирландия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25 013,9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29 649,6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29 948,3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6 274,2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101,0 %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21,2 %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Италия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3 361,6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6 139,7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4 264,0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2 174,2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69,4 %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35,4 %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Латвия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44 656,1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76 108,9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42 318,4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10 848,5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55,6 %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14,3 %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Литва</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8 385,9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9 947,2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6 251,2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2 706,0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62,8 %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27,2 %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Люксембург</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140,1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456,4</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249,3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181,4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54,6 %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39,7 %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Малта</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5 633,7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6 907,2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4 872,6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1 677,4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70,5 %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24,3 %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Нидерландия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827,9</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1 023,9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879,0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145,1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85,9 %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14,2 %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Полша</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1 947,4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3 802,6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2 754,5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1 088,1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72,4 %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28,6 %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Португалия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86 111,6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104 913,3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68 297,0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21 706,6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65,1 %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20,7 %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Румъния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25 856,1</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32 752,8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25 602,6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9 843,2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78,2 %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30,1 %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Словакия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30 882,6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37 527,5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18 919,2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6 299,6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50,4 %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16,8 %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Словения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3 626,7</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8 052,7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5 023,8</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2 556,0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62,4 %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31,7 %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Испания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3 930,6</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4 958,0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3 076,0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1 081,0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62,0 %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21,8 %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Швеция</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15 260,4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19 519,9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12 678,1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3 217,6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64,9 %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16,5 %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Interreg</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9 335,4</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12 540,0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9 024,9</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1 416,3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72,0 %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11,3 %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left"/>
              <w:rPr>
                <w:noProof/>
                <w:sz w:val="20"/>
              </w:rPr>
            </w:pPr>
            <w:r>
              <w:rPr>
                <w:noProof/>
                <w:color w:val="000000"/>
                <w:sz w:val="20"/>
              </w:rPr>
              <w:t>Обединено кралство</w:t>
            </w:r>
          </w:p>
        </w:tc>
        <w:tc>
          <w:tcPr>
            <w:tcW w:w="692" w:type="pct"/>
            <w:tcBorders>
              <w:top w:val="single" w:sz="4" w:space="0" w:color="auto"/>
              <w:left w:val="nil"/>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16 470,8</w:t>
            </w:r>
          </w:p>
        </w:tc>
        <w:tc>
          <w:tcPr>
            <w:tcW w:w="6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26 810,6</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19 243,1</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jc w:val="right"/>
              <w:rPr>
                <w:noProof/>
                <w:sz w:val="20"/>
              </w:rPr>
            </w:pPr>
            <w:r>
              <w:rPr>
                <w:noProof/>
                <w:color w:val="000000"/>
                <w:sz w:val="20"/>
              </w:rPr>
              <w:t>6 719,0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71,8 %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right"/>
              <w:rPr>
                <w:noProof/>
                <w:sz w:val="20"/>
              </w:rPr>
            </w:pPr>
            <w:r>
              <w:rPr>
                <w:noProof/>
                <w:color w:val="000000"/>
                <w:sz w:val="20"/>
              </w:rPr>
              <w:t>25,1 %</w:t>
            </w:r>
          </w:p>
        </w:tc>
      </w:tr>
      <w:tr>
        <w:trPr>
          <w:trHeight w:val="260"/>
        </w:trPr>
        <w:tc>
          <w:tcPr>
            <w:tcW w:w="769" w:type="pct"/>
            <w:tcBorders>
              <w:top w:val="single" w:sz="4" w:space="0" w:color="auto"/>
              <w:left w:val="single" w:sz="4" w:space="0" w:color="auto"/>
              <w:bottom w:val="single" w:sz="4" w:space="0" w:color="auto"/>
              <w:right w:val="single" w:sz="4" w:space="0" w:color="auto"/>
            </w:tcBorders>
            <w:shd w:val="clear" w:color="000000" w:fill="8DB4E2"/>
            <w:noWrap/>
            <w:vAlign w:val="center"/>
            <w:hideMark/>
          </w:tcPr>
          <w:p>
            <w:pPr>
              <w:spacing w:before="120" w:after="120"/>
              <w:jc w:val="left"/>
              <w:rPr>
                <w:b/>
                <w:bCs/>
                <w:noProof/>
                <w:sz w:val="20"/>
              </w:rPr>
            </w:pPr>
            <w:r>
              <w:rPr>
                <w:b/>
                <w:noProof/>
                <w:sz w:val="20"/>
              </w:rPr>
              <w:t>Общ сбор</w:t>
            </w:r>
          </w:p>
        </w:tc>
        <w:tc>
          <w:tcPr>
            <w:tcW w:w="692" w:type="pct"/>
            <w:tcBorders>
              <w:top w:val="single" w:sz="4" w:space="0" w:color="auto"/>
              <w:left w:val="nil"/>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rPr>
            </w:pPr>
            <w:r>
              <w:rPr>
                <w:b/>
                <w:noProof/>
                <w:sz w:val="20"/>
              </w:rPr>
              <w:t>460 331,4</w:t>
            </w:r>
          </w:p>
        </w:tc>
        <w:tc>
          <w:tcPr>
            <w:tcW w:w="69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rPr>
            </w:pPr>
            <w:r>
              <w:rPr>
                <w:b/>
                <w:noProof/>
                <w:sz w:val="20"/>
              </w:rPr>
              <w:t>646 657,9</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rPr>
            </w:pPr>
            <w:r>
              <w:rPr>
                <w:b/>
                <w:noProof/>
                <w:sz w:val="20"/>
              </w:rPr>
              <w:t>404 644,6</w:t>
            </w:r>
          </w:p>
        </w:tc>
        <w:tc>
          <w:tcPr>
            <w:tcW w:w="846"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pPr>
              <w:spacing w:before="120" w:after="120"/>
              <w:jc w:val="left"/>
              <w:rPr>
                <w:b/>
                <w:bCs/>
                <w:noProof/>
                <w:sz w:val="20"/>
              </w:rPr>
            </w:pPr>
            <w:r>
              <w:rPr>
                <w:b/>
                <w:noProof/>
                <w:sz w:val="20"/>
              </w:rPr>
              <w:t>137 412,5</w:t>
            </w:r>
          </w:p>
        </w:tc>
        <w:tc>
          <w:tcPr>
            <w:tcW w:w="53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spacing w:before="120" w:after="120"/>
              <w:jc w:val="left"/>
              <w:rPr>
                <w:b/>
                <w:bCs/>
                <w:noProof/>
                <w:sz w:val="20"/>
              </w:rPr>
            </w:pPr>
            <w:r>
              <w:rPr>
                <w:b/>
                <w:noProof/>
                <w:sz w:val="20"/>
              </w:rPr>
              <w:t>62,6 %</w:t>
            </w:r>
          </w:p>
        </w:tc>
        <w:tc>
          <w:tcPr>
            <w:tcW w:w="61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pPr>
              <w:spacing w:before="120" w:after="120"/>
              <w:jc w:val="left"/>
              <w:rPr>
                <w:b/>
                <w:bCs/>
                <w:noProof/>
                <w:sz w:val="20"/>
              </w:rPr>
            </w:pPr>
            <w:r>
              <w:rPr>
                <w:b/>
                <w:noProof/>
                <w:sz w:val="20"/>
              </w:rPr>
              <w:t>21,2 %</w:t>
            </w:r>
          </w:p>
        </w:tc>
      </w:tr>
    </w:tbl>
    <w:p>
      <w:pPr>
        <w:rPr>
          <w:i/>
          <w:noProof/>
          <w:sz w:val="20"/>
        </w:rPr>
      </w:pPr>
      <w:r>
        <w:rPr>
          <w:i/>
          <w:noProof/>
          <w:sz w:val="20"/>
        </w:rPr>
        <w:t xml:space="preserve">Източник: Европейска комисия въз основа на данни, докладвани по програмите, достъпни в портала за свободно достъпни данни на Европейския структурен и инвестиционен фонд (ЕСИФ) </w:t>
      </w:r>
      <w:r>
        <w:rPr>
          <w:rStyle w:val="Hyperlink"/>
          <w:i/>
          <w:noProof/>
          <w:sz w:val="20"/>
        </w:rPr>
        <w:t>https://cohesiondata.ec.europa.eu/d/99js-gm52</w:t>
      </w:r>
    </w:p>
    <w:p>
      <w:pPr>
        <w:pStyle w:val="Title"/>
        <w:spacing w:before="0" w:after="240"/>
        <w:rPr>
          <w:rFonts w:ascii="Times New Roman" w:hAnsi="Times New Roman"/>
          <w:i/>
          <w:noProof/>
          <w:sz w:val="24"/>
          <w:szCs w:val="24"/>
        </w:rPr>
      </w:pPr>
      <w:r>
        <w:rPr>
          <w:noProof/>
        </w:rPr>
        <w:br w:type="page"/>
      </w:r>
      <w:r>
        <w:rPr>
          <w:rFonts w:ascii="Times New Roman" w:hAnsi="Times New Roman"/>
          <w:i/>
          <w:noProof/>
          <w:sz w:val="24"/>
        </w:rPr>
        <w:t>ПРИЛОЖЕНИЕ 3</w:t>
      </w:r>
    </w:p>
    <w:p>
      <w:pPr>
        <w:pStyle w:val="ListParagraph"/>
        <w:spacing w:after="0"/>
        <w:ind w:left="0"/>
        <w:contextualSpacing w:val="0"/>
        <w:jc w:val="center"/>
        <w:outlineLvl w:val="0"/>
        <w:rPr>
          <w:b/>
          <w:noProof/>
        </w:rPr>
      </w:pPr>
      <w:r>
        <w:rPr>
          <w:b/>
          <w:noProof/>
        </w:rPr>
        <w:t>ЕСИ фондове — планирани суми за целите, свързани с изменението на климата, и равнище на подбор на проекти до края на 2017 г.</w:t>
      </w:r>
    </w:p>
    <w:p>
      <w:pPr>
        <w:rPr>
          <w:noProof/>
          <w:sz w:val="20"/>
        </w:rPr>
      </w:pPr>
    </w:p>
    <w:tbl>
      <w:tblPr>
        <w:tblW w:w="9214" w:type="dxa"/>
        <w:tblInd w:w="108" w:type="dxa"/>
        <w:tblLayout w:type="fixed"/>
        <w:tblLook w:val="04A0" w:firstRow="1" w:lastRow="0" w:firstColumn="1" w:lastColumn="0" w:noHBand="0" w:noVBand="1"/>
      </w:tblPr>
      <w:tblGrid>
        <w:gridCol w:w="1028"/>
        <w:gridCol w:w="1099"/>
        <w:gridCol w:w="1134"/>
        <w:gridCol w:w="992"/>
        <w:gridCol w:w="1559"/>
        <w:gridCol w:w="1701"/>
        <w:gridCol w:w="1701"/>
      </w:tblGrid>
      <w:tr>
        <w:trPr>
          <w:trHeight w:val="15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pPr>
              <w:spacing w:after="0"/>
              <w:jc w:val="center"/>
              <w:rPr>
                <w:b/>
                <w:noProof/>
                <w:color w:val="000000"/>
                <w:sz w:val="22"/>
                <w:szCs w:val="22"/>
              </w:rPr>
            </w:pPr>
            <w:r>
              <w:rPr>
                <w:b/>
                <w:noProof/>
                <w:color w:val="000000"/>
                <w:sz w:val="22"/>
              </w:rPr>
              <w:t>Фонд</w:t>
            </w:r>
          </w:p>
        </w:tc>
        <w:tc>
          <w:tcPr>
            <w:tcW w:w="109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Общо планирана сума от ЕС</w:t>
            </w:r>
          </w:p>
        </w:tc>
        <w:tc>
          <w:tcPr>
            <w:tcW w:w="212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Обща планирана сума от ЕС във връзка с изменението на климата</w:t>
            </w:r>
          </w:p>
        </w:tc>
        <w:tc>
          <w:tcPr>
            <w:tcW w:w="15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Общо избрани проекти в края на 2017 г. (очакван дял от ЕС)</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От тях разпределени за действия във връзка с изменението на климата</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Процент на избраните проекти за действия във връзка с климата от всички избрани операции (2017 г.)</w:t>
            </w:r>
          </w:p>
        </w:tc>
      </w:tr>
      <w:tr>
        <w:trPr>
          <w:trHeight w:val="600"/>
        </w:trPr>
        <w:tc>
          <w:tcPr>
            <w:tcW w:w="1028"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pPr>
              <w:spacing w:after="0"/>
              <w:jc w:val="left"/>
              <w:rPr>
                <w:b/>
                <w:noProof/>
                <w:color w:val="000000"/>
                <w:sz w:val="22"/>
                <w:szCs w:val="22"/>
              </w:rPr>
            </w:pPr>
            <w:r>
              <w:rPr>
                <w:b/>
                <w:noProof/>
                <w:color w:val="000000"/>
                <w:sz w:val="22"/>
              </w:rPr>
              <w:t> </w:t>
            </w:r>
          </w:p>
        </w:tc>
        <w:tc>
          <w:tcPr>
            <w:tcW w:w="1099"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млрд. евро</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млрд. евро</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w:t>
            </w:r>
          </w:p>
        </w:tc>
        <w:tc>
          <w:tcPr>
            <w:tcW w:w="1559"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млрд. евро</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млрд. евро</w:t>
            </w:r>
          </w:p>
        </w:tc>
        <w:tc>
          <w:tcPr>
            <w:tcW w:w="1701" w:type="dxa"/>
            <w:tcBorders>
              <w:top w:val="nil"/>
              <w:left w:val="nil"/>
              <w:bottom w:val="single" w:sz="4" w:space="0" w:color="auto"/>
              <w:right w:val="single" w:sz="4" w:space="0" w:color="auto"/>
            </w:tcBorders>
            <w:shd w:val="clear" w:color="auto" w:fill="8DB3E2" w:themeFill="text2" w:themeFillTint="66"/>
            <w:vAlign w:val="center"/>
            <w:hideMark/>
          </w:tcPr>
          <w:p>
            <w:pPr>
              <w:spacing w:after="0"/>
              <w:jc w:val="center"/>
              <w:rPr>
                <w:b/>
                <w:noProof/>
                <w:color w:val="000000"/>
                <w:sz w:val="22"/>
                <w:szCs w:val="22"/>
              </w:rPr>
            </w:pPr>
            <w:r>
              <w:rPr>
                <w:b/>
                <w:noProof/>
                <w:color w:val="000000"/>
                <w:sz w:val="22"/>
              </w:rPr>
              <w:t>%</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КФ</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63,3</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17,4</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28 %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40,4</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10,5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26 %</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ЕЗФРСР</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99,8</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57,5</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58 %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50,0</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21,5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43 %</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ЕФМДР</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5,7</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1,0</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18 %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1,3</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0,95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72 %</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ЕФРР</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199,0</w:t>
            </w:r>
          </w:p>
        </w:tc>
        <w:tc>
          <w:tcPr>
            <w:tcW w:w="1134" w:type="dxa"/>
            <w:tcBorders>
              <w:top w:val="nil"/>
              <w:left w:val="nil"/>
              <w:bottom w:val="single" w:sz="4" w:space="0" w:color="auto"/>
              <w:right w:val="single" w:sz="4" w:space="0" w:color="auto"/>
            </w:tcBorders>
            <w:shd w:val="clear" w:color="auto" w:fill="auto"/>
            <w:noWrap/>
            <w:hideMark/>
          </w:tcPr>
          <w:p>
            <w:pPr>
              <w:tabs>
                <w:tab w:val="center" w:pos="459"/>
                <w:tab w:val="right" w:pos="918"/>
              </w:tabs>
              <w:spacing w:after="0"/>
              <w:jc w:val="right"/>
              <w:rPr>
                <w:noProof/>
                <w:color w:val="000000"/>
                <w:sz w:val="22"/>
                <w:szCs w:val="22"/>
              </w:rPr>
            </w:pPr>
            <w:r>
              <w:rPr>
                <w:noProof/>
                <w:color w:val="000000"/>
                <w:sz w:val="22"/>
              </w:rPr>
              <w:t>38,2</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19 %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105,0</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15,4</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15 %</w:t>
            </w:r>
          </w:p>
        </w:tc>
      </w:tr>
      <w:tr>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color w:val="000000"/>
                <w:sz w:val="22"/>
                <w:szCs w:val="22"/>
              </w:rPr>
            </w:pPr>
            <w:r>
              <w:rPr>
                <w:noProof/>
                <w:color w:val="000000"/>
                <w:sz w:val="22"/>
              </w:rPr>
              <w:t>ЕСФ/ИМЗ</w:t>
            </w:r>
          </w:p>
        </w:tc>
        <w:tc>
          <w:tcPr>
            <w:tcW w:w="1099"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92,8</w:t>
            </w:r>
          </w:p>
        </w:tc>
        <w:tc>
          <w:tcPr>
            <w:tcW w:w="1134"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1,1</w:t>
            </w:r>
          </w:p>
        </w:tc>
        <w:tc>
          <w:tcPr>
            <w:tcW w:w="992" w:type="dxa"/>
            <w:tcBorders>
              <w:top w:val="nil"/>
              <w:left w:val="nil"/>
              <w:bottom w:val="single" w:sz="4" w:space="0" w:color="auto"/>
              <w:right w:val="single" w:sz="4" w:space="0" w:color="auto"/>
            </w:tcBorders>
            <w:shd w:val="clear" w:color="auto" w:fill="auto"/>
            <w:noWrap/>
            <w:hideMark/>
          </w:tcPr>
          <w:p>
            <w:pPr>
              <w:spacing w:after="0"/>
              <w:jc w:val="right"/>
              <w:rPr>
                <w:iCs/>
                <w:noProof/>
                <w:color w:val="000000"/>
                <w:sz w:val="22"/>
                <w:szCs w:val="22"/>
              </w:rPr>
            </w:pPr>
            <w:r>
              <w:rPr>
                <w:noProof/>
                <w:sz w:val="22"/>
              </w:rPr>
              <w:t>1 %</w:t>
            </w:r>
          </w:p>
        </w:tc>
        <w:tc>
          <w:tcPr>
            <w:tcW w:w="1559" w:type="dxa"/>
            <w:tcBorders>
              <w:top w:val="nil"/>
              <w:left w:val="nil"/>
              <w:bottom w:val="single" w:sz="4" w:space="0" w:color="auto"/>
              <w:right w:val="single" w:sz="4" w:space="0" w:color="auto"/>
            </w:tcBorders>
            <w:shd w:val="clear" w:color="auto" w:fill="auto"/>
            <w:noWrap/>
            <w:hideMark/>
          </w:tcPr>
          <w:p>
            <w:pPr>
              <w:spacing w:after="0"/>
              <w:jc w:val="right"/>
              <w:rPr>
                <w:noProof/>
                <w:color w:val="000000"/>
                <w:sz w:val="22"/>
                <w:szCs w:val="22"/>
              </w:rPr>
            </w:pPr>
            <w:r>
              <w:rPr>
                <w:noProof/>
                <w:color w:val="000000"/>
                <w:sz w:val="22"/>
              </w:rPr>
              <w:t>54,5</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color w:val="000000"/>
                <w:sz w:val="22"/>
                <w:szCs w:val="22"/>
              </w:rPr>
            </w:pPr>
            <w:r>
              <w:rPr>
                <w:noProof/>
                <w:color w:val="000000"/>
                <w:sz w:val="22"/>
              </w:rPr>
              <w:t>2,9</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5 %</w:t>
            </w:r>
          </w:p>
        </w:tc>
      </w:tr>
      <w:tr>
        <w:trPr>
          <w:trHeight w:val="300"/>
        </w:trPr>
        <w:tc>
          <w:tcPr>
            <w:tcW w:w="102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pPr>
              <w:spacing w:before="120" w:after="120"/>
              <w:jc w:val="left"/>
              <w:rPr>
                <w:b/>
                <w:bCs/>
                <w:noProof/>
                <w:sz w:val="20"/>
              </w:rPr>
            </w:pPr>
            <w:r>
              <w:rPr>
                <w:b/>
                <w:noProof/>
                <w:sz w:val="20"/>
              </w:rPr>
              <w:t>Общо</w:t>
            </w:r>
          </w:p>
        </w:tc>
        <w:tc>
          <w:tcPr>
            <w:tcW w:w="109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460,7</w:t>
            </w:r>
          </w:p>
        </w:tc>
        <w:tc>
          <w:tcPr>
            <w:tcW w:w="113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115,3</w:t>
            </w:r>
          </w:p>
        </w:tc>
        <w:tc>
          <w:tcPr>
            <w:tcW w:w="992"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25 %</w:t>
            </w:r>
          </w:p>
        </w:tc>
        <w:tc>
          <w:tcPr>
            <w:tcW w:w="155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251,2</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51,3</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pPr>
              <w:spacing w:before="120" w:after="120"/>
              <w:jc w:val="right"/>
              <w:rPr>
                <w:b/>
                <w:bCs/>
                <w:noProof/>
                <w:sz w:val="20"/>
              </w:rPr>
            </w:pPr>
            <w:r>
              <w:rPr>
                <w:b/>
                <w:noProof/>
                <w:sz w:val="20"/>
              </w:rPr>
              <w:t>20 %</w:t>
            </w:r>
          </w:p>
        </w:tc>
      </w:tr>
    </w:tbl>
    <w:p>
      <w:pPr>
        <w:rPr>
          <w:i/>
          <w:noProof/>
          <w:sz w:val="20"/>
        </w:rPr>
      </w:pPr>
      <w:r>
        <w:rPr>
          <w:i/>
          <w:noProof/>
          <w:sz w:val="20"/>
        </w:rPr>
        <w:t>Източник: Европейска комисия</w:t>
      </w:r>
    </w:p>
    <w:sectPr>
      <w:headerReference w:type="even" r:id="rId19"/>
      <w:headerReference w:type="default" r:id="rId20"/>
      <w:footerReference w:type="even" r:id="rId21"/>
      <w:footerReference w:type="default" r:id="rId22"/>
      <w:headerReference w:type="first" r:id="rId23"/>
      <w:footerReference w:type="first" r:id="rId24"/>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5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A432656"/>
    <w:multiLevelType w:val="multilevel"/>
    <w:tmpl w:val="2DB0FF5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1"/>
  </w:num>
  <w:num w:numId="6">
    <w:abstractNumId w:val="8"/>
  </w:num>
  <w:num w:numId="7">
    <w:abstractNumId w:val="5"/>
  </w:num>
  <w:num w:numId="8">
    <w:abstractNumId w:val="4"/>
  </w:num>
  <w:num w:numId="9">
    <w:abstractNumId w:val="22"/>
  </w:num>
  <w:num w:numId="10">
    <w:abstractNumId w:val="24"/>
  </w:num>
  <w:num w:numId="11">
    <w:abstractNumId w:val="23"/>
  </w:num>
  <w:num w:numId="12">
    <w:abstractNumId w:val="28"/>
  </w:num>
  <w:num w:numId="13">
    <w:abstractNumId w:val="7"/>
  </w:num>
  <w:num w:numId="14">
    <w:abstractNumId w:val="12"/>
  </w:num>
  <w:num w:numId="15">
    <w:abstractNumId w:val="15"/>
  </w:num>
  <w:num w:numId="16">
    <w:abstractNumId w:val="13"/>
  </w:num>
  <w:num w:numId="17">
    <w:abstractNumId w:val="2"/>
  </w:num>
  <w:num w:numId="18">
    <w:abstractNumId w:val="16"/>
  </w:num>
  <w:num w:numId="19">
    <w:abstractNumId w:val="29"/>
  </w:num>
  <w:num w:numId="20">
    <w:abstractNumId w:val="25"/>
  </w:num>
  <w:num w:numId="21">
    <w:abstractNumId w:val="20"/>
  </w:num>
  <w:num w:numId="22">
    <w:abstractNumId w:val="27"/>
  </w:num>
  <w:num w:numId="23">
    <w:abstractNumId w:val="14"/>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31"/>
  </w:num>
  <w:num w:numId="33">
    <w:abstractNumId w:val="10"/>
  </w:num>
  <w:num w:numId="34">
    <w:abstractNumId w:val="3"/>
  </w:num>
  <w:num w:numId="35">
    <w:abstractNumId w:val="26"/>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9"/>
  </w:num>
  <w:num w:numId="43">
    <w:abstractNumId w:val="17"/>
  </w:num>
  <w:num w:numId="44">
    <w:abstractNumId w:val="30"/>
  </w:num>
  <w:num w:numId="45">
    <w:abstractNumId w:val="19"/>
  </w:num>
  <w:num w:numId="46">
    <w:abstractNumId w:val="6"/>
  </w:num>
  <w:num w:numId="47">
    <w:abstractNumId w:val="21"/>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8A4E57DF-C900-46E3-A843-592AADE8DFF2"/>
    <w:docVar w:name="LW_COVERPAGE_TYPE" w:val="1"/>
    <w:docVar w:name="LW_CROSSREFERENCE" w:val="&lt;UNUSED&gt;"/>
    <w:docVar w:name="LW_DocType" w:val="NOT"/>
    <w:docVar w:name="LW_EMISSION" w:val="19.12.2018"/>
    <w:docVar w:name="LW_EMISSION_ISODATE" w:val="2018-12-19"/>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5?\u1074?\u1088?\u1086?\u1087?\u1077?\u1081?\u1089?\u1082?\u1080? \u1089?\u1090?\u1088?\u1091?\u1082?\u1090?\u1091?\u1088?\u1085?\u1080? \u1080? \u1080?\u1085?\u1074?\u1077?\u1089?\u1090?\u1080?\u1094?\u1080?\u1086?\u1085?\u1085?\u1080? \u1092?\u1086?\u1085?\u1076?\u1086?\u1074?\u1077?, 2014\u8212?2020 \u1075?._x000b_\u1054?\u1073?\u1086?\u1073?\u1097?\u1072?\u1074?\u1072?\u1097? \u1076?\u1086?\u1082?\u1083?\u1072?\u1076? \u1086?\u1090? 2018 \u1075?. \u1079?\u1072? \u1075?\u1086?\u1076?\u1080?\u1096?\u1085?\u1080?\u1090?\u1077? \u1076?\u1086?\u1082?\u1083?\u1072?\u1076?\u1080? \u1086?\u1090?\u1085?\u1086?\u1089?\u1085?\u1086? \u1080?\u1079?\u1087?\u1098?\u1083?\u1085?\u1077?\u1085?\u1080?\u1077?\u1090?\u1086? \u1085?\u1072? \u1087?\u1088?\u1086?\u1075?\u1088?\u1072?\u1084?\u1080?\u1090?\u1077? \u1079?\u1072? \u1087?\u1077?\u1088?\u1080?\u1086?\u1076?\u1072? 2014\u8212?2017 \u1075?._x000b_"/>
    <w:docVar w:name="LW_PART_NBR" w:val="&lt;UNUSED&gt;"/>
    <w:docVar w:name="LW_PART_NBR_TOTAL" w:val="&lt;UNUSED&gt;"/>
    <w:docVar w:name="LW_REF.INST.NEW" w:val="COM"/>
    <w:docVar w:name="LW_REF.INST.NEW_ADOPTED" w:val="final"/>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44?\u1054?\u1050?\u1051?\u1040?\u1044?\u1040?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autoRedefine/>
    <w:qFormat/>
    <w:pPr>
      <w:keepNext/>
      <w:numPr>
        <w:numId w:val="3"/>
      </w:numPr>
      <w:spacing w:before="240"/>
      <w:outlineLvl w:val="0"/>
    </w:pPr>
    <w:rPr>
      <w:b/>
      <w:smallCaps/>
    </w:rPr>
  </w:style>
  <w:style w:type="paragraph" w:styleId="Heading2">
    <w:name w:val="heading 2"/>
    <w:basedOn w:val="Normal"/>
    <w:next w:val="Text2"/>
    <w:autoRedefine/>
    <w:qFormat/>
    <w:pPr>
      <w:keepNext/>
      <w:numPr>
        <w:ilvl w:val="1"/>
        <w:numId w:val="3"/>
      </w:numPr>
      <w:spacing w:before="120"/>
      <w:outlineLvl w:val="1"/>
    </w:pPr>
    <w:rPr>
      <w:b/>
    </w:rPr>
  </w:style>
  <w:style w:type="paragraph" w:styleId="Heading3">
    <w:name w:val="heading 3"/>
    <w:basedOn w:val="Normal"/>
    <w:next w:val="Text3"/>
    <w:autoRedefine/>
    <w:qFormat/>
    <w:pPr>
      <w:keepNext/>
      <w:numPr>
        <w:ilvl w:val="2"/>
        <w:numId w:val="3"/>
      </w:numPr>
      <w:tabs>
        <w:tab w:val="clear" w:pos="1408"/>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bg-BG"/>
    </w:rPr>
  </w:style>
  <w:style w:type="character" w:customStyle="1" w:styleId="DateChar">
    <w:name w:val="Date Char"/>
    <w:link w:val="Date"/>
    <w:uiPriority w:val="99"/>
    <w:rPr>
      <w:sz w:val="24"/>
      <w:lang w:eastAsia="bg-BG"/>
    </w:rPr>
  </w:style>
  <w:style w:type="character" w:customStyle="1" w:styleId="SignatureChar">
    <w:name w:val="Signature Char"/>
    <w:link w:val="Signature"/>
    <w:uiPriority w:val="99"/>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paragraph" w:styleId="Revision">
    <w:name w:val="Revision"/>
    <w:hidden/>
    <w:uiPriority w:val="99"/>
    <w:semiHidden/>
    <w:rPr>
      <w:sz w:val="24"/>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bg-BG"/>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semiHidden/>
    <w:rPr>
      <w:lang w:eastAsia="bg-BG"/>
    </w:rPr>
  </w:style>
  <w:style w:type="paragraph" w:styleId="NoSpacing">
    <w:name w:val="No Spacing"/>
    <w:uiPriority w:val="1"/>
    <w:qFormat/>
    <w:pPr>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autoRedefine/>
    <w:qFormat/>
    <w:pPr>
      <w:keepNext/>
      <w:numPr>
        <w:numId w:val="3"/>
      </w:numPr>
      <w:spacing w:before="240"/>
      <w:outlineLvl w:val="0"/>
    </w:pPr>
    <w:rPr>
      <w:b/>
      <w:smallCaps/>
    </w:rPr>
  </w:style>
  <w:style w:type="paragraph" w:styleId="Heading2">
    <w:name w:val="heading 2"/>
    <w:basedOn w:val="Normal"/>
    <w:next w:val="Text2"/>
    <w:autoRedefine/>
    <w:qFormat/>
    <w:pPr>
      <w:keepNext/>
      <w:numPr>
        <w:ilvl w:val="1"/>
        <w:numId w:val="3"/>
      </w:numPr>
      <w:spacing w:before="120"/>
      <w:outlineLvl w:val="1"/>
    </w:pPr>
    <w:rPr>
      <w:b/>
    </w:rPr>
  </w:style>
  <w:style w:type="paragraph" w:styleId="Heading3">
    <w:name w:val="heading 3"/>
    <w:basedOn w:val="Normal"/>
    <w:next w:val="Text3"/>
    <w:autoRedefine/>
    <w:qFormat/>
    <w:pPr>
      <w:keepNext/>
      <w:numPr>
        <w:ilvl w:val="2"/>
        <w:numId w:val="3"/>
      </w:numPr>
      <w:tabs>
        <w:tab w:val="clear" w:pos="1408"/>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bg-BG"/>
    </w:rPr>
  </w:style>
  <w:style w:type="character" w:customStyle="1" w:styleId="DateChar">
    <w:name w:val="Date Char"/>
    <w:link w:val="Date"/>
    <w:uiPriority w:val="99"/>
    <w:rPr>
      <w:sz w:val="24"/>
      <w:lang w:eastAsia="bg-BG"/>
    </w:rPr>
  </w:style>
  <w:style w:type="character" w:customStyle="1" w:styleId="SignatureChar">
    <w:name w:val="Signature Char"/>
    <w:link w:val="Signature"/>
    <w:uiPriority w:val="99"/>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paragraph" w:styleId="Revision">
    <w:name w:val="Revision"/>
    <w:hidden/>
    <w:uiPriority w:val="99"/>
    <w:semiHidden/>
    <w:rPr>
      <w:sz w:val="24"/>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sz w:val="24"/>
      <w:lang w:eastAsia="bg-BG"/>
    </w:rPr>
  </w:style>
  <w:style w:type="character" w:customStyle="1" w:styleId="A1">
    <w:name w:val="A1"/>
    <w:uiPriority w:val="99"/>
    <w:rPr>
      <w:rFonts w:cs="Soho Pro"/>
      <w:b/>
      <w:bCs/>
      <w:color w:val="000000"/>
      <w:sz w:val="46"/>
      <w:szCs w:val="46"/>
    </w:rPr>
  </w:style>
  <w:style w:type="character" w:customStyle="1" w:styleId="FootnoteTextChar">
    <w:name w:val="Footnote Text Char"/>
    <w:link w:val="FootnoteText"/>
    <w:semiHidden/>
    <w:rPr>
      <w:lang w:eastAsia="bg-BG"/>
    </w:rPr>
  </w:style>
  <w:style w:type="paragraph" w:styleId="NoSpacing">
    <w:name w:val="No Spacing"/>
    <w:uiPriority w:val="1"/>
    <w:qFormat/>
    <w:pPr>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789">
      <w:bodyDiv w:val="1"/>
      <w:marLeft w:val="0"/>
      <w:marRight w:val="0"/>
      <w:marTop w:val="0"/>
      <w:marBottom w:val="0"/>
      <w:divBdr>
        <w:top w:val="none" w:sz="0" w:space="0" w:color="auto"/>
        <w:left w:val="none" w:sz="0" w:space="0" w:color="auto"/>
        <w:bottom w:val="none" w:sz="0" w:space="0" w:color="auto"/>
        <w:right w:val="none" w:sz="0" w:space="0" w:color="auto"/>
      </w:divBdr>
    </w:div>
    <w:div w:id="105395631">
      <w:bodyDiv w:val="1"/>
      <w:marLeft w:val="0"/>
      <w:marRight w:val="0"/>
      <w:marTop w:val="0"/>
      <w:marBottom w:val="0"/>
      <w:divBdr>
        <w:top w:val="none" w:sz="0" w:space="0" w:color="auto"/>
        <w:left w:val="none" w:sz="0" w:space="0" w:color="auto"/>
        <w:bottom w:val="none" w:sz="0" w:space="0" w:color="auto"/>
        <w:right w:val="none" w:sz="0" w:space="0" w:color="auto"/>
      </w:divBdr>
    </w:div>
    <w:div w:id="264653264">
      <w:bodyDiv w:val="1"/>
      <w:marLeft w:val="0"/>
      <w:marRight w:val="0"/>
      <w:marTop w:val="0"/>
      <w:marBottom w:val="0"/>
      <w:divBdr>
        <w:top w:val="none" w:sz="0" w:space="0" w:color="auto"/>
        <w:left w:val="none" w:sz="0" w:space="0" w:color="auto"/>
        <w:bottom w:val="none" w:sz="0" w:space="0" w:color="auto"/>
        <w:right w:val="none" w:sz="0" w:space="0" w:color="auto"/>
      </w:divBdr>
    </w:div>
    <w:div w:id="341202234">
      <w:bodyDiv w:val="1"/>
      <w:marLeft w:val="0"/>
      <w:marRight w:val="0"/>
      <w:marTop w:val="0"/>
      <w:marBottom w:val="0"/>
      <w:divBdr>
        <w:top w:val="none" w:sz="0" w:space="0" w:color="auto"/>
        <w:left w:val="none" w:sz="0" w:space="0" w:color="auto"/>
        <w:bottom w:val="none" w:sz="0" w:space="0" w:color="auto"/>
        <w:right w:val="none" w:sz="0" w:space="0" w:color="auto"/>
      </w:divBdr>
    </w:div>
    <w:div w:id="379743353">
      <w:bodyDiv w:val="1"/>
      <w:marLeft w:val="0"/>
      <w:marRight w:val="0"/>
      <w:marTop w:val="0"/>
      <w:marBottom w:val="0"/>
      <w:divBdr>
        <w:top w:val="none" w:sz="0" w:space="0" w:color="auto"/>
        <w:left w:val="none" w:sz="0" w:space="0" w:color="auto"/>
        <w:bottom w:val="none" w:sz="0" w:space="0" w:color="auto"/>
        <w:right w:val="none" w:sz="0" w:space="0" w:color="auto"/>
      </w:divBdr>
    </w:div>
    <w:div w:id="409499115">
      <w:bodyDiv w:val="1"/>
      <w:marLeft w:val="0"/>
      <w:marRight w:val="0"/>
      <w:marTop w:val="0"/>
      <w:marBottom w:val="0"/>
      <w:divBdr>
        <w:top w:val="none" w:sz="0" w:space="0" w:color="auto"/>
        <w:left w:val="none" w:sz="0" w:space="0" w:color="auto"/>
        <w:bottom w:val="none" w:sz="0" w:space="0" w:color="auto"/>
        <w:right w:val="none" w:sz="0" w:space="0" w:color="auto"/>
      </w:divBdr>
    </w:div>
    <w:div w:id="552624649">
      <w:bodyDiv w:val="1"/>
      <w:marLeft w:val="0"/>
      <w:marRight w:val="0"/>
      <w:marTop w:val="0"/>
      <w:marBottom w:val="0"/>
      <w:divBdr>
        <w:top w:val="none" w:sz="0" w:space="0" w:color="auto"/>
        <w:left w:val="none" w:sz="0" w:space="0" w:color="auto"/>
        <w:bottom w:val="none" w:sz="0" w:space="0" w:color="auto"/>
        <w:right w:val="none" w:sz="0" w:space="0" w:color="auto"/>
      </w:divBdr>
    </w:div>
    <w:div w:id="668405891">
      <w:bodyDiv w:val="1"/>
      <w:marLeft w:val="0"/>
      <w:marRight w:val="0"/>
      <w:marTop w:val="0"/>
      <w:marBottom w:val="0"/>
      <w:divBdr>
        <w:top w:val="none" w:sz="0" w:space="0" w:color="auto"/>
        <w:left w:val="none" w:sz="0" w:space="0" w:color="auto"/>
        <w:bottom w:val="none" w:sz="0" w:space="0" w:color="auto"/>
        <w:right w:val="none" w:sz="0" w:space="0" w:color="auto"/>
      </w:divBdr>
    </w:div>
    <w:div w:id="830559506">
      <w:bodyDiv w:val="1"/>
      <w:marLeft w:val="0"/>
      <w:marRight w:val="0"/>
      <w:marTop w:val="0"/>
      <w:marBottom w:val="0"/>
      <w:divBdr>
        <w:top w:val="none" w:sz="0" w:space="0" w:color="auto"/>
        <w:left w:val="none" w:sz="0" w:space="0" w:color="auto"/>
        <w:bottom w:val="none" w:sz="0" w:space="0" w:color="auto"/>
        <w:right w:val="none" w:sz="0" w:space="0" w:color="auto"/>
      </w:divBdr>
    </w:div>
    <w:div w:id="998848848">
      <w:bodyDiv w:val="1"/>
      <w:marLeft w:val="0"/>
      <w:marRight w:val="0"/>
      <w:marTop w:val="0"/>
      <w:marBottom w:val="0"/>
      <w:divBdr>
        <w:top w:val="none" w:sz="0" w:space="0" w:color="auto"/>
        <w:left w:val="none" w:sz="0" w:space="0" w:color="auto"/>
        <w:bottom w:val="none" w:sz="0" w:space="0" w:color="auto"/>
        <w:right w:val="none" w:sz="0" w:space="0" w:color="auto"/>
      </w:divBdr>
    </w:div>
    <w:div w:id="1053314550">
      <w:bodyDiv w:val="1"/>
      <w:marLeft w:val="0"/>
      <w:marRight w:val="0"/>
      <w:marTop w:val="0"/>
      <w:marBottom w:val="0"/>
      <w:divBdr>
        <w:top w:val="none" w:sz="0" w:space="0" w:color="auto"/>
        <w:left w:val="none" w:sz="0" w:space="0" w:color="auto"/>
        <w:bottom w:val="none" w:sz="0" w:space="0" w:color="auto"/>
        <w:right w:val="none" w:sz="0" w:space="0" w:color="auto"/>
      </w:divBdr>
    </w:div>
    <w:div w:id="1073697664">
      <w:bodyDiv w:val="1"/>
      <w:marLeft w:val="0"/>
      <w:marRight w:val="0"/>
      <w:marTop w:val="0"/>
      <w:marBottom w:val="0"/>
      <w:divBdr>
        <w:top w:val="none" w:sz="0" w:space="0" w:color="auto"/>
        <w:left w:val="none" w:sz="0" w:space="0" w:color="auto"/>
        <w:bottom w:val="none" w:sz="0" w:space="0" w:color="auto"/>
        <w:right w:val="none" w:sz="0" w:space="0" w:color="auto"/>
      </w:divBdr>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
    <w:div w:id="1402754758">
      <w:bodyDiv w:val="1"/>
      <w:marLeft w:val="0"/>
      <w:marRight w:val="0"/>
      <w:marTop w:val="0"/>
      <w:marBottom w:val="0"/>
      <w:divBdr>
        <w:top w:val="none" w:sz="0" w:space="0" w:color="auto"/>
        <w:left w:val="none" w:sz="0" w:space="0" w:color="auto"/>
        <w:bottom w:val="none" w:sz="0" w:space="0" w:color="auto"/>
        <w:right w:val="none" w:sz="0" w:space="0" w:color="auto"/>
      </w:divBdr>
    </w:div>
    <w:div w:id="1559366801">
      <w:bodyDiv w:val="1"/>
      <w:marLeft w:val="0"/>
      <w:marRight w:val="0"/>
      <w:marTop w:val="0"/>
      <w:marBottom w:val="0"/>
      <w:divBdr>
        <w:top w:val="none" w:sz="0" w:space="0" w:color="auto"/>
        <w:left w:val="none" w:sz="0" w:space="0" w:color="auto"/>
        <w:bottom w:val="none" w:sz="0" w:space="0" w:color="auto"/>
        <w:right w:val="none" w:sz="0" w:space="0" w:color="auto"/>
      </w:divBdr>
    </w:div>
    <w:div w:id="1586963555">
      <w:bodyDiv w:val="1"/>
      <w:marLeft w:val="0"/>
      <w:marRight w:val="0"/>
      <w:marTop w:val="0"/>
      <w:marBottom w:val="0"/>
      <w:divBdr>
        <w:top w:val="none" w:sz="0" w:space="0" w:color="auto"/>
        <w:left w:val="none" w:sz="0" w:space="0" w:color="auto"/>
        <w:bottom w:val="none" w:sz="0" w:space="0" w:color="auto"/>
        <w:right w:val="none" w:sz="0" w:space="0" w:color="auto"/>
      </w:divBdr>
    </w:div>
    <w:div w:id="1608850126">
      <w:bodyDiv w:val="1"/>
      <w:marLeft w:val="0"/>
      <w:marRight w:val="0"/>
      <w:marTop w:val="0"/>
      <w:marBottom w:val="0"/>
      <w:divBdr>
        <w:top w:val="none" w:sz="0" w:space="0" w:color="auto"/>
        <w:left w:val="none" w:sz="0" w:space="0" w:color="auto"/>
        <w:bottom w:val="none" w:sz="0" w:space="0" w:color="auto"/>
        <w:right w:val="none" w:sz="0" w:space="0" w:color="auto"/>
      </w:divBdr>
    </w:div>
    <w:div w:id="1753969070">
      <w:bodyDiv w:val="1"/>
      <w:marLeft w:val="0"/>
      <w:marRight w:val="0"/>
      <w:marTop w:val="0"/>
      <w:marBottom w:val="0"/>
      <w:divBdr>
        <w:top w:val="none" w:sz="0" w:space="0" w:color="auto"/>
        <w:left w:val="none" w:sz="0" w:space="0" w:color="auto"/>
        <w:bottom w:val="none" w:sz="0" w:space="0" w:color="auto"/>
        <w:right w:val="none" w:sz="0" w:space="0" w:color="auto"/>
      </w:divBdr>
    </w:div>
    <w:div w:id="1852909911">
      <w:bodyDiv w:val="1"/>
      <w:marLeft w:val="0"/>
      <w:marRight w:val="0"/>
      <w:marTop w:val="0"/>
      <w:marBottom w:val="0"/>
      <w:divBdr>
        <w:top w:val="none" w:sz="0" w:space="0" w:color="auto"/>
        <w:left w:val="none" w:sz="0" w:space="0" w:color="auto"/>
        <w:bottom w:val="none" w:sz="0" w:space="0" w:color="auto"/>
        <w:right w:val="none" w:sz="0" w:space="0" w:color="auto"/>
      </w:divBdr>
    </w:div>
    <w:div w:id="1953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4.5</Version>
    <Date>2018-09-10T09:03:48</Date>
    <Language>EN</Language>
  </Created>
  <Edited>
    <Version>10.0.37613.0</Version>
    <Date>2018-11-14T10:30:35</Date>
  </Edited>
  <DocumentModel>
    <Id>0b054141-88b1-4efb-8c91-2905cb0bed6c</Id>
    <Name>Note</Name>
  </DocumentModel>
  <DocumentDate/>
  <DocumentVersion/>
  <CompatibilityMode>Eurolook4x</CompatibilityMode>
  <Address/>
</EurolookProperties>
</file>

<file path=customXml/item3.xml><?xml version="1.0" encoding="utf-8"?>
<Author Role="Creator">
  <Id>bb5b62be-9070-4997-be9c-d8fdab182e16</Id>
  <Names>
    <Latin>
      <FirstName>John</FirstName>
      <LastName>WALSH</LastName>
    </Latin>
    <Greek>
      <FirstName/>
      <LastName/>
    </Greek>
    <Cyrillic>
      <FirstName/>
      <LastName/>
    </Cyrillic>
    <DocumentScript>
      <FirstName>John</FirstName>
      <LastName>WALSH</LastName>
      <FullName>John WALSH</FullName>
    </DocumentScript>
  </Names>
  <Initials>JFW</Initials>
  <Gender>m</Gender>
  <Email>John.Walsh@ec.europa.eu</Email>
  <Service>REGIO.B.2</Service>
  <Function ShowInSignature="true">Team Leader - Administrator</Function>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5fde0302-9f78-447d-a02f-7a6dc2f65c28</Id>
    <LogicalLevel>2</LogicalLevel>
    <Name>REGIO.B</Name>
    <HeadLine1>Policy</HeadLine1>
    <HeadLine2/>
    <PrimaryAddressId>f03b5801-04c9-4931-aa17-c6d6c70bc579</PrimaryAddressId>
    <SecondaryAddressId/>
    <WebAddress/>
    <InheritedWebAddress>WebAddress</InheritedWebAddress>
    <ShowInHeader>true</ShowInHeader>
  </OrgaEntity2>
  <OrgaEntity3>
    <Id>a495e182-0f36-42f4-a0f5-b3391992667d</Id>
    <LogicalLevel>3</LogicalLevel>
    <Name>REGIO.B.2</Name>
    <HeadLine1>Evaluation and European Semester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+32 229 66061</Phone>
    <Office>BU-5 03/071</Office>
  </MainWorkplace>
  <Workplaces>
    <Workplace IsMain="false">
      <AddressId>1264fb81-f6bb-475e-9f9d-a937d3be6ee2</AddressId>
      <Fax/>
      <Phone/>
      <Office/>
    </Workplace>
    <Workplace IsMain="true">
      <AddressId>f03b5801-04c9-4931-aa17-c6d6c70bc579</AddressId>
      <Fax/>
      <Phone>+32 229 66061</Phone>
      <Office>BU-5 03/071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A1EA-6ED9-4F36-842C-55C6CBFB857B}">
  <ds:schemaRefs/>
</ds:datastoreItem>
</file>

<file path=customXml/itemProps2.xml><?xml version="1.0" encoding="utf-8"?>
<ds:datastoreItem xmlns:ds="http://schemas.openxmlformats.org/officeDocument/2006/customXml" ds:itemID="{8A11F063-8246-4FF1-B7DF-B4CC6A242F21}">
  <ds:schemaRefs/>
</ds:datastoreItem>
</file>

<file path=customXml/itemProps3.xml><?xml version="1.0" encoding="utf-8"?>
<ds:datastoreItem xmlns:ds="http://schemas.openxmlformats.org/officeDocument/2006/customXml" ds:itemID="{0A06F639-654D-4C65-97FC-85BDAC2CD0B6}">
  <ds:schemaRefs/>
</ds:datastoreItem>
</file>

<file path=customXml/itemProps4.xml><?xml version="1.0" encoding="utf-8"?>
<ds:datastoreItem xmlns:ds="http://schemas.openxmlformats.org/officeDocument/2006/customXml" ds:itemID="{B5D451D1-6B11-4071-BE1F-0C4E87C0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2006</Words>
  <Characters>8528</Characters>
  <Application>Microsoft Office Word</Application>
  <DocSecurity>0</DocSecurity>
  <PresentationFormat>Microsoft Word 14.0</PresentationFormat>
  <Lines>1218</Lines>
  <Paragraphs>957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9577</CharactersWithSpaces>
  <SharedDoc>false</SharedDoc>
  <HLinks>
    <vt:vector size="6" baseType="variant">
      <vt:variant>
        <vt:i4>2752576</vt:i4>
      </vt:variant>
      <vt:variant>
        <vt:i4>0</vt:i4>
      </vt:variant>
      <vt:variant>
        <vt:i4>0</vt:i4>
      </vt:variant>
      <vt:variant>
        <vt:i4>5</vt:i4>
      </vt:variant>
      <vt:variant>
        <vt:lpwstr>http://ec.europa.eu/budget/library/biblio/documents/2015/analysis-of-the-budgetary-implementation-of-the-european-structural-and-investment-funds-in-2015_en.pdf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Gabriella Fesus</dc:creator>
  <cp:keywords>EL4</cp:keywords>
  <cp:lastModifiedBy>WES PDFC Administrator</cp:lastModifiedBy>
  <cp:revision>9</cp:revision>
  <cp:lastPrinted>2018-11-16T14:45:00Z</cp:lastPrinted>
  <dcterms:created xsi:type="dcterms:W3CDTF">2018-11-20T13:30:00Z</dcterms:created>
  <dcterms:modified xsi:type="dcterms:W3CDTF">2018-12-19T07:24:00Z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&lt;UNUSED&gt;</vt:lpwstr>
  </property>
  <property fmtid="{D5CDD505-2E9C-101B-9397-08002B2CF9AE}" pid="14" name="Total parts">
    <vt:lpwstr>&lt;UNUSED&gt;</vt:lpwstr>
  </property>
  <property fmtid="{D5CDD505-2E9C-101B-9397-08002B2CF9AE}" pid="15" name="DocStatus">
    <vt:lpwstr>Green</vt:lpwstr>
  </property>
  <property fmtid="{D5CDD505-2E9C-101B-9397-08002B2CF9AE}" pid="16" name="Level of sensitivity">
    <vt:lpwstr>Standard treatment</vt:lpwstr>
  </property>
  <property fmtid="{D5CDD505-2E9C-101B-9397-08002B2CF9AE}" pid="17" name="First annex">
    <vt:lpwstr>1</vt:lpwstr>
  </property>
  <property fmtid="{D5CDD505-2E9C-101B-9397-08002B2CF9AE}" pid="18" name="Last annex">
    <vt:lpwstr>3</vt:lpwstr>
  </property>
  <property fmtid="{D5CDD505-2E9C-101B-9397-08002B2CF9AE}" pid="19" name="Unique annex">
    <vt:lpwstr>0</vt:lpwstr>
  </property>
</Properties>
</file>