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DB9B597-A2B4-49CF-83AB-D497E3F86388" style="width:450pt;height:434.25pt">
            <v:imagedata r:id="rId12" o:title=""/>
          </v:shape>
        </w:pict>
      </w:r>
    </w:p>
    <w:bookmarkEnd w:id="0"/>
    <w:p>
      <w:pPr>
        <w:rPr>
          <w:b/>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itle"/>
        <w:spacing w:before="0" w:after="240"/>
        <w:rPr>
          <w:rFonts w:ascii="Times New Roman" w:hAnsi="Times New Roman"/>
          <w:i/>
          <w:noProof/>
          <w:sz w:val="24"/>
          <w:szCs w:val="24"/>
        </w:rPr>
      </w:pPr>
      <w:bookmarkStart w:id="1" w:name="_Toc463018899"/>
      <w:bookmarkStart w:id="2" w:name="_GoBack"/>
      <w:bookmarkEnd w:id="2"/>
      <w:r>
        <w:rPr>
          <w:rFonts w:ascii="Times New Roman" w:hAnsi="Times New Roman"/>
          <w:i/>
          <w:noProof/>
          <w:sz w:val="24"/>
          <w:szCs w:val="24"/>
        </w:rPr>
        <w:lastRenderedPageBreak/>
        <w:t>ANNEX 1.1</w:t>
      </w:r>
    </w:p>
    <w:p>
      <w:pPr>
        <w:pStyle w:val="Title"/>
        <w:spacing w:before="0" w:after="120"/>
        <w:rPr>
          <w:rFonts w:ascii="Times New Roman" w:hAnsi="Times New Roman"/>
          <w:noProof/>
          <w:sz w:val="24"/>
          <w:szCs w:val="24"/>
        </w:rPr>
      </w:pPr>
      <w:r>
        <w:rPr>
          <w:rFonts w:ascii="Times New Roman" w:hAnsi="Times New Roman"/>
          <w:noProof/>
          <w:sz w:val="24"/>
          <w:szCs w:val="24"/>
        </w:rPr>
        <w:t>ESI Funds cumulative financial implementation by thematic objective reported by programmes until 31 December 2017 (in total cost, with selection and expenditure volumes)</w:t>
      </w:r>
    </w:p>
    <w:tbl>
      <w:tblPr>
        <w:tblW w:w="5000" w:type="pct"/>
        <w:tblInd w:w="108" w:type="dxa"/>
        <w:tblLayout w:type="fixed"/>
        <w:tblLook w:val="04A0" w:firstRow="1" w:lastRow="0" w:firstColumn="1" w:lastColumn="0" w:noHBand="0" w:noVBand="1"/>
      </w:tblPr>
      <w:tblGrid>
        <w:gridCol w:w="536"/>
        <w:gridCol w:w="2277"/>
        <w:gridCol w:w="1339"/>
        <w:gridCol w:w="1337"/>
        <w:gridCol w:w="1337"/>
        <w:gridCol w:w="1071"/>
        <w:gridCol w:w="936"/>
      </w:tblGrid>
      <w:tr>
        <w:trPr>
          <w:trHeight w:val="334"/>
        </w:trPr>
        <w:tc>
          <w:tcPr>
            <w:tcW w:w="303" w:type="pct"/>
            <w:vMerge w:val="restart"/>
            <w:tcBorders>
              <w:top w:val="single" w:sz="4" w:space="0" w:color="auto"/>
              <w:left w:val="single" w:sz="4" w:space="0" w:color="auto"/>
              <w:bottom w:val="single" w:sz="4" w:space="0" w:color="000000"/>
              <w:right w:val="nil"/>
            </w:tcBorders>
            <w:shd w:val="clear" w:color="000000" w:fill="8DB4E2"/>
            <w:vAlign w:val="center"/>
          </w:tcPr>
          <w:p>
            <w:pPr>
              <w:spacing w:after="0"/>
              <w:jc w:val="center"/>
              <w:rPr>
                <w:b/>
                <w:bCs/>
                <w:noProof/>
                <w:sz w:val="20"/>
                <w:lang w:eastAsia="en-GB"/>
              </w:rPr>
            </w:pPr>
          </w:p>
        </w:tc>
        <w:tc>
          <w:tcPr>
            <w:tcW w:w="1289"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left"/>
              <w:rPr>
                <w:b/>
                <w:bCs/>
                <w:noProof/>
                <w:sz w:val="20"/>
                <w:lang w:eastAsia="en-GB"/>
              </w:rPr>
            </w:pPr>
            <w:r>
              <w:rPr>
                <w:b/>
                <w:bCs/>
                <w:noProof/>
                <w:sz w:val="20"/>
                <w:lang w:eastAsia="en-GB"/>
              </w:rPr>
              <w:t>Thematic Objectives</w:t>
            </w:r>
          </w:p>
        </w:tc>
        <w:tc>
          <w:tcPr>
            <w:tcW w:w="758"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Total programmed amount</w:t>
            </w:r>
          </w:p>
        </w:tc>
        <w:tc>
          <w:tcPr>
            <w:tcW w:w="757"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Total Eligible Cost of projects selected</w:t>
            </w:r>
          </w:p>
        </w:tc>
        <w:tc>
          <w:tcPr>
            <w:tcW w:w="757"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 xml:space="preserve">Total spending reported by selected projects </w:t>
            </w:r>
          </w:p>
        </w:tc>
        <w:tc>
          <w:tcPr>
            <w:tcW w:w="606"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Selection rate</w:t>
            </w:r>
          </w:p>
        </w:tc>
        <w:tc>
          <w:tcPr>
            <w:tcW w:w="530"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Spending rate</w:t>
            </w:r>
          </w:p>
        </w:tc>
      </w:tr>
      <w:tr>
        <w:trPr>
          <w:trHeight w:val="254"/>
        </w:trPr>
        <w:tc>
          <w:tcPr>
            <w:tcW w:w="303"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lang w:eastAsia="en-GB"/>
              </w:rPr>
            </w:pPr>
          </w:p>
        </w:tc>
        <w:tc>
          <w:tcPr>
            <w:tcW w:w="1289"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lang w:eastAsia="en-GB"/>
              </w:rPr>
            </w:pPr>
          </w:p>
        </w:tc>
        <w:tc>
          <w:tcPr>
            <w:tcW w:w="758"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EUR m</w:t>
            </w:r>
          </w:p>
        </w:tc>
        <w:tc>
          <w:tcPr>
            <w:tcW w:w="757"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EUR M</w:t>
            </w:r>
          </w:p>
        </w:tc>
        <w:tc>
          <w:tcPr>
            <w:tcW w:w="757"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EUR M</w:t>
            </w:r>
          </w:p>
        </w:tc>
        <w:tc>
          <w:tcPr>
            <w:tcW w:w="606"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w:t>
            </w:r>
          </w:p>
        </w:tc>
        <w:tc>
          <w:tcPr>
            <w:tcW w:w="530"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w:t>
            </w:r>
          </w:p>
        </w:tc>
      </w:tr>
      <w:tr>
        <w:trPr>
          <w:trHeight w:val="26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01</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Research &amp; Innovation</w:t>
            </w:r>
          </w:p>
        </w:tc>
        <w:tc>
          <w:tcPr>
            <w:tcW w:w="75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60,175.6 </w:t>
            </w:r>
          </w:p>
        </w:tc>
        <w:tc>
          <w:tcPr>
            <w:tcW w:w="757"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30,670.2 </w:t>
            </w:r>
          </w:p>
        </w:tc>
        <w:tc>
          <w:tcPr>
            <w:tcW w:w="757"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4,895.9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51.0%</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8.1%</w:t>
            </w:r>
          </w:p>
        </w:tc>
      </w:tr>
      <w:tr>
        <w:trPr>
          <w:trHeight w:val="36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02</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Information &amp; Communication Technologies</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18,368.0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8,772.9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900.8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47.8%</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4.9%</w:t>
            </w:r>
          </w:p>
        </w:tc>
      </w:tr>
      <w:tr>
        <w:trPr>
          <w:trHeight w:val="192"/>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03</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Competitiveness of SMEs</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85,401.9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47,014.7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15,378.3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55.1%</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18.0%</w:t>
            </w:r>
          </w:p>
        </w:tc>
      </w:tr>
      <w:tr>
        <w:trPr>
          <w:trHeight w:val="168"/>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04</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Low-Carbon Economy</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52,095.1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23,333.0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3,774.7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44.8%</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7.2%</w:t>
            </w:r>
          </w:p>
        </w:tc>
      </w:tr>
      <w:tr>
        <w:trPr>
          <w:trHeight w:val="31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05</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Climate Change Adaptation &amp; Risk Prevention</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38,069.3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22,134.9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12,613.0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58.1%</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33.1%</w:t>
            </w:r>
          </w:p>
        </w:tc>
      </w:tr>
      <w:tr>
        <w:trPr>
          <w:trHeight w:val="34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06</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Environment Protection &amp; Resource Efficiency</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73,147.4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38,091.3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15,917.9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52.1%</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21.8%</w:t>
            </w:r>
          </w:p>
        </w:tc>
      </w:tr>
      <w:tr>
        <w:trPr>
          <w:trHeight w:val="483"/>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07</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Network Infrastructures in Transport and Energy</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66,372.3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41,368.9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11,548.9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62.3%</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17.4%</w:t>
            </w:r>
          </w:p>
        </w:tc>
      </w:tr>
      <w:tr>
        <w:trPr>
          <w:trHeight w:val="35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08</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Sustainable &amp; Quality Employment</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48,788.3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24,764.5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8,210.6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50.8%</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16.8%</w:t>
            </w:r>
          </w:p>
        </w:tc>
      </w:tr>
      <w:tr>
        <w:trPr>
          <w:trHeight w:val="28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09</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Social Inclusion</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53,986.2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25,008.9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5,616.2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46.3%</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10.4%</w:t>
            </w:r>
          </w:p>
        </w:tc>
      </w:tr>
      <w:tr>
        <w:trPr>
          <w:trHeight w:val="30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10</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Educational &amp; Vocational Training</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40,981.3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21,296.0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5,241.9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52.0%</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12.8%</w:t>
            </w:r>
          </w:p>
        </w:tc>
      </w:tr>
      <w:tr>
        <w:trPr>
          <w:trHeight w:val="17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11</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Efficient Public Administration</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6,109.3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2,936.4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351.9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48.1%</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5.8%</w:t>
            </w:r>
          </w:p>
        </w:tc>
      </w:tr>
      <w:tr>
        <w:trPr>
          <w:trHeight w:val="424"/>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12</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Outermost &amp; Sparsely Populated</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220.5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428.4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225.3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194.2%</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102.2%</w:t>
            </w:r>
          </w:p>
        </w:tc>
      </w:tr>
      <w:tr>
        <w:trPr>
          <w:trHeight w:val="182"/>
        </w:trPr>
        <w:tc>
          <w:tcPr>
            <w:tcW w:w="303"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lang w:eastAsia="en-GB"/>
              </w:rPr>
            </w:pPr>
            <w:r>
              <w:rPr>
                <w:noProof/>
                <w:sz w:val="20"/>
                <w:lang w:eastAsia="en-GB"/>
              </w:rPr>
              <w:t>DM</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Discontinued Measures</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176.3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56.9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0.0%</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32.3%</w:t>
            </w:r>
          </w:p>
        </w:tc>
      </w:tr>
      <w:tr>
        <w:trPr>
          <w:trHeight w:val="462"/>
        </w:trPr>
        <w:tc>
          <w:tcPr>
            <w:tcW w:w="303" w:type="pct"/>
            <w:tcBorders>
              <w:top w:val="nil"/>
              <w:left w:val="single" w:sz="4" w:space="0" w:color="auto"/>
              <w:bottom w:val="single" w:sz="4" w:space="0" w:color="auto"/>
              <w:right w:val="nil"/>
            </w:tcBorders>
            <w:shd w:val="clear" w:color="auto" w:fill="auto"/>
            <w:noWrap/>
          </w:tcPr>
          <w:p>
            <w:pPr>
              <w:spacing w:after="0"/>
              <w:jc w:val="left"/>
              <w:rPr>
                <w:noProof/>
                <w:sz w:val="20"/>
                <w:lang w:eastAsia="en-GB"/>
              </w:rPr>
            </w:pP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Multiple Thematic Objectives (ERDF/CF/ESF)</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81,042.3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43,357.8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8,161.4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53.5%</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10.1%</w:t>
            </w:r>
          </w:p>
        </w:tc>
      </w:tr>
      <w:tr>
        <w:trPr>
          <w:trHeight w:val="141"/>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TA</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Technical Assistance</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19,097.8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9,010.2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 xml:space="preserve">                     2,791.5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47.2%</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lang w:eastAsia="en-GB"/>
              </w:rPr>
            </w:pPr>
            <w:r>
              <w:rPr>
                <w:noProof/>
                <w:color w:val="000000"/>
                <w:sz w:val="20"/>
              </w:rPr>
              <w:t>14.6%</w:t>
            </w:r>
          </w:p>
        </w:tc>
      </w:tr>
      <w:tr>
        <w:trPr>
          <w:trHeight w:val="290"/>
        </w:trPr>
        <w:tc>
          <w:tcPr>
            <w:tcW w:w="303" w:type="pct"/>
            <w:tcBorders>
              <w:top w:val="nil"/>
              <w:left w:val="single" w:sz="4" w:space="0" w:color="auto"/>
              <w:bottom w:val="single" w:sz="4" w:space="0" w:color="auto"/>
              <w:right w:val="nil"/>
            </w:tcBorders>
            <w:shd w:val="clear" w:color="000000" w:fill="8DB4E2"/>
            <w:vAlign w:val="center"/>
            <w:hideMark/>
          </w:tcPr>
          <w:p>
            <w:pPr>
              <w:spacing w:before="120" w:after="120"/>
              <w:jc w:val="left"/>
              <w:rPr>
                <w:b/>
                <w:bCs/>
                <w:noProof/>
                <w:sz w:val="20"/>
                <w:lang w:eastAsia="en-GB"/>
              </w:rPr>
            </w:pPr>
            <w:r>
              <w:rPr>
                <w:b/>
                <w:bCs/>
                <w:noProof/>
                <w:sz w:val="20"/>
                <w:lang w:eastAsia="en-GB"/>
              </w:rPr>
              <w:t> </w:t>
            </w:r>
          </w:p>
        </w:tc>
        <w:tc>
          <w:tcPr>
            <w:tcW w:w="1289" w:type="pct"/>
            <w:tcBorders>
              <w:top w:val="nil"/>
              <w:left w:val="nil"/>
              <w:bottom w:val="single" w:sz="4" w:space="0" w:color="auto"/>
              <w:right w:val="single" w:sz="4" w:space="0" w:color="auto"/>
            </w:tcBorders>
            <w:shd w:val="clear" w:color="000000" w:fill="8DB4E2"/>
            <w:vAlign w:val="bottom"/>
            <w:hideMark/>
          </w:tcPr>
          <w:p>
            <w:pPr>
              <w:spacing w:before="120" w:after="120"/>
              <w:jc w:val="left"/>
              <w:rPr>
                <w:b/>
                <w:bCs/>
                <w:noProof/>
                <w:sz w:val="20"/>
                <w:lang w:eastAsia="en-GB"/>
              </w:rPr>
            </w:pPr>
            <w:r>
              <w:rPr>
                <w:b/>
                <w:bCs/>
                <w:noProof/>
                <w:sz w:val="20"/>
                <w:lang w:eastAsia="en-GB"/>
              </w:rPr>
              <w:t>Grand Total</w:t>
            </w:r>
          </w:p>
        </w:tc>
        <w:tc>
          <w:tcPr>
            <w:tcW w:w="758" w:type="pct"/>
            <w:tcBorders>
              <w:top w:val="nil"/>
              <w:left w:val="single" w:sz="4" w:space="0" w:color="auto"/>
              <w:bottom w:val="single" w:sz="4" w:space="0" w:color="auto"/>
              <w:right w:val="single" w:sz="4" w:space="0" w:color="auto"/>
            </w:tcBorders>
            <w:shd w:val="clear" w:color="auto" w:fill="8DB3E2" w:themeFill="text2" w:themeFillTint="66"/>
            <w:vAlign w:val="bottom"/>
          </w:tcPr>
          <w:p>
            <w:pPr>
              <w:spacing w:before="120" w:after="120"/>
              <w:jc w:val="right"/>
              <w:rPr>
                <w:b/>
                <w:bCs/>
                <w:noProof/>
                <w:sz w:val="20"/>
                <w:lang w:eastAsia="en-GB"/>
              </w:rPr>
            </w:pPr>
            <w:r>
              <w:rPr>
                <w:b/>
                <w:bCs/>
                <w:noProof/>
                <w:sz w:val="20"/>
                <w:lang w:eastAsia="en-GB"/>
              </w:rPr>
              <w:t xml:space="preserve">644,031.6 </w:t>
            </w:r>
          </w:p>
        </w:tc>
        <w:tc>
          <w:tcPr>
            <w:tcW w:w="757"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center"/>
              <w:rPr>
                <w:b/>
                <w:bCs/>
                <w:noProof/>
                <w:sz w:val="20"/>
                <w:lang w:eastAsia="en-GB"/>
              </w:rPr>
            </w:pPr>
            <w:r>
              <w:rPr>
                <w:b/>
                <w:bCs/>
                <w:noProof/>
                <w:sz w:val="20"/>
                <w:lang w:eastAsia="en-GB"/>
              </w:rPr>
              <w:t xml:space="preserve">338,188.2 </w:t>
            </w:r>
          </w:p>
        </w:tc>
        <w:tc>
          <w:tcPr>
            <w:tcW w:w="757"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right"/>
              <w:rPr>
                <w:b/>
                <w:bCs/>
                <w:noProof/>
                <w:sz w:val="20"/>
                <w:lang w:eastAsia="en-GB"/>
              </w:rPr>
            </w:pPr>
            <w:r>
              <w:rPr>
                <w:b/>
                <w:bCs/>
                <w:noProof/>
                <w:sz w:val="20"/>
                <w:lang w:eastAsia="en-GB"/>
              </w:rPr>
              <w:t xml:space="preserve">95,685.3 </w:t>
            </w:r>
          </w:p>
        </w:tc>
        <w:tc>
          <w:tcPr>
            <w:tcW w:w="606"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right"/>
              <w:rPr>
                <w:b/>
                <w:bCs/>
                <w:noProof/>
                <w:sz w:val="20"/>
                <w:lang w:eastAsia="en-GB"/>
              </w:rPr>
            </w:pPr>
            <w:r>
              <w:rPr>
                <w:b/>
                <w:bCs/>
                <w:noProof/>
                <w:sz w:val="20"/>
                <w:lang w:eastAsia="en-GB"/>
              </w:rPr>
              <w:t>52.5%</w:t>
            </w:r>
          </w:p>
        </w:tc>
        <w:tc>
          <w:tcPr>
            <w:tcW w:w="530"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right"/>
              <w:rPr>
                <w:b/>
                <w:bCs/>
                <w:noProof/>
                <w:sz w:val="20"/>
                <w:lang w:eastAsia="en-GB"/>
              </w:rPr>
            </w:pPr>
            <w:r>
              <w:rPr>
                <w:b/>
                <w:bCs/>
                <w:noProof/>
                <w:sz w:val="20"/>
                <w:lang w:eastAsia="en-GB"/>
              </w:rPr>
              <w:t>14.9%</w:t>
            </w:r>
          </w:p>
        </w:tc>
      </w:tr>
    </w:tbl>
    <w:p>
      <w:pPr>
        <w:rPr>
          <w:i/>
          <w:noProof/>
          <w:sz w:val="20"/>
        </w:rPr>
      </w:pPr>
      <w:r>
        <w:rPr>
          <w:i/>
          <w:noProof/>
          <w:sz w:val="20"/>
        </w:rPr>
        <w:t xml:space="preserve">Source: European Commission based on data reported by programmes available on ESIF Open Data </w:t>
      </w:r>
      <w:r>
        <w:rPr>
          <w:rStyle w:val="Hyperlink"/>
          <w:i/>
          <w:noProof/>
          <w:sz w:val="20"/>
        </w:rPr>
        <w:t xml:space="preserve">https://cohesiondata.ec.europa.eu/d/99js-gm52  </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szCs w:val="24"/>
        </w:rPr>
        <w:t>ANNEX 1.2</w:t>
      </w:r>
    </w:p>
    <w:p>
      <w:pPr>
        <w:pStyle w:val="Title"/>
        <w:spacing w:before="0" w:after="120"/>
        <w:rPr>
          <w:noProof/>
        </w:rPr>
      </w:pPr>
      <w:r>
        <w:rPr>
          <w:rFonts w:ascii="Times New Roman" w:hAnsi="Times New Roman"/>
          <w:noProof/>
          <w:sz w:val="24"/>
          <w:szCs w:val="24"/>
        </w:rPr>
        <w:t>ESI Funds cumulative financial implementation by thematic objective reported by programmes until autumn 2018 (in total cost, with selection and expenditure volumes) (Data as at 8/11/2018)</w:t>
      </w:r>
    </w:p>
    <w:tbl>
      <w:tblPr>
        <w:tblW w:w="4985" w:type="pct"/>
        <w:tblInd w:w="108" w:type="dxa"/>
        <w:tblLayout w:type="fixed"/>
        <w:tblLook w:val="04A0" w:firstRow="1" w:lastRow="0" w:firstColumn="1" w:lastColumn="0" w:noHBand="0" w:noVBand="1"/>
      </w:tblPr>
      <w:tblGrid>
        <w:gridCol w:w="402"/>
        <w:gridCol w:w="2445"/>
        <w:gridCol w:w="1355"/>
        <w:gridCol w:w="1219"/>
        <w:gridCol w:w="1355"/>
        <w:gridCol w:w="1083"/>
        <w:gridCol w:w="948"/>
      </w:tblGrid>
      <w:tr>
        <w:trPr>
          <w:trHeight w:val="334"/>
        </w:trPr>
        <w:tc>
          <w:tcPr>
            <w:tcW w:w="228" w:type="pct"/>
            <w:vMerge w:val="restart"/>
            <w:tcBorders>
              <w:top w:val="single" w:sz="4" w:space="0" w:color="auto"/>
              <w:left w:val="single" w:sz="4" w:space="0" w:color="auto"/>
              <w:bottom w:val="single" w:sz="4" w:space="0" w:color="000000"/>
              <w:right w:val="nil"/>
            </w:tcBorders>
            <w:shd w:val="clear" w:color="000000" w:fill="8DB4E2"/>
            <w:vAlign w:val="center"/>
          </w:tcPr>
          <w:p>
            <w:pPr>
              <w:spacing w:after="0"/>
              <w:jc w:val="center"/>
              <w:rPr>
                <w:b/>
                <w:bCs/>
                <w:noProof/>
                <w:sz w:val="20"/>
                <w:lang w:eastAsia="en-GB"/>
              </w:rPr>
            </w:pPr>
          </w:p>
        </w:tc>
        <w:tc>
          <w:tcPr>
            <w:tcW w:w="1388"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left"/>
              <w:rPr>
                <w:b/>
                <w:bCs/>
                <w:noProof/>
                <w:sz w:val="20"/>
                <w:lang w:eastAsia="en-GB"/>
              </w:rPr>
            </w:pPr>
            <w:r>
              <w:rPr>
                <w:b/>
                <w:bCs/>
                <w:noProof/>
                <w:sz w:val="20"/>
                <w:lang w:eastAsia="en-GB"/>
              </w:rPr>
              <w:t>Thematic Objectives</w:t>
            </w:r>
          </w:p>
        </w:tc>
        <w:tc>
          <w:tcPr>
            <w:tcW w:w="769"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Total programmed amount</w:t>
            </w:r>
          </w:p>
        </w:tc>
        <w:tc>
          <w:tcPr>
            <w:tcW w:w="692"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Total Eligible Cost of projects selected</w:t>
            </w:r>
          </w:p>
        </w:tc>
        <w:tc>
          <w:tcPr>
            <w:tcW w:w="769"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 xml:space="preserve">Total spending reported by selected projects </w:t>
            </w:r>
          </w:p>
        </w:tc>
        <w:tc>
          <w:tcPr>
            <w:tcW w:w="615"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Selection rate</w:t>
            </w:r>
          </w:p>
        </w:tc>
        <w:tc>
          <w:tcPr>
            <w:tcW w:w="538"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Spending rate</w:t>
            </w:r>
          </w:p>
        </w:tc>
      </w:tr>
      <w:tr>
        <w:trPr>
          <w:trHeight w:val="254"/>
        </w:trPr>
        <w:tc>
          <w:tcPr>
            <w:tcW w:w="228"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lang w:eastAsia="en-GB"/>
              </w:rPr>
            </w:pPr>
          </w:p>
        </w:tc>
        <w:tc>
          <w:tcPr>
            <w:tcW w:w="1388"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lang w:eastAsia="en-GB"/>
              </w:rPr>
            </w:pPr>
          </w:p>
        </w:tc>
        <w:tc>
          <w:tcPr>
            <w:tcW w:w="769"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EUR M</w:t>
            </w:r>
          </w:p>
        </w:tc>
        <w:tc>
          <w:tcPr>
            <w:tcW w:w="692"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EUR M</w:t>
            </w:r>
          </w:p>
        </w:tc>
        <w:tc>
          <w:tcPr>
            <w:tcW w:w="769"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EUR M</w:t>
            </w:r>
          </w:p>
        </w:tc>
        <w:tc>
          <w:tcPr>
            <w:tcW w:w="615"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w:t>
            </w:r>
          </w:p>
        </w:tc>
        <w:tc>
          <w:tcPr>
            <w:tcW w:w="538"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w:t>
            </w:r>
          </w:p>
        </w:tc>
      </w:tr>
      <w:tr>
        <w:trPr>
          <w:trHeight w:val="26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01</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Research &amp; Innovation</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60,251.6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39,600.6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8,413.9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65.7%</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14.0%</w:t>
            </w:r>
          </w:p>
        </w:tc>
      </w:tr>
      <w:tr>
        <w:trPr>
          <w:trHeight w:val="36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02</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Information &amp; Communication Technologies</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18,055.1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11,162.9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1,502.4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61.8%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8.3%</w:t>
            </w:r>
          </w:p>
        </w:tc>
      </w:tr>
      <w:tr>
        <w:trPr>
          <w:trHeight w:val="192"/>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03</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Competitiveness of SMEs</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86,446.5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52,156.7</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22,151.7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60.3%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25.6%</w:t>
            </w:r>
          </w:p>
        </w:tc>
      </w:tr>
      <w:tr>
        <w:trPr>
          <w:trHeight w:val="168"/>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04</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Low-Carbon Economy</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49,771.9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28,027.6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6,162.4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56.3%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12.4%</w:t>
            </w:r>
          </w:p>
        </w:tc>
      </w:tr>
      <w:tr>
        <w:trPr>
          <w:trHeight w:val="31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05</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Climate Change Adaptation &amp; Risk Prevention</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38,617.5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23,045.2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14,883.8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59.7%</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38.5%</w:t>
            </w:r>
          </w:p>
        </w:tc>
      </w:tr>
      <w:tr>
        <w:trPr>
          <w:trHeight w:val="34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06</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Environment Protection &amp; Resource Efficiency</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73,673.9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43,091.8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19,699.2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58.5%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26.7%</w:t>
            </w:r>
          </w:p>
        </w:tc>
      </w:tr>
      <w:tr>
        <w:trPr>
          <w:trHeight w:val="483"/>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07</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Network Infrastructures in Transport and Energy</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66,171.4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49,416.5</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16,010.2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74.7%</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24.2%</w:t>
            </w:r>
          </w:p>
        </w:tc>
      </w:tr>
      <w:tr>
        <w:trPr>
          <w:trHeight w:val="35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08</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Sustainable &amp; Quality Employment</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49,543.1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30,035.8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11,281.0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60.6%</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22.8%</w:t>
            </w:r>
          </w:p>
        </w:tc>
      </w:tr>
      <w:tr>
        <w:trPr>
          <w:trHeight w:val="28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09</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Social Inclusion</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54,105.7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29,971.0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9,512.2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55.4%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17.6%</w:t>
            </w:r>
          </w:p>
        </w:tc>
      </w:tr>
      <w:tr>
        <w:trPr>
          <w:trHeight w:val="30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10</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Educational &amp; Vocational Training</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40,662.1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26,549.8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8,464.3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65.3%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20.8%</w:t>
            </w:r>
          </w:p>
        </w:tc>
      </w:tr>
      <w:tr>
        <w:trPr>
          <w:trHeight w:val="17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11</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Efficient Public Administration</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6,145.7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3,743.2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723.2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60.9%</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11.8%</w:t>
            </w:r>
          </w:p>
        </w:tc>
      </w:tr>
      <w:tr>
        <w:trPr>
          <w:trHeight w:val="424"/>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12</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Outermost &amp; Sparsely Populated</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220.5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527.8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334.0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239.3%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151.4%</w:t>
            </w:r>
          </w:p>
        </w:tc>
      </w:tr>
      <w:tr>
        <w:trPr>
          <w:trHeight w:val="182"/>
        </w:trPr>
        <w:tc>
          <w:tcPr>
            <w:tcW w:w="228"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lang w:eastAsia="en-GB"/>
              </w:rPr>
            </w:pPr>
            <w:r>
              <w:rPr>
                <w:noProof/>
                <w:sz w:val="20"/>
                <w:lang w:eastAsia="en-GB"/>
              </w:rPr>
              <w:t>DM</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Discontinued Measures</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172.8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73.2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0.0%</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42.4%</w:t>
            </w:r>
          </w:p>
        </w:tc>
      </w:tr>
      <w:tr>
        <w:trPr>
          <w:trHeight w:val="462"/>
        </w:trPr>
        <w:tc>
          <w:tcPr>
            <w:tcW w:w="228" w:type="pct"/>
            <w:tcBorders>
              <w:top w:val="nil"/>
              <w:left w:val="single" w:sz="4" w:space="0" w:color="auto"/>
              <w:bottom w:val="single" w:sz="4" w:space="0" w:color="auto"/>
              <w:right w:val="nil"/>
            </w:tcBorders>
            <w:shd w:val="clear" w:color="auto" w:fill="auto"/>
            <w:noWrap/>
          </w:tcPr>
          <w:p>
            <w:pPr>
              <w:spacing w:after="0"/>
              <w:jc w:val="left"/>
              <w:rPr>
                <w:noProof/>
                <w:sz w:val="20"/>
                <w:lang w:eastAsia="en-GB"/>
              </w:rPr>
            </w:pP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Multiple Thematic Objectives (ERDF/CF/ESF)</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83,770.8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56,268.6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14,085.4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67.2%</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16.8%</w:t>
            </w:r>
          </w:p>
        </w:tc>
      </w:tr>
      <w:tr>
        <w:trPr>
          <w:trHeight w:val="141"/>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lang w:eastAsia="en-GB"/>
              </w:rPr>
            </w:pPr>
            <w:r>
              <w:rPr>
                <w:noProof/>
                <w:sz w:val="20"/>
                <w:lang w:eastAsia="en-GB"/>
              </w:rPr>
              <w:t>TA</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lang w:eastAsia="en-GB"/>
              </w:rPr>
            </w:pPr>
            <w:r>
              <w:rPr>
                <w:b/>
                <w:bCs/>
                <w:noProof/>
                <w:sz w:val="20"/>
                <w:lang w:eastAsia="en-GB"/>
              </w:rPr>
              <w:t>Technical Assistance</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19,049.2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11,046.9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4,115.8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58.0%</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lang w:eastAsia="en-GB"/>
              </w:rPr>
            </w:pPr>
            <w:r>
              <w:rPr>
                <w:noProof/>
                <w:color w:val="000000"/>
                <w:sz w:val="20"/>
              </w:rPr>
              <w:t>21.6%</w:t>
            </w:r>
          </w:p>
        </w:tc>
      </w:tr>
      <w:tr>
        <w:trPr>
          <w:trHeight w:val="290"/>
        </w:trPr>
        <w:tc>
          <w:tcPr>
            <w:tcW w:w="228" w:type="pct"/>
            <w:tcBorders>
              <w:top w:val="nil"/>
              <w:left w:val="single" w:sz="4" w:space="0" w:color="auto"/>
              <w:bottom w:val="single" w:sz="4" w:space="0" w:color="auto"/>
              <w:right w:val="nil"/>
            </w:tcBorders>
            <w:shd w:val="clear" w:color="000000" w:fill="8DB4E2"/>
            <w:vAlign w:val="center"/>
            <w:hideMark/>
          </w:tcPr>
          <w:p>
            <w:pPr>
              <w:spacing w:before="120" w:after="120"/>
              <w:jc w:val="left"/>
              <w:rPr>
                <w:b/>
                <w:bCs/>
                <w:noProof/>
                <w:sz w:val="20"/>
                <w:lang w:eastAsia="en-GB"/>
              </w:rPr>
            </w:pPr>
            <w:r>
              <w:rPr>
                <w:b/>
                <w:bCs/>
                <w:noProof/>
                <w:sz w:val="20"/>
                <w:lang w:eastAsia="en-GB"/>
              </w:rPr>
              <w:t> </w:t>
            </w:r>
          </w:p>
        </w:tc>
        <w:tc>
          <w:tcPr>
            <w:tcW w:w="1388" w:type="pct"/>
            <w:tcBorders>
              <w:top w:val="nil"/>
              <w:left w:val="nil"/>
              <w:bottom w:val="single" w:sz="4" w:space="0" w:color="auto"/>
              <w:right w:val="single" w:sz="4" w:space="0" w:color="auto"/>
            </w:tcBorders>
            <w:shd w:val="clear" w:color="000000" w:fill="8DB4E2"/>
            <w:vAlign w:val="bottom"/>
            <w:hideMark/>
          </w:tcPr>
          <w:p>
            <w:pPr>
              <w:spacing w:before="120" w:after="120"/>
              <w:jc w:val="left"/>
              <w:rPr>
                <w:b/>
                <w:bCs/>
                <w:noProof/>
                <w:sz w:val="20"/>
                <w:lang w:eastAsia="en-GB"/>
              </w:rPr>
            </w:pPr>
            <w:r>
              <w:rPr>
                <w:b/>
                <w:bCs/>
                <w:noProof/>
                <w:sz w:val="20"/>
                <w:lang w:eastAsia="en-GB"/>
              </w:rPr>
              <w:t>Total</w:t>
            </w:r>
          </w:p>
        </w:tc>
        <w:tc>
          <w:tcPr>
            <w:tcW w:w="769" w:type="pct"/>
            <w:tcBorders>
              <w:top w:val="single" w:sz="4" w:space="0" w:color="auto"/>
              <w:left w:val="nil"/>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lang w:eastAsia="en-GB"/>
              </w:rPr>
            </w:pPr>
            <w:r>
              <w:rPr>
                <w:b/>
                <w:bCs/>
                <w:noProof/>
                <w:sz w:val="20"/>
                <w:lang w:eastAsia="en-GB"/>
              </w:rPr>
              <w:t>646,657.9</w:t>
            </w:r>
          </w:p>
        </w:tc>
        <w:tc>
          <w:tcPr>
            <w:tcW w:w="692"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lang w:eastAsia="en-GB"/>
              </w:rPr>
            </w:pPr>
            <w:r>
              <w:rPr>
                <w:b/>
                <w:bCs/>
                <w:noProof/>
                <w:sz w:val="20"/>
                <w:lang w:eastAsia="en-GB"/>
              </w:rPr>
              <w:t>404,644.6</w:t>
            </w:r>
          </w:p>
        </w:tc>
        <w:tc>
          <w:tcPr>
            <w:tcW w:w="76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lang w:eastAsia="en-GB"/>
              </w:rPr>
            </w:pPr>
            <w:r>
              <w:rPr>
                <w:b/>
                <w:bCs/>
                <w:noProof/>
                <w:sz w:val="20"/>
                <w:lang w:eastAsia="en-GB"/>
              </w:rPr>
              <w:t>137,412.5</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lang w:eastAsia="en-GB"/>
              </w:rPr>
            </w:pPr>
            <w:r>
              <w:rPr>
                <w:b/>
                <w:bCs/>
                <w:noProof/>
                <w:sz w:val="20"/>
                <w:lang w:eastAsia="en-GB"/>
              </w:rPr>
              <w:t>62.6%</w:t>
            </w:r>
          </w:p>
        </w:tc>
        <w:tc>
          <w:tcPr>
            <w:tcW w:w="53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lang w:eastAsia="en-GB"/>
              </w:rPr>
            </w:pPr>
            <w:r>
              <w:rPr>
                <w:b/>
                <w:bCs/>
                <w:noProof/>
                <w:sz w:val="20"/>
                <w:lang w:eastAsia="en-GB"/>
              </w:rPr>
              <w:t>21.2%</w:t>
            </w:r>
          </w:p>
        </w:tc>
      </w:tr>
    </w:tbl>
    <w:p>
      <w:pPr>
        <w:rPr>
          <w:i/>
          <w:noProof/>
          <w:sz w:val="20"/>
        </w:rPr>
      </w:pPr>
      <w:r>
        <w:rPr>
          <w:i/>
          <w:noProof/>
          <w:sz w:val="20"/>
        </w:rPr>
        <w:t xml:space="preserve">Source: European Commission based on data reported by programmes available on ESIF Open Data </w:t>
      </w:r>
      <w:r>
        <w:rPr>
          <w:rStyle w:val="Hyperlink"/>
          <w:i/>
          <w:noProof/>
          <w:sz w:val="20"/>
        </w:rPr>
        <w:t>https://cohesiondata.ec.europa.eu/d/99js-gm52</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szCs w:val="24"/>
        </w:rPr>
        <w:t>ANNEX 2.1</w:t>
      </w:r>
    </w:p>
    <w:p>
      <w:pPr>
        <w:jc w:val="center"/>
        <w:rPr>
          <w:b/>
          <w:noProof/>
        </w:rPr>
      </w:pPr>
      <w:r>
        <w:rPr>
          <w:b/>
          <w:noProof/>
        </w:rPr>
        <w:t>ESI Funds cumulative financial implementation by Member State reported by programme</w:t>
      </w:r>
      <w:bookmarkEnd w:id="1"/>
      <w:r>
        <w:rPr>
          <w:b/>
          <w:noProof/>
        </w:rPr>
        <w:t>s</w:t>
      </w:r>
      <w:bookmarkStart w:id="3" w:name="_Toc463018900"/>
      <w:r>
        <w:rPr>
          <w:b/>
          <w:noProof/>
        </w:rPr>
        <w:t xml:space="preserve"> until 31 December 201</w:t>
      </w:r>
      <w:bookmarkEnd w:id="3"/>
      <w:r>
        <w:rPr>
          <w:b/>
          <w:noProof/>
        </w:rPr>
        <w:t>7 (in total cost, with selection and expenditure volumes)</w:t>
      </w:r>
    </w:p>
    <w:tbl>
      <w:tblPr>
        <w:tblW w:w="5216" w:type="pct"/>
        <w:tblInd w:w="108" w:type="dxa"/>
        <w:tblLayout w:type="fixed"/>
        <w:tblLook w:val="04A0" w:firstRow="1" w:lastRow="0" w:firstColumn="1" w:lastColumn="0" w:noHBand="0" w:noVBand="1"/>
      </w:tblPr>
      <w:tblGrid>
        <w:gridCol w:w="1420"/>
        <w:gridCol w:w="1134"/>
        <w:gridCol w:w="1415"/>
        <w:gridCol w:w="1563"/>
        <w:gridCol w:w="1557"/>
        <w:gridCol w:w="993"/>
        <w:gridCol w:w="1133"/>
      </w:tblGrid>
      <w:tr>
        <w:trPr>
          <w:trHeight w:val="520"/>
        </w:trPr>
        <w:tc>
          <w:tcPr>
            <w:tcW w:w="770" w:type="pct"/>
            <w:vMerge w:val="restart"/>
            <w:tcBorders>
              <w:top w:val="single" w:sz="4" w:space="0" w:color="auto"/>
              <w:left w:val="single" w:sz="4" w:space="0" w:color="auto"/>
              <w:right w:val="single" w:sz="4" w:space="0" w:color="auto"/>
            </w:tcBorders>
            <w:shd w:val="clear" w:color="000000" w:fill="8DB4E2"/>
            <w:vAlign w:val="center"/>
            <w:hideMark/>
          </w:tcPr>
          <w:p>
            <w:pPr>
              <w:spacing w:after="0"/>
              <w:jc w:val="left"/>
              <w:rPr>
                <w:b/>
                <w:noProof/>
                <w:sz w:val="20"/>
                <w:lang w:eastAsia="en-GB"/>
              </w:rPr>
            </w:pPr>
            <w:r>
              <w:rPr>
                <w:b/>
                <w:noProof/>
                <w:sz w:val="20"/>
                <w:lang w:eastAsia="en-GB"/>
              </w:rPr>
              <w:t> </w:t>
            </w:r>
          </w:p>
        </w:tc>
        <w:tc>
          <w:tcPr>
            <w:tcW w:w="615"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Allocated EU Amount</w:t>
            </w:r>
          </w:p>
        </w:tc>
        <w:tc>
          <w:tcPr>
            <w:tcW w:w="76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Total programmed amount</w:t>
            </w:r>
          </w:p>
        </w:tc>
        <w:tc>
          <w:tcPr>
            <w:tcW w:w="84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Total Eligible Cost of projects selected</w:t>
            </w:r>
          </w:p>
        </w:tc>
        <w:tc>
          <w:tcPr>
            <w:tcW w:w="845" w:type="pct"/>
            <w:vMerge w:val="restart"/>
            <w:tcBorders>
              <w:top w:val="single" w:sz="4" w:space="0" w:color="auto"/>
              <w:left w:val="single" w:sz="4" w:space="0" w:color="auto"/>
              <w:right w:val="single" w:sz="4" w:space="0" w:color="auto"/>
            </w:tcBorders>
            <w:shd w:val="clear" w:color="000000" w:fill="8DB4E2"/>
            <w:hideMark/>
          </w:tcPr>
          <w:p>
            <w:pPr>
              <w:spacing w:after="0"/>
              <w:jc w:val="center"/>
              <w:rPr>
                <w:b/>
                <w:bCs/>
                <w:noProof/>
                <w:sz w:val="20"/>
                <w:lang w:eastAsia="en-GB"/>
              </w:rPr>
            </w:pPr>
            <w:r>
              <w:rPr>
                <w:b/>
                <w:bCs/>
                <w:noProof/>
                <w:sz w:val="20"/>
                <w:lang w:eastAsia="en-GB"/>
              </w:rPr>
              <w:t xml:space="preserve">Total spending reported by selected projects </w:t>
            </w:r>
          </w:p>
          <w:p>
            <w:pPr>
              <w:spacing w:after="0"/>
              <w:jc w:val="center"/>
              <w:rPr>
                <w:b/>
                <w:bCs/>
                <w:noProof/>
                <w:sz w:val="20"/>
                <w:lang w:eastAsia="en-GB"/>
              </w:rPr>
            </w:pPr>
            <w:r>
              <w:rPr>
                <w:b/>
                <w:bCs/>
                <w:noProof/>
                <w:sz w:val="20"/>
                <w:lang w:eastAsia="en-GB"/>
              </w:rPr>
              <w:t>End- 2017</w:t>
            </w:r>
          </w:p>
          <w:p>
            <w:pPr>
              <w:spacing w:after="0"/>
              <w:jc w:val="center"/>
              <w:rPr>
                <w:b/>
                <w:bCs/>
                <w:noProof/>
                <w:sz w:val="20"/>
                <w:lang w:eastAsia="en-GB"/>
              </w:rPr>
            </w:pPr>
          </w:p>
          <w:p>
            <w:pPr>
              <w:spacing w:after="0"/>
              <w:jc w:val="center"/>
              <w:rPr>
                <w:b/>
                <w:bCs/>
                <w:noProof/>
                <w:sz w:val="20"/>
                <w:lang w:eastAsia="en-GB"/>
              </w:rPr>
            </w:pPr>
            <w:r>
              <w:rPr>
                <w:b/>
                <w:bCs/>
                <w:noProof/>
                <w:sz w:val="20"/>
                <w:lang w:eastAsia="en-GB"/>
              </w:rPr>
              <w:t>EUR M</w:t>
            </w:r>
          </w:p>
        </w:tc>
        <w:tc>
          <w:tcPr>
            <w:tcW w:w="539"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Rate of Project selection</w:t>
            </w:r>
          </w:p>
        </w:tc>
        <w:tc>
          <w:tcPr>
            <w:tcW w:w="615"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Rate of spending</w:t>
            </w:r>
          </w:p>
        </w:tc>
      </w:tr>
      <w:tr>
        <w:trPr>
          <w:trHeight w:val="260"/>
        </w:trPr>
        <w:tc>
          <w:tcPr>
            <w:tcW w:w="770" w:type="pct"/>
            <w:vMerge/>
            <w:tcBorders>
              <w:left w:val="single" w:sz="4" w:space="0" w:color="auto"/>
              <w:right w:val="single" w:sz="4" w:space="0" w:color="auto"/>
            </w:tcBorders>
            <w:vAlign w:val="center"/>
            <w:hideMark/>
          </w:tcPr>
          <w:p>
            <w:pPr>
              <w:spacing w:after="0"/>
              <w:jc w:val="left"/>
              <w:rPr>
                <w:b/>
                <w:noProof/>
                <w:sz w:val="20"/>
                <w:lang w:eastAsia="en-GB"/>
              </w:rPr>
            </w:pPr>
          </w:p>
        </w:tc>
        <w:tc>
          <w:tcPr>
            <w:tcW w:w="615" w:type="pct"/>
            <w:tcBorders>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2014-2020</w:t>
            </w:r>
          </w:p>
        </w:tc>
        <w:tc>
          <w:tcPr>
            <w:tcW w:w="768" w:type="pct"/>
            <w:tcBorders>
              <w:left w:val="single" w:sz="4" w:space="0" w:color="auto"/>
              <w:right w:val="single" w:sz="4" w:space="0" w:color="auto"/>
            </w:tcBorders>
            <w:shd w:val="clear" w:color="000000" w:fill="8DB4E2"/>
            <w:vAlign w:val="center"/>
          </w:tcPr>
          <w:p>
            <w:pPr>
              <w:spacing w:after="0"/>
              <w:jc w:val="center"/>
              <w:rPr>
                <w:b/>
                <w:bCs/>
                <w:noProof/>
                <w:sz w:val="20"/>
                <w:lang w:eastAsia="en-GB"/>
              </w:rPr>
            </w:pPr>
            <w:r>
              <w:rPr>
                <w:b/>
                <w:bCs/>
                <w:noProof/>
                <w:sz w:val="20"/>
                <w:lang w:eastAsia="en-GB"/>
              </w:rPr>
              <w:t>(EU &amp; National)</w:t>
            </w:r>
          </w:p>
        </w:tc>
        <w:tc>
          <w:tcPr>
            <w:tcW w:w="848" w:type="pct"/>
            <w:tcBorders>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 xml:space="preserve">at end-2017 </w:t>
            </w:r>
          </w:p>
        </w:tc>
        <w:tc>
          <w:tcPr>
            <w:tcW w:w="845" w:type="pct"/>
            <w:vMerge/>
            <w:tcBorders>
              <w:left w:val="single" w:sz="4" w:space="0" w:color="auto"/>
              <w:bottom w:val="single" w:sz="4" w:space="0" w:color="auto"/>
              <w:right w:val="single" w:sz="4" w:space="0" w:color="auto"/>
            </w:tcBorders>
            <w:shd w:val="clear" w:color="auto" w:fill="8DB3E2" w:themeFill="text2" w:themeFillTint="66"/>
            <w:hideMark/>
          </w:tcPr>
          <w:p>
            <w:pPr>
              <w:spacing w:after="0"/>
              <w:jc w:val="left"/>
              <w:rPr>
                <w:b/>
                <w:bCs/>
                <w:noProof/>
                <w:sz w:val="20"/>
                <w:lang w:eastAsia="en-GB"/>
              </w:rPr>
            </w:pPr>
          </w:p>
        </w:tc>
        <w:tc>
          <w:tcPr>
            <w:tcW w:w="539" w:type="pct"/>
            <w:tcBorders>
              <w:left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w:t>
            </w:r>
          </w:p>
        </w:tc>
        <w:tc>
          <w:tcPr>
            <w:tcW w:w="615" w:type="pct"/>
            <w:tcBorders>
              <w:left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w:t>
            </w:r>
          </w:p>
        </w:tc>
      </w:tr>
      <w:tr>
        <w:trPr>
          <w:trHeight w:val="70"/>
        </w:trPr>
        <w:tc>
          <w:tcPr>
            <w:tcW w:w="770" w:type="pct"/>
            <w:vMerge/>
            <w:tcBorders>
              <w:left w:val="single" w:sz="4" w:space="0" w:color="auto"/>
              <w:bottom w:val="single" w:sz="4" w:space="0" w:color="auto"/>
              <w:right w:val="single" w:sz="4" w:space="0" w:color="auto"/>
            </w:tcBorders>
            <w:vAlign w:val="center"/>
            <w:hideMark/>
          </w:tcPr>
          <w:p>
            <w:pPr>
              <w:spacing w:after="0"/>
              <w:jc w:val="left"/>
              <w:rPr>
                <w:b/>
                <w:noProof/>
                <w:sz w:val="20"/>
                <w:lang w:eastAsia="en-GB"/>
              </w:rPr>
            </w:pPr>
          </w:p>
        </w:tc>
        <w:tc>
          <w:tcPr>
            <w:tcW w:w="615" w:type="pct"/>
            <w:tcBorders>
              <w:left w:val="single" w:sz="4" w:space="0" w:color="auto"/>
              <w:bottom w:val="single" w:sz="4" w:space="0" w:color="auto"/>
              <w:right w:val="single" w:sz="4" w:space="0" w:color="auto"/>
            </w:tcBorders>
            <w:shd w:val="clear" w:color="000000" w:fill="8DB4E2"/>
            <w:vAlign w:val="center"/>
          </w:tcPr>
          <w:p>
            <w:pPr>
              <w:spacing w:after="0"/>
              <w:jc w:val="center"/>
              <w:rPr>
                <w:b/>
                <w:bCs/>
                <w:noProof/>
                <w:sz w:val="20"/>
                <w:lang w:eastAsia="en-GB"/>
              </w:rPr>
            </w:pPr>
            <w:r>
              <w:rPr>
                <w:b/>
                <w:bCs/>
                <w:noProof/>
                <w:sz w:val="20"/>
                <w:lang w:eastAsia="en-GB"/>
              </w:rPr>
              <w:t>EUR M</w:t>
            </w:r>
          </w:p>
        </w:tc>
        <w:tc>
          <w:tcPr>
            <w:tcW w:w="768" w:type="pct"/>
            <w:tcBorders>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EUR M</w:t>
            </w:r>
          </w:p>
        </w:tc>
        <w:tc>
          <w:tcPr>
            <w:tcW w:w="848" w:type="pct"/>
            <w:tcBorders>
              <w:left w:val="single" w:sz="4" w:space="0" w:color="auto"/>
              <w:right w:val="single" w:sz="4" w:space="0" w:color="auto"/>
            </w:tcBorders>
            <w:shd w:val="clear" w:color="000000" w:fill="8DB4E2"/>
            <w:vAlign w:val="center"/>
          </w:tcPr>
          <w:p>
            <w:pPr>
              <w:spacing w:after="0"/>
              <w:jc w:val="center"/>
              <w:rPr>
                <w:b/>
                <w:noProof/>
                <w:sz w:val="20"/>
                <w:lang w:eastAsia="en-GB"/>
              </w:rPr>
            </w:pPr>
            <w:r>
              <w:rPr>
                <w:b/>
                <w:noProof/>
                <w:sz w:val="20"/>
                <w:lang w:eastAsia="en-GB"/>
              </w:rPr>
              <w:t>EUR M</w:t>
            </w:r>
          </w:p>
        </w:tc>
        <w:tc>
          <w:tcPr>
            <w:tcW w:w="845" w:type="pct"/>
            <w:vMerge/>
            <w:tcBorders>
              <w:left w:val="single" w:sz="4" w:space="0" w:color="auto"/>
              <w:right w:val="single" w:sz="4" w:space="0" w:color="auto"/>
            </w:tcBorders>
            <w:vAlign w:val="center"/>
            <w:hideMark/>
          </w:tcPr>
          <w:p>
            <w:pPr>
              <w:spacing w:after="0"/>
              <w:jc w:val="left"/>
              <w:rPr>
                <w:b/>
                <w:bCs/>
                <w:noProof/>
                <w:sz w:val="20"/>
                <w:lang w:eastAsia="en-GB"/>
              </w:rPr>
            </w:pPr>
          </w:p>
        </w:tc>
        <w:tc>
          <w:tcPr>
            <w:tcW w:w="539" w:type="pct"/>
            <w:tcBorders>
              <w:left w:val="single" w:sz="4" w:space="0" w:color="auto"/>
              <w:right w:val="single" w:sz="4" w:space="0" w:color="auto"/>
            </w:tcBorders>
            <w:shd w:val="clear" w:color="auto" w:fill="8DB3E2" w:themeFill="text2" w:themeFillTint="66"/>
          </w:tcPr>
          <w:p>
            <w:pPr>
              <w:spacing w:after="0"/>
              <w:jc w:val="left"/>
              <w:rPr>
                <w:b/>
                <w:bCs/>
                <w:noProof/>
                <w:sz w:val="20"/>
                <w:lang w:eastAsia="en-GB"/>
              </w:rPr>
            </w:pPr>
          </w:p>
        </w:tc>
        <w:tc>
          <w:tcPr>
            <w:tcW w:w="615" w:type="pct"/>
            <w:tcBorders>
              <w:left w:val="single" w:sz="4" w:space="0" w:color="auto"/>
              <w:right w:val="single" w:sz="4" w:space="0" w:color="auto"/>
            </w:tcBorders>
            <w:shd w:val="clear" w:color="auto" w:fill="8DB3E2" w:themeFill="text2" w:themeFillTint="66"/>
          </w:tcPr>
          <w:p>
            <w:pPr>
              <w:spacing w:after="0"/>
              <w:jc w:val="left"/>
              <w:rPr>
                <w:b/>
                <w:bCs/>
                <w:noProof/>
                <w:sz w:val="20"/>
                <w:lang w:eastAsia="en-GB"/>
              </w:rPr>
            </w:pP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Austria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4,922.9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10,649.9</w:t>
            </w:r>
          </w:p>
        </w:tc>
        <w:tc>
          <w:tcPr>
            <w:tcW w:w="848"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5,362.3</w:t>
            </w:r>
          </w:p>
        </w:tc>
        <w:tc>
          <w:tcPr>
            <w:tcW w:w="845"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3,321.2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50.4%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31.2%</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Belgium</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2,741.7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6,088.8</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4,282.9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795.9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70.3%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13.1%</w:t>
            </w:r>
          </w:p>
        </w:tc>
      </w:tr>
      <w:tr>
        <w:trPr>
          <w:trHeight w:val="27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Bulgaria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9,876.1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11,734.0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6,636.0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1,696.4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56.6%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14.5%</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Croatia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10,727.4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12,653.7</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5,121.8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1,090.6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8.6%</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Cyprus</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917.3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1,169.6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507.5</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205.0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43.4%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17.5%</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Czech Republic</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23,865.0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32,379.5</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14,951.7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3,670.5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46.2%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11.3%</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Denmark</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1,546.8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2,264.8</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1,283.7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421.0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56.7%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18.6%</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Estonia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4,423.5</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5,966.2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3,417.8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1,102.5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57.3%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18.5%</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Finland</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3,765.0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8,435.2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5,765.5</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3,450.2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68.4%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40.9%</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France</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27,273.8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45,704.8</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22,078.7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8,655.5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48.3%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18.9%</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Germany</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27,935.0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44,754.4</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24,941.7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9,267.5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55.7%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20.7%</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Greece</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21,382.0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26,221.0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12,982.9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4,566.2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49.5%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17.4%</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Hungary</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25,013.9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29,649.6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28,404.1</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3,991.2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95.8%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13.5%</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Ireland</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3,361.6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6,139.7</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3,843.6</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1,824.2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62.6%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29.7%</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Italy</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44,656.1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75,065.7</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32,679.2</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6,598.1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43.5%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8.8%</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Latvia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5,633.7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6,908.0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4,052.8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1,210.7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58.7%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17.5%</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Lithuania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8,385.9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9,947.2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4,901.9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1,976.0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49.3%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19.9%</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Luxembourg</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140.1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456.4</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240.3</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135.0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52.6%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29.6%</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Malta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827.9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1,023.9</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516.6</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83.8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8.2%</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Netherlands</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1,947.4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3,745.1</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2,413.0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785.3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64.4%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21.0%</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Poland</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86,111.6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104,921.4</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57,837.9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13,739.5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55.1%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13.1%</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Portugal</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25,856.1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32,654.2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21,394.0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7,478.7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65.5%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22.9%</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Romania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30,882.6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37,564.3</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14,638.8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4,370.9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39.0%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11.6%</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Slovakia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15,287.3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19,559.2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10,001.2</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2,266.9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51.1%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11.6%</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Slovenia</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3,930.6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4,958.0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2,464.0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690.4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49.7%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13.9%</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Spain</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39,835.6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56,218.3</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17,641.8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5,509.9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31.4%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9.8%</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Sweden</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3,626.7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7,938.6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4,802.9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2,020.1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25.4%</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Interreg</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9,335.4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12,441.6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7,133.6</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607.8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57.3%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4.9%</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United Kingdom</w:t>
            </w:r>
          </w:p>
        </w:tc>
        <w:tc>
          <w:tcPr>
            <w:tcW w:w="615" w:type="pct"/>
            <w:tcBorders>
              <w:top w:val="single" w:sz="4" w:space="0" w:color="auto"/>
              <w:bottom w:val="single" w:sz="4" w:space="0" w:color="auto"/>
            </w:tcBorders>
            <w:noWrap/>
            <w:vAlign w:val="center"/>
          </w:tcPr>
          <w:p>
            <w:pPr>
              <w:spacing w:after="0"/>
              <w:jc w:val="right"/>
              <w:rPr>
                <w:noProof/>
                <w:sz w:val="20"/>
                <w:lang w:eastAsia="en-GB"/>
              </w:rPr>
            </w:pPr>
            <w:r>
              <w:rPr>
                <w:noProof/>
                <w:sz w:val="20"/>
              </w:rPr>
              <w:t>16,470.8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26,818.5</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17,890.0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4,154.3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66.7%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15.5%</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pPr>
              <w:spacing w:before="120" w:after="120"/>
              <w:jc w:val="left"/>
              <w:rPr>
                <w:b/>
                <w:bCs/>
                <w:noProof/>
                <w:sz w:val="20"/>
                <w:lang w:eastAsia="en-GB"/>
              </w:rPr>
            </w:pPr>
            <w:r>
              <w:rPr>
                <w:b/>
                <w:bCs/>
                <w:noProof/>
                <w:sz w:val="20"/>
                <w:lang w:eastAsia="en-GB"/>
              </w:rPr>
              <w:t>Grand Total</w:t>
            </w:r>
          </w:p>
        </w:tc>
        <w:tc>
          <w:tcPr>
            <w:tcW w:w="615" w:type="pct"/>
            <w:tcBorders>
              <w:top w:val="single" w:sz="4" w:space="0" w:color="auto"/>
              <w:bottom w:val="single" w:sz="4" w:space="0" w:color="auto"/>
            </w:tcBorders>
            <w:shd w:val="clear" w:color="auto" w:fill="8DB3E2" w:themeFill="text2" w:themeFillTint="66"/>
            <w:noWrap/>
            <w:vAlign w:val="center"/>
          </w:tcPr>
          <w:p>
            <w:pPr>
              <w:spacing w:before="120" w:after="120"/>
              <w:jc w:val="right"/>
              <w:rPr>
                <w:b/>
                <w:bCs/>
                <w:noProof/>
                <w:sz w:val="20"/>
                <w:lang w:eastAsia="en-GB"/>
              </w:rPr>
            </w:pPr>
            <w:r>
              <w:rPr>
                <w:b/>
                <w:bCs/>
                <w:noProof/>
                <w:sz w:val="20"/>
                <w:lang w:eastAsia="en-GB"/>
              </w:rPr>
              <w:t>460,680.0</w:t>
            </w:r>
          </w:p>
        </w:tc>
        <w:tc>
          <w:tcPr>
            <w:tcW w:w="768" w:type="pct"/>
            <w:tcBorders>
              <w:top w:val="single" w:sz="4" w:space="0" w:color="auto"/>
              <w:left w:val="single" w:sz="4" w:space="0" w:color="auto"/>
              <w:bottom w:val="single" w:sz="4" w:space="0" w:color="auto"/>
              <w:right w:val="single" w:sz="4" w:space="0" w:color="auto"/>
            </w:tcBorders>
            <w:shd w:val="clear" w:color="000000" w:fill="8DB4E2"/>
            <w:noWrap/>
            <w:vAlign w:val="center"/>
          </w:tcPr>
          <w:p>
            <w:pPr>
              <w:spacing w:before="120" w:after="120"/>
              <w:jc w:val="right"/>
              <w:rPr>
                <w:b/>
                <w:bCs/>
                <w:noProof/>
                <w:sz w:val="20"/>
                <w:lang w:eastAsia="en-GB"/>
              </w:rPr>
            </w:pPr>
            <w:r>
              <w:rPr>
                <w:b/>
                <w:bCs/>
                <w:noProof/>
                <w:sz w:val="20"/>
                <w:lang w:eastAsia="en-GB"/>
              </w:rPr>
              <w:t>644,031.6</w:t>
            </w:r>
          </w:p>
        </w:tc>
        <w:tc>
          <w:tcPr>
            <w:tcW w:w="848" w:type="pct"/>
            <w:tcBorders>
              <w:top w:val="single" w:sz="4" w:space="0" w:color="auto"/>
              <w:left w:val="single" w:sz="4" w:space="0" w:color="auto"/>
              <w:bottom w:val="single" w:sz="4" w:space="0" w:color="auto"/>
              <w:right w:val="single" w:sz="4" w:space="0" w:color="auto"/>
            </w:tcBorders>
            <w:shd w:val="clear" w:color="000000" w:fill="8DB4E2"/>
            <w:noWrap/>
            <w:vAlign w:val="center"/>
          </w:tcPr>
          <w:p>
            <w:pPr>
              <w:spacing w:before="120" w:after="120"/>
              <w:jc w:val="right"/>
              <w:rPr>
                <w:b/>
                <w:bCs/>
                <w:noProof/>
                <w:sz w:val="20"/>
                <w:lang w:eastAsia="en-GB"/>
              </w:rPr>
            </w:pPr>
            <w:r>
              <w:rPr>
                <w:b/>
                <w:noProof/>
                <w:color w:val="000000"/>
                <w:sz w:val="20"/>
              </w:rPr>
              <w:t>338,188.2</w:t>
            </w:r>
          </w:p>
        </w:tc>
        <w:tc>
          <w:tcPr>
            <w:tcW w:w="845" w:type="pct"/>
            <w:tcBorders>
              <w:top w:val="single" w:sz="4" w:space="0" w:color="auto"/>
              <w:left w:val="single" w:sz="4" w:space="0" w:color="auto"/>
              <w:bottom w:val="single" w:sz="4" w:space="0" w:color="auto"/>
              <w:right w:val="single" w:sz="4" w:space="0" w:color="auto"/>
            </w:tcBorders>
            <w:shd w:val="clear" w:color="000000" w:fill="8DB4E2"/>
            <w:noWrap/>
            <w:vAlign w:val="center"/>
          </w:tcPr>
          <w:p>
            <w:pPr>
              <w:spacing w:before="120" w:after="120"/>
              <w:jc w:val="right"/>
              <w:rPr>
                <w:b/>
                <w:bCs/>
                <w:noProof/>
                <w:sz w:val="20"/>
                <w:lang w:eastAsia="en-GB"/>
              </w:rPr>
            </w:pPr>
            <w:r>
              <w:rPr>
                <w:b/>
                <w:noProof/>
                <w:color w:val="000000"/>
                <w:sz w:val="20"/>
              </w:rPr>
              <w:t>95,685.3</w:t>
            </w:r>
          </w:p>
        </w:tc>
        <w:tc>
          <w:tcPr>
            <w:tcW w:w="539" w:type="pct"/>
            <w:tcBorders>
              <w:top w:val="single" w:sz="4" w:space="0" w:color="auto"/>
              <w:left w:val="single" w:sz="4" w:space="0" w:color="auto"/>
              <w:bottom w:val="single" w:sz="4" w:space="0" w:color="auto"/>
              <w:right w:val="single" w:sz="4" w:space="0" w:color="auto"/>
            </w:tcBorders>
            <w:shd w:val="clear" w:color="000000" w:fill="8DB4E2"/>
            <w:vAlign w:val="center"/>
          </w:tcPr>
          <w:p>
            <w:pPr>
              <w:spacing w:before="120" w:after="120"/>
              <w:jc w:val="right"/>
              <w:rPr>
                <w:b/>
                <w:bCs/>
                <w:noProof/>
                <w:sz w:val="20"/>
                <w:lang w:eastAsia="en-GB"/>
              </w:rPr>
            </w:pPr>
            <w:r>
              <w:rPr>
                <w:b/>
                <w:noProof/>
                <w:color w:val="000000"/>
                <w:sz w:val="20"/>
              </w:rPr>
              <w:t>52.5%</w:t>
            </w:r>
          </w:p>
        </w:tc>
        <w:tc>
          <w:tcPr>
            <w:tcW w:w="615" w:type="pct"/>
            <w:tcBorders>
              <w:top w:val="single" w:sz="4" w:space="0" w:color="auto"/>
              <w:left w:val="single" w:sz="4" w:space="0" w:color="auto"/>
              <w:bottom w:val="single" w:sz="4" w:space="0" w:color="auto"/>
              <w:right w:val="single" w:sz="4" w:space="0" w:color="auto"/>
            </w:tcBorders>
            <w:shd w:val="clear" w:color="000000" w:fill="8DB4E2"/>
            <w:vAlign w:val="center"/>
          </w:tcPr>
          <w:p>
            <w:pPr>
              <w:spacing w:before="120" w:after="120"/>
              <w:jc w:val="right"/>
              <w:rPr>
                <w:b/>
                <w:bCs/>
                <w:noProof/>
                <w:sz w:val="20"/>
                <w:lang w:eastAsia="en-GB"/>
              </w:rPr>
            </w:pPr>
            <w:r>
              <w:rPr>
                <w:b/>
                <w:noProof/>
                <w:color w:val="000000"/>
                <w:sz w:val="20"/>
              </w:rPr>
              <w:t>14.9%</w:t>
            </w:r>
          </w:p>
        </w:tc>
      </w:tr>
    </w:tbl>
    <w:p>
      <w:pPr>
        <w:rPr>
          <w:i/>
          <w:noProof/>
          <w:sz w:val="20"/>
        </w:rPr>
      </w:pPr>
      <w:bookmarkStart w:id="4" w:name="_Toc463018901"/>
      <w:r>
        <w:rPr>
          <w:i/>
          <w:noProof/>
          <w:sz w:val="20"/>
        </w:rPr>
        <w:t xml:space="preserve">Source: European Commission based on data reported by programmes available on ESIF Open Data </w:t>
      </w:r>
      <w:r>
        <w:rPr>
          <w:rStyle w:val="Hyperlink"/>
          <w:i/>
          <w:noProof/>
          <w:sz w:val="20"/>
        </w:rPr>
        <w:t>https://cohesiondata.ec.europa.eu/d/99js-gm52</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szCs w:val="24"/>
        </w:rPr>
        <w:t>ANNEX 2.2</w:t>
      </w:r>
    </w:p>
    <w:p>
      <w:pPr>
        <w:pStyle w:val="ListParagraph"/>
        <w:spacing w:after="120"/>
        <w:ind w:left="0"/>
        <w:contextualSpacing w:val="0"/>
        <w:jc w:val="center"/>
        <w:outlineLvl w:val="0"/>
        <w:rPr>
          <w:b/>
          <w:noProof/>
        </w:rPr>
      </w:pPr>
      <w:r>
        <w:rPr>
          <w:b/>
          <w:noProof/>
        </w:rPr>
        <w:t>ESI Funds cumulative financial implementation by Member State reported by programmes until autumn 2018 (in total cost, with selection and expenditure volumes) (Data as at 8/11/2018)</w:t>
      </w:r>
    </w:p>
    <w:tbl>
      <w:tblPr>
        <w:tblW w:w="5216" w:type="pct"/>
        <w:tblInd w:w="108" w:type="dxa"/>
        <w:tblLayout w:type="fixed"/>
        <w:tblLook w:val="04A0" w:firstRow="1" w:lastRow="0" w:firstColumn="1" w:lastColumn="0" w:noHBand="0" w:noVBand="1"/>
      </w:tblPr>
      <w:tblGrid>
        <w:gridCol w:w="1418"/>
        <w:gridCol w:w="1276"/>
        <w:gridCol w:w="1277"/>
        <w:gridCol w:w="1559"/>
        <w:gridCol w:w="1559"/>
        <w:gridCol w:w="993"/>
        <w:gridCol w:w="1133"/>
      </w:tblGrid>
      <w:tr>
        <w:trPr>
          <w:trHeight w:val="520"/>
        </w:trPr>
        <w:tc>
          <w:tcPr>
            <w:tcW w:w="769" w:type="pct"/>
            <w:vMerge w:val="restart"/>
            <w:tcBorders>
              <w:top w:val="single" w:sz="4" w:space="0" w:color="auto"/>
              <w:left w:val="single" w:sz="4" w:space="0" w:color="auto"/>
              <w:right w:val="single" w:sz="4" w:space="0" w:color="auto"/>
            </w:tcBorders>
            <w:shd w:val="clear" w:color="000000" w:fill="8DB4E2"/>
            <w:vAlign w:val="center"/>
            <w:hideMark/>
          </w:tcPr>
          <w:bookmarkEnd w:id="4"/>
          <w:p>
            <w:pPr>
              <w:spacing w:after="0"/>
              <w:jc w:val="left"/>
              <w:rPr>
                <w:b/>
                <w:noProof/>
                <w:sz w:val="20"/>
                <w:lang w:eastAsia="en-GB"/>
              </w:rPr>
            </w:pPr>
            <w:r>
              <w:rPr>
                <w:b/>
                <w:noProof/>
                <w:sz w:val="20"/>
                <w:lang w:eastAsia="en-GB"/>
              </w:rPr>
              <w:t> </w:t>
            </w:r>
          </w:p>
        </w:tc>
        <w:tc>
          <w:tcPr>
            <w:tcW w:w="692"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Allocated EU Amount</w:t>
            </w:r>
          </w:p>
        </w:tc>
        <w:tc>
          <w:tcPr>
            <w:tcW w:w="693"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Total programmed amount</w:t>
            </w:r>
          </w:p>
        </w:tc>
        <w:tc>
          <w:tcPr>
            <w:tcW w:w="846"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Total Eligible Cost of projects selected</w:t>
            </w:r>
          </w:p>
        </w:tc>
        <w:tc>
          <w:tcPr>
            <w:tcW w:w="846" w:type="pct"/>
            <w:vMerge w:val="restart"/>
            <w:tcBorders>
              <w:top w:val="single" w:sz="4" w:space="0" w:color="auto"/>
              <w:left w:val="single" w:sz="4" w:space="0" w:color="auto"/>
              <w:right w:val="single" w:sz="4" w:space="0" w:color="auto"/>
            </w:tcBorders>
            <w:shd w:val="clear" w:color="000000" w:fill="8DB4E2"/>
            <w:hideMark/>
          </w:tcPr>
          <w:p>
            <w:pPr>
              <w:spacing w:after="0"/>
              <w:jc w:val="center"/>
              <w:rPr>
                <w:b/>
                <w:bCs/>
                <w:noProof/>
                <w:sz w:val="20"/>
                <w:lang w:eastAsia="en-GB"/>
              </w:rPr>
            </w:pPr>
            <w:r>
              <w:rPr>
                <w:b/>
                <w:bCs/>
                <w:noProof/>
                <w:sz w:val="20"/>
                <w:lang w:eastAsia="en-GB"/>
              </w:rPr>
              <w:t xml:space="preserve">Total spending reported by selected projects </w:t>
            </w:r>
          </w:p>
          <w:p>
            <w:pPr>
              <w:spacing w:after="0"/>
              <w:jc w:val="center"/>
              <w:rPr>
                <w:b/>
                <w:bCs/>
                <w:noProof/>
                <w:sz w:val="20"/>
                <w:lang w:eastAsia="en-GB"/>
              </w:rPr>
            </w:pPr>
            <w:r>
              <w:rPr>
                <w:b/>
                <w:bCs/>
                <w:noProof/>
                <w:sz w:val="20"/>
                <w:lang w:eastAsia="en-GB"/>
              </w:rPr>
              <w:t>Autumn 2018</w:t>
            </w:r>
          </w:p>
          <w:p>
            <w:pPr>
              <w:spacing w:after="0"/>
              <w:jc w:val="center"/>
              <w:rPr>
                <w:b/>
                <w:bCs/>
                <w:noProof/>
                <w:sz w:val="20"/>
                <w:lang w:eastAsia="en-GB"/>
              </w:rPr>
            </w:pPr>
          </w:p>
          <w:p>
            <w:pPr>
              <w:spacing w:after="0"/>
              <w:jc w:val="center"/>
              <w:rPr>
                <w:b/>
                <w:bCs/>
                <w:noProof/>
                <w:sz w:val="20"/>
                <w:lang w:eastAsia="en-GB"/>
              </w:rPr>
            </w:pPr>
            <w:r>
              <w:rPr>
                <w:b/>
                <w:bCs/>
                <w:noProof/>
                <w:sz w:val="20"/>
                <w:lang w:eastAsia="en-GB"/>
              </w:rPr>
              <w:t>EUR M</w:t>
            </w:r>
          </w:p>
        </w:tc>
        <w:tc>
          <w:tcPr>
            <w:tcW w:w="539"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Rate of Project selection</w:t>
            </w:r>
          </w:p>
        </w:tc>
        <w:tc>
          <w:tcPr>
            <w:tcW w:w="615" w:type="pct"/>
            <w:tcBorders>
              <w:top w:val="single" w:sz="4" w:space="0" w:color="auto"/>
              <w:left w:val="single" w:sz="4" w:space="0" w:color="auto"/>
              <w:right w:val="single" w:sz="4" w:space="0" w:color="auto"/>
            </w:tcBorders>
            <w:shd w:val="clear" w:color="000000" w:fill="8DB4E2"/>
          </w:tcPr>
          <w:p>
            <w:pPr>
              <w:spacing w:after="0"/>
              <w:jc w:val="center"/>
              <w:rPr>
                <w:b/>
                <w:bCs/>
                <w:noProof/>
                <w:sz w:val="20"/>
                <w:lang w:eastAsia="en-GB"/>
              </w:rPr>
            </w:pPr>
            <w:r>
              <w:rPr>
                <w:b/>
                <w:bCs/>
                <w:noProof/>
                <w:sz w:val="20"/>
                <w:lang w:eastAsia="en-GB"/>
              </w:rPr>
              <w:t>Rate of spending</w:t>
            </w:r>
          </w:p>
        </w:tc>
      </w:tr>
      <w:tr>
        <w:trPr>
          <w:trHeight w:val="260"/>
        </w:trPr>
        <w:tc>
          <w:tcPr>
            <w:tcW w:w="769" w:type="pct"/>
            <w:vMerge/>
            <w:tcBorders>
              <w:left w:val="single" w:sz="4" w:space="0" w:color="auto"/>
              <w:right w:val="single" w:sz="4" w:space="0" w:color="auto"/>
            </w:tcBorders>
            <w:vAlign w:val="center"/>
            <w:hideMark/>
          </w:tcPr>
          <w:p>
            <w:pPr>
              <w:spacing w:after="0"/>
              <w:jc w:val="left"/>
              <w:rPr>
                <w:b/>
                <w:noProof/>
                <w:sz w:val="20"/>
                <w:lang w:eastAsia="en-GB"/>
              </w:rPr>
            </w:pPr>
          </w:p>
        </w:tc>
        <w:tc>
          <w:tcPr>
            <w:tcW w:w="692" w:type="pct"/>
            <w:tcBorders>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2014-2020</w:t>
            </w:r>
          </w:p>
        </w:tc>
        <w:tc>
          <w:tcPr>
            <w:tcW w:w="693" w:type="pct"/>
            <w:tcBorders>
              <w:left w:val="single" w:sz="4" w:space="0" w:color="auto"/>
              <w:right w:val="single" w:sz="4" w:space="0" w:color="auto"/>
            </w:tcBorders>
            <w:shd w:val="clear" w:color="000000" w:fill="8DB4E2"/>
            <w:vAlign w:val="center"/>
          </w:tcPr>
          <w:p>
            <w:pPr>
              <w:spacing w:after="0"/>
              <w:jc w:val="center"/>
              <w:rPr>
                <w:b/>
                <w:bCs/>
                <w:noProof/>
                <w:sz w:val="20"/>
                <w:lang w:eastAsia="en-GB"/>
              </w:rPr>
            </w:pPr>
            <w:r>
              <w:rPr>
                <w:b/>
                <w:bCs/>
                <w:noProof/>
                <w:sz w:val="20"/>
                <w:lang w:eastAsia="en-GB"/>
              </w:rPr>
              <w:t>(EU &amp; National)</w:t>
            </w:r>
          </w:p>
        </w:tc>
        <w:tc>
          <w:tcPr>
            <w:tcW w:w="846" w:type="pct"/>
            <w:tcBorders>
              <w:left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 xml:space="preserve">Autumn 2018 </w:t>
            </w:r>
          </w:p>
        </w:tc>
        <w:tc>
          <w:tcPr>
            <w:tcW w:w="846" w:type="pct"/>
            <w:vMerge/>
            <w:tcBorders>
              <w:left w:val="single" w:sz="4" w:space="0" w:color="auto"/>
              <w:bottom w:val="single" w:sz="4" w:space="0" w:color="auto"/>
              <w:right w:val="single" w:sz="4" w:space="0" w:color="auto"/>
            </w:tcBorders>
            <w:shd w:val="clear" w:color="auto" w:fill="8DB3E2" w:themeFill="text2" w:themeFillTint="66"/>
            <w:hideMark/>
          </w:tcPr>
          <w:p>
            <w:pPr>
              <w:spacing w:after="0"/>
              <w:jc w:val="left"/>
              <w:rPr>
                <w:b/>
                <w:bCs/>
                <w:noProof/>
                <w:sz w:val="20"/>
                <w:lang w:eastAsia="en-GB"/>
              </w:rPr>
            </w:pPr>
          </w:p>
        </w:tc>
        <w:tc>
          <w:tcPr>
            <w:tcW w:w="539" w:type="pct"/>
            <w:tcBorders>
              <w:left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w:t>
            </w:r>
          </w:p>
        </w:tc>
        <w:tc>
          <w:tcPr>
            <w:tcW w:w="615" w:type="pct"/>
            <w:tcBorders>
              <w:left w:val="single" w:sz="4" w:space="0" w:color="auto"/>
              <w:right w:val="single" w:sz="4" w:space="0" w:color="auto"/>
            </w:tcBorders>
            <w:shd w:val="clear" w:color="auto" w:fill="8DB3E2" w:themeFill="text2" w:themeFillTint="66"/>
          </w:tcPr>
          <w:p>
            <w:pPr>
              <w:spacing w:after="0"/>
              <w:jc w:val="center"/>
              <w:rPr>
                <w:b/>
                <w:bCs/>
                <w:noProof/>
                <w:sz w:val="20"/>
                <w:lang w:eastAsia="en-GB"/>
              </w:rPr>
            </w:pPr>
            <w:r>
              <w:rPr>
                <w:b/>
                <w:bCs/>
                <w:noProof/>
                <w:sz w:val="20"/>
                <w:lang w:eastAsia="en-GB"/>
              </w:rPr>
              <w:t>%</w:t>
            </w:r>
          </w:p>
        </w:tc>
      </w:tr>
      <w:tr>
        <w:trPr>
          <w:trHeight w:val="70"/>
        </w:trPr>
        <w:tc>
          <w:tcPr>
            <w:tcW w:w="769" w:type="pct"/>
            <w:vMerge/>
            <w:tcBorders>
              <w:left w:val="single" w:sz="4" w:space="0" w:color="auto"/>
              <w:bottom w:val="single" w:sz="4" w:space="0" w:color="auto"/>
              <w:right w:val="single" w:sz="4" w:space="0" w:color="auto"/>
            </w:tcBorders>
            <w:vAlign w:val="center"/>
            <w:hideMark/>
          </w:tcPr>
          <w:p>
            <w:pPr>
              <w:spacing w:after="0"/>
              <w:jc w:val="left"/>
              <w:rPr>
                <w:b/>
                <w:noProof/>
                <w:sz w:val="20"/>
                <w:lang w:eastAsia="en-GB"/>
              </w:rPr>
            </w:pPr>
          </w:p>
        </w:tc>
        <w:tc>
          <w:tcPr>
            <w:tcW w:w="692" w:type="pct"/>
            <w:tcBorders>
              <w:left w:val="single" w:sz="4" w:space="0" w:color="auto"/>
              <w:bottom w:val="single" w:sz="4" w:space="0" w:color="auto"/>
              <w:right w:val="single" w:sz="4" w:space="0" w:color="auto"/>
            </w:tcBorders>
            <w:shd w:val="clear" w:color="000000" w:fill="8DB4E2"/>
            <w:vAlign w:val="center"/>
          </w:tcPr>
          <w:p>
            <w:pPr>
              <w:spacing w:after="0"/>
              <w:jc w:val="center"/>
              <w:rPr>
                <w:b/>
                <w:bCs/>
                <w:noProof/>
                <w:sz w:val="20"/>
                <w:lang w:eastAsia="en-GB"/>
              </w:rPr>
            </w:pPr>
            <w:r>
              <w:rPr>
                <w:b/>
                <w:bCs/>
                <w:noProof/>
                <w:sz w:val="20"/>
                <w:lang w:eastAsia="en-GB"/>
              </w:rPr>
              <w:t>EUR M</w:t>
            </w:r>
          </w:p>
        </w:tc>
        <w:tc>
          <w:tcPr>
            <w:tcW w:w="693" w:type="pct"/>
            <w:tcBorders>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lang w:eastAsia="en-GB"/>
              </w:rPr>
            </w:pPr>
            <w:r>
              <w:rPr>
                <w:b/>
                <w:bCs/>
                <w:noProof/>
                <w:sz w:val="20"/>
                <w:lang w:eastAsia="en-GB"/>
              </w:rPr>
              <w:t>EUR M</w:t>
            </w:r>
          </w:p>
        </w:tc>
        <w:tc>
          <w:tcPr>
            <w:tcW w:w="846" w:type="pct"/>
            <w:tcBorders>
              <w:left w:val="single" w:sz="4" w:space="0" w:color="auto"/>
              <w:bottom w:val="single" w:sz="4" w:space="0" w:color="auto"/>
              <w:right w:val="single" w:sz="4" w:space="0" w:color="auto"/>
            </w:tcBorders>
            <w:shd w:val="clear" w:color="000000" w:fill="8DB4E2"/>
            <w:vAlign w:val="center"/>
          </w:tcPr>
          <w:p>
            <w:pPr>
              <w:spacing w:after="0"/>
              <w:jc w:val="center"/>
              <w:rPr>
                <w:b/>
                <w:noProof/>
                <w:sz w:val="20"/>
                <w:lang w:eastAsia="en-GB"/>
              </w:rPr>
            </w:pPr>
            <w:r>
              <w:rPr>
                <w:b/>
                <w:noProof/>
                <w:sz w:val="20"/>
                <w:lang w:eastAsia="en-GB"/>
              </w:rPr>
              <w:t>EUR M</w:t>
            </w:r>
          </w:p>
        </w:tc>
        <w:tc>
          <w:tcPr>
            <w:tcW w:w="846" w:type="pct"/>
            <w:vMerge/>
            <w:tcBorders>
              <w:left w:val="single" w:sz="4" w:space="0" w:color="auto"/>
              <w:bottom w:val="single" w:sz="4" w:space="0" w:color="auto"/>
              <w:right w:val="single" w:sz="4" w:space="0" w:color="auto"/>
            </w:tcBorders>
            <w:vAlign w:val="center"/>
            <w:hideMark/>
          </w:tcPr>
          <w:p>
            <w:pPr>
              <w:spacing w:after="0"/>
              <w:jc w:val="left"/>
              <w:rPr>
                <w:b/>
                <w:bCs/>
                <w:noProof/>
                <w:sz w:val="20"/>
                <w:lang w:eastAsia="en-GB"/>
              </w:rPr>
            </w:pPr>
          </w:p>
        </w:tc>
        <w:tc>
          <w:tcPr>
            <w:tcW w:w="539" w:type="pct"/>
            <w:tcBorders>
              <w:left w:val="single" w:sz="4" w:space="0" w:color="auto"/>
              <w:bottom w:val="single" w:sz="4" w:space="0" w:color="auto"/>
              <w:right w:val="single" w:sz="4" w:space="0" w:color="auto"/>
            </w:tcBorders>
            <w:shd w:val="clear" w:color="auto" w:fill="8DB3E2" w:themeFill="text2" w:themeFillTint="66"/>
          </w:tcPr>
          <w:p>
            <w:pPr>
              <w:spacing w:after="0"/>
              <w:jc w:val="left"/>
              <w:rPr>
                <w:b/>
                <w:bCs/>
                <w:noProof/>
                <w:sz w:val="20"/>
                <w:lang w:eastAsia="en-GB"/>
              </w:rPr>
            </w:pPr>
          </w:p>
        </w:tc>
        <w:tc>
          <w:tcPr>
            <w:tcW w:w="615" w:type="pct"/>
            <w:tcBorders>
              <w:left w:val="single" w:sz="4" w:space="0" w:color="auto"/>
              <w:bottom w:val="single" w:sz="4" w:space="0" w:color="auto"/>
              <w:right w:val="single" w:sz="4" w:space="0" w:color="auto"/>
            </w:tcBorders>
            <w:shd w:val="clear" w:color="auto" w:fill="8DB3E2" w:themeFill="text2" w:themeFillTint="66"/>
          </w:tcPr>
          <w:p>
            <w:pPr>
              <w:spacing w:after="0"/>
              <w:jc w:val="left"/>
              <w:rPr>
                <w:b/>
                <w:bCs/>
                <w:noProof/>
                <w:sz w:val="20"/>
                <w:lang w:eastAsia="en-GB"/>
              </w:rPr>
            </w:pP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Austria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4,922.9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10,649.8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5,877.1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3,902.1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55.2%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36.6%</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Belgium</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2,741.7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6,088.8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4,600.0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1,264.7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75.5%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20.8%</w:t>
            </w:r>
          </w:p>
        </w:tc>
      </w:tr>
      <w:tr>
        <w:trPr>
          <w:trHeight w:val="27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Bulgaria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9,876.1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11,726.4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7,787.0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2,585.5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66.4%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22.0%</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Croatia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917.3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1,169.7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683.2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265.2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58.4%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22.7%</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Cyprus</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23,786.3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33,309.7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19,187.0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6,327.1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57.6%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19.0%</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Czech Republic</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27,935.0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44,742.6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28,170.5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12,675.1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63.0%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28.3%</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Denmark</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1,546.8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2,264.8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1,380.7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539.6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61.0%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23.8%</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Estonia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4,423.5</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5,965.7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3,919.6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1,631.7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65.7%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27.4%</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Finland</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39,589.2</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55,795.8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24,438.0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7,295.3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43.8%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13.1%</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France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3,765.0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8,435.2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6,070.1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3,907.6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72.0%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46.3%</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Germany</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27,277.4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46,088.0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25,764.2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12,114.3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55.9%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26.3%</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Greece</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21,382.0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26,662.1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16,087.8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5,216.1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60.3%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19.6%</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Hungary</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10,727.4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12,649.1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7,277.4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1,753.8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57.5%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13.9%</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Ireland</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25,013.9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29,649.6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29,948.3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6,274.2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101.0%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21.2%</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Italy</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3,361.6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6,139.7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4,264.0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2,174.2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69.4%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35.4%</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Latvia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44,656.1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76,108.9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42,318.4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10,848.5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55.6%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14.3%</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Lithuania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8,385.9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9,947.2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6,251.2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2,706.0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62.8%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27.2%</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Luxembourg</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140.1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456.4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249.3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181.4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54.6%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39.7%</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Malta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5,633.7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6,907.2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4,872.6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1,677.4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70.5%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24.3%</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Netherlands</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827.9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1,023.9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879.0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145.1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85.9%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14.2%</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Poland</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1,947.4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3,802.6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2,754.5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1,088.1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72.4%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28.6%</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Portugal</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86,111.6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104,913.3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68,297.0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21,706.6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65.1%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20.7%</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Romania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25,856.1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32,752.8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25,602.6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9,843.2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78.2%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30.1%</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Slovakia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30,882.6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37,527.5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18,919.2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6,299.6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50.4%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16.8%</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Slovenia</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3,626.7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8,052.7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5,023.8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2,556.0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31.7%</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Spain</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3,930.6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4,958.0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3,076.0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1,081.0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21.8%</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Sweden</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15,260.4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19,519.9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12,678.1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3,217.6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64.9%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16.5%</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Interreg</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9,335.4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12,540.0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9,024.9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1,416.3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72.0%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11.3%</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lang w:eastAsia="en-GB"/>
              </w:rPr>
            </w:pPr>
            <w:r>
              <w:rPr>
                <w:noProof/>
                <w:color w:val="000000"/>
                <w:sz w:val="20"/>
                <w:lang w:eastAsia="en-GB"/>
              </w:rPr>
              <w:t>United Kingdom</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16,470.8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26,810.6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19,243.1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lang w:eastAsia="en-GB"/>
              </w:rPr>
            </w:pPr>
            <w:r>
              <w:rPr>
                <w:noProof/>
                <w:color w:val="000000"/>
                <w:sz w:val="20"/>
              </w:rPr>
              <w:t>6,719.0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71.8%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lang w:eastAsia="en-GB"/>
              </w:rPr>
            </w:pPr>
            <w:r>
              <w:rPr>
                <w:noProof/>
                <w:color w:val="000000"/>
                <w:sz w:val="20"/>
              </w:rPr>
              <w:t>25.1%</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pPr>
              <w:spacing w:before="120" w:after="120"/>
              <w:jc w:val="left"/>
              <w:rPr>
                <w:b/>
                <w:bCs/>
                <w:noProof/>
                <w:sz w:val="20"/>
                <w:lang w:eastAsia="en-GB"/>
              </w:rPr>
            </w:pPr>
            <w:r>
              <w:rPr>
                <w:b/>
                <w:bCs/>
                <w:noProof/>
                <w:sz w:val="20"/>
                <w:lang w:eastAsia="en-GB"/>
              </w:rPr>
              <w:t>Grand Total</w:t>
            </w:r>
          </w:p>
        </w:tc>
        <w:tc>
          <w:tcPr>
            <w:tcW w:w="692" w:type="pct"/>
            <w:tcBorders>
              <w:top w:val="single" w:sz="4" w:space="0" w:color="auto"/>
              <w:left w:val="nil"/>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lang w:eastAsia="en-GB"/>
              </w:rPr>
            </w:pPr>
            <w:r>
              <w:rPr>
                <w:b/>
                <w:bCs/>
                <w:noProof/>
                <w:sz w:val="20"/>
                <w:lang w:eastAsia="en-GB"/>
              </w:rPr>
              <w:t>460,331.4</w:t>
            </w:r>
          </w:p>
        </w:tc>
        <w:tc>
          <w:tcPr>
            <w:tcW w:w="69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lang w:eastAsia="en-GB"/>
              </w:rPr>
            </w:pPr>
            <w:r>
              <w:rPr>
                <w:b/>
                <w:bCs/>
                <w:noProof/>
                <w:sz w:val="20"/>
                <w:lang w:eastAsia="en-GB"/>
              </w:rPr>
              <w:t>646,657.9</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lang w:eastAsia="en-GB"/>
              </w:rPr>
            </w:pPr>
            <w:r>
              <w:rPr>
                <w:b/>
                <w:bCs/>
                <w:noProof/>
                <w:sz w:val="20"/>
                <w:lang w:eastAsia="en-GB"/>
              </w:rPr>
              <w:t>404,644.6</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lang w:eastAsia="en-GB"/>
              </w:rPr>
            </w:pPr>
            <w:r>
              <w:rPr>
                <w:b/>
                <w:bCs/>
                <w:noProof/>
                <w:sz w:val="20"/>
                <w:lang w:eastAsia="en-GB"/>
              </w:rPr>
              <w:t>137,412.5</w:t>
            </w:r>
          </w:p>
        </w:tc>
        <w:tc>
          <w:tcPr>
            <w:tcW w:w="53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spacing w:before="120" w:after="120"/>
              <w:jc w:val="left"/>
              <w:rPr>
                <w:b/>
                <w:bCs/>
                <w:noProof/>
                <w:sz w:val="20"/>
                <w:lang w:eastAsia="en-GB"/>
              </w:rPr>
            </w:pPr>
            <w:r>
              <w:rPr>
                <w:b/>
                <w:bCs/>
                <w:noProof/>
                <w:sz w:val="20"/>
                <w:lang w:eastAsia="en-GB"/>
              </w:rPr>
              <w:t>62.6%</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spacing w:before="120" w:after="120"/>
              <w:jc w:val="left"/>
              <w:rPr>
                <w:b/>
                <w:bCs/>
                <w:noProof/>
                <w:sz w:val="20"/>
                <w:lang w:eastAsia="en-GB"/>
              </w:rPr>
            </w:pPr>
            <w:r>
              <w:rPr>
                <w:b/>
                <w:bCs/>
                <w:noProof/>
                <w:sz w:val="20"/>
                <w:lang w:eastAsia="en-GB"/>
              </w:rPr>
              <w:t>21.2%</w:t>
            </w:r>
          </w:p>
        </w:tc>
      </w:tr>
    </w:tbl>
    <w:p>
      <w:pPr>
        <w:rPr>
          <w:i/>
          <w:noProof/>
          <w:sz w:val="20"/>
        </w:rPr>
      </w:pPr>
      <w:r>
        <w:rPr>
          <w:i/>
          <w:noProof/>
          <w:sz w:val="20"/>
        </w:rPr>
        <w:t xml:space="preserve">Source: European Commission based on data reported by programmes available on ESIF Open Data </w:t>
      </w:r>
      <w:r>
        <w:rPr>
          <w:rStyle w:val="Hyperlink"/>
          <w:i/>
          <w:noProof/>
          <w:sz w:val="20"/>
        </w:rPr>
        <w:t>https://cohesiondata.ec.europa.eu/d/99js-gm52</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szCs w:val="24"/>
        </w:rPr>
        <w:t>ANNEX 3</w:t>
      </w:r>
    </w:p>
    <w:p>
      <w:pPr>
        <w:pStyle w:val="ListParagraph"/>
        <w:spacing w:after="0"/>
        <w:ind w:left="0"/>
        <w:contextualSpacing w:val="0"/>
        <w:jc w:val="center"/>
        <w:outlineLvl w:val="0"/>
        <w:rPr>
          <w:b/>
          <w:noProof/>
        </w:rPr>
      </w:pPr>
      <w:r>
        <w:rPr>
          <w:b/>
          <w:noProof/>
        </w:rPr>
        <w:t>ESI Funds – planned amounts to climate objectives and selection rates by the end of 2017</w:t>
      </w:r>
    </w:p>
    <w:p>
      <w:pPr>
        <w:rPr>
          <w:noProof/>
          <w:sz w:val="20"/>
        </w:rPr>
      </w:pPr>
    </w:p>
    <w:tbl>
      <w:tblPr>
        <w:tblW w:w="9214" w:type="dxa"/>
        <w:tblInd w:w="108" w:type="dxa"/>
        <w:tblLayout w:type="fixed"/>
        <w:tblLook w:val="04A0" w:firstRow="1" w:lastRow="0" w:firstColumn="1" w:lastColumn="0" w:noHBand="0" w:noVBand="1"/>
      </w:tblPr>
      <w:tblGrid>
        <w:gridCol w:w="1028"/>
        <w:gridCol w:w="1099"/>
        <w:gridCol w:w="1134"/>
        <w:gridCol w:w="992"/>
        <w:gridCol w:w="1559"/>
        <w:gridCol w:w="1701"/>
        <w:gridCol w:w="1701"/>
      </w:tblGrid>
      <w:tr>
        <w:trPr>
          <w:trHeight w:val="15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pPr>
              <w:spacing w:after="0"/>
              <w:jc w:val="center"/>
              <w:rPr>
                <w:b/>
                <w:noProof/>
                <w:color w:val="000000"/>
                <w:sz w:val="22"/>
                <w:szCs w:val="22"/>
                <w:lang w:eastAsia="en-GB"/>
              </w:rPr>
            </w:pPr>
            <w:r>
              <w:rPr>
                <w:b/>
                <w:noProof/>
                <w:color w:val="000000"/>
                <w:sz w:val="22"/>
                <w:szCs w:val="22"/>
                <w:lang w:eastAsia="en-GB"/>
              </w:rPr>
              <w:t>Fund</w:t>
            </w:r>
          </w:p>
        </w:tc>
        <w:tc>
          <w:tcPr>
            <w:tcW w:w="109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Total EU amount planned</w:t>
            </w:r>
          </w:p>
        </w:tc>
        <w:tc>
          <w:tcPr>
            <w:tcW w:w="212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Total EU climate change amount planned</w:t>
            </w:r>
          </w:p>
        </w:tc>
        <w:tc>
          <w:tcPr>
            <w:tcW w:w="15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Total selected end 2017 (EU share estimate)</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Of which allocated to climate change action</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Rate of selection of climate actions out of all operations selected (2017)</w:t>
            </w:r>
          </w:p>
        </w:tc>
      </w:tr>
      <w:tr>
        <w:trPr>
          <w:trHeight w:val="600"/>
        </w:trPr>
        <w:tc>
          <w:tcPr>
            <w:tcW w:w="1028"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pPr>
              <w:spacing w:after="0"/>
              <w:jc w:val="left"/>
              <w:rPr>
                <w:b/>
                <w:noProof/>
                <w:color w:val="000000"/>
                <w:sz w:val="22"/>
                <w:szCs w:val="22"/>
                <w:lang w:eastAsia="en-GB"/>
              </w:rPr>
            </w:pPr>
            <w:r>
              <w:rPr>
                <w:b/>
                <w:noProof/>
                <w:color w:val="000000"/>
                <w:sz w:val="22"/>
                <w:szCs w:val="22"/>
                <w:lang w:eastAsia="en-GB"/>
              </w:rPr>
              <w:t> </w:t>
            </w:r>
          </w:p>
        </w:tc>
        <w:tc>
          <w:tcPr>
            <w:tcW w:w="1099"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EUR billion</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EUR billion</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w:t>
            </w:r>
          </w:p>
        </w:tc>
        <w:tc>
          <w:tcPr>
            <w:tcW w:w="1559"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EUR billion</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EUR billion</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lang w:eastAsia="en-GB"/>
              </w:rPr>
            </w:pPr>
            <w:r>
              <w:rPr>
                <w:b/>
                <w:noProof/>
                <w:color w:val="000000"/>
                <w:sz w:val="22"/>
                <w:szCs w:val="22"/>
                <w:lang w:eastAsia="en-GB"/>
              </w:rPr>
              <w:t>%</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lang w:eastAsia="en-GB"/>
              </w:rPr>
            </w:pPr>
            <w:r>
              <w:rPr>
                <w:noProof/>
                <w:color w:val="000000"/>
                <w:sz w:val="22"/>
                <w:szCs w:val="22"/>
                <w:lang w:eastAsia="en-GB"/>
              </w:rPr>
              <w:t>CF</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63,3</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lang w:eastAsia="en-GB"/>
              </w:rPr>
            </w:pPr>
            <w:r>
              <w:rPr>
                <w:noProof/>
                <w:color w:val="000000"/>
                <w:sz w:val="22"/>
                <w:szCs w:val="22"/>
                <w:lang w:eastAsia="en-GB"/>
              </w:rPr>
              <w:t>17,4</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lang w:eastAsia="en-GB"/>
              </w:rPr>
            </w:pPr>
            <w:r>
              <w:rPr>
                <w:noProof/>
                <w:sz w:val="22"/>
                <w:szCs w:val="22"/>
              </w:rPr>
              <w:t>28%</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lang w:eastAsia="en-GB"/>
              </w:rPr>
            </w:pPr>
            <w:r>
              <w:rPr>
                <w:noProof/>
                <w:color w:val="000000"/>
                <w:sz w:val="22"/>
                <w:szCs w:val="22"/>
                <w:lang w:eastAsia="en-GB"/>
              </w:rPr>
              <w:t>40.4</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10,5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szCs w:val="22"/>
              </w:rPr>
              <w:t>26%</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lang w:eastAsia="en-GB"/>
              </w:rPr>
            </w:pPr>
            <w:r>
              <w:rPr>
                <w:noProof/>
                <w:color w:val="000000"/>
                <w:sz w:val="22"/>
                <w:szCs w:val="22"/>
                <w:lang w:eastAsia="en-GB"/>
              </w:rPr>
              <w:t>EAFRD</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99,8</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lang w:eastAsia="en-GB"/>
              </w:rPr>
            </w:pPr>
            <w:r>
              <w:rPr>
                <w:noProof/>
                <w:color w:val="000000"/>
                <w:sz w:val="22"/>
                <w:szCs w:val="22"/>
                <w:lang w:eastAsia="en-GB"/>
              </w:rPr>
              <w:t>57,5</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lang w:eastAsia="en-GB"/>
              </w:rPr>
            </w:pPr>
            <w:r>
              <w:rPr>
                <w:noProof/>
                <w:sz w:val="22"/>
                <w:szCs w:val="22"/>
              </w:rPr>
              <w:t>58%</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lang w:eastAsia="en-GB"/>
              </w:rPr>
            </w:pPr>
            <w:r>
              <w:rPr>
                <w:noProof/>
                <w:color w:val="000000"/>
                <w:sz w:val="22"/>
                <w:szCs w:val="22"/>
                <w:lang w:eastAsia="en-GB"/>
              </w:rPr>
              <w:t>50,0</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21,5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szCs w:val="22"/>
              </w:rPr>
              <w:t>43%</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lang w:eastAsia="en-GB"/>
              </w:rPr>
            </w:pPr>
            <w:r>
              <w:rPr>
                <w:noProof/>
                <w:color w:val="000000"/>
                <w:sz w:val="22"/>
                <w:szCs w:val="22"/>
                <w:lang w:eastAsia="en-GB"/>
              </w:rPr>
              <w:t>EMFF</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5,7</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lang w:eastAsia="en-GB"/>
              </w:rPr>
            </w:pPr>
            <w:r>
              <w:rPr>
                <w:noProof/>
                <w:color w:val="000000"/>
                <w:sz w:val="22"/>
                <w:szCs w:val="22"/>
                <w:lang w:eastAsia="en-GB"/>
              </w:rPr>
              <w:t>1,0</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lang w:eastAsia="en-GB"/>
              </w:rPr>
            </w:pPr>
            <w:r>
              <w:rPr>
                <w:noProof/>
                <w:sz w:val="22"/>
                <w:szCs w:val="22"/>
              </w:rPr>
              <w:t>18%</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lang w:eastAsia="en-GB"/>
              </w:rPr>
            </w:pPr>
            <w:r>
              <w:rPr>
                <w:noProof/>
                <w:color w:val="000000"/>
                <w:sz w:val="22"/>
                <w:szCs w:val="22"/>
                <w:lang w:eastAsia="en-GB"/>
              </w:rPr>
              <w:t>1,3</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0,95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szCs w:val="22"/>
              </w:rPr>
              <w:t>72%</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lang w:eastAsia="en-GB"/>
              </w:rPr>
            </w:pPr>
            <w:r>
              <w:rPr>
                <w:noProof/>
                <w:color w:val="000000"/>
                <w:sz w:val="22"/>
                <w:szCs w:val="22"/>
                <w:lang w:eastAsia="en-GB"/>
              </w:rPr>
              <w:t>ERDF</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199,0</w:t>
            </w:r>
          </w:p>
        </w:tc>
        <w:tc>
          <w:tcPr>
            <w:tcW w:w="1134" w:type="dxa"/>
            <w:tcBorders>
              <w:top w:val="nil"/>
              <w:left w:val="nil"/>
              <w:bottom w:val="single" w:sz="4" w:space="0" w:color="auto"/>
              <w:right w:val="single" w:sz="4" w:space="0" w:color="auto"/>
            </w:tcBorders>
            <w:shd w:val="clear" w:color="auto" w:fill="auto"/>
            <w:noWrap/>
            <w:hideMark/>
          </w:tcPr>
          <w:p>
            <w:pPr>
              <w:tabs>
                <w:tab w:val="center" w:pos="459"/>
                <w:tab w:val="right" w:pos="918"/>
              </w:tabs>
              <w:spacing w:after="0"/>
              <w:jc w:val="right"/>
              <w:rPr>
                <w:noProof/>
                <w:color w:val="000000"/>
                <w:sz w:val="22"/>
                <w:szCs w:val="22"/>
                <w:lang w:eastAsia="en-GB"/>
              </w:rPr>
            </w:pPr>
            <w:r>
              <w:rPr>
                <w:noProof/>
                <w:color w:val="000000"/>
                <w:sz w:val="22"/>
                <w:szCs w:val="22"/>
                <w:lang w:eastAsia="en-GB"/>
              </w:rPr>
              <w:t>38,2</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lang w:eastAsia="en-GB"/>
              </w:rPr>
            </w:pPr>
            <w:r>
              <w:rPr>
                <w:noProof/>
                <w:sz w:val="22"/>
                <w:szCs w:val="22"/>
              </w:rPr>
              <w:t>19%</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lang w:eastAsia="en-GB"/>
              </w:rPr>
            </w:pPr>
            <w:r>
              <w:rPr>
                <w:noProof/>
                <w:color w:val="000000"/>
                <w:sz w:val="22"/>
                <w:szCs w:val="22"/>
                <w:lang w:eastAsia="en-GB"/>
              </w:rPr>
              <w:t>105,0</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15,4</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szCs w:val="22"/>
              </w:rPr>
              <w:t>15%</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lang w:eastAsia="en-GB"/>
              </w:rPr>
            </w:pPr>
            <w:r>
              <w:rPr>
                <w:noProof/>
                <w:color w:val="000000"/>
                <w:sz w:val="22"/>
                <w:szCs w:val="22"/>
                <w:lang w:eastAsia="en-GB"/>
              </w:rPr>
              <w:t>ESF/YEI</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92,8</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lang w:eastAsia="en-GB"/>
              </w:rPr>
            </w:pPr>
            <w:r>
              <w:rPr>
                <w:noProof/>
                <w:color w:val="000000"/>
                <w:sz w:val="22"/>
                <w:szCs w:val="22"/>
                <w:lang w:eastAsia="en-GB"/>
              </w:rPr>
              <w:t>1,1</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lang w:eastAsia="en-GB"/>
              </w:rPr>
            </w:pPr>
            <w:r>
              <w:rPr>
                <w:noProof/>
                <w:sz w:val="22"/>
                <w:szCs w:val="22"/>
              </w:rPr>
              <w:t>1%</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lang w:eastAsia="en-GB"/>
              </w:rPr>
            </w:pPr>
            <w:r>
              <w:rPr>
                <w:noProof/>
                <w:color w:val="000000"/>
                <w:sz w:val="22"/>
                <w:szCs w:val="22"/>
                <w:lang w:eastAsia="en-GB"/>
              </w:rPr>
              <w:t>54,5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eastAsia="en-GB"/>
              </w:rPr>
            </w:pPr>
            <w:r>
              <w:rPr>
                <w:noProof/>
                <w:color w:val="000000"/>
                <w:sz w:val="22"/>
                <w:szCs w:val="22"/>
                <w:lang w:eastAsia="en-GB"/>
              </w:rPr>
              <w:t>2,9</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szCs w:val="22"/>
              </w:rPr>
              <w:t>5%</w:t>
            </w:r>
          </w:p>
        </w:tc>
      </w:tr>
      <w:tr>
        <w:trPr>
          <w:trHeight w:val="3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pPr>
              <w:spacing w:before="120" w:after="120"/>
              <w:jc w:val="left"/>
              <w:rPr>
                <w:b/>
                <w:bCs/>
                <w:noProof/>
                <w:sz w:val="20"/>
                <w:lang w:eastAsia="en-GB"/>
              </w:rPr>
            </w:pPr>
            <w:r>
              <w:rPr>
                <w:b/>
                <w:bCs/>
                <w:noProof/>
                <w:sz w:val="20"/>
                <w:lang w:eastAsia="en-GB"/>
              </w:rPr>
              <w:t>Total</w:t>
            </w:r>
          </w:p>
        </w:tc>
        <w:tc>
          <w:tcPr>
            <w:tcW w:w="109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lang w:eastAsia="en-GB"/>
              </w:rPr>
            </w:pPr>
            <w:r>
              <w:rPr>
                <w:b/>
                <w:bCs/>
                <w:noProof/>
                <w:sz w:val="20"/>
                <w:lang w:eastAsia="en-GB"/>
              </w:rPr>
              <w:t>460,7</w:t>
            </w:r>
          </w:p>
        </w:tc>
        <w:tc>
          <w:tcPr>
            <w:tcW w:w="113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lang w:eastAsia="en-GB"/>
              </w:rPr>
            </w:pPr>
            <w:r>
              <w:rPr>
                <w:b/>
                <w:bCs/>
                <w:noProof/>
                <w:sz w:val="20"/>
                <w:lang w:eastAsia="en-GB"/>
              </w:rPr>
              <w:t>115,3</w:t>
            </w:r>
          </w:p>
        </w:tc>
        <w:tc>
          <w:tcPr>
            <w:tcW w:w="992"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lang w:eastAsia="en-GB"/>
              </w:rPr>
            </w:pPr>
            <w:r>
              <w:rPr>
                <w:b/>
                <w:bCs/>
                <w:noProof/>
                <w:sz w:val="20"/>
                <w:lang w:eastAsia="en-GB"/>
              </w:rPr>
              <w:t>25%</w:t>
            </w:r>
          </w:p>
        </w:tc>
        <w:tc>
          <w:tcPr>
            <w:tcW w:w="155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lang w:eastAsia="en-GB"/>
              </w:rPr>
            </w:pPr>
            <w:r>
              <w:rPr>
                <w:b/>
                <w:bCs/>
                <w:noProof/>
                <w:sz w:val="20"/>
                <w:lang w:eastAsia="en-GB"/>
              </w:rPr>
              <w:t>251.2</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lang w:eastAsia="en-GB"/>
              </w:rPr>
            </w:pPr>
            <w:r>
              <w:rPr>
                <w:b/>
                <w:bCs/>
                <w:noProof/>
                <w:sz w:val="20"/>
                <w:lang w:eastAsia="en-GB"/>
              </w:rPr>
              <w:t>51.3</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lang w:eastAsia="en-GB"/>
              </w:rPr>
            </w:pPr>
            <w:r>
              <w:rPr>
                <w:b/>
                <w:bCs/>
                <w:noProof/>
                <w:sz w:val="20"/>
                <w:lang w:eastAsia="en-GB"/>
              </w:rPr>
              <w:t>20%</w:t>
            </w:r>
          </w:p>
        </w:tc>
      </w:tr>
    </w:tbl>
    <w:p>
      <w:pPr>
        <w:rPr>
          <w:i/>
          <w:noProof/>
          <w:sz w:val="20"/>
        </w:rPr>
      </w:pPr>
      <w:r>
        <w:rPr>
          <w:i/>
          <w:noProof/>
          <w:sz w:val="20"/>
        </w:rPr>
        <w:t>Source: European Commission</w:t>
      </w:r>
    </w:p>
    <w:sectPr>
      <w:headerReference w:type="even" r:id="rId19"/>
      <w:headerReference w:type="default" r:id="rId20"/>
      <w:footerReference w:type="even" r:id="rId21"/>
      <w:footerReference w:type="default" r:id="rId22"/>
      <w:headerReference w:type="first" r:id="rId23"/>
      <w:footerReference w:type="first" r:id="rId24"/>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5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A432656"/>
    <w:multiLevelType w:val="multilevel"/>
    <w:tmpl w:val="2DB0FF5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1"/>
  </w:num>
  <w:num w:numId="6">
    <w:abstractNumId w:val="8"/>
  </w:num>
  <w:num w:numId="7">
    <w:abstractNumId w:val="5"/>
  </w:num>
  <w:num w:numId="8">
    <w:abstractNumId w:val="4"/>
  </w:num>
  <w:num w:numId="9">
    <w:abstractNumId w:val="22"/>
  </w:num>
  <w:num w:numId="10">
    <w:abstractNumId w:val="24"/>
  </w:num>
  <w:num w:numId="11">
    <w:abstractNumId w:val="23"/>
  </w:num>
  <w:num w:numId="12">
    <w:abstractNumId w:val="28"/>
  </w:num>
  <w:num w:numId="13">
    <w:abstractNumId w:val="7"/>
  </w:num>
  <w:num w:numId="14">
    <w:abstractNumId w:val="12"/>
  </w:num>
  <w:num w:numId="15">
    <w:abstractNumId w:val="15"/>
  </w:num>
  <w:num w:numId="16">
    <w:abstractNumId w:val="13"/>
  </w:num>
  <w:num w:numId="17">
    <w:abstractNumId w:val="2"/>
  </w:num>
  <w:num w:numId="18">
    <w:abstractNumId w:val="16"/>
  </w:num>
  <w:num w:numId="19">
    <w:abstractNumId w:val="29"/>
  </w:num>
  <w:num w:numId="20">
    <w:abstractNumId w:val="25"/>
  </w:num>
  <w:num w:numId="21">
    <w:abstractNumId w:val="20"/>
  </w:num>
  <w:num w:numId="22">
    <w:abstractNumId w:val="27"/>
  </w:num>
  <w:num w:numId="23">
    <w:abstractNumId w:val="14"/>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31"/>
  </w:num>
  <w:num w:numId="33">
    <w:abstractNumId w:val="10"/>
  </w:num>
  <w:num w:numId="34">
    <w:abstractNumId w:val="3"/>
  </w:num>
  <w:num w:numId="35">
    <w:abstractNumId w:val="26"/>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9"/>
  </w:num>
  <w:num w:numId="43">
    <w:abstractNumId w:val="17"/>
  </w:num>
  <w:num w:numId="44">
    <w:abstractNumId w:val="30"/>
  </w:num>
  <w:num w:numId="45">
    <w:abstractNumId w:val="19"/>
  </w:num>
  <w:num w:numId="46">
    <w:abstractNumId w:val="6"/>
  </w:num>
  <w:num w:numId="47">
    <w:abstractNumId w:val="21"/>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to the "/>
    <w:docVar w:name="LW_ANNEX_NBR_FIRST" w:val="1"/>
    <w:docVar w:name="LW_ANNEX_NBR_LAST" w:val="3"/>
    <w:docVar w:name="LW_ANNEX_UNIQUE" w:val="0"/>
    <w:docVar w:name="LW_CORRIGENDUM" w:val="&lt;UNUSED&gt;"/>
    <w:docVar w:name="LW_COVERPAGE_EXISTS" w:val="True"/>
    <w:docVar w:name="LW_COVERPAGE_GUID" w:val="2DB9B597-A2B4-49CF-83AB-D497E3F86388"/>
    <w:docVar w:name="LW_COVERPAGE_TYPE" w:val="1"/>
    <w:docVar w:name="LW_CROSSREFERENCE" w:val="&lt;UNUSED&gt;"/>
    <w:docVar w:name="LW_DocType" w:val="NOT"/>
    <w:docVar w:name="LW_EMISSION" w:val="19.12.2018"/>
    <w:docVar w:name="LW_EMISSION_ISODATE" w:val="2018-12-1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European Structural and Investment Funds 2014-2020_x000b_2018 Summary report of the programme annual implementation reports _x000b_covering implementation in 2014-2017_x000b_"/>
    <w:docVar w:name="LW_PART_NBR" w:val="&lt;UNUSED&gt;"/>
    <w:docVar w:name="LW_PART_NBR_TOTAL" w:val="&lt;UNUSED&gt;"/>
    <w:docVar w:name="LW_REF.INST.NEW" w:val="COM"/>
    <w:docVar w:name="LW_REF.INST.NEW_ADOPTED" w:val="final"/>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autoRedefine/>
    <w:qFormat/>
    <w:pPr>
      <w:keepNext/>
      <w:numPr>
        <w:numId w:val="3"/>
      </w:numPr>
      <w:spacing w:before="240"/>
      <w:outlineLvl w:val="0"/>
    </w:pPr>
    <w:rPr>
      <w:b/>
      <w:smallCaps/>
    </w:rPr>
  </w:style>
  <w:style w:type="paragraph" w:styleId="Heading2">
    <w:name w:val="heading 2"/>
    <w:basedOn w:val="Normal"/>
    <w:next w:val="Text2"/>
    <w:autoRedefine/>
    <w:qFormat/>
    <w:pPr>
      <w:keepNext/>
      <w:numPr>
        <w:ilvl w:val="1"/>
        <w:numId w:val="3"/>
      </w:numPr>
      <w:spacing w:before="120"/>
      <w:outlineLvl w:val="1"/>
    </w:pPr>
    <w:rPr>
      <w:b/>
    </w:rPr>
  </w:style>
  <w:style w:type="paragraph" w:styleId="Heading3">
    <w:name w:val="heading 3"/>
    <w:basedOn w:val="Normal"/>
    <w:next w:val="Text3"/>
    <w:autoRedefine/>
    <w:qFormat/>
    <w:pPr>
      <w:keepNext/>
      <w:numPr>
        <w:ilvl w:val="2"/>
        <w:numId w:val="3"/>
      </w:numPr>
      <w:tabs>
        <w:tab w:val="clear" w:pos="1408"/>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styleId="Revision">
    <w:name w:val="Revision"/>
    <w:hidden/>
    <w:uiPriority w:val="99"/>
    <w:semiHidden/>
    <w:rPr>
      <w:sz w:val="24"/>
      <w:lang w:eastAsia="en-US"/>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en-US"/>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semiHidden/>
    <w:rPr>
      <w:lang w:eastAsia="en-US"/>
    </w:rPr>
  </w:style>
  <w:style w:type="paragraph" w:styleId="NoSpacing">
    <w:name w:val="No Spacing"/>
    <w:uiPriority w:val="1"/>
    <w:qFormat/>
    <w:pPr>
      <w:jc w:val="both"/>
    </w:pPr>
    <w:rPr>
      <w:sz w:val="24"/>
      <w:lang w:eastAsia="en-US"/>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autoRedefine/>
    <w:qFormat/>
    <w:pPr>
      <w:keepNext/>
      <w:numPr>
        <w:numId w:val="3"/>
      </w:numPr>
      <w:spacing w:before="240"/>
      <w:outlineLvl w:val="0"/>
    </w:pPr>
    <w:rPr>
      <w:b/>
      <w:smallCaps/>
    </w:rPr>
  </w:style>
  <w:style w:type="paragraph" w:styleId="Heading2">
    <w:name w:val="heading 2"/>
    <w:basedOn w:val="Normal"/>
    <w:next w:val="Text2"/>
    <w:autoRedefine/>
    <w:qFormat/>
    <w:pPr>
      <w:keepNext/>
      <w:numPr>
        <w:ilvl w:val="1"/>
        <w:numId w:val="3"/>
      </w:numPr>
      <w:spacing w:before="120"/>
      <w:outlineLvl w:val="1"/>
    </w:pPr>
    <w:rPr>
      <w:b/>
    </w:rPr>
  </w:style>
  <w:style w:type="paragraph" w:styleId="Heading3">
    <w:name w:val="heading 3"/>
    <w:basedOn w:val="Normal"/>
    <w:next w:val="Text3"/>
    <w:autoRedefine/>
    <w:qFormat/>
    <w:pPr>
      <w:keepNext/>
      <w:numPr>
        <w:ilvl w:val="2"/>
        <w:numId w:val="3"/>
      </w:numPr>
      <w:tabs>
        <w:tab w:val="clear" w:pos="1408"/>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styleId="Revision">
    <w:name w:val="Revision"/>
    <w:hidden/>
    <w:uiPriority w:val="99"/>
    <w:semiHidden/>
    <w:rPr>
      <w:sz w:val="24"/>
      <w:lang w:eastAsia="en-US"/>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en-US"/>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semiHidden/>
    <w:rPr>
      <w:lang w:eastAsia="en-US"/>
    </w:rPr>
  </w:style>
  <w:style w:type="paragraph" w:styleId="NoSpacing">
    <w:name w:val="No Spacing"/>
    <w:uiPriority w:val="1"/>
    <w:qFormat/>
    <w:pPr>
      <w:jc w:val="both"/>
    </w:pPr>
    <w:rPr>
      <w:sz w:val="24"/>
      <w:lang w:eastAsia="en-US"/>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789">
      <w:bodyDiv w:val="1"/>
      <w:marLeft w:val="0"/>
      <w:marRight w:val="0"/>
      <w:marTop w:val="0"/>
      <w:marBottom w:val="0"/>
      <w:divBdr>
        <w:top w:val="none" w:sz="0" w:space="0" w:color="auto"/>
        <w:left w:val="none" w:sz="0" w:space="0" w:color="auto"/>
        <w:bottom w:val="none" w:sz="0" w:space="0" w:color="auto"/>
        <w:right w:val="none" w:sz="0" w:space="0" w:color="auto"/>
      </w:divBdr>
    </w:div>
    <w:div w:id="105395631">
      <w:bodyDiv w:val="1"/>
      <w:marLeft w:val="0"/>
      <w:marRight w:val="0"/>
      <w:marTop w:val="0"/>
      <w:marBottom w:val="0"/>
      <w:divBdr>
        <w:top w:val="none" w:sz="0" w:space="0" w:color="auto"/>
        <w:left w:val="none" w:sz="0" w:space="0" w:color="auto"/>
        <w:bottom w:val="none" w:sz="0" w:space="0" w:color="auto"/>
        <w:right w:val="none" w:sz="0" w:space="0" w:color="auto"/>
      </w:divBdr>
    </w:div>
    <w:div w:id="264653264">
      <w:bodyDiv w:val="1"/>
      <w:marLeft w:val="0"/>
      <w:marRight w:val="0"/>
      <w:marTop w:val="0"/>
      <w:marBottom w:val="0"/>
      <w:divBdr>
        <w:top w:val="none" w:sz="0" w:space="0" w:color="auto"/>
        <w:left w:val="none" w:sz="0" w:space="0" w:color="auto"/>
        <w:bottom w:val="none" w:sz="0" w:space="0" w:color="auto"/>
        <w:right w:val="none" w:sz="0" w:space="0" w:color="auto"/>
      </w:divBdr>
    </w:div>
    <w:div w:id="341202234">
      <w:bodyDiv w:val="1"/>
      <w:marLeft w:val="0"/>
      <w:marRight w:val="0"/>
      <w:marTop w:val="0"/>
      <w:marBottom w:val="0"/>
      <w:divBdr>
        <w:top w:val="none" w:sz="0" w:space="0" w:color="auto"/>
        <w:left w:val="none" w:sz="0" w:space="0" w:color="auto"/>
        <w:bottom w:val="none" w:sz="0" w:space="0" w:color="auto"/>
        <w:right w:val="none" w:sz="0" w:space="0" w:color="auto"/>
      </w:divBdr>
    </w:div>
    <w:div w:id="379743353">
      <w:bodyDiv w:val="1"/>
      <w:marLeft w:val="0"/>
      <w:marRight w:val="0"/>
      <w:marTop w:val="0"/>
      <w:marBottom w:val="0"/>
      <w:divBdr>
        <w:top w:val="none" w:sz="0" w:space="0" w:color="auto"/>
        <w:left w:val="none" w:sz="0" w:space="0" w:color="auto"/>
        <w:bottom w:val="none" w:sz="0" w:space="0" w:color="auto"/>
        <w:right w:val="none" w:sz="0" w:space="0" w:color="auto"/>
      </w:divBdr>
    </w:div>
    <w:div w:id="409499115">
      <w:bodyDiv w:val="1"/>
      <w:marLeft w:val="0"/>
      <w:marRight w:val="0"/>
      <w:marTop w:val="0"/>
      <w:marBottom w:val="0"/>
      <w:divBdr>
        <w:top w:val="none" w:sz="0" w:space="0" w:color="auto"/>
        <w:left w:val="none" w:sz="0" w:space="0" w:color="auto"/>
        <w:bottom w:val="none" w:sz="0" w:space="0" w:color="auto"/>
        <w:right w:val="none" w:sz="0" w:space="0" w:color="auto"/>
      </w:divBdr>
    </w:div>
    <w:div w:id="552624649">
      <w:bodyDiv w:val="1"/>
      <w:marLeft w:val="0"/>
      <w:marRight w:val="0"/>
      <w:marTop w:val="0"/>
      <w:marBottom w:val="0"/>
      <w:divBdr>
        <w:top w:val="none" w:sz="0" w:space="0" w:color="auto"/>
        <w:left w:val="none" w:sz="0" w:space="0" w:color="auto"/>
        <w:bottom w:val="none" w:sz="0" w:space="0" w:color="auto"/>
        <w:right w:val="none" w:sz="0" w:space="0" w:color="auto"/>
      </w:divBdr>
    </w:div>
    <w:div w:id="668405891">
      <w:bodyDiv w:val="1"/>
      <w:marLeft w:val="0"/>
      <w:marRight w:val="0"/>
      <w:marTop w:val="0"/>
      <w:marBottom w:val="0"/>
      <w:divBdr>
        <w:top w:val="none" w:sz="0" w:space="0" w:color="auto"/>
        <w:left w:val="none" w:sz="0" w:space="0" w:color="auto"/>
        <w:bottom w:val="none" w:sz="0" w:space="0" w:color="auto"/>
        <w:right w:val="none" w:sz="0" w:space="0" w:color="auto"/>
      </w:divBdr>
    </w:div>
    <w:div w:id="830559506">
      <w:bodyDiv w:val="1"/>
      <w:marLeft w:val="0"/>
      <w:marRight w:val="0"/>
      <w:marTop w:val="0"/>
      <w:marBottom w:val="0"/>
      <w:divBdr>
        <w:top w:val="none" w:sz="0" w:space="0" w:color="auto"/>
        <w:left w:val="none" w:sz="0" w:space="0" w:color="auto"/>
        <w:bottom w:val="none" w:sz="0" w:space="0" w:color="auto"/>
        <w:right w:val="none" w:sz="0" w:space="0" w:color="auto"/>
      </w:divBdr>
    </w:div>
    <w:div w:id="998848848">
      <w:bodyDiv w:val="1"/>
      <w:marLeft w:val="0"/>
      <w:marRight w:val="0"/>
      <w:marTop w:val="0"/>
      <w:marBottom w:val="0"/>
      <w:divBdr>
        <w:top w:val="none" w:sz="0" w:space="0" w:color="auto"/>
        <w:left w:val="none" w:sz="0" w:space="0" w:color="auto"/>
        <w:bottom w:val="none" w:sz="0" w:space="0" w:color="auto"/>
        <w:right w:val="none" w:sz="0" w:space="0" w:color="auto"/>
      </w:divBdr>
    </w:div>
    <w:div w:id="1053314550">
      <w:bodyDiv w:val="1"/>
      <w:marLeft w:val="0"/>
      <w:marRight w:val="0"/>
      <w:marTop w:val="0"/>
      <w:marBottom w:val="0"/>
      <w:divBdr>
        <w:top w:val="none" w:sz="0" w:space="0" w:color="auto"/>
        <w:left w:val="none" w:sz="0" w:space="0" w:color="auto"/>
        <w:bottom w:val="none" w:sz="0" w:space="0" w:color="auto"/>
        <w:right w:val="none" w:sz="0" w:space="0" w:color="auto"/>
      </w:divBdr>
    </w:div>
    <w:div w:id="1073697664">
      <w:bodyDiv w:val="1"/>
      <w:marLeft w:val="0"/>
      <w:marRight w:val="0"/>
      <w:marTop w:val="0"/>
      <w:marBottom w:val="0"/>
      <w:divBdr>
        <w:top w:val="none" w:sz="0" w:space="0" w:color="auto"/>
        <w:left w:val="none" w:sz="0" w:space="0" w:color="auto"/>
        <w:bottom w:val="none" w:sz="0" w:space="0" w:color="auto"/>
        <w:right w:val="none" w:sz="0" w:space="0" w:color="auto"/>
      </w:divBdr>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
    <w:div w:id="1402754758">
      <w:bodyDiv w:val="1"/>
      <w:marLeft w:val="0"/>
      <w:marRight w:val="0"/>
      <w:marTop w:val="0"/>
      <w:marBottom w:val="0"/>
      <w:divBdr>
        <w:top w:val="none" w:sz="0" w:space="0" w:color="auto"/>
        <w:left w:val="none" w:sz="0" w:space="0" w:color="auto"/>
        <w:bottom w:val="none" w:sz="0" w:space="0" w:color="auto"/>
        <w:right w:val="none" w:sz="0" w:space="0" w:color="auto"/>
      </w:divBdr>
    </w:div>
    <w:div w:id="1559366801">
      <w:bodyDiv w:val="1"/>
      <w:marLeft w:val="0"/>
      <w:marRight w:val="0"/>
      <w:marTop w:val="0"/>
      <w:marBottom w:val="0"/>
      <w:divBdr>
        <w:top w:val="none" w:sz="0" w:space="0" w:color="auto"/>
        <w:left w:val="none" w:sz="0" w:space="0" w:color="auto"/>
        <w:bottom w:val="none" w:sz="0" w:space="0" w:color="auto"/>
        <w:right w:val="none" w:sz="0" w:space="0" w:color="auto"/>
      </w:divBdr>
    </w:div>
    <w:div w:id="1586963555">
      <w:bodyDiv w:val="1"/>
      <w:marLeft w:val="0"/>
      <w:marRight w:val="0"/>
      <w:marTop w:val="0"/>
      <w:marBottom w:val="0"/>
      <w:divBdr>
        <w:top w:val="none" w:sz="0" w:space="0" w:color="auto"/>
        <w:left w:val="none" w:sz="0" w:space="0" w:color="auto"/>
        <w:bottom w:val="none" w:sz="0" w:space="0" w:color="auto"/>
        <w:right w:val="none" w:sz="0" w:space="0" w:color="auto"/>
      </w:divBdr>
    </w:div>
    <w:div w:id="1608850126">
      <w:bodyDiv w:val="1"/>
      <w:marLeft w:val="0"/>
      <w:marRight w:val="0"/>
      <w:marTop w:val="0"/>
      <w:marBottom w:val="0"/>
      <w:divBdr>
        <w:top w:val="none" w:sz="0" w:space="0" w:color="auto"/>
        <w:left w:val="none" w:sz="0" w:space="0" w:color="auto"/>
        <w:bottom w:val="none" w:sz="0" w:space="0" w:color="auto"/>
        <w:right w:val="none" w:sz="0" w:space="0" w:color="auto"/>
      </w:divBdr>
    </w:div>
    <w:div w:id="1753969070">
      <w:bodyDiv w:val="1"/>
      <w:marLeft w:val="0"/>
      <w:marRight w:val="0"/>
      <w:marTop w:val="0"/>
      <w:marBottom w:val="0"/>
      <w:divBdr>
        <w:top w:val="none" w:sz="0" w:space="0" w:color="auto"/>
        <w:left w:val="none" w:sz="0" w:space="0" w:color="auto"/>
        <w:bottom w:val="none" w:sz="0" w:space="0" w:color="auto"/>
        <w:right w:val="none" w:sz="0" w:space="0" w:color="auto"/>
      </w:divBdr>
    </w:div>
    <w:div w:id="1852909911">
      <w:bodyDiv w:val="1"/>
      <w:marLeft w:val="0"/>
      <w:marRight w:val="0"/>
      <w:marTop w:val="0"/>
      <w:marBottom w:val="0"/>
      <w:divBdr>
        <w:top w:val="none" w:sz="0" w:space="0" w:color="auto"/>
        <w:left w:val="none" w:sz="0" w:space="0" w:color="auto"/>
        <w:bottom w:val="none" w:sz="0" w:space="0" w:color="auto"/>
        <w:right w:val="none" w:sz="0" w:space="0" w:color="auto"/>
      </w:divBdr>
    </w:div>
    <w:div w:id="1953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4.5</Version>
    <Date>2018-09-10T09:03:48</Date>
    <Language>EN</Language>
  </Created>
  <Edited>
    <Version>10.0.37613.0</Version>
    <Date>2018-11-14T10:30:35</Date>
  </Edited>
  <DocumentModel>
    <Id>0b054141-88b1-4efb-8c91-2905cb0bed6c</Id>
    <Name>Note</Name>
  </DocumentModel>
  <DocumentDate/>
  <DocumentVersion/>
  <CompatibilityMode>Eurolook4x</CompatibilityMode>
  <Address/>
</EurolookProperties>
</file>

<file path=customXml/item3.xml><?xml version="1.0" encoding="utf-8"?>
<Author Role="Creator">
  <Id>bb5b62be-9070-4997-be9c-d8fdab182e16</Id>
  <Names>
    <Latin>
      <FirstName>John</FirstName>
      <LastName>WALSH</LastName>
    </Latin>
    <Greek>
      <FirstName/>
      <LastName/>
    </Greek>
    <Cyrillic>
      <FirstName/>
      <LastName/>
    </Cyrillic>
    <DocumentScript>
      <FirstName>John</FirstName>
      <LastName>WALSH</LastName>
      <FullName>John WALSH</FullName>
    </DocumentScript>
  </Names>
  <Initials>JFW</Initials>
  <Gender>m</Gender>
  <Email>John.Walsh@ec.europa.eu</Email>
  <Service>REGIO.B.2</Service>
  <Function ShowInSignature="true">Team Leader - Administrator</Function>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5fde0302-9f78-447d-a02f-7a6dc2f65c28</Id>
    <LogicalLevel>2</LogicalLevel>
    <Name>REGIO.B</Name>
    <HeadLine1>Policy</HeadLine1>
    <HeadLine2/>
    <PrimaryAddressId>f03b5801-04c9-4931-aa17-c6d6c70bc579</PrimaryAddressId>
    <SecondaryAddressId/>
    <WebAddress/>
    <InheritedWebAddress>WebAddress</InheritedWebAddress>
    <ShowInHeader>true</ShowInHeader>
  </OrgaEntity2>
  <OrgaEntity3>
    <Id>a495e182-0f36-42f4-a0f5-b3391992667d</Id>
    <LogicalLevel>3</LogicalLevel>
    <Name>REGIO.B.2</Name>
    <HeadLine1>Evaluation and European Semester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+32 229 66061</Phone>
    <Office>BU-5 03/071</Office>
  </MainWorkplace>
  <Workplaces>
    <Workplace IsMain="false">
      <AddressId>1264fb81-f6bb-475e-9f9d-a937d3be6ee2</AddressId>
      <Fax/>
      <Phone/>
      <Office/>
    </Workplace>
    <Workplace IsMain="true">
      <AddressId>f03b5801-04c9-4931-aa17-c6d6c70bc579</AddressId>
      <Fax/>
      <Phone>+32 229 66061</Phone>
      <Office>BU-5 03/071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A1EA-6ED9-4F36-842C-55C6CBFB857B}">
  <ds:schemaRefs/>
</ds:datastoreItem>
</file>

<file path=customXml/itemProps2.xml><?xml version="1.0" encoding="utf-8"?>
<ds:datastoreItem xmlns:ds="http://schemas.openxmlformats.org/officeDocument/2006/customXml" ds:itemID="{8A11F063-8246-4FF1-B7DF-B4CC6A242F21}">
  <ds:schemaRefs/>
</ds:datastoreItem>
</file>

<file path=customXml/itemProps3.xml><?xml version="1.0" encoding="utf-8"?>
<ds:datastoreItem xmlns:ds="http://schemas.openxmlformats.org/officeDocument/2006/customXml" ds:itemID="{0A06F639-654D-4C65-97FC-85BDAC2CD0B6}">
  <ds:schemaRefs/>
</ds:datastoreItem>
</file>

<file path=customXml/itemProps4.xml><?xml version="1.0" encoding="utf-8"?>
<ds:datastoreItem xmlns:ds="http://schemas.openxmlformats.org/officeDocument/2006/customXml" ds:itemID="{93043B60-0A25-4D36-8099-605D87DD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1298</Words>
  <Characters>8015</Characters>
  <Application>Microsoft Office Word</Application>
  <DocSecurity>0</DocSecurity>
  <PresentationFormat>Microsoft Word 14.0</PresentationFormat>
  <Lines>1145</Lines>
  <Paragraphs>931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8382</CharactersWithSpaces>
  <SharedDoc>false</SharedDoc>
  <HLinks>
    <vt:vector size="6" baseType="variant">
      <vt:variant>
        <vt:i4>2752576</vt:i4>
      </vt:variant>
      <vt:variant>
        <vt:i4>0</vt:i4>
      </vt:variant>
      <vt:variant>
        <vt:i4>0</vt:i4>
      </vt:variant>
      <vt:variant>
        <vt:i4>5</vt:i4>
      </vt:variant>
      <vt:variant>
        <vt:lpwstr>http://ec.europa.eu/budget/library/biblio/documents/2015/analysis-of-the-budgetary-implementation-of-the-european-structural-and-investment-funds-in-2015_en.pdf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Gabriella Fesus</dc:creator>
  <cp:keywords>EL4</cp:keywords>
  <cp:lastModifiedBy>WES PDFC Administrator</cp:lastModifiedBy>
  <cp:revision>7</cp:revision>
  <cp:lastPrinted>2018-11-16T14:45:00Z</cp:lastPrinted>
  <dcterms:created xsi:type="dcterms:W3CDTF">2018-11-20T13:30:00Z</dcterms:created>
  <dcterms:modified xsi:type="dcterms:W3CDTF">2018-12-19T07:24:00Z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&lt;UNUSED&gt;</vt:lpwstr>
  </property>
  <property fmtid="{D5CDD505-2E9C-101B-9397-08002B2CF9AE}" pid="14" name="Total parts">
    <vt:lpwstr>&lt;UNUSED&gt;</vt:lpwstr>
  </property>
  <property fmtid="{D5CDD505-2E9C-101B-9397-08002B2CF9AE}" pid="15" name="DocStatus">
    <vt:lpwstr>Green</vt:lpwstr>
  </property>
  <property fmtid="{D5CDD505-2E9C-101B-9397-08002B2CF9AE}" pid="16" name="Level of sensitivity">
    <vt:lpwstr>Standard treatment</vt:lpwstr>
  </property>
  <property fmtid="{D5CDD505-2E9C-101B-9397-08002B2CF9AE}" pid="17" name="First annex">
    <vt:lpwstr>1</vt:lpwstr>
  </property>
  <property fmtid="{D5CDD505-2E9C-101B-9397-08002B2CF9AE}" pid="18" name="Last annex">
    <vt:lpwstr>3</vt:lpwstr>
  </property>
  <property fmtid="{D5CDD505-2E9C-101B-9397-08002B2CF9AE}" pid="19" name="Unique annex">
    <vt:lpwstr>0</vt:lpwstr>
  </property>
</Properties>
</file>