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F27" w:rsidRDefault="00796379" w:rsidP="00796379">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B8D15904-7874-4834-A32F-0CB3B92D1B8F" style="width:450.6pt;height:375.1pt">
            <v:imagedata r:id="rId12" o:title=""/>
          </v:shape>
        </w:pict>
      </w:r>
    </w:p>
    <w:bookmarkEnd w:id="0"/>
    <w:p w:rsidR="003E3F27" w:rsidRDefault="003E3F27">
      <w:pPr>
        <w:jc w:val="both"/>
        <w:sectPr w:rsidR="003E3F27" w:rsidSect="00796379">
          <w:footerReference w:type="default" r:id="rId13"/>
          <w:pgSz w:w="11906" w:h="16838"/>
          <w:pgMar w:top="1134" w:right="1417" w:bottom="1134" w:left="1417" w:header="709" w:footer="709" w:gutter="0"/>
          <w:pgNumType w:start="0"/>
          <w:cols w:space="720"/>
          <w:docGrid w:linePitch="360"/>
        </w:sectPr>
      </w:pPr>
    </w:p>
    <w:p w:rsidR="002C2CC5" w:rsidRDefault="002C2CC5" w:rsidP="00D2024D">
      <w:pPr>
        <w:jc w:val="right"/>
        <w:rPr>
          <w:rFonts w:ascii="Times New Roman" w:eastAsia="Times New Roman" w:hAnsi="Times New Roman"/>
          <w:i/>
          <w:sz w:val="24"/>
          <w:szCs w:val="24"/>
          <w:lang w:val="en-GB"/>
        </w:rPr>
      </w:pPr>
      <w:bookmarkStart w:id="1" w:name="_GoBack"/>
      <w:bookmarkEnd w:id="1"/>
    </w:p>
    <w:p w:rsidR="00D2024D" w:rsidRPr="000372AE" w:rsidRDefault="00D2024D" w:rsidP="00D2024D">
      <w:pPr>
        <w:jc w:val="right"/>
        <w:rPr>
          <w:rFonts w:ascii="Times New Roman" w:eastAsia="Times New Roman" w:hAnsi="Times New Roman"/>
          <w:i/>
          <w:sz w:val="24"/>
          <w:szCs w:val="24"/>
          <w:highlight w:val="yellow"/>
          <w:lang w:val="en-GB"/>
        </w:rPr>
      </w:pPr>
      <w:r w:rsidRPr="00B91C59">
        <w:rPr>
          <w:rFonts w:ascii="Times New Roman" w:eastAsia="Times New Roman" w:hAnsi="Times New Roman"/>
          <w:i/>
          <w:sz w:val="24"/>
          <w:szCs w:val="24"/>
          <w:lang w:val="en-GB"/>
        </w:rPr>
        <w:t>The European Council calls for work on preparedness at all levels for the consequences of the United Kingdom’s withdrawal to be intensified, taking into account all possible outcomes</w:t>
      </w:r>
    </w:p>
    <w:p w:rsidR="00D2024D" w:rsidRPr="00F56CBC" w:rsidRDefault="00D2024D" w:rsidP="00D2024D">
      <w:pPr>
        <w:jc w:val="right"/>
        <w:rPr>
          <w:rFonts w:ascii="Times New Roman" w:eastAsia="Times New Roman" w:hAnsi="Times New Roman"/>
          <w:sz w:val="16"/>
          <w:szCs w:val="16"/>
          <w:lang w:val="en-GB"/>
        </w:rPr>
      </w:pPr>
      <w:r w:rsidRPr="00B91C59">
        <w:rPr>
          <w:rFonts w:ascii="Times New Roman" w:eastAsia="Times New Roman" w:hAnsi="Times New Roman"/>
          <w:sz w:val="16"/>
          <w:szCs w:val="16"/>
          <w:lang w:val="en-GB"/>
        </w:rPr>
        <w:t>European Council (Article 50), 13 December 2018</w:t>
      </w:r>
      <w:r w:rsidRPr="00B91C59">
        <w:rPr>
          <w:rStyle w:val="FootnoteReference"/>
          <w:rFonts w:ascii="Times New Roman" w:eastAsia="Times New Roman" w:hAnsi="Times New Roman"/>
          <w:sz w:val="18"/>
          <w:szCs w:val="18"/>
        </w:rPr>
        <w:footnoteReference w:id="2"/>
      </w:r>
    </w:p>
    <w:p w:rsidR="003E3F27" w:rsidRPr="00FB26AB" w:rsidRDefault="00C95C66" w:rsidP="00DD3EE9">
      <w:pPr>
        <w:pStyle w:val="ListParagraph"/>
        <w:numPr>
          <w:ilvl w:val="0"/>
          <w:numId w:val="41"/>
        </w:numPr>
        <w:spacing w:before="600" w:after="200"/>
        <w:ind w:left="714" w:hanging="357"/>
        <w:contextualSpacing/>
        <w:jc w:val="both"/>
        <w:rPr>
          <w:rFonts w:ascii="Times New Roman" w:eastAsia="Times New Roman" w:hAnsi="Times New Roman"/>
          <w:b/>
          <w:sz w:val="24"/>
          <w:szCs w:val="24"/>
          <w:lang w:val="en-GB"/>
        </w:rPr>
      </w:pPr>
      <w:r w:rsidRPr="00FB26AB">
        <w:rPr>
          <w:rFonts w:ascii="Times New Roman" w:eastAsia="Times New Roman" w:hAnsi="Times New Roman"/>
          <w:b/>
          <w:sz w:val="24"/>
          <w:szCs w:val="24"/>
          <w:lang w:val="en-GB"/>
        </w:rPr>
        <w:t>Introduction</w:t>
      </w:r>
    </w:p>
    <w:p w:rsidR="000D0BA5" w:rsidRDefault="00C95C66" w:rsidP="007175A1">
      <w:pPr>
        <w:spacing w:after="200"/>
        <w:jc w:val="both"/>
        <w:rPr>
          <w:rFonts w:ascii="Times New Roman" w:eastAsia="Times New Roman" w:hAnsi="Times New Roman"/>
          <w:sz w:val="24"/>
          <w:szCs w:val="24"/>
          <w:lang w:val="en-GB"/>
        </w:rPr>
      </w:pPr>
      <w:r w:rsidRPr="00D90B47">
        <w:rPr>
          <w:rFonts w:ascii="Times New Roman" w:eastAsia="Times New Roman" w:hAnsi="Times New Roman"/>
          <w:sz w:val="24"/>
          <w:szCs w:val="24"/>
          <w:lang w:val="en-GB"/>
        </w:rPr>
        <w:t xml:space="preserve">The United Kingdom has decided to leave the European Union, invoking the procedure </w:t>
      </w:r>
      <w:r w:rsidR="001606F1">
        <w:rPr>
          <w:rFonts w:ascii="Times New Roman" w:eastAsia="Times New Roman" w:hAnsi="Times New Roman"/>
          <w:sz w:val="24"/>
          <w:szCs w:val="24"/>
          <w:lang w:val="en-GB"/>
        </w:rPr>
        <w:t xml:space="preserve">in </w:t>
      </w:r>
      <w:r w:rsidRPr="00D90B47">
        <w:rPr>
          <w:rFonts w:ascii="Times New Roman" w:eastAsia="Times New Roman" w:hAnsi="Times New Roman"/>
          <w:sz w:val="24"/>
          <w:szCs w:val="24"/>
          <w:lang w:val="en-GB"/>
        </w:rPr>
        <w:t xml:space="preserve">Article 50 of the Treaty on European Union. </w:t>
      </w:r>
      <w:r w:rsidR="00352BBA">
        <w:rPr>
          <w:rFonts w:ascii="Times New Roman" w:eastAsia="Times New Roman" w:hAnsi="Times New Roman"/>
          <w:sz w:val="24"/>
          <w:szCs w:val="24"/>
          <w:lang w:val="en-GB"/>
        </w:rPr>
        <w:t>Unless the decision is withdrawn</w:t>
      </w:r>
      <w:r w:rsidR="00352BBA">
        <w:rPr>
          <w:rStyle w:val="FootnoteReference"/>
          <w:rFonts w:ascii="Times New Roman" w:eastAsia="Times New Roman" w:hAnsi="Times New Roman"/>
          <w:lang w:val="en-GB"/>
        </w:rPr>
        <w:footnoteReference w:id="3"/>
      </w:r>
      <w:r w:rsidR="00352BBA">
        <w:rPr>
          <w:rFonts w:ascii="Times New Roman" w:eastAsia="Times New Roman" w:hAnsi="Times New Roman"/>
          <w:sz w:val="24"/>
          <w:szCs w:val="24"/>
          <w:lang w:val="en-GB"/>
        </w:rPr>
        <w:t xml:space="preserve"> or the period is unanimously extended, this will become effective in </w:t>
      </w:r>
      <w:r w:rsidR="002F7C95">
        <w:rPr>
          <w:rFonts w:ascii="Times New Roman" w:eastAsia="Times New Roman" w:hAnsi="Times New Roman"/>
          <w:sz w:val="24"/>
          <w:szCs w:val="24"/>
          <w:lang w:val="en-GB"/>
        </w:rPr>
        <w:t xml:space="preserve">just over </w:t>
      </w:r>
      <w:r w:rsidR="00352BBA">
        <w:rPr>
          <w:rFonts w:ascii="Times New Roman" w:eastAsia="Times New Roman" w:hAnsi="Times New Roman"/>
          <w:sz w:val="24"/>
          <w:szCs w:val="24"/>
          <w:lang w:val="en-GB"/>
        </w:rPr>
        <w:t>100 days</w:t>
      </w:r>
      <w:r w:rsidR="00B94471">
        <w:rPr>
          <w:rFonts w:ascii="Times New Roman" w:eastAsia="Times New Roman" w:hAnsi="Times New Roman"/>
          <w:sz w:val="24"/>
          <w:szCs w:val="24"/>
          <w:lang w:val="en-GB"/>
        </w:rPr>
        <w:t xml:space="preserve">. </w:t>
      </w:r>
      <w:r w:rsidRPr="00D90B47">
        <w:rPr>
          <w:rFonts w:ascii="Times New Roman" w:eastAsia="Times New Roman" w:hAnsi="Times New Roman"/>
          <w:sz w:val="24"/>
          <w:szCs w:val="24"/>
          <w:lang w:val="en-GB"/>
        </w:rPr>
        <w:t>The Commission regrets this decision, but respects it.</w:t>
      </w:r>
      <w:r w:rsidR="00A438F2">
        <w:rPr>
          <w:rFonts w:ascii="Times New Roman" w:eastAsia="Times New Roman" w:hAnsi="Times New Roman"/>
          <w:sz w:val="24"/>
          <w:szCs w:val="24"/>
          <w:lang w:val="en-GB"/>
        </w:rPr>
        <w:t xml:space="preserve"> </w:t>
      </w:r>
      <w:r w:rsidR="00A438F2" w:rsidRPr="00A438F2">
        <w:rPr>
          <w:rFonts w:ascii="Times New Roman" w:eastAsia="Times New Roman" w:hAnsi="Times New Roman"/>
          <w:sz w:val="24"/>
          <w:szCs w:val="24"/>
          <w:lang w:val="en-GB"/>
        </w:rPr>
        <w:t>As emphasised in the Commission’s first Brexit preparednes</w:t>
      </w:r>
      <w:r w:rsidR="00A438F2">
        <w:rPr>
          <w:rFonts w:ascii="Times New Roman" w:eastAsia="Times New Roman" w:hAnsi="Times New Roman"/>
          <w:sz w:val="24"/>
          <w:szCs w:val="24"/>
          <w:lang w:val="en-GB"/>
        </w:rPr>
        <w:t>s Communication of 19 July 2018</w:t>
      </w:r>
      <w:r w:rsidR="00A438F2">
        <w:rPr>
          <w:rStyle w:val="FootnoteReference"/>
          <w:rFonts w:ascii="Times New Roman" w:eastAsia="Times New Roman" w:hAnsi="Times New Roman"/>
          <w:lang w:val="en-GB"/>
        </w:rPr>
        <w:footnoteReference w:id="4"/>
      </w:r>
      <w:r w:rsidR="00A438F2" w:rsidRPr="00A438F2">
        <w:rPr>
          <w:rFonts w:ascii="Times New Roman" w:eastAsia="Times New Roman" w:hAnsi="Times New Roman"/>
          <w:sz w:val="24"/>
          <w:szCs w:val="24"/>
          <w:lang w:val="en-GB"/>
        </w:rPr>
        <w:t>, irrespective of the scenario envisaged, the United Kingdom's choice will cause significant disruption.</w:t>
      </w:r>
      <w:r w:rsidR="007175A1" w:rsidRPr="007175A1">
        <w:rPr>
          <w:lang w:val="en-GB"/>
        </w:rPr>
        <w:t xml:space="preserve"> </w:t>
      </w:r>
      <w:r w:rsidR="007175A1" w:rsidRPr="007175A1">
        <w:rPr>
          <w:rFonts w:ascii="Times New Roman" w:eastAsia="Times New Roman" w:hAnsi="Times New Roman"/>
          <w:sz w:val="24"/>
          <w:szCs w:val="24"/>
          <w:lang w:val="en-GB"/>
        </w:rPr>
        <w:t>The Commission has therefore consistently called on European citizens, businesses and Member States to prepare for all possible scenarios, assess relevant risks and plan their response to mitigate them.</w:t>
      </w:r>
      <w:r w:rsidR="00C07070">
        <w:rPr>
          <w:rFonts w:ascii="Times New Roman" w:eastAsia="Times New Roman" w:hAnsi="Times New Roman"/>
          <w:sz w:val="24"/>
          <w:szCs w:val="24"/>
          <w:lang w:val="en-GB"/>
        </w:rPr>
        <w:t xml:space="preserve"> </w:t>
      </w:r>
    </w:p>
    <w:p w:rsidR="008A18D8" w:rsidRDefault="00C07070" w:rsidP="00ED3665">
      <w:pPr>
        <w:spacing w:after="200"/>
        <w:jc w:val="both"/>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On 13 November 2018, the Commission launched </w:t>
      </w:r>
      <w:r w:rsidR="00204A45">
        <w:rPr>
          <w:rFonts w:ascii="Times New Roman" w:eastAsia="Times New Roman" w:hAnsi="Times New Roman"/>
          <w:sz w:val="24"/>
          <w:szCs w:val="24"/>
          <w:lang w:val="en-GB"/>
        </w:rPr>
        <w:t>a</w:t>
      </w:r>
      <w:r>
        <w:rPr>
          <w:rFonts w:ascii="Times New Roman" w:eastAsia="Times New Roman" w:hAnsi="Times New Roman"/>
          <w:sz w:val="24"/>
          <w:szCs w:val="24"/>
          <w:lang w:val="en-GB"/>
        </w:rPr>
        <w:t xml:space="preserve"> </w:t>
      </w:r>
      <w:r w:rsidR="00204A45">
        <w:rPr>
          <w:rFonts w:ascii="Times New Roman" w:eastAsia="Times New Roman" w:hAnsi="Times New Roman"/>
          <w:sz w:val="24"/>
          <w:szCs w:val="24"/>
          <w:lang w:val="en-GB"/>
        </w:rPr>
        <w:t>C</w:t>
      </w:r>
      <w:r>
        <w:rPr>
          <w:rFonts w:ascii="Times New Roman" w:eastAsia="Times New Roman" w:hAnsi="Times New Roman"/>
          <w:sz w:val="24"/>
          <w:szCs w:val="24"/>
          <w:lang w:val="en-GB"/>
        </w:rPr>
        <w:t xml:space="preserve">ontingency </w:t>
      </w:r>
      <w:r w:rsidR="00204A45">
        <w:rPr>
          <w:rFonts w:ascii="Times New Roman" w:eastAsia="Times New Roman" w:hAnsi="Times New Roman"/>
          <w:sz w:val="24"/>
          <w:szCs w:val="24"/>
          <w:lang w:val="en-GB"/>
        </w:rPr>
        <w:t>A</w:t>
      </w:r>
      <w:r>
        <w:rPr>
          <w:rFonts w:ascii="Times New Roman" w:eastAsia="Times New Roman" w:hAnsi="Times New Roman"/>
          <w:sz w:val="24"/>
          <w:szCs w:val="24"/>
          <w:lang w:val="en-GB"/>
        </w:rPr>
        <w:t xml:space="preserve">ction </w:t>
      </w:r>
      <w:r w:rsidR="00204A45">
        <w:rPr>
          <w:rFonts w:ascii="Times New Roman" w:eastAsia="Times New Roman" w:hAnsi="Times New Roman"/>
          <w:sz w:val="24"/>
          <w:szCs w:val="24"/>
          <w:lang w:val="en-GB"/>
        </w:rPr>
        <w:t>P</w:t>
      </w:r>
      <w:r>
        <w:rPr>
          <w:rFonts w:ascii="Times New Roman" w:eastAsia="Times New Roman" w:hAnsi="Times New Roman"/>
          <w:sz w:val="24"/>
          <w:szCs w:val="24"/>
          <w:lang w:val="en-GB"/>
        </w:rPr>
        <w:t>lan in its second</w:t>
      </w:r>
      <w:r w:rsidR="000D0BA5">
        <w:rPr>
          <w:rFonts w:ascii="Times New Roman" w:eastAsia="Times New Roman" w:hAnsi="Times New Roman"/>
          <w:sz w:val="24"/>
          <w:szCs w:val="24"/>
          <w:lang w:val="en-GB"/>
        </w:rPr>
        <w:t xml:space="preserve"> </w:t>
      </w:r>
      <w:r>
        <w:rPr>
          <w:rFonts w:ascii="Times New Roman" w:eastAsia="Times New Roman" w:hAnsi="Times New Roman"/>
          <w:sz w:val="24"/>
          <w:szCs w:val="24"/>
          <w:lang w:val="en-GB"/>
        </w:rPr>
        <w:t>Brexit preparedness Communication</w:t>
      </w:r>
      <w:r>
        <w:rPr>
          <w:rStyle w:val="FootnoteReference"/>
          <w:rFonts w:ascii="Times New Roman" w:eastAsia="Times New Roman" w:hAnsi="Times New Roman"/>
          <w:lang w:val="en-GB"/>
        </w:rPr>
        <w:footnoteReference w:id="5"/>
      </w:r>
      <w:r>
        <w:rPr>
          <w:rFonts w:ascii="Times New Roman" w:eastAsia="Times New Roman" w:hAnsi="Times New Roman"/>
          <w:sz w:val="24"/>
          <w:szCs w:val="24"/>
          <w:lang w:val="en-GB"/>
        </w:rPr>
        <w:t>.</w:t>
      </w:r>
      <w:r w:rsidR="000D0BA5">
        <w:rPr>
          <w:rFonts w:ascii="Times New Roman" w:eastAsia="Times New Roman" w:hAnsi="Times New Roman"/>
          <w:sz w:val="24"/>
          <w:szCs w:val="24"/>
          <w:lang w:val="en-GB"/>
        </w:rPr>
        <w:t xml:space="preserve"> The contingency measures announced in the Action Plan are unilateral measures for damage limitation and can only mitigate the most severe consequences of a withdrawal without an agreement. </w:t>
      </w:r>
      <w:r w:rsidR="008A18D8">
        <w:rPr>
          <w:rFonts w:ascii="Times New Roman" w:eastAsia="Times New Roman" w:hAnsi="Times New Roman"/>
          <w:sz w:val="24"/>
          <w:szCs w:val="24"/>
          <w:lang w:val="en-GB"/>
        </w:rPr>
        <w:t xml:space="preserve">On 14 November 2018, </w:t>
      </w:r>
      <w:r w:rsidR="00ED3665">
        <w:rPr>
          <w:rFonts w:ascii="Times New Roman" w:eastAsia="Times New Roman" w:hAnsi="Times New Roman"/>
          <w:sz w:val="24"/>
          <w:szCs w:val="24"/>
          <w:lang w:val="en-GB"/>
        </w:rPr>
        <w:t>the</w:t>
      </w:r>
      <w:r w:rsidR="00B65E87">
        <w:rPr>
          <w:rFonts w:ascii="Times New Roman" w:eastAsia="Times New Roman" w:hAnsi="Times New Roman"/>
          <w:sz w:val="24"/>
          <w:szCs w:val="24"/>
          <w:lang w:val="en-GB"/>
        </w:rPr>
        <w:t xml:space="preserve"> N</w:t>
      </w:r>
      <w:r w:rsidR="00ED3665">
        <w:rPr>
          <w:rFonts w:ascii="Times New Roman" w:eastAsia="Times New Roman" w:hAnsi="Times New Roman"/>
          <w:sz w:val="24"/>
          <w:szCs w:val="24"/>
          <w:lang w:val="en-GB"/>
        </w:rPr>
        <w:t xml:space="preserve">egotiators of the </w:t>
      </w:r>
      <w:r w:rsidR="00ED3665" w:rsidRPr="00ED3665">
        <w:rPr>
          <w:rFonts w:ascii="Times New Roman" w:eastAsia="Times New Roman" w:hAnsi="Times New Roman"/>
          <w:sz w:val="24"/>
          <w:szCs w:val="24"/>
          <w:lang w:val="en-GB"/>
        </w:rPr>
        <w:t xml:space="preserve">Commission and the United Kingdom </w:t>
      </w:r>
      <w:r w:rsidR="00ED3665">
        <w:rPr>
          <w:rFonts w:ascii="Times New Roman" w:eastAsia="Times New Roman" w:hAnsi="Times New Roman"/>
          <w:sz w:val="24"/>
          <w:szCs w:val="24"/>
          <w:lang w:val="en-GB"/>
        </w:rPr>
        <w:t>agreed</w:t>
      </w:r>
      <w:r w:rsidR="00ED3665" w:rsidRPr="00ED3665">
        <w:rPr>
          <w:rFonts w:ascii="Times New Roman" w:eastAsia="Times New Roman" w:hAnsi="Times New Roman"/>
          <w:sz w:val="24"/>
          <w:szCs w:val="24"/>
          <w:lang w:val="en-GB"/>
        </w:rPr>
        <w:t xml:space="preserve"> on the terms of the </w:t>
      </w:r>
      <w:r w:rsidR="00990027">
        <w:rPr>
          <w:rFonts w:ascii="Times New Roman" w:eastAsia="Times New Roman" w:hAnsi="Times New Roman"/>
          <w:sz w:val="24"/>
          <w:szCs w:val="24"/>
          <w:lang w:val="en-GB"/>
        </w:rPr>
        <w:t xml:space="preserve">Withdrawal </w:t>
      </w:r>
      <w:r w:rsidR="00ED3665" w:rsidRPr="00ED3665">
        <w:rPr>
          <w:rFonts w:ascii="Times New Roman" w:eastAsia="Times New Roman" w:hAnsi="Times New Roman"/>
          <w:sz w:val="24"/>
          <w:szCs w:val="24"/>
          <w:lang w:val="en-GB"/>
        </w:rPr>
        <w:t>Agreement</w:t>
      </w:r>
      <w:r w:rsidR="00FD6486">
        <w:rPr>
          <w:rStyle w:val="FootnoteReference"/>
          <w:rFonts w:ascii="Times New Roman" w:eastAsia="Times New Roman" w:hAnsi="Times New Roman"/>
          <w:lang w:val="en-GB"/>
        </w:rPr>
        <w:footnoteReference w:id="6"/>
      </w:r>
      <w:r w:rsidR="00ED3665" w:rsidRPr="00ED3665">
        <w:rPr>
          <w:rFonts w:ascii="Times New Roman" w:eastAsia="Times New Roman" w:hAnsi="Times New Roman"/>
          <w:sz w:val="24"/>
          <w:szCs w:val="24"/>
          <w:lang w:val="en-GB"/>
        </w:rPr>
        <w:t>.</w:t>
      </w:r>
      <w:r w:rsidR="00ED3665" w:rsidRPr="00ED3665">
        <w:rPr>
          <w:rFonts w:ascii="Verdana" w:hAnsi="Verdana"/>
          <w:color w:val="000000"/>
          <w:sz w:val="20"/>
          <w:szCs w:val="20"/>
          <w:lang w:val="en-GB"/>
        </w:rPr>
        <w:t xml:space="preserve"> </w:t>
      </w:r>
      <w:r w:rsidR="00ED3665">
        <w:rPr>
          <w:rFonts w:ascii="Times New Roman" w:eastAsia="Times New Roman" w:hAnsi="Times New Roman"/>
          <w:sz w:val="24"/>
          <w:szCs w:val="24"/>
          <w:lang w:val="en-GB"/>
        </w:rPr>
        <w:t xml:space="preserve">On </w:t>
      </w:r>
      <w:r w:rsidR="000D0BA5">
        <w:rPr>
          <w:rFonts w:ascii="Times New Roman" w:eastAsia="Times New Roman" w:hAnsi="Times New Roman"/>
          <w:sz w:val="24"/>
          <w:szCs w:val="24"/>
          <w:lang w:val="en-GB"/>
        </w:rPr>
        <w:t>2</w:t>
      </w:r>
      <w:r w:rsidR="00FE6E6B">
        <w:rPr>
          <w:rFonts w:ascii="Times New Roman" w:eastAsia="Times New Roman" w:hAnsi="Times New Roman"/>
          <w:sz w:val="24"/>
          <w:szCs w:val="24"/>
          <w:lang w:val="en-GB"/>
        </w:rPr>
        <w:t>2</w:t>
      </w:r>
      <w:r w:rsidR="000D0BA5">
        <w:rPr>
          <w:rFonts w:ascii="Times New Roman" w:eastAsia="Times New Roman" w:hAnsi="Times New Roman"/>
          <w:sz w:val="24"/>
          <w:szCs w:val="24"/>
          <w:lang w:val="en-GB"/>
        </w:rPr>
        <w:t xml:space="preserve"> November</w:t>
      </w:r>
      <w:r w:rsidR="00FE6E6B">
        <w:rPr>
          <w:rFonts w:ascii="Times New Roman" w:eastAsia="Times New Roman" w:hAnsi="Times New Roman"/>
          <w:sz w:val="24"/>
          <w:szCs w:val="24"/>
          <w:lang w:val="en-GB"/>
        </w:rPr>
        <w:t xml:space="preserve"> 2018</w:t>
      </w:r>
      <w:r w:rsidR="000D0BA5">
        <w:rPr>
          <w:rFonts w:ascii="Times New Roman" w:eastAsia="Times New Roman" w:hAnsi="Times New Roman"/>
          <w:sz w:val="24"/>
          <w:szCs w:val="24"/>
          <w:lang w:val="en-GB"/>
        </w:rPr>
        <w:t xml:space="preserve">, the Commission </w:t>
      </w:r>
      <w:r w:rsidR="006C5508">
        <w:rPr>
          <w:rFonts w:ascii="Times New Roman" w:eastAsia="Times New Roman" w:hAnsi="Times New Roman"/>
          <w:sz w:val="24"/>
          <w:szCs w:val="24"/>
          <w:lang w:val="en-GB"/>
        </w:rPr>
        <w:t>approved</w:t>
      </w:r>
      <w:r w:rsidR="00FE6E6B">
        <w:rPr>
          <w:rFonts w:ascii="Times New Roman" w:eastAsia="Times New Roman" w:hAnsi="Times New Roman"/>
          <w:sz w:val="24"/>
          <w:szCs w:val="24"/>
          <w:lang w:val="en-GB"/>
        </w:rPr>
        <w:t xml:space="preserve"> the completed Withdrawal Agreement</w:t>
      </w:r>
      <w:r w:rsidR="00F15A82">
        <w:rPr>
          <w:rStyle w:val="FootnoteReference"/>
          <w:rFonts w:ascii="Times New Roman" w:eastAsia="Times New Roman" w:hAnsi="Times New Roman"/>
          <w:lang w:val="en-GB"/>
        </w:rPr>
        <w:footnoteReference w:id="7"/>
      </w:r>
      <w:r w:rsidR="00FE6E6B">
        <w:rPr>
          <w:rFonts w:ascii="Times New Roman" w:eastAsia="Times New Roman" w:hAnsi="Times New Roman"/>
          <w:sz w:val="24"/>
          <w:szCs w:val="24"/>
          <w:lang w:val="en-GB"/>
        </w:rPr>
        <w:t xml:space="preserve">. On </w:t>
      </w:r>
      <w:r w:rsidR="00ED3665">
        <w:rPr>
          <w:rFonts w:ascii="Times New Roman" w:eastAsia="Times New Roman" w:hAnsi="Times New Roman"/>
          <w:sz w:val="24"/>
          <w:szCs w:val="24"/>
          <w:lang w:val="en-GB"/>
        </w:rPr>
        <w:t xml:space="preserve">25 November 2018, the European Council </w:t>
      </w:r>
      <w:r w:rsidR="00FD6486">
        <w:rPr>
          <w:rFonts w:ascii="Times New Roman" w:eastAsia="Times New Roman" w:hAnsi="Times New Roman"/>
          <w:sz w:val="24"/>
          <w:szCs w:val="24"/>
          <w:lang w:val="en-GB"/>
        </w:rPr>
        <w:t xml:space="preserve">(Article 50) </w:t>
      </w:r>
      <w:r w:rsidR="00ED3665">
        <w:rPr>
          <w:rFonts w:ascii="Times New Roman" w:eastAsia="Times New Roman" w:hAnsi="Times New Roman"/>
          <w:sz w:val="24"/>
          <w:szCs w:val="24"/>
          <w:lang w:val="en-GB"/>
        </w:rPr>
        <w:t>endorsed</w:t>
      </w:r>
      <w:r w:rsidR="00ED3665" w:rsidRPr="00ED3665">
        <w:rPr>
          <w:rFonts w:ascii="Times New Roman" w:eastAsia="Times New Roman" w:hAnsi="Times New Roman"/>
          <w:sz w:val="24"/>
          <w:szCs w:val="24"/>
          <w:lang w:val="en-GB"/>
        </w:rPr>
        <w:t xml:space="preserve"> the </w:t>
      </w:r>
      <w:r w:rsidR="00ED3665">
        <w:rPr>
          <w:rFonts w:ascii="Times New Roman" w:eastAsia="Times New Roman" w:hAnsi="Times New Roman"/>
          <w:sz w:val="24"/>
          <w:szCs w:val="24"/>
          <w:lang w:val="en-GB"/>
        </w:rPr>
        <w:t xml:space="preserve">Withdrawal </w:t>
      </w:r>
      <w:r w:rsidR="00ED3665" w:rsidRPr="00ED3665">
        <w:rPr>
          <w:rFonts w:ascii="Times New Roman" w:eastAsia="Times New Roman" w:hAnsi="Times New Roman"/>
          <w:sz w:val="24"/>
          <w:szCs w:val="24"/>
          <w:lang w:val="en-GB"/>
        </w:rPr>
        <w:t xml:space="preserve">Agreement </w:t>
      </w:r>
      <w:r w:rsidR="00ED3665">
        <w:rPr>
          <w:rFonts w:ascii="Times New Roman" w:eastAsia="Times New Roman" w:hAnsi="Times New Roman"/>
          <w:sz w:val="24"/>
          <w:szCs w:val="24"/>
          <w:lang w:val="en-GB"/>
        </w:rPr>
        <w:t>and</w:t>
      </w:r>
      <w:r w:rsidR="00ED3665" w:rsidRPr="00ED3665">
        <w:rPr>
          <w:rFonts w:ascii="Times New Roman" w:eastAsia="Times New Roman" w:hAnsi="Times New Roman"/>
          <w:sz w:val="24"/>
          <w:szCs w:val="24"/>
          <w:lang w:val="en-GB"/>
        </w:rPr>
        <w:t xml:space="preserve"> invite</w:t>
      </w:r>
      <w:r w:rsidR="00ED3665">
        <w:rPr>
          <w:rFonts w:ascii="Times New Roman" w:eastAsia="Times New Roman" w:hAnsi="Times New Roman"/>
          <w:sz w:val="24"/>
          <w:szCs w:val="24"/>
          <w:lang w:val="en-GB"/>
        </w:rPr>
        <w:t>d</w:t>
      </w:r>
      <w:r w:rsidR="00ED3665" w:rsidRPr="00ED3665">
        <w:rPr>
          <w:rFonts w:ascii="Times New Roman" w:eastAsia="Times New Roman" w:hAnsi="Times New Roman"/>
          <w:sz w:val="24"/>
          <w:szCs w:val="24"/>
          <w:lang w:val="en-GB"/>
        </w:rPr>
        <w:t xml:space="preserve"> the Commission, the European Parliament and the Council to take the necessary steps to ensure that the agreement can enter into force on 30 March 2019 to provide for an orderly withdrawal</w:t>
      </w:r>
      <w:r w:rsidR="00ED3665">
        <w:rPr>
          <w:rStyle w:val="FootnoteReference"/>
          <w:rFonts w:ascii="Times New Roman" w:eastAsia="Times New Roman" w:hAnsi="Times New Roman"/>
          <w:lang w:val="en-GB"/>
        </w:rPr>
        <w:footnoteReference w:id="8"/>
      </w:r>
      <w:r w:rsidR="00946907">
        <w:rPr>
          <w:rFonts w:ascii="Times New Roman" w:eastAsia="Times New Roman" w:hAnsi="Times New Roman"/>
          <w:sz w:val="24"/>
          <w:szCs w:val="24"/>
          <w:lang w:val="en-GB"/>
        </w:rPr>
        <w:t>.</w:t>
      </w:r>
    </w:p>
    <w:p w:rsidR="00990027" w:rsidRDefault="00421FB6" w:rsidP="00B21F0F">
      <w:pPr>
        <w:spacing w:after="200"/>
        <w:jc w:val="both"/>
        <w:rPr>
          <w:rFonts w:ascii="Times New Roman" w:eastAsia="Times New Roman" w:hAnsi="Times New Roman"/>
          <w:sz w:val="24"/>
          <w:szCs w:val="24"/>
          <w:lang w:val="en-GB"/>
        </w:rPr>
      </w:pPr>
      <w:r>
        <w:rPr>
          <w:rFonts w:ascii="Times New Roman" w:eastAsia="Times New Roman" w:hAnsi="Times New Roman"/>
          <w:sz w:val="24"/>
          <w:szCs w:val="24"/>
          <w:lang w:val="en-GB"/>
        </w:rPr>
        <w:t>On 5 December 2018, t</w:t>
      </w:r>
      <w:r w:rsidR="00FD6486">
        <w:rPr>
          <w:rFonts w:ascii="Times New Roman" w:eastAsia="Times New Roman" w:hAnsi="Times New Roman"/>
          <w:sz w:val="24"/>
          <w:szCs w:val="24"/>
          <w:lang w:val="en-GB"/>
        </w:rPr>
        <w:t xml:space="preserve">he </w:t>
      </w:r>
      <w:r w:rsidR="00990027">
        <w:rPr>
          <w:rFonts w:ascii="Times New Roman" w:eastAsia="Times New Roman" w:hAnsi="Times New Roman"/>
          <w:sz w:val="24"/>
          <w:szCs w:val="24"/>
          <w:lang w:val="en-GB"/>
        </w:rPr>
        <w:t xml:space="preserve">Commission </w:t>
      </w:r>
      <w:r>
        <w:rPr>
          <w:rFonts w:ascii="Times New Roman" w:eastAsia="Times New Roman" w:hAnsi="Times New Roman"/>
          <w:sz w:val="24"/>
          <w:szCs w:val="24"/>
          <w:lang w:val="en-GB"/>
        </w:rPr>
        <w:t xml:space="preserve">adopted two proposals for Council decisions on the signature and conclusion of the </w:t>
      </w:r>
      <w:r w:rsidR="0096741F">
        <w:rPr>
          <w:rFonts w:ascii="Times New Roman" w:eastAsia="Times New Roman" w:hAnsi="Times New Roman"/>
          <w:sz w:val="24"/>
          <w:szCs w:val="24"/>
          <w:lang w:val="en-GB"/>
        </w:rPr>
        <w:t>W</w:t>
      </w:r>
      <w:r>
        <w:rPr>
          <w:rFonts w:ascii="Times New Roman" w:eastAsia="Times New Roman" w:hAnsi="Times New Roman"/>
          <w:sz w:val="24"/>
          <w:szCs w:val="24"/>
          <w:lang w:val="en-GB"/>
        </w:rPr>
        <w:t xml:space="preserve">ithdrawal </w:t>
      </w:r>
      <w:r w:rsidR="0096741F">
        <w:rPr>
          <w:rFonts w:ascii="Times New Roman" w:eastAsia="Times New Roman" w:hAnsi="Times New Roman"/>
          <w:sz w:val="24"/>
          <w:szCs w:val="24"/>
          <w:lang w:val="en-GB"/>
        </w:rPr>
        <w:t>A</w:t>
      </w:r>
      <w:r>
        <w:rPr>
          <w:rFonts w:ascii="Times New Roman" w:eastAsia="Times New Roman" w:hAnsi="Times New Roman"/>
          <w:sz w:val="24"/>
          <w:szCs w:val="24"/>
          <w:lang w:val="en-GB"/>
        </w:rPr>
        <w:t>greement</w:t>
      </w:r>
      <w:r w:rsidR="00204A45">
        <w:rPr>
          <w:rFonts w:ascii="Times New Roman" w:eastAsia="Times New Roman" w:hAnsi="Times New Roman"/>
          <w:sz w:val="24"/>
          <w:szCs w:val="24"/>
          <w:lang w:val="en-GB"/>
        </w:rPr>
        <w:t>, to allow for the conclusion and ratification on the EU side in the coming weeks</w:t>
      </w:r>
      <w:r w:rsidR="00990027">
        <w:rPr>
          <w:rFonts w:ascii="Times New Roman" w:eastAsia="Times New Roman" w:hAnsi="Times New Roman"/>
          <w:sz w:val="24"/>
          <w:szCs w:val="24"/>
          <w:lang w:val="en-GB"/>
        </w:rPr>
        <w:t xml:space="preserve">. </w:t>
      </w:r>
      <w:r w:rsidR="00903F4C">
        <w:rPr>
          <w:rFonts w:ascii="Times New Roman" w:eastAsia="Times New Roman" w:hAnsi="Times New Roman"/>
          <w:sz w:val="24"/>
          <w:szCs w:val="24"/>
          <w:lang w:val="en-GB"/>
        </w:rPr>
        <w:t xml:space="preserve">The European Council </w:t>
      </w:r>
      <w:r w:rsidR="002F7C95">
        <w:rPr>
          <w:rFonts w:ascii="Times New Roman" w:eastAsia="Times New Roman" w:hAnsi="Times New Roman"/>
          <w:sz w:val="24"/>
          <w:szCs w:val="24"/>
          <w:lang w:val="en-GB"/>
        </w:rPr>
        <w:t xml:space="preserve">(Article 50) </w:t>
      </w:r>
      <w:r w:rsidR="00903F4C">
        <w:rPr>
          <w:rFonts w:ascii="Times New Roman" w:eastAsia="Times New Roman" w:hAnsi="Times New Roman"/>
          <w:sz w:val="24"/>
          <w:szCs w:val="24"/>
          <w:lang w:val="en-GB"/>
        </w:rPr>
        <w:t xml:space="preserve">of 13 December 2018 confirmed its endorsement of the Withdrawal Agreement and its intention to proceed with its ratification. </w:t>
      </w:r>
      <w:r w:rsidR="0047199F">
        <w:rPr>
          <w:rFonts w:ascii="Times New Roman" w:eastAsia="Times New Roman" w:hAnsi="Times New Roman"/>
          <w:sz w:val="24"/>
          <w:szCs w:val="24"/>
          <w:lang w:val="en-GB"/>
        </w:rPr>
        <w:t>T</w:t>
      </w:r>
      <w:r w:rsidR="0047199F" w:rsidRPr="0047199F">
        <w:rPr>
          <w:rFonts w:ascii="Times New Roman" w:eastAsia="Times New Roman" w:hAnsi="Times New Roman"/>
          <w:sz w:val="24"/>
          <w:szCs w:val="24"/>
          <w:lang w:val="en-GB"/>
        </w:rPr>
        <w:t>he Withdrawal Agreement will</w:t>
      </w:r>
      <w:r w:rsidRPr="00C94BD9">
        <w:rPr>
          <w:rFonts w:ascii="Times New Roman" w:eastAsia="Times New Roman" w:hAnsi="Times New Roman"/>
          <w:sz w:val="24"/>
          <w:szCs w:val="24"/>
          <w:lang w:val="en-GB"/>
        </w:rPr>
        <w:t xml:space="preserve"> have to be ratified by the United Kingdom, in accordance with its own constitutional requirements.</w:t>
      </w:r>
      <w:r w:rsidR="00903F4C">
        <w:rPr>
          <w:rFonts w:ascii="Times New Roman" w:eastAsia="Times New Roman" w:hAnsi="Times New Roman"/>
          <w:sz w:val="24"/>
          <w:szCs w:val="24"/>
          <w:lang w:val="en-GB"/>
        </w:rPr>
        <w:t xml:space="preserve"> </w:t>
      </w:r>
      <w:r w:rsidR="00990027">
        <w:rPr>
          <w:rFonts w:ascii="Times New Roman" w:eastAsia="Times New Roman" w:hAnsi="Times New Roman"/>
          <w:sz w:val="24"/>
          <w:szCs w:val="24"/>
          <w:lang w:val="en-GB"/>
        </w:rPr>
        <w:t xml:space="preserve">The </w:t>
      </w:r>
      <w:r w:rsidR="00FD6486">
        <w:rPr>
          <w:rFonts w:ascii="Times New Roman" w:eastAsia="Times New Roman" w:hAnsi="Times New Roman"/>
          <w:sz w:val="24"/>
          <w:szCs w:val="24"/>
          <w:lang w:val="en-GB"/>
        </w:rPr>
        <w:t xml:space="preserve">ratification of the Withdrawal Agreement </w:t>
      </w:r>
      <w:r w:rsidR="00204A45">
        <w:rPr>
          <w:rFonts w:ascii="Times New Roman" w:eastAsia="Times New Roman" w:hAnsi="Times New Roman"/>
          <w:sz w:val="24"/>
          <w:szCs w:val="24"/>
          <w:lang w:val="en-GB"/>
        </w:rPr>
        <w:t xml:space="preserve">by both parties </w:t>
      </w:r>
      <w:r w:rsidR="00990027">
        <w:rPr>
          <w:rFonts w:ascii="Times New Roman" w:eastAsia="Times New Roman" w:hAnsi="Times New Roman"/>
          <w:sz w:val="24"/>
          <w:szCs w:val="24"/>
          <w:lang w:val="en-GB"/>
        </w:rPr>
        <w:t xml:space="preserve">continues to be the </w:t>
      </w:r>
      <w:r w:rsidR="00946907">
        <w:rPr>
          <w:rFonts w:ascii="Times New Roman" w:eastAsia="Times New Roman" w:hAnsi="Times New Roman"/>
          <w:sz w:val="24"/>
          <w:szCs w:val="24"/>
          <w:lang w:val="en-GB"/>
        </w:rPr>
        <w:t xml:space="preserve">objective and </w:t>
      </w:r>
      <w:r w:rsidR="00990027">
        <w:rPr>
          <w:rFonts w:ascii="Times New Roman" w:eastAsia="Times New Roman" w:hAnsi="Times New Roman"/>
          <w:sz w:val="24"/>
          <w:szCs w:val="24"/>
          <w:lang w:val="en-GB"/>
        </w:rPr>
        <w:t>priority of t</w:t>
      </w:r>
      <w:r w:rsidR="00FD6486">
        <w:rPr>
          <w:rFonts w:ascii="Times New Roman" w:eastAsia="Times New Roman" w:hAnsi="Times New Roman"/>
          <w:sz w:val="24"/>
          <w:szCs w:val="24"/>
          <w:lang w:val="en-GB"/>
        </w:rPr>
        <w:t>he Commission</w:t>
      </w:r>
      <w:r w:rsidR="00903F4C">
        <w:rPr>
          <w:rFonts w:ascii="Times New Roman" w:eastAsia="Times New Roman" w:hAnsi="Times New Roman"/>
          <w:sz w:val="24"/>
          <w:szCs w:val="24"/>
          <w:lang w:val="en-GB"/>
        </w:rPr>
        <w:t xml:space="preserve">. </w:t>
      </w:r>
    </w:p>
    <w:p w:rsidR="00261CF6" w:rsidRPr="00C94BD9" w:rsidRDefault="00903F4C" w:rsidP="00903F4C">
      <w:pPr>
        <w:jc w:val="both"/>
        <w:rPr>
          <w:rFonts w:ascii="Verdana" w:eastAsia="Times New Roman" w:hAnsi="Verdana"/>
          <w:color w:val="000000"/>
          <w:shd w:val="clear" w:color="auto" w:fill="FFFFFF"/>
          <w:lang w:val="en-GB"/>
        </w:rPr>
      </w:pPr>
      <w:r>
        <w:rPr>
          <w:rFonts w:ascii="Times New Roman" w:eastAsia="Times New Roman" w:hAnsi="Times New Roman"/>
          <w:sz w:val="24"/>
          <w:szCs w:val="24"/>
          <w:lang w:val="en-GB"/>
        </w:rPr>
        <w:t xml:space="preserve">The European Council </w:t>
      </w:r>
      <w:r w:rsidR="002F7C95">
        <w:rPr>
          <w:rFonts w:ascii="Times New Roman" w:eastAsia="Times New Roman" w:hAnsi="Times New Roman"/>
          <w:sz w:val="24"/>
          <w:szCs w:val="24"/>
          <w:lang w:val="en-GB"/>
        </w:rPr>
        <w:t xml:space="preserve">(Article 50) </w:t>
      </w:r>
      <w:r>
        <w:rPr>
          <w:rFonts w:ascii="Times New Roman" w:eastAsia="Times New Roman" w:hAnsi="Times New Roman"/>
          <w:sz w:val="24"/>
          <w:szCs w:val="24"/>
          <w:lang w:val="en-GB"/>
        </w:rPr>
        <w:t xml:space="preserve">of 13 December </w:t>
      </w:r>
      <w:r w:rsidR="00636B1F">
        <w:rPr>
          <w:rFonts w:ascii="Times New Roman" w:eastAsia="Times New Roman" w:hAnsi="Times New Roman"/>
          <w:sz w:val="24"/>
          <w:szCs w:val="24"/>
          <w:lang w:val="en-GB"/>
        </w:rPr>
        <w:t xml:space="preserve">2018 </w:t>
      </w:r>
      <w:r>
        <w:rPr>
          <w:rFonts w:ascii="Times New Roman" w:eastAsia="Times New Roman" w:hAnsi="Times New Roman"/>
          <w:sz w:val="24"/>
          <w:szCs w:val="24"/>
          <w:lang w:val="en-GB"/>
        </w:rPr>
        <w:t xml:space="preserve">also called for work on preparedness for the consequences of the United Kingdom’s withdrawal to be intensified at all </w:t>
      </w:r>
      <w:r>
        <w:rPr>
          <w:rFonts w:ascii="Times New Roman" w:eastAsia="Times New Roman" w:hAnsi="Times New Roman"/>
          <w:sz w:val="24"/>
          <w:szCs w:val="24"/>
          <w:lang w:val="en-GB"/>
        </w:rPr>
        <w:lastRenderedPageBreak/>
        <w:t xml:space="preserve">levels and for all possible outcomes. </w:t>
      </w:r>
      <w:r w:rsidR="0051398A">
        <w:rPr>
          <w:rFonts w:ascii="Times New Roman" w:eastAsia="Times New Roman" w:hAnsi="Times New Roman"/>
          <w:sz w:val="24"/>
          <w:szCs w:val="24"/>
          <w:lang w:val="en-GB"/>
        </w:rPr>
        <w:t xml:space="preserve">This Communication </w:t>
      </w:r>
      <w:r w:rsidR="00931C72">
        <w:rPr>
          <w:rFonts w:ascii="Times New Roman" w:eastAsia="Times New Roman" w:hAnsi="Times New Roman"/>
          <w:sz w:val="24"/>
          <w:szCs w:val="24"/>
          <w:lang w:val="en-GB"/>
        </w:rPr>
        <w:t xml:space="preserve">explains the </w:t>
      </w:r>
      <w:r w:rsidR="0051398A">
        <w:rPr>
          <w:rFonts w:ascii="Times New Roman" w:eastAsia="Times New Roman" w:hAnsi="Times New Roman"/>
          <w:sz w:val="24"/>
          <w:szCs w:val="24"/>
          <w:lang w:val="en-GB"/>
        </w:rPr>
        <w:t>measures that the Commission adopted today, 19 December 2018</w:t>
      </w:r>
      <w:r w:rsidR="00931C72">
        <w:rPr>
          <w:rFonts w:ascii="Times New Roman" w:eastAsia="Times New Roman" w:hAnsi="Times New Roman"/>
          <w:sz w:val="24"/>
          <w:szCs w:val="24"/>
          <w:lang w:val="en-GB"/>
        </w:rPr>
        <w:t xml:space="preserve">, </w:t>
      </w:r>
      <w:r>
        <w:rPr>
          <w:rFonts w:ascii="Times New Roman" w:eastAsia="Times New Roman" w:hAnsi="Times New Roman"/>
          <w:sz w:val="24"/>
          <w:szCs w:val="24"/>
          <w:lang w:val="en-GB"/>
        </w:rPr>
        <w:t xml:space="preserve">in response to that call, </w:t>
      </w:r>
      <w:r w:rsidR="00C136D3">
        <w:rPr>
          <w:rFonts w:ascii="Times New Roman" w:eastAsia="Times New Roman" w:hAnsi="Times New Roman"/>
          <w:sz w:val="24"/>
          <w:szCs w:val="24"/>
          <w:lang w:val="en-GB"/>
        </w:rPr>
        <w:t>together with other</w:t>
      </w:r>
      <w:r w:rsidR="00931C72">
        <w:rPr>
          <w:rFonts w:ascii="Times New Roman" w:eastAsia="Times New Roman" w:hAnsi="Times New Roman"/>
          <w:sz w:val="24"/>
          <w:szCs w:val="24"/>
          <w:lang w:val="en-GB"/>
        </w:rPr>
        <w:t xml:space="preserve"> crucial step</w:t>
      </w:r>
      <w:r w:rsidR="00C136D3">
        <w:rPr>
          <w:rFonts w:ascii="Times New Roman" w:eastAsia="Times New Roman" w:hAnsi="Times New Roman"/>
          <w:sz w:val="24"/>
          <w:szCs w:val="24"/>
          <w:lang w:val="en-GB"/>
        </w:rPr>
        <w:t>s</w:t>
      </w:r>
      <w:r w:rsidR="00931C72">
        <w:rPr>
          <w:rFonts w:ascii="Times New Roman" w:eastAsia="Times New Roman" w:hAnsi="Times New Roman"/>
          <w:sz w:val="24"/>
          <w:szCs w:val="24"/>
          <w:lang w:val="en-GB"/>
        </w:rPr>
        <w:t xml:space="preserve"> in </w:t>
      </w:r>
      <w:r w:rsidR="00C136D3">
        <w:rPr>
          <w:rFonts w:ascii="Times New Roman" w:eastAsia="Times New Roman" w:hAnsi="Times New Roman"/>
          <w:sz w:val="24"/>
          <w:szCs w:val="24"/>
          <w:lang w:val="en-GB"/>
        </w:rPr>
        <w:t xml:space="preserve">the implementation of </w:t>
      </w:r>
      <w:r w:rsidR="00931C72">
        <w:rPr>
          <w:rFonts w:ascii="Times New Roman" w:eastAsia="Times New Roman" w:hAnsi="Times New Roman"/>
          <w:sz w:val="24"/>
          <w:szCs w:val="24"/>
          <w:lang w:val="en-GB"/>
        </w:rPr>
        <w:t>its Contingency Action Plan</w:t>
      </w:r>
      <w:r w:rsidR="0051398A">
        <w:rPr>
          <w:rFonts w:ascii="Times New Roman" w:eastAsia="Times New Roman" w:hAnsi="Times New Roman"/>
          <w:sz w:val="24"/>
          <w:szCs w:val="24"/>
          <w:lang w:val="en-GB"/>
        </w:rPr>
        <w:t>.</w:t>
      </w:r>
    </w:p>
    <w:p w:rsidR="00637A07" w:rsidRPr="00637A07" w:rsidRDefault="00637A07" w:rsidP="00463704">
      <w:pPr>
        <w:pStyle w:val="ListParagraph"/>
        <w:keepNext/>
        <w:numPr>
          <w:ilvl w:val="0"/>
          <w:numId w:val="41"/>
        </w:numPr>
        <w:spacing w:before="480" w:after="240"/>
        <w:ind w:left="714" w:hanging="357"/>
        <w:jc w:val="both"/>
        <w:rPr>
          <w:rFonts w:ascii="Times New Roman" w:eastAsia="Times New Roman" w:hAnsi="Times New Roman"/>
          <w:b/>
          <w:sz w:val="24"/>
          <w:szCs w:val="24"/>
          <w:lang w:val="en-GB"/>
        </w:rPr>
      </w:pPr>
      <w:r w:rsidRPr="00637A07">
        <w:rPr>
          <w:rFonts w:ascii="Times New Roman" w:eastAsia="Times New Roman" w:hAnsi="Times New Roman"/>
          <w:b/>
          <w:sz w:val="24"/>
          <w:szCs w:val="24"/>
          <w:lang w:val="en-GB"/>
        </w:rPr>
        <w:t>The Commission’s Contingency Action Plan</w:t>
      </w:r>
    </w:p>
    <w:p w:rsidR="0047199F" w:rsidRDefault="0096741F" w:rsidP="00463704">
      <w:pPr>
        <w:spacing w:after="200"/>
        <w:jc w:val="both"/>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Given </w:t>
      </w:r>
      <w:r w:rsidR="004D245A">
        <w:rPr>
          <w:rFonts w:ascii="Times New Roman" w:eastAsia="Times New Roman" w:hAnsi="Times New Roman"/>
          <w:sz w:val="24"/>
          <w:szCs w:val="24"/>
          <w:lang w:val="en-GB"/>
        </w:rPr>
        <w:t>the continued uncertainty</w:t>
      </w:r>
      <w:r w:rsidR="0047199F">
        <w:rPr>
          <w:rFonts w:ascii="Times New Roman" w:eastAsia="Times New Roman" w:hAnsi="Times New Roman"/>
          <w:sz w:val="24"/>
          <w:szCs w:val="24"/>
          <w:lang w:val="en-GB"/>
        </w:rPr>
        <w:t xml:space="preserve"> surrounding the ratification process</w:t>
      </w:r>
      <w:r w:rsidR="00470411">
        <w:rPr>
          <w:rFonts w:ascii="Times New Roman" w:eastAsia="Times New Roman" w:hAnsi="Times New Roman"/>
          <w:sz w:val="24"/>
          <w:szCs w:val="24"/>
          <w:lang w:val="en-GB"/>
        </w:rPr>
        <w:t xml:space="preserve"> </w:t>
      </w:r>
      <w:r w:rsidR="00204A45">
        <w:rPr>
          <w:rFonts w:ascii="Times New Roman" w:eastAsia="Times New Roman" w:hAnsi="Times New Roman"/>
          <w:sz w:val="24"/>
          <w:szCs w:val="24"/>
          <w:lang w:val="en-GB"/>
        </w:rPr>
        <w:t>on the side of the United Kingdom</w:t>
      </w:r>
      <w:r w:rsidR="00931C72">
        <w:rPr>
          <w:rFonts w:ascii="Times New Roman" w:eastAsia="Times New Roman" w:hAnsi="Times New Roman"/>
          <w:sz w:val="24"/>
          <w:szCs w:val="24"/>
          <w:lang w:val="en-GB"/>
        </w:rPr>
        <w:t>,</w:t>
      </w:r>
      <w:r w:rsidR="00204A45">
        <w:rPr>
          <w:rFonts w:ascii="Times New Roman" w:eastAsia="Times New Roman" w:hAnsi="Times New Roman"/>
          <w:sz w:val="24"/>
          <w:szCs w:val="24"/>
          <w:lang w:val="en-GB"/>
        </w:rPr>
        <w:t xml:space="preserve"> and in line with the Conclusions of the European Council (Article 50) on 13 December, </w:t>
      </w:r>
      <w:r w:rsidR="00A438F2">
        <w:rPr>
          <w:rFonts w:ascii="Times New Roman" w:eastAsia="Times New Roman" w:hAnsi="Times New Roman"/>
          <w:sz w:val="24"/>
          <w:szCs w:val="24"/>
          <w:lang w:val="en-GB"/>
        </w:rPr>
        <w:t xml:space="preserve">the Commission </w:t>
      </w:r>
      <w:r w:rsidR="00903F4C">
        <w:rPr>
          <w:rFonts w:ascii="Times New Roman" w:eastAsia="Times New Roman" w:hAnsi="Times New Roman"/>
          <w:sz w:val="24"/>
          <w:szCs w:val="24"/>
          <w:lang w:val="en-GB"/>
        </w:rPr>
        <w:t xml:space="preserve">is </w:t>
      </w:r>
      <w:r w:rsidR="00204A45">
        <w:rPr>
          <w:rFonts w:ascii="Times New Roman" w:eastAsia="Times New Roman" w:hAnsi="Times New Roman"/>
          <w:sz w:val="24"/>
          <w:szCs w:val="24"/>
          <w:lang w:val="en-GB"/>
        </w:rPr>
        <w:t>proceed</w:t>
      </w:r>
      <w:r w:rsidR="00903F4C">
        <w:rPr>
          <w:rFonts w:ascii="Times New Roman" w:eastAsia="Times New Roman" w:hAnsi="Times New Roman"/>
          <w:sz w:val="24"/>
          <w:szCs w:val="24"/>
          <w:lang w:val="en-GB"/>
        </w:rPr>
        <w:t>ing urgently</w:t>
      </w:r>
      <w:r w:rsidR="00204A45">
        <w:rPr>
          <w:rFonts w:ascii="Times New Roman" w:eastAsia="Times New Roman" w:hAnsi="Times New Roman"/>
          <w:sz w:val="24"/>
          <w:szCs w:val="24"/>
          <w:lang w:val="en-GB"/>
        </w:rPr>
        <w:t xml:space="preserve"> with the </w:t>
      </w:r>
      <w:r w:rsidR="00A66AA0">
        <w:rPr>
          <w:rFonts w:ascii="Times New Roman" w:eastAsia="Times New Roman" w:hAnsi="Times New Roman"/>
          <w:sz w:val="24"/>
          <w:szCs w:val="24"/>
          <w:lang w:val="en-GB"/>
        </w:rPr>
        <w:t>implementation of its</w:t>
      </w:r>
      <w:r w:rsidR="00931C72">
        <w:rPr>
          <w:rFonts w:ascii="Times New Roman" w:eastAsia="Times New Roman" w:hAnsi="Times New Roman"/>
          <w:sz w:val="24"/>
          <w:szCs w:val="24"/>
          <w:lang w:val="en-GB"/>
        </w:rPr>
        <w:t xml:space="preserve"> </w:t>
      </w:r>
      <w:r w:rsidR="00A438F2">
        <w:rPr>
          <w:rFonts w:ascii="Times New Roman" w:eastAsia="Times New Roman" w:hAnsi="Times New Roman"/>
          <w:sz w:val="24"/>
          <w:szCs w:val="24"/>
          <w:lang w:val="en-GB"/>
        </w:rPr>
        <w:t xml:space="preserve">Contingency Action </w:t>
      </w:r>
      <w:r w:rsidR="004D245A">
        <w:rPr>
          <w:rFonts w:ascii="Times New Roman" w:eastAsia="Times New Roman" w:hAnsi="Times New Roman"/>
          <w:sz w:val="24"/>
          <w:szCs w:val="24"/>
          <w:lang w:val="en-GB"/>
        </w:rPr>
        <w:t>Plan</w:t>
      </w:r>
      <w:r w:rsidR="00204A45">
        <w:rPr>
          <w:rFonts w:ascii="Times New Roman" w:eastAsia="Times New Roman" w:hAnsi="Times New Roman"/>
          <w:sz w:val="24"/>
          <w:szCs w:val="24"/>
          <w:lang w:val="en-GB"/>
        </w:rPr>
        <w:t xml:space="preserve">. The Commission has adopted today all the legislative </w:t>
      </w:r>
      <w:r w:rsidR="00CD452B">
        <w:rPr>
          <w:rFonts w:ascii="Times New Roman" w:eastAsia="Times New Roman" w:hAnsi="Times New Roman"/>
          <w:sz w:val="24"/>
          <w:szCs w:val="24"/>
          <w:lang w:val="en-GB"/>
        </w:rPr>
        <w:t xml:space="preserve">proposals </w:t>
      </w:r>
      <w:r w:rsidR="00204A45">
        <w:rPr>
          <w:rFonts w:ascii="Times New Roman" w:eastAsia="Times New Roman" w:hAnsi="Times New Roman"/>
          <w:sz w:val="24"/>
          <w:szCs w:val="24"/>
          <w:lang w:val="en-GB"/>
        </w:rPr>
        <w:t>and delegated acts</w:t>
      </w:r>
      <w:r w:rsidR="00903F4C">
        <w:rPr>
          <w:rFonts w:ascii="Times New Roman" w:eastAsia="Times New Roman" w:hAnsi="Times New Roman"/>
          <w:sz w:val="24"/>
          <w:szCs w:val="24"/>
          <w:lang w:val="en-GB"/>
        </w:rPr>
        <w:t xml:space="preserve"> which it announced in that </w:t>
      </w:r>
      <w:r w:rsidR="00563881">
        <w:rPr>
          <w:rFonts w:ascii="Times New Roman" w:eastAsia="Times New Roman" w:hAnsi="Times New Roman"/>
          <w:sz w:val="24"/>
          <w:szCs w:val="24"/>
          <w:lang w:val="en-GB"/>
        </w:rPr>
        <w:t>Action Plan</w:t>
      </w:r>
      <w:r w:rsidR="00204A45">
        <w:rPr>
          <w:rStyle w:val="FootnoteReference"/>
          <w:rFonts w:ascii="Times New Roman" w:eastAsia="Times New Roman" w:hAnsi="Times New Roman"/>
          <w:lang w:val="en-GB"/>
        </w:rPr>
        <w:footnoteReference w:id="9"/>
      </w:r>
      <w:r w:rsidR="004D2CAC">
        <w:rPr>
          <w:rFonts w:ascii="Times New Roman" w:eastAsia="Times New Roman" w:hAnsi="Times New Roman"/>
          <w:sz w:val="24"/>
          <w:szCs w:val="24"/>
          <w:lang w:val="en-GB"/>
        </w:rPr>
        <w:t xml:space="preserve">. The </w:t>
      </w:r>
      <w:r w:rsidR="00CD452B">
        <w:rPr>
          <w:rFonts w:ascii="Times New Roman" w:eastAsia="Times New Roman" w:hAnsi="Times New Roman"/>
          <w:sz w:val="24"/>
          <w:szCs w:val="24"/>
          <w:lang w:val="en-GB"/>
        </w:rPr>
        <w:t xml:space="preserve">remaining </w:t>
      </w:r>
      <w:r w:rsidR="00C07070">
        <w:rPr>
          <w:rFonts w:ascii="Times New Roman" w:eastAsia="Times New Roman" w:hAnsi="Times New Roman"/>
          <w:sz w:val="24"/>
          <w:szCs w:val="24"/>
          <w:lang w:val="en-GB"/>
        </w:rPr>
        <w:t xml:space="preserve">draft implementing </w:t>
      </w:r>
      <w:r w:rsidR="004D2CAC">
        <w:rPr>
          <w:rFonts w:ascii="Times New Roman" w:eastAsia="Times New Roman" w:hAnsi="Times New Roman"/>
          <w:sz w:val="24"/>
          <w:szCs w:val="24"/>
          <w:lang w:val="en-GB"/>
        </w:rPr>
        <w:t xml:space="preserve">acts </w:t>
      </w:r>
      <w:r w:rsidR="00903F4C">
        <w:rPr>
          <w:rFonts w:ascii="Times New Roman" w:eastAsia="Times New Roman" w:hAnsi="Times New Roman"/>
          <w:sz w:val="24"/>
          <w:szCs w:val="24"/>
          <w:lang w:val="en-GB"/>
        </w:rPr>
        <w:t xml:space="preserve">which it announced </w:t>
      </w:r>
      <w:r w:rsidR="004D2CAC">
        <w:rPr>
          <w:rFonts w:ascii="Times New Roman" w:eastAsia="Times New Roman" w:hAnsi="Times New Roman"/>
          <w:sz w:val="24"/>
          <w:szCs w:val="24"/>
          <w:lang w:val="en-GB"/>
        </w:rPr>
        <w:t>will be ready</w:t>
      </w:r>
      <w:r w:rsidR="00C07070">
        <w:rPr>
          <w:rFonts w:ascii="Times New Roman" w:eastAsia="Times New Roman" w:hAnsi="Times New Roman"/>
          <w:sz w:val="24"/>
          <w:szCs w:val="24"/>
          <w:lang w:val="en-GB"/>
        </w:rPr>
        <w:t xml:space="preserve"> by 15 February 2019 at the latest, </w:t>
      </w:r>
      <w:r w:rsidR="004D2CAC">
        <w:rPr>
          <w:rFonts w:ascii="Times New Roman" w:eastAsia="Times New Roman" w:hAnsi="Times New Roman"/>
          <w:sz w:val="24"/>
          <w:szCs w:val="24"/>
          <w:lang w:val="en-GB"/>
        </w:rPr>
        <w:t>to allow for a vote in the competent committees</w:t>
      </w:r>
      <w:r w:rsidR="00903F4C">
        <w:rPr>
          <w:rFonts w:ascii="Times New Roman" w:eastAsia="Times New Roman" w:hAnsi="Times New Roman"/>
          <w:sz w:val="24"/>
          <w:szCs w:val="24"/>
          <w:lang w:val="en-GB"/>
        </w:rPr>
        <w:t xml:space="preserve"> in good time</w:t>
      </w:r>
      <w:r w:rsidR="00C07070">
        <w:rPr>
          <w:rFonts w:ascii="Times New Roman" w:eastAsia="Times New Roman" w:hAnsi="Times New Roman"/>
          <w:sz w:val="24"/>
          <w:szCs w:val="24"/>
          <w:lang w:val="en-GB"/>
        </w:rPr>
        <w:t>.</w:t>
      </w:r>
    </w:p>
    <w:p w:rsidR="009E46EF" w:rsidRDefault="00365507" w:rsidP="00002C85">
      <w:pPr>
        <w:spacing w:before="360" w:after="200"/>
        <w:contextualSpacing/>
        <w:jc w:val="both"/>
        <w:rPr>
          <w:rFonts w:ascii="Times New Roman" w:eastAsia="Times New Roman" w:hAnsi="Times New Roman"/>
          <w:sz w:val="24"/>
          <w:szCs w:val="24"/>
          <w:lang w:val="en-GB"/>
        </w:rPr>
      </w:pPr>
      <w:r>
        <w:rPr>
          <w:rFonts w:ascii="Times New Roman" w:eastAsia="Times New Roman" w:hAnsi="Times New Roman"/>
          <w:sz w:val="24"/>
          <w:szCs w:val="24"/>
          <w:lang w:val="en-GB"/>
        </w:rPr>
        <w:t>In parallel</w:t>
      </w:r>
      <w:r w:rsidR="004D2CAC">
        <w:rPr>
          <w:rFonts w:ascii="Times New Roman" w:eastAsia="Times New Roman" w:hAnsi="Times New Roman"/>
          <w:sz w:val="24"/>
          <w:szCs w:val="24"/>
          <w:lang w:val="en-GB"/>
        </w:rPr>
        <w:t>, t</w:t>
      </w:r>
      <w:r w:rsidR="0047199F">
        <w:rPr>
          <w:rFonts w:ascii="Times New Roman" w:eastAsia="Times New Roman" w:hAnsi="Times New Roman"/>
          <w:sz w:val="24"/>
          <w:szCs w:val="24"/>
          <w:lang w:val="en-GB"/>
        </w:rPr>
        <w:t xml:space="preserve">he Commission has </w:t>
      </w:r>
      <w:r w:rsidR="00C07070">
        <w:rPr>
          <w:rFonts w:ascii="Times New Roman" w:eastAsia="Times New Roman" w:hAnsi="Times New Roman"/>
          <w:sz w:val="24"/>
          <w:szCs w:val="24"/>
          <w:lang w:val="en-GB"/>
        </w:rPr>
        <w:t xml:space="preserve">also </w:t>
      </w:r>
      <w:r w:rsidR="0047199F">
        <w:rPr>
          <w:rFonts w:ascii="Times New Roman" w:eastAsia="Times New Roman" w:hAnsi="Times New Roman"/>
          <w:sz w:val="24"/>
          <w:szCs w:val="24"/>
          <w:lang w:val="en-GB"/>
        </w:rPr>
        <w:t>continued to work closely with Member States to coordinate planning at EU and at national level.</w:t>
      </w:r>
      <w:r w:rsidR="003C2B04">
        <w:rPr>
          <w:rFonts w:ascii="Times New Roman" w:eastAsia="Times New Roman" w:hAnsi="Times New Roman"/>
          <w:sz w:val="24"/>
          <w:szCs w:val="24"/>
          <w:lang w:val="en-GB"/>
        </w:rPr>
        <w:t xml:space="preserve"> </w:t>
      </w:r>
      <w:r w:rsidR="004866E8">
        <w:rPr>
          <w:rFonts w:ascii="Times New Roman" w:eastAsia="Times New Roman" w:hAnsi="Times New Roman"/>
          <w:sz w:val="24"/>
          <w:szCs w:val="24"/>
          <w:lang w:val="en-GB"/>
        </w:rPr>
        <w:t>Th</w:t>
      </w:r>
      <w:r w:rsidR="003C2B04">
        <w:rPr>
          <w:rFonts w:ascii="Times New Roman" w:eastAsia="Times New Roman" w:hAnsi="Times New Roman"/>
          <w:sz w:val="24"/>
          <w:szCs w:val="24"/>
          <w:lang w:val="en-GB"/>
        </w:rPr>
        <w:t xml:space="preserve">e package of </w:t>
      </w:r>
      <w:r w:rsidR="0096741F">
        <w:rPr>
          <w:rFonts w:ascii="Times New Roman" w:eastAsia="Times New Roman" w:hAnsi="Times New Roman"/>
          <w:sz w:val="24"/>
          <w:szCs w:val="24"/>
          <w:lang w:val="en-GB"/>
        </w:rPr>
        <w:t>measures</w:t>
      </w:r>
      <w:r w:rsidR="005A2D3A">
        <w:rPr>
          <w:rFonts w:ascii="Times New Roman" w:eastAsia="Times New Roman" w:hAnsi="Times New Roman"/>
          <w:sz w:val="24"/>
          <w:szCs w:val="24"/>
          <w:lang w:val="en-GB"/>
        </w:rPr>
        <w:t xml:space="preserve"> adopted by</w:t>
      </w:r>
      <w:r w:rsidR="0096741F">
        <w:rPr>
          <w:rFonts w:ascii="Times New Roman" w:eastAsia="Times New Roman" w:hAnsi="Times New Roman"/>
          <w:sz w:val="24"/>
          <w:szCs w:val="24"/>
          <w:lang w:val="en-GB"/>
        </w:rPr>
        <w:t xml:space="preserve"> the Commission </w:t>
      </w:r>
      <w:r w:rsidR="00AF6053">
        <w:rPr>
          <w:rFonts w:ascii="Times New Roman" w:eastAsia="Times New Roman" w:hAnsi="Times New Roman"/>
          <w:sz w:val="24"/>
          <w:szCs w:val="24"/>
          <w:lang w:val="en-GB"/>
        </w:rPr>
        <w:t xml:space="preserve">and described in this Communication </w:t>
      </w:r>
      <w:r w:rsidR="003C2B04">
        <w:rPr>
          <w:rFonts w:ascii="Times New Roman" w:eastAsia="Times New Roman" w:hAnsi="Times New Roman"/>
          <w:sz w:val="24"/>
          <w:szCs w:val="24"/>
          <w:lang w:val="en-GB"/>
        </w:rPr>
        <w:t>tak</w:t>
      </w:r>
      <w:r w:rsidR="0096741F">
        <w:rPr>
          <w:rFonts w:ascii="Times New Roman" w:eastAsia="Times New Roman" w:hAnsi="Times New Roman"/>
          <w:sz w:val="24"/>
          <w:szCs w:val="24"/>
          <w:lang w:val="en-GB"/>
        </w:rPr>
        <w:t>es</w:t>
      </w:r>
      <w:r w:rsidR="003C2B04">
        <w:rPr>
          <w:rFonts w:ascii="Times New Roman" w:eastAsia="Times New Roman" w:hAnsi="Times New Roman"/>
          <w:sz w:val="24"/>
          <w:szCs w:val="24"/>
          <w:lang w:val="en-GB"/>
        </w:rPr>
        <w:t xml:space="preserve"> into account </w:t>
      </w:r>
      <w:r w:rsidR="001606F1">
        <w:rPr>
          <w:rFonts w:ascii="Times New Roman" w:eastAsia="Times New Roman" w:hAnsi="Times New Roman"/>
          <w:sz w:val="24"/>
          <w:szCs w:val="24"/>
          <w:lang w:val="en-GB"/>
        </w:rPr>
        <w:t xml:space="preserve">discussions with </w:t>
      </w:r>
      <w:r w:rsidR="003C2B04">
        <w:rPr>
          <w:rFonts w:ascii="Times New Roman" w:eastAsia="Times New Roman" w:hAnsi="Times New Roman"/>
          <w:sz w:val="24"/>
          <w:szCs w:val="24"/>
          <w:lang w:val="en-GB"/>
        </w:rPr>
        <w:t>Member States</w:t>
      </w:r>
      <w:r w:rsidR="0051398A">
        <w:rPr>
          <w:rStyle w:val="FootnoteReference"/>
          <w:rFonts w:ascii="Times New Roman" w:eastAsia="Times New Roman" w:hAnsi="Times New Roman"/>
          <w:lang w:val="en-GB"/>
        </w:rPr>
        <w:footnoteReference w:id="10"/>
      </w:r>
      <w:r w:rsidR="003C2B04">
        <w:rPr>
          <w:rFonts w:ascii="Times New Roman" w:eastAsia="Times New Roman" w:hAnsi="Times New Roman"/>
          <w:sz w:val="24"/>
          <w:szCs w:val="24"/>
          <w:lang w:val="en-GB"/>
        </w:rPr>
        <w:t xml:space="preserve">. </w:t>
      </w:r>
      <w:r w:rsidR="00E45D0A">
        <w:rPr>
          <w:rFonts w:ascii="Times New Roman" w:eastAsia="Times New Roman" w:hAnsi="Times New Roman"/>
          <w:sz w:val="24"/>
          <w:szCs w:val="24"/>
          <w:lang w:val="en-GB"/>
        </w:rPr>
        <w:t xml:space="preserve">This action </w:t>
      </w:r>
      <w:r w:rsidR="005A2D3A">
        <w:rPr>
          <w:rFonts w:ascii="Times New Roman" w:eastAsia="Times New Roman" w:hAnsi="Times New Roman"/>
          <w:sz w:val="24"/>
          <w:szCs w:val="24"/>
          <w:lang w:val="en-GB"/>
        </w:rPr>
        <w:t xml:space="preserve">comes </w:t>
      </w:r>
      <w:r w:rsidR="00C07070">
        <w:rPr>
          <w:rFonts w:ascii="Times New Roman" w:eastAsia="Times New Roman" w:hAnsi="Times New Roman"/>
          <w:sz w:val="24"/>
          <w:szCs w:val="24"/>
          <w:lang w:val="en-GB"/>
        </w:rPr>
        <w:t xml:space="preserve">in addition </w:t>
      </w:r>
      <w:r w:rsidR="00E45D0A">
        <w:rPr>
          <w:rFonts w:ascii="Times New Roman" w:eastAsia="Times New Roman" w:hAnsi="Times New Roman"/>
          <w:sz w:val="24"/>
          <w:szCs w:val="24"/>
          <w:lang w:val="en-GB"/>
        </w:rPr>
        <w:t>to the preparedness measures that have already been taken, as set out in the second preparedness Communication.</w:t>
      </w:r>
    </w:p>
    <w:p w:rsidR="00944029" w:rsidRDefault="00944029" w:rsidP="003C2B04">
      <w:pPr>
        <w:spacing w:before="360" w:after="200"/>
        <w:contextualSpacing/>
        <w:jc w:val="both"/>
        <w:rPr>
          <w:rFonts w:ascii="Times New Roman" w:eastAsia="Times New Roman" w:hAnsi="Times New Roman"/>
          <w:sz w:val="24"/>
          <w:szCs w:val="24"/>
          <w:lang w:val="en-GB"/>
        </w:rPr>
      </w:pPr>
    </w:p>
    <w:p w:rsidR="00A72795" w:rsidRDefault="00944029" w:rsidP="003C2B04">
      <w:pPr>
        <w:spacing w:before="360" w:after="200"/>
        <w:contextualSpacing/>
        <w:jc w:val="both"/>
        <w:rPr>
          <w:rFonts w:ascii="Times New Roman" w:eastAsia="Times New Roman" w:hAnsi="Times New Roman"/>
          <w:sz w:val="24"/>
          <w:szCs w:val="24"/>
          <w:lang w:val="en-GB"/>
        </w:rPr>
      </w:pPr>
      <w:r>
        <w:rPr>
          <w:rFonts w:ascii="Times New Roman" w:eastAsia="Times New Roman" w:hAnsi="Times New Roman"/>
          <w:sz w:val="24"/>
          <w:szCs w:val="24"/>
          <w:lang w:val="en-GB"/>
        </w:rPr>
        <w:t>The Commission calls on the European Parliament</w:t>
      </w:r>
      <w:r w:rsidR="004D2CAC">
        <w:rPr>
          <w:rFonts w:ascii="Times New Roman" w:eastAsia="Times New Roman" w:hAnsi="Times New Roman"/>
          <w:sz w:val="24"/>
          <w:szCs w:val="24"/>
          <w:lang w:val="en-GB"/>
        </w:rPr>
        <w:t xml:space="preserve"> and on</w:t>
      </w:r>
      <w:r w:rsidR="00A72795">
        <w:rPr>
          <w:rFonts w:ascii="Times New Roman" w:eastAsia="Times New Roman" w:hAnsi="Times New Roman"/>
          <w:sz w:val="24"/>
          <w:szCs w:val="24"/>
          <w:lang w:val="en-GB"/>
        </w:rPr>
        <w:t xml:space="preserve"> the Council</w:t>
      </w:r>
      <w:r>
        <w:rPr>
          <w:rFonts w:ascii="Times New Roman" w:eastAsia="Times New Roman" w:hAnsi="Times New Roman"/>
          <w:sz w:val="24"/>
          <w:szCs w:val="24"/>
          <w:lang w:val="en-GB"/>
        </w:rPr>
        <w:t xml:space="preserve"> to </w:t>
      </w:r>
      <w:r w:rsidR="004D2CAC">
        <w:rPr>
          <w:rFonts w:ascii="Times New Roman" w:eastAsia="Times New Roman" w:hAnsi="Times New Roman"/>
          <w:sz w:val="24"/>
          <w:szCs w:val="24"/>
          <w:lang w:val="en-GB"/>
        </w:rPr>
        <w:t xml:space="preserve">adopt </w:t>
      </w:r>
      <w:r>
        <w:rPr>
          <w:rFonts w:ascii="Times New Roman" w:eastAsia="Times New Roman" w:hAnsi="Times New Roman"/>
          <w:sz w:val="24"/>
          <w:szCs w:val="24"/>
          <w:lang w:val="en-GB"/>
        </w:rPr>
        <w:t>the proposals as a matter of urgency</w:t>
      </w:r>
      <w:r w:rsidR="001606F1">
        <w:rPr>
          <w:rFonts w:ascii="Times New Roman" w:eastAsia="Times New Roman" w:hAnsi="Times New Roman"/>
          <w:sz w:val="24"/>
          <w:szCs w:val="24"/>
          <w:lang w:val="en-GB"/>
        </w:rPr>
        <w:t>. Member States should accelerate their work</w:t>
      </w:r>
      <w:r w:rsidR="004D2CAC">
        <w:rPr>
          <w:rFonts w:ascii="Times New Roman" w:eastAsia="Times New Roman" w:hAnsi="Times New Roman"/>
          <w:sz w:val="24"/>
          <w:szCs w:val="24"/>
          <w:lang w:val="en-GB"/>
        </w:rPr>
        <w:t xml:space="preserve"> </w:t>
      </w:r>
      <w:r w:rsidR="00162F5F">
        <w:rPr>
          <w:rFonts w:ascii="Times New Roman" w:eastAsia="Times New Roman" w:hAnsi="Times New Roman"/>
          <w:sz w:val="24"/>
          <w:szCs w:val="24"/>
          <w:lang w:val="en-GB"/>
        </w:rPr>
        <w:t xml:space="preserve">to </w:t>
      </w:r>
      <w:r>
        <w:rPr>
          <w:rFonts w:ascii="Times New Roman" w:eastAsia="Times New Roman" w:hAnsi="Times New Roman"/>
          <w:sz w:val="24"/>
          <w:szCs w:val="24"/>
          <w:lang w:val="en-GB"/>
        </w:rPr>
        <w:t>prepar</w:t>
      </w:r>
      <w:r w:rsidR="00162F5F">
        <w:rPr>
          <w:rFonts w:ascii="Times New Roman" w:eastAsia="Times New Roman" w:hAnsi="Times New Roman"/>
          <w:sz w:val="24"/>
          <w:szCs w:val="24"/>
          <w:lang w:val="en-GB"/>
        </w:rPr>
        <w:t>e</w:t>
      </w:r>
      <w:r>
        <w:rPr>
          <w:rFonts w:ascii="Times New Roman" w:eastAsia="Times New Roman" w:hAnsi="Times New Roman"/>
          <w:sz w:val="24"/>
          <w:szCs w:val="24"/>
          <w:lang w:val="en-GB"/>
        </w:rPr>
        <w:t xml:space="preserve"> for all scenarios </w:t>
      </w:r>
      <w:r w:rsidR="008F535F">
        <w:rPr>
          <w:rFonts w:ascii="Times New Roman" w:eastAsia="Times New Roman" w:hAnsi="Times New Roman"/>
          <w:sz w:val="24"/>
          <w:szCs w:val="24"/>
          <w:lang w:val="en-GB"/>
        </w:rPr>
        <w:t>for</w:t>
      </w:r>
      <w:r>
        <w:rPr>
          <w:rFonts w:ascii="Times New Roman" w:eastAsia="Times New Roman" w:hAnsi="Times New Roman"/>
          <w:sz w:val="24"/>
          <w:szCs w:val="24"/>
          <w:lang w:val="en-GB"/>
        </w:rPr>
        <w:t xml:space="preserve"> the United Kingdom’s departure. </w:t>
      </w:r>
    </w:p>
    <w:p w:rsidR="00A72795" w:rsidRDefault="00A72795" w:rsidP="00002C85">
      <w:pPr>
        <w:spacing w:before="360" w:after="200"/>
        <w:contextualSpacing/>
        <w:jc w:val="both"/>
        <w:rPr>
          <w:rFonts w:ascii="Times New Roman" w:eastAsia="Times New Roman" w:hAnsi="Times New Roman"/>
          <w:sz w:val="24"/>
          <w:szCs w:val="24"/>
          <w:lang w:val="en-GB"/>
        </w:rPr>
      </w:pPr>
    </w:p>
    <w:p w:rsidR="00944029" w:rsidRDefault="00944029" w:rsidP="003C2B04">
      <w:pPr>
        <w:spacing w:before="360" w:after="200"/>
        <w:contextualSpacing/>
        <w:jc w:val="both"/>
        <w:rPr>
          <w:rFonts w:ascii="Times New Roman" w:eastAsia="Times New Roman" w:hAnsi="Times New Roman"/>
          <w:sz w:val="24"/>
          <w:szCs w:val="24"/>
          <w:lang w:val="en-GB"/>
        </w:rPr>
      </w:pPr>
      <w:r>
        <w:rPr>
          <w:rFonts w:ascii="Times New Roman" w:eastAsia="Times New Roman" w:hAnsi="Times New Roman"/>
          <w:sz w:val="24"/>
          <w:szCs w:val="24"/>
          <w:lang w:val="en-GB"/>
        </w:rPr>
        <w:t>The Commission also calls on Member States to refrain from entering into bilateral agreements, arrangements and discussions with the United Kingdom</w:t>
      </w:r>
      <w:r w:rsidR="008F535F">
        <w:rPr>
          <w:rFonts w:ascii="Times New Roman" w:eastAsia="Times New Roman" w:hAnsi="Times New Roman"/>
          <w:sz w:val="24"/>
          <w:szCs w:val="24"/>
          <w:lang w:val="en-GB"/>
        </w:rPr>
        <w:t xml:space="preserve">. These </w:t>
      </w:r>
      <w:r>
        <w:rPr>
          <w:rFonts w:ascii="Times New Roman" w:eastAsia="Times New Roman" w:hAnsi="Times New Roman"/>
          <w:sz w:val="24"/>
          <w:szCs w:val="24"/>
          <w:lang w:val="en-GB"/>
        </w:rPr>
        <w:t xml:space="preserve">would </w:t>
      </w:r>
      <w:r w:rsidR="00A72795">
        <w:rPr>
          <w:rFonts w:ascii="Times New Roman" w:eastAsia="Times New Roman" w:hAnsi="Times New Roman"/>
          <w:sz w:val="24"/>
          <w:szCs w:val="24"/>
          <w:lang w:val="en-GB"/>
        </w:rPr>
        <w:t>underm</w:t>
      </w:r>
      <w:r w:rsidR="005A2D3A">
        <w:rPr>
          <w:rFonts w:ascii="Times New Roman" w:eastAsia="Times New Roman" w:hAnsi="Times New Roman"/>
          <w:sz w:val="24"/>
          <w:szCs w:val="24"/>
          <w:lang w:val="en-GB"/>
        </w:rPr>
        <w:t>ine</w:t>
      </w:r>
      <w:r w:rsidR="00A72795">
        <w:rPr>
          <w:rFonts w:ascii="Times New Roman" w:eastAsia="Times New Roman" w:hAnsi="Times New Roman"/>
          <w:sz w:val="24"/>
          <w:szCs w:val="24"/>
          <w:lang w:val="en-GB"/>
        </w:rPr>
        <w:t xml:space="preserve"> </w:t>
      </w:r>
      <w:r w:rsidR="005A2D3A">
        <w:rPr>
          <w:rFonts w:ascii="Times New Roman" w:eastAsia="Times New Roman" w:hAnsi="Times New Roman"/>
          <w:sz w:val="24"/>
          <w:szCs w:val="24"/>
          <w:lang w:val="en-GB"/>
        </w:rPr>
        <w:t>the ratification process</w:t>
      </w:r>
      <w:r w:rsidR="008F535F">
        <w:rPr>
          <w:rFonts w:ascii="Times New Roman" w:eastAsia="Times New Roman" w:hAnsi="Times New Roman"/>
          <w:sz w:val="24"/>
          <w:szCs w:val="24"/>
          <w:lang w:val="en-GB"/>
        </w:rPr>
        <w:t>, in most cases would not be compatible with Union law, and would risk creating an un</w:t>
      </w:r>
      <w:r w:rsidR="00B65E87">
        <w:rPr>
          <w:rFonts w:ascii="Times New Roman" w:eastAsia="Times New Roman" w:hAnsi="Times New Roman"/>
          <w:sz w:val="24"/>
          <w:szCs w:val="24"/>
          <w:lang w:val="en-GB"/>
        </w:rPr>
        <w:t xml:space="preserve">even </w:t>
      </w:r>
      <w:r w:rsidR="008F535F">
        <w:rPr>
          <w:rFonts w:ascii="Times New Roman" w:eastAsia="Times New Roman" w:hAnsi="Times New Roman"/>
          <w:sz w:val="24"/>
          <w:szCs w:val="24"/>
          <w:lang w:val="en-GB"/>
        </w:rPr>
        <w:t>level playing field among Member States. They would also complicate</w:t>
      </w:r>
      <w:r w:rsidR="005A2D3A">
        <w:rPr>
          <w:rFonts w:ascii="Times New Roman" w:eastAsia="Times New Roman" w:hAnsi="Times New Roman"/>
          <w:sz w:val="24"/>
          <w:szCs w:val="24"/>
          <w:lang w:val="en-GB"/>
        </w:rPr>
        <w:t xml:space="preserve"> </w:t>
      </w:r>
      <w:r w:rsidR="00A72795">
        <w:rPr>
          <w:rFonts w:ascii="Times New Roman" w:eastAsia="Times New Roman" w:hAnsi="Times New Roman"/>
          <w:sz w:val="24"/>
          <w:szCs w:val="24"/>
          <w:lang w:val="en-GB"/>
        </w:rPr>
        <w:t>the</w:t>
      </w:r>
      <w:r>
        <w:rPr>
          <w:rFonts w:ascii="Times New Roman" w:eastAsia="Times New Roman" w:hAnsi="Times New Roman"/>
          <w:sz w:val="24"/>
          <w:szCs w:val="24"/>
          <w:lang w:val="en-GB"/>
        </w:rPr>
        <w:t xml:space="preserve"> Union’s </w:t>
      </w:r>
      <w:r w:rsidR="004D2CAC">
        <w:rPr>
          <w:rFonts w:ascii="Times New Roman" w:eastAsia="Times New Roman" w:hAnsi="Times New Roman"/>
          <w:sz w:val="24"/>
          <w:szCs w:val="24"/>
          <w:lang w:val="en-GB"/>
        </w:rPr>
        <w:t xml:space="preserve">future </w:t>
      </w:r>
      <w:r>
        <w:rPr>
          <w:rFonts w:ascii="Times New Roman" w:eastAsia="Times New Roman" w:hAnsi="Times New Roman"/>
          <w:sz w:val="24"/>
          <w:szCs w:val="24"/>
          <w:lang w:val="en-GB"/>
        </w:rPr>
        <w:t xml:space="preserve">negotiations </w:t>
      </w:r>
      <w:r w:rsidR="004D2CAC">
        <w:rPr>
          <w:rFonts w:ascii="Times New Roman" w:eastAsia="Times New Roman" w:hAnsi="Times New Roman"/>
          <w:sz w:val="24"/>
          <w:szCs w:val="24"/>
          <w:lang w:val="en-GB"/>
        </w:rPr>
        <w:t>on</w:t>
      </w:r>
      <w:r>
        <w:rPr>
          <w:rFonts w:ascii="Times New Roman" w:eastAsia="Times New Roman" w:hAnsi="Times New Roman"/>
          <w:sz w:val="24"/>
          <w:szCs w:val="24"/>
          <w:lang w:val="en-GB"/>
        </w:rPr>
        <w:t xml:space="preserve"> a </w:t>
      </w:r>
      <w:r w:rsidR="004D2CAC">
        <w:rPr>
          <w:rFonts w:ascii="Times New Roman" w:eastAsia="Times New Roman" w:hAnsi="Times New Roman"/>
          <w:sz w:val="24"/>
          <w:szCs w:val="24"/>
          <w:lang w:val="en-GB"/>
        </w:rPr>
        <w:t xml:space="preserve">new partnership </w:t>
      </w:r>
      <w:r>
        <w:rPr>
          <w:rFonts w:ascii="Times New Roman" w:eastAsia="Times New Roman" w:hAnsi="Times New Roman"/>
          <w:sz w:val="24"/>
          <w:szCs w:val="24"/>
          <w:lang w:val="en-GB"/>
        </w:rPr>
        <w:t xml:space="preserve">with the United Kingdom. </w:t>
      </w:r>
      <w:r w:rsidR="008F535F">
        <w:rPr>
          <w:rFonts w:ascii="Times New Roman" w:eastAsia="Times New Roman" w:hAnsi="Times New Roman"/>
          <w:sz w:val="24"/>
          <w:szCs w:val="24"/>
          <w:lang w:val="en-GB"/>
        </w:rPr>
        <w:t xml:space="preserve">As </w:t>
      </w:r>
      <w:r w:rsidR="001606F1">
        <w:rPr>
          <w:rFonts w:ascii="Times New Roman" w:eastAsia="Times New Roman" w:hAnsi="Times New Roman"/>
          <w:sz w:val="24"/>
          <w:szCs w:val="24"/>
          <w:lang w:val="en-GB"/>
        </w:rPr>
        <w:t xml:space="preserve">was the case </w:t>
      </w:r>
      <w:r w:rsidR="008F535F">
        <w:rPr>
          <w:rFonts w:ascii="Times New Roman" w:eastAsia="Times New Roman" w:hAnsi="Times New Roman"/>
          <w:sz w:val="24"/>
          <w:szCs w:val="24"/>
          <w:lang w:val="en-GB"/>
        </w:rPr>
        <w:t xml:space="preserve">for the Withdrawal Agreement, </w:t>
      </w:r>
      <w:r w:rsidR="001606F1">
        <w:rPr>
          <w:rFonts w:ascii="Times New Roman" w:eastAsia="Times New Roman" w:hAnsi="Times New Roman"/>
          <w:sz w:val="24"/>
          <w:szCs w:val="24"/>
          <w:lang w:val="en-GB"/>
        </w:rPr>
        <w:t xml:space="preserve">it is essential to continue with a </w:t>
      </w:r>
      <w:r w:rsidR="008F535F">
        <w:rPr>
          <w:rFonts w:ascii="Times New Roman" w:eastAsia="Times New Roman" w:hAnsi="Times New Roman"/>
          <w:sz w:val="24"/>
          <w:szCs w:val="24"/>
          <w:lang w:val="en-GB"/>
        </w:rPr>
        <w:t xml:space="preserve">united approach to preparedness and contingency work. </w:t>
      </w:r>
    </w:p>
    <w:p w:rsidR="00F56CBC" w:rsidRDefault="009E46EF" w:rsidP="00463704">
      <w:pPr>
        <w:pStyle w:val="NormalWeb"/>
        <w:keepNext/>
        <w:numPr>
          <w:ilvl w:val="0"/>
          <w:numId w:val="41"/>
        </w:numPr>
        <w:spacing w:before="480" w:after="240"/>
        <w:ind w:left="714" w:hanging="357"/>
        <w:jc w:val="both"/>
        <w:rPr>
          <w:b/>
          <w:lang w:val="en-GB"/>
        </w:rPr>
      </w:pPr>
      <w:r>
        <w:rPr>
          <w:b/>
          <w:lang w:val="en-GB"/>
        </w:rPr>
        <w:t>Taking action</w:t>
      </w:r>
    </w:p>
    <w:p w:rsidR="0047199F" w:rsidRPr="00D90B47" w:rsidRDefault="004D2CAC" w:rsidP="00463704">
      <w:pPr>
        <w:spacing w:after="200"/>
        <w:contextualSpacing/>
        <w:jc w:val="both"/>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As set out in the </w:t>
      </w:r>
      <w:r w:rsidR="00162F5F">
        <w:rPr>
          <w:rFonts w:ascii="Times New Roman" w:eastAsia="Times New Roman" w:hAnsi="Times New Roman"/>
          <w:sz w:val="24"/>
          <w:szCs w:val="24"/>
          <w:lang w:val="en-GB"/>
        </w:rPr>
        <w:t xml:space="preserve">second Brexit preparedness </w:t>
      </w:r>
      <w:r w:rsidR="00B65E87">
        <w:rPr>
          <w:rFonts w:ascii="Times New Roman" w:eastAsia="Times New Roman" w:hAnsi="Times New Roman"/>
          <w:sz w:val="24"/>
          <w:szCs w:val="24"/>
          <w:lang w:val="en-GB"/>
        </w:rPr>
        <w:t>C</w:t>
      </w:r>
      <w:r w:rsidR="007B1BEC">
        <w:rPr>
          <w:rFonts w:ascii="Times New Roman" w:eastAsia="Times New Roman" w:hAnsi="Times New Roman"/>
          <w:sz w:val="24"/>
          <w:szCs w:val="24"/>
          <w:lang w:val="en-GB"/>
        </w:rPr>
        <w:t xml:space="preserve">ommunication, </w:t>
      </w:r>
      <w:r w:rsidR="0047199F" w:rsidRPr="00D90B47">
        <w:rPr>
          <w:rFonts w:ascii="Times New Roman" w:eastAsia="Times New Roman" w:hAnsi="Times New Roman"/>
          <w:sz w:val="24"/>
          <w:szCs w:val="24"/>
          <w:lang w:val="en-GB"/>
        </w:rPr>
        <w:t>contingency measures</w:t>
      </w:r>
      <w:r w:rsidR="00310D0C">
        <w:rPr>
          <w:rStyle w:val="FootnoteReference"/>
          <w:rFonts w:ascii="Times New Roman" w:eastAsia="Times New Roman" w:hAnsi="Times New Roman"/>
          <w:lang w:val="en-GB"/>
        </w:rPr>
        <w:footnoteReference w:id="11"/>
      </w:r>
      <w:r w:rsidR="0047199F" w:rsidRPr="00D90B47">
        <w:rPr>
          <w:rFonts w:ascii="Times New Roman" w:eastAsia="Times New Roman" w:hAnsi="Times New Roman"/>
          <w:sz w:val="24"/>
          <w:szCs w:val="24"/>
          <w:lang w:val="en-GB"/>
        </w:rPr>
        <w:t xml:space="preserve"> adopted at all levels should comply</w:t>
      </w:r>
      <w:r>
        <w:rPr>
          <w:rFonts w:ascii="Times New Roman" w:eastAsia="Times New Roman" w:hAnsi="Times New Roman"/>
          <w:sz w:val="24"/>
          <w:szCs w:val="24"/>
          <w:lang w:val="en-GB"/>
        </w:rPr>
        <w:t xml:space="preserve"> with the following principles</w:t>
      </w:r>
      <w:r w:rsidR="0047199F" w:rsidRPr="00D90B47">
        <w:rPr>
          <w:rFonts w:ascii="Times New Roman" w:eastAsia="Times New Roman" w:hAnsi="Times New Roman"/>
          <w:sz w:val="24"/>
          <w:szCs w:val="24"/>
          <w:lang w:val="en-GB"/>
        </w:rPr>
        <w:t>:</w:t>
      </w:r>
    </w:p>
    <w:p w:rsidR="007B1BEC" w:rsidRPr="00C94BD9" w:rsidRDefault="0047199F" w:rsidP="00C94BD9">
      <w:pPr>
        <w:pStyle w:val="ListParagraph"/>
        <w:numPr>
          <w:ilvl w:val="0"/>
          <w:numId w:val="39"/>
        </w:numPr>
        <w:spacing w:before="360" w:after="200"/>
        <w:contextualSpacing/>
        <w:jc w:val="both"/>
        <w:rPr>
          <w:rFonts w:ascii="Times New Roman" w:eastAsia="Times New Roman" w:hAnsi="Times New Roman"/>
          <w:sz w:val="24"/>
          <w:szCs w:val="24"/>
          <w:lang w:val="en-GB"/>
        </w:rPr>
      </w:pPr>
      <w:r w:rsidRPr="00C94BD9">
        <w:rPr>
          <w:rFonts w:ascii="Times New Roman" w:eastAsia="Times New Roman" w:hAnsi="Times New Roman"/>
          <w:sz w:val="24"/>
          <w:szCs w:val="24"/>
          <w:lang w:val="en-GB"/>
        </w:rPr>
        <w:t>Contingency measures should not replicate the benefits of membership of the Union, nor the terms of any transition period, as provided for in the draft Withdrawal Agreement;</w:t>
      </w:r>
    </w:p>
    <w:p w:rsidR="007B1BEC" w:rsidRPr="00C94BD9" w:rsidRDefault="007B1BEC" w:rsidP="00C94BD9">
      <w:pPr>
        <w:pStyle w:val="ListParagraph"/>
        <w:numPr>
          <w:ilvl w:val="0"/>
          <w:numId w:val="39"/>
        </w:numPr>
        <w:spacing w:before="360" w:after="200"/>
        <w:contextualSpacing/>
        <w:jc w:val="both"/>
        <w:rPr>
          <w:rFonts w:ascii="Times New Roman" w:eastAsia="Times New Roman" w:hAnsi="Times New Roman"/>
          <w:sz w:val="24"/>
          <w:szCs w:val="24"/>
          <w:lang w:val="en-GB"/>
        </w:rPr>
      </w:pPr>
      <w:r w:rsidRPr="00C94BD9">
        <w:rPr>
          <w:rFonts w:ascii="Times New Roman" w:eastAsia="Times New Roman" w:hAnsi="Times New Roman"/>
          <w:sz w:val="24"/>
          <w:szCs w:val="24"/>
          <w:lang w:val="en-GB"/>
        </w:rPr>
        <w:t>They should be temporary in nature</w:t>
      </w:r>
      <w:r w:rsidR="00CD452B">
        <w:rPr>
          <w:rFonts w:ascii="Times New Roman" w:eastAsia="Times New Roman" w:hAnsi="Times New Roman"/>
          <w:sz w:val="24"/>
          <w:szCs w:val="24"/>
          <w:lang w:val="en-GB"/>
        </w:rPr>
        <w:t>. For the measures adopted today, the Commission has, where relevant, proposed time limitations which are a function of the specific situation in the sector concerned;</w:t>
      </w:r>
    </w:p>
    <w:p w:rsidR="0047199F" w:rsidRPr="00C94BD9" w:rsidRDefault="007B1BEC" w:rsidP="00C94BD9">
      <w:pPr>
        <w:pStyle w:val="ListParagraph"/>
        <w:numPr>
          <w:ilvl w:val="0"/>
          <w:numId w:val="39"/>
        </w:numPr>
        <w:spacing w:before="360" w:after="200"/>
        <w:contextualSpacing/>
        <w:jc w:val="both"/>
        <w:rPr>
          <w:rFonts w:ascii="Times New Roman" w:eastAsia="Times New Roman" w:hAnsi="Times New Roman"/>
          <w:sz w:val="24"/>
          <w:szCs w:val="24"/>
          <w:lang w:val="en-GB"/>
        </w:rPr>
      </w:pPr>
      <w:r>
        <w:rPr>
          <w:rFonts w:ascii="Times New Roman" w:eastAsia="Times New Roman" w:hAnsi="Times New Roman"/>
          <w:sz w:val="24"/>
          <w:szCs w:val="24"/>
          <w:lang w:val="en-GB"/>
        </w:rPr>
        <w:lastRenderedPageBreak/>
        <w:t xml:space="preserve">They </w:t>
      </w:r>
      <w:r w:rsidRPr="00C94BD9">
        <w:rPr>
          <w:rFonts w:ascii="Times New Roman" w:eastAsia="Times New Roman" w:hAnsi="Times New Roman"/>
          <w:sz w:val="24"/>
          <w:szCs w:val="24"/>
          <w:lang w:val="en-GB"/>
        </w:rPr>
        <w:t>should</w:t>
      </w:r>
      <w:r w:rsidR="0047199F" w:rsidRPr="00C94BD9">
        <w:rPr>
          <w:rFonts w:ascii="Times New Roman" w:eastAsia="Times New Roman" w:hAnsi="Times New Roman"/>
          <w:sz w:val="24"/>
          <w:szCs w:val="24"/>
          <w:lang w:val="en-GB"/>
        </w:rPr>
        <w:t xml:space="preserve"> be adopted unilaterally by the European Union in pursuit of its interests and </w:t>
      </w:r>
      <w:r w:rsidRPr="00C94BD9">
        <w:rPr>
          <w:rFonts w:ascii="Times New Roman" w:eastAsia="Times New Roman" w:hAnsi="Times New Roman"/>
          <w:sz w:val="24"/>
          <w:szCs w:val="24"/>
          <w:lang w:val="en-GB"/>
        </w:rPr>
        <w:t>should be</w:t>
      </w:r>
      <w:r w:rsidR="0047199F" w:rsidRPr="00C94BD9">
        <w:rPr>
          <w:rFonts w:ascii="Times New Roman" w:eastAsia="Times New Roman" w:hAnsi="Times New Roman"/>
          <w:sz w:val="24"/>
          <w:szCs w:val="24"/>
          <w:lang w:val="en-GB"/>
        </w:rPr>
        <w:t xml:space="preserve"> </w:t>
      </w:r>
      <w:r w:rsidRPr="00C94BD9">
        <w:rPr>
          <w:rFonts w:ascii="Times New Roman" w:eastAsia="Times New Roman" w:hAnsi="Times New Roman"/>
          <w:sz w:val="24"/>
          <w:szCs w:val="24"/>
          <w:lang w:val="en-GB"/>
        </w:rPr>
        <w:t>revocable</w:t>
      </w:r>
      <w:r w:rsidR="0047199F" w:rsidRPr="00C94BD9">
        <w:rPr>
          <w:rFonts w:ascii="Times New Roman" w:eastAsia="Times New Roman" w:hAnsi="Times New Roman"/>
          <w:sz w:val="24"/>
          <w:szCs w:val="24"/>
          <w:lang w:val="en-GB"/>
        </w:rPr>
        <w:t xml:space="preserve"> at any time; </w:t>
      </w:r>
    </w:p>
    <w:p w:rsidR="007B1BEC" w:rsidRPr="00C94BD9" w:rsidRDefault="007B1BEC" w:rsidP="00C94BD9">
      <w:pPr>
        <w:pStyle w:val="ListParagraph"/>
        <w:numPr>
          <w:ilvl w:val="0"/>
          <w:numId w:val="39"/>
        </w:numPr>
        <w:spacing w:before="360" w:after="200"/>
        <w:contextualSpacing/>
        <w:jc w:val="both"/>
        <w:rPr>
          <w:rFonts w:ascii="Times New Roman" w:eastAsia="Times New Roman" w:hAnsi="Times New Roman"/>
          <w:sz w:val="24"/>
          <w:szCs w:val="24"/>
          <w:lang w:val="en-GB"/>
        </w:rPr>
      </w:pPr>
      <w:r w:rsidRPr="00C94BD9">
        <w:rPr>
          <w:rFonts w:ascii="Times New Roman" w:eastAsia="Times New Roman" w:hAnsi="Times New Roman"/>
          <w:sz w:val="24"/>
          <w:szCs w:val="24"/>
          <w:lang w:val="en-GB"/>
        </w:rPr>
        <w:t>They should respect the division of competences provided for by the Treaties;</w:t>
      </w:r>
    </w:p>
    <w:p w:rsidR="007B1BEC" w:rsidRPr="00C94BD9" w:rsidRDefault="007B1BEC" w:rsidP="00C94BD9">
      <w:pPr>
        <w:pStyle w:val="ListParagraph"/>
        <w:numPr>
          <w:ilvl w:val="0"/>
          <w:numId w:val="39"/>
        </w:numPr>
        <w:spacing w:before="360" w:after="200"/>
        <w:contextualSpacing/>
        <w:jc w:val="both"/>
        <w:rPr>
          <w:rFonts w:ascii="Times New Roman" w:eastAsia="Times New Roman" w:hAnsi="Times New Roman"/>
          <w:sz w:val="24"/>
          <w:szCs w:val="24"/>
          <w:lang w:val="en-GB"/>
        </w:rPr>
      </w:pPr>
      <w:r w:rsidRPr="00C94BD9">
        <w:rPr>
          <w:rFonts w:ascii="Times New Roman" w:eastAsia="Times New Roman" w:hAnsi="Times New Roman"/>
          <w:sz w:val="24"/>
          <w:szCs w:val="24"/>
          <w:lang w:val="en-GB"/>
        </w:rPr>
        <w:t>National contingency measures should be compatible with EU law;</w:t>
      </w:r>
    </w:p>
    <w:p w:rsidR="007B1BEC" w:rsidRDefault="007B1BEC" w:rsidP="00C94BD9">
      <w:pPr>
        <w:pStyle w:val="ListParagraph"/>
        <w:numPr>
          <w:ilvl w:val="0"/>
          <w:numId w:val="39"/>
        </w:numPr>
        <w:spacing w:before="360" w:after="200"/>
        <w:contextualSpacing/>
        <w:jc w:val="both"/>
        <w:rPr>
          <w:rFonts w:ascii="Times New Roman" w:eastAsia="Times New Roman" w:hAnsi="Times New Roman"/>
          <w:sz w:val="24"/>
          <w:szCs w:val="24"/>
          <w:lang w:val="en-GB"/>
        </w:rPr>
      </w:pPr>
      <w:r w:rsidRPr="00C94BD9">
        <w:rPr>
          <w:rFonts w:ascii="Times New Roman" w:eastAsia="Times New Roman" w:hAnsi="Times New Roman"/>
          <w:sz w:val="24"/>
          <w:szCs w:val="24"/>
          <w:lang w:val="en-GB"/>
        </w:rPr>
        <w:t>They should not remedy delays that could have been avoided by preparedness measures and timely action by the relevant stakeholders.</w:t>
      </w:r>
    </w:p>
    <w:p w:rsidR="00A345DA" w:rsidRPr="007B4FF4" w:rsidRDefault="007B4FF4" w:rsidP="007B4FF4">
      <w:pPr>
        <w:spacing w:before="360" w:after="200"/>
        <w:contextualSpacing/>
        <w:jc w:val="both"/>
        <w:rPr>
          <w:rFonts w:ascii="Times New Roman" w:eastAsia="Times New Roman" w:hAnsi="Times New Roman"/>
          <w:sz w:val="24"/>
          <w:szCs w:val="24"/>
          <w:lang w:val="en-GB"/>
        </w:rPr>
      </w:pPr>
      <w:r w:rsidRPr="007B4FF4">
        <w:rPr>
          <w:rFonts w:ascii="Times New Roman" w:eastAsia="Times New Roman" w:hAnsi="Times New Roman"/>
          <w:sz w:val="24"/>
          <w:szCs w:val="24"/>
          <w:lang w:val="en-GB"/>
        </w:rPr>
        <w:t>By virtue of Article 355(3) TFEU and to the extent provided for in the 1972 Act of Accession of the United Kingdom to the European Communities, Union law applies to Gibraltar as a European territory for whose external relations a Member State is responsible. Article 355(3) TFEU will no longer apply to Gibraltar when the United Kingdom is no longer a Member State. As a consequence</w:t>
      </w:r>
      <w:r w:rsidR="00C136D3">
        <w:rPr>
          <w:rFonts w:ascii="Times New Roman" w:eastAsia="Times New Roman" w:hAnsi="Times New Roman"/>
          <w:sz w:val="24"/>
          <w:szCs w:val="24"/>
          <w:lang w:val="en-GB"/>
        </w:rPr>
        <w:t>,</w:t>
      </w:r>
      <w:r w:rsidRPr="007B4FF4">
        <w:rPr>
          <w:rFonts w:ascii="Times New Roman" w:eastAsia="Times New Roman" w:hAnsi="Times New Roman"/>
          <w:sz w:val="24"/>
          <w:szCs w:val="24"/>
          <w:lang w:val="en-GB"/>
        </w:rPr>
        <w:t xml:space="preserve"> contingency measures will not apply to Gibraltar. </w:t>
      </w:r>
    </w:p>
    <w:p w:rsidR="003E3F27" w:rsidRPr="00002C85" w:rsidRDefault="00C95C66" w:rsidP="00463704">
      <w:pPr>
        <w:pStyle w:val="ListParagraph"/>
        <w:keepNext/>
        <w:numPr>
          <w:ilvl w:val="0"/>
          <w:numId w:val="41"/>
        </w:numPr>
        <w:spacing w:before="480" w:after="240"/>
        <w:ind w:left="714" w:hanging="357"/>
        <w:jc w:val="both"/>
        <w:rPr>
          <w:rFonts w:ascii="Times New Roman" w:hAnsi="Times New Roman"/>
          <w:b/>
          <w:sz w:val="24"/>
          <w:lang w:val="en-GB"/>
        </w:rPr>
      </w:pPr>
      <w:r w:rsidRPr="00002C85">
        <w:rPr>
          <w:rFonts w:ascii="Times New Roman" w:hAnsi="Times New Roman"/>
          <w:b/>
          <w:sz w:val="24"/>
          <w:lang w:val="en-GB"/>
        </w:rPr>
        <w:t>Citizens</w:t>
      </w:r>
    </w:p>
    <w:p w:rsidR="005A2D3A" w:rsidRDefault="00903F4C" w:rsidP="00D03D8F">
      <w:pPr>
        <w:spacing w:before="240" w:after="120"/>
        <w:jc w:val="both"/>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If </w:t>
      </w:r>
      <w:r w:rsidR="005A2D3A">
        <w:rPr>
          <w:rFonts w:ascii="Times New Roman" w:eastAsia="Times New Roman" w:hAnsi="Times New Roman"/>
          <w:sz w:val="24"/>
          <w:szCs w:val="24"/>
          <w:lang w:val="en-GB"/>
        </w:rPr>
        <w:t xml:space="preserve">the </w:t>
      </w:r>
      <w:r w:rsidR="008F535F">
        <w:rPr>
          <w:rFonts w:ascii="Times New Roman" w:eastAsia="Times New Roman" w:hAnsi="Times New Roman"/>
          <w:sz w:val="24"/>
          <w:szCs w:val="24"/>
          <w:lang w:val="en-GB"/>
        </w:rPr>
        <w:t>W</w:t>
      </w:r>
      <w:r w:rsidR="005A2D3A">
        <w:rPr>
          <w:rFonts w:ascii="Times New Roman" w:eastAsia="Times New Roman" w:hAnsi="Times New Roman"/>
          <w:sz w:val="24"/>
          <w:szCs w:val="24"/>
          <w:lang w:val="en-GB"/>
        </w:rPr>
        <w:t xml:space="preserve">ithdrawal </w:t>
      </w:r>
      <w:r w:rsidR="008F535F">
        <w:rPr>
          <w:rFonts w:ascii="Times New Roman" w:eastAsia="Times New Roman" w:hAnsi="Times New Roman"/>
          <w:sz w:val="24"/>
          <w:szCs w:val="24"/>
          <w:lang w:val="en-GB"/>
        </w:rPr>
        <w:t>A</w:t>
      </w:r>
      <w:r w:rsidR="005A2D3A">
        <w:rPr>
          <w:rFonts w:ascii="Times New Roman" w:eastAsia="Times New Roman" w:hAnsi="Times New Roman"/>
          <w:sz w:val="24"/>
          <w:szCs w:val="24"/>
          <w:lang w:val="en-GB"/>
        </w:rPr>
        <w:t>greement is not ratified, EU citizens residing in the U</w:t>
      </w:r>
      <w:r w:rsidR="00CA0ED1">
        <w:rPr>
          <w:rFonts w:ascii="Times New Roman" w:eastAsia="Times New Roman" w:hAnsi="Times New Roman"/>
          <w:sz w:val="24"/>
          <w:szCs w:val="24"/>
          <w:lang w:val="en-GB"/>
        </w:rPr>
        <w:t xml:space="preserve">nited </w:t>
      </w:r>
      <w:r w:rsidR="005A2D3A">
        <w:rPr>
          <w:rFonts w:ascii="Times New Roman" w:eastAsia="Times New Roman" w:hAnsi="Times New Roman"/>
          <w:sz w:val="24"/>
          <w:szCs w:val="24"/>
          <w:lang w:val="en-GB"/>
        </w:rPr>
        <w:t>K</w:t>
      </w:r>
      <w:r w:rsidR="00CA0ED1">
        <w:rPr>
          <w:rFonts w:ascii="Times New Roman" w:eastAsia="Times New Roman" w:hAnsi="Times New Roman"/>
          <w:sz w:val="24"/>
          <w:szCs w:val="24"/>
          <w:lang w:val="en-GB"/>
        </w:rPr>
        <w:t>ingdom</w:t>
      </w:r>
      <w:r w:rsidR="005A2D3A">
        <w:rPr>
          <w:rFonts w:ascii="Times New Roman" w:eastAsia="Times New Roman" w:hAnsi="Times New Roman"/>
          <w:sz w:val="24"/>
          <w:szCs w:val="24"/>
          <w:lang w:val="en-GB"/>
        </w:rPr>
        <w:t xml:space="preserve"> </w:t>
      </w:r>
      <w:r w:rsidR="00493102">
        <w:rPr>
          <w:rFonts w:ascii="Times New Roman" w:eastAsia="Times New Roman" w:hAnsi="Times New Roman"/>
          <w:sz w:val="24"/>
          <w:szCs w:val="24"/>
          <w:lang w:val="en-GB"/>
        </w:rPr>
        <w:t xml:space="preserve">would no longer be protected by the EU rules on free movement. </w:t>
      </w:r>
      <w:r w:rsidR="005A2D3A">
        <w:rPr>
          <w:rFonts w:ascii="Times New Roman" w:eastAsia="Times New Roman" w:hAnsi="Times New Roman"/>
          <w:sz w:val="24"/>
          <w:szCs w:val="24"/>
          <w:lang w:val="en-GB"/>
        </w:rPr>
        <w:t xml:space="preserve">UK </w:t>
      </w:r>
      <w:r w:rsidR="0081230B">
        <w:rPr>
          <w:rFonts w:ascii="Times New Roman" w:eastAsia="Times New Roman" w:hAnsi="Times New Roman"/>
          <w:sz w:val="24"/>
          <w:szCs w:val="24"/>
          <w:lang w:val="en-GB"/>
        </w:rPr>
        <w:t xml:space="preserve">nationals </w:t>
      </w:r>
      <w:r w:rsidR="005A2D3A">
        <w:rPr>
          <w:rFonts w:ascii="Times New Roman" w:eastAsia="Times New Roman" w:hAnsi="Times New Roman"/>
          <w:sz w:val="24"/>
          <w:szCs w:val="24"/>
          <w:lang w:val="en-GB"/>
        </w:rPr>
        <w:t>in the E</w:t>
      </w:r>
      <w:r w:rsidR="00887FD1">
        <w:rPr>
          <w:rFonts w:ascii="Times New Roman" w:eastAsia="Times New Roman" w:hAnsi="Times New Roman"/>
          <w:sz w:val="24"/>
          <w:szCs w:val="24"/>
          <w:lang w:val="en-GB"/>
        </w:rPr>
        <w:t xml:space="preserve">uropean </w:t>
      </w:r>
      <w:r w:rsidR="005A2D3A">
        <w:rPr>
          <w:rFonts w:ascii="Times New Roman" w:eastAsia="Times New Roman" w:hAnsi="Times New Roman"/>
          <w:sz w:val="24"/>
          <w:szCs w:val="24"/>
          <w:lang w:val="en-GB"/>
        </w:rPr>
        <w:t>U</w:t>
      </w:r>
      <w:r w:rsidR="00A0241A">
        <w:rPr>
          <w:rFonts w:ascii="Times New Roman" w:eastAsia="Times New Roman" w:hAnsi="Times New Roman"/>
          <w:sz w:val="24"/>
          <w:szCs w:val="24"/>
          <w:lang w:val="en-GB"/>
        </w:rPr>
        <w:t>ni</w:t>
      </w:r>
      <w:r w:rsidR="00887FD1">
        <w:rPr>
          <w:rFonts w:ascii="Times New Roman" w:eastAsia="Times New Roman" w:hAnsi="Times New Roman"/>
          <w:sz w:val="24"/>
          <w:szCs w:val="24"/>
          <w:lang w:val="en-GB"/>
        </w:rPr>
        <w:t>on</w:t>
      </w:r>
      <w:r w:rsidR="005A2D3A">
        <w:rPr>
          <w:rFonts w:ascii="Times New Roman" w:eastAsia="Times New Roman" w:hAnsi="Times New Roman"/>
          <w:sz w:val="24"/>
          <w:szCs w:val="24"/>
          <w:lang w:val="en-GB"/>
        </w:rPr>
        <w:t xml:space="preserve"> would </w:t>
      </w:r>
      <w:r w:rsidR="00C00A6F">
        <w:rPr>
          <w:rFonts w:ascii="Times New Roman" w:eastAsia="Times New Roman" w:hAnsi="Times New Roman"/>
          <w:sz w:val="24"/>
          <w:szCs w:val="24"/>
          <w:lang w:val="en-GB"/>
        </w:rPr>
        <w:t xml:space="preserve">be subject, as of the withdrawal date, </w:t>
      </w:r>
      <w:r w:rsidR="005A2D3A">
        <w:rPr>
          <w:rFonts w:ascii="Times New Roman" w:eastAsia="Times New Roman" w:hAnsi="Times New Roman"/>
          <w:sz w:val="24"/>
          <w:szCs w:val="24"/>
          <w:lang w:val="en-GB"/>
        </w:rPr>
        <w:t xml:space="preserve">to the general rules </w:t>
      </w:r>
      <w:r w:rsidR="00931C72">
        <w:rPr>
          <w:rFonts w:ascii="Times New Roman" w:eastAsia="Times New Roman" w:hAnsi="Times New Roman"/>
          <w:sz w:val="24"/>
          <w:szCs w:val="24"/>
          <w:lang w:val="en-GB"/>
        </w:rPr>
        <w:t>that</w:t>
      </w:r>
      <w:r w:rsidR="008F535F">
        <w:rPr>
          <w:rFonts w:ascii="Times New Roman" w:eastAsia="Times New Roman" w:hAnsi="Times New Roman"/>
          <w:sz w:val="24"/>
          <w:szCs w:val="24"/>
          <w:lang w:val="en-GB"/>
        </w:rPr>
        <w:t xml:space="preserve"> </w:t>
      </w:r>
      <w:r w:rsidR="005A2D3A">
        <w:rPr>
          <w:rFonts w:ascii="Times New Roman" w:eastAsia="Times New Roman" w:hAnsi="Times New Roman"/>
          <w:sz w:val="24"/>
          <w:szCs w:val="24"/>
          <w:lang w:val="en-GB"/>
        </w:rPr>
        <w:t xml:space="preserve">apply to third country </w:t>
      </w:r>
      <w:r w:rsidR="003C2CB7">
        <w:rPr>
          <w:rFonts w:ascii="Times New Roman" w:eastAsia="Times New Roman" w:hAnsi="Times New Roman"/>
          <w:sz w:val="24"/>
          <w:szCs w:val="24"/>
          <w:lang w:val="en-GB"/>
        </w:rPr>
        <w:t xml:space="preserve">nationals </w:t>
      </w:r>
      <w:r w:rsidR="00C00A6F">
        <w:rPr>
          <w:rFonts w:ascii="Times New Roman" w:eastAsia="Times New Roman" w:hAnsi="Times New Roman"/>
          <w:sz w:val="24"/>
          <w:szCs w:val="24"/>
          <w:lang w:val="en-GB"/>
        </w:rPr>
        <w:t>in the EU</w:t>
      </w:r>
      <w:r w:rsidR="005A2D3A">
        <w:rPr>
          <w:rFonts w:ascii="Times New Roman" w:eastAsia="Times New Roman" w:hAnsi="Times New Roman"/>
          <w:sz w:val="24"/>
          <w:szCs w:val="24"/>
          <w:lang w:val="en-GB"/>
        </w:rPr>
        <w:t xml:space="preserve">. This would have an impact on their right to stay and work </w:t>
      </w:r>
      <w:r w:rsidR="00AC3EA0">
        <w:rPr>
          <w:rFonts w:ascii="Times New Roman" w:eastAsia="Times New Roman" w:hAnsi="Times New Roman"/>
          <w:sz w:val="24"/>
          <w:szCs w:val="24"/>
          <w:lang w:val="en-GB"/>
        </w:rPr>
        <w:t xml:space="preserve">where they currently live </w:t>
      </w:r>
      <w:r w:rsidR="005A2D3A">
        <w:rPr>
          <w:rFonts w:ascii="Times New Roman" w:eastAsia="Times New Roman" w:hAnsi="Times New Roman"/>
          <w:sz w:val="24"/>
          <w:szCs w:val="24"/>
          <w:lang w:val="en-GB"/>
        </w:rPr>
        <w:t>as well as on the social security protection they benefit from.</w:t>
      </w:r>
    </w:p>
    <w:p w:rsidR="00CD452B" w:rsidRDefault="00693858" w:rsidP="00CD452B">
      <w:pPr>
        <w:spacing w:before="240" w:after="120"/>
        <w:jc w:val="both"/>
        <w:rPr>
          <w:rFonts w:ascii="Times New Roman" w:eastAsia="Times New Roman" w:hAnsi="Times New Roman"/>
          <w:sz w:val="24"/>
          <w:szCs w:val="24"/>
          <w:lang w:val="en-GB"/>
        </w:rPr>
      </w:pPr>
      <w:r w:rsidRPr="001606F1">
        <w:rPr>
          <w:rFonts w:ascii="Times New Roman" w:eastAsia="Times New Roman" w:hAnsi="Times New Roman"/>
          <w:sz w:val="24"/>
          <w:szCs w:val="24"/>
          <w:lang w:val="en-GB"/>
        </w:rPr>
        <w:t xml:space="preserve">The Commission has </w:t>
      </w:r>
      <w:r w:rsidR="001606F1">
        <w:rPr>
          <w:rFonts w:ascii="Times New Roman" w:eastAsia="Times New Roman" w:hAnsi="Times New Roman"/>
          <w:sz w:val="24"/>
          <w:szCs w:val="24"/>
          <w:lang w:val="en-GB"/>
        </w:rPr>
        <w:t xml:space="preserve">consistently made clear that protecting EU citizens in the United Kingdom, as well as UK </w:t>
      </w:r>
      <w:r w:rsidRPr="001606F1">
        <w:rPr>
          <w:rFonts w:ascii="Times New Roman" w:eastAsia="Times New Roman" w:hAnsi="Times New Roman"/>
          <w:sz w:val="24"/>
          <w:szCs w:val="24"/>
          <w:lang w:val="en-GB"/>
        </w:rPr>
        <w:t xml:space="preserve">citizens </w:t>
      </w:r>
      <w:r w:rsidR="001606F1">
        <w:rPr>
          <w:rFonts w:ascii="Times New Roman" w:eastAsia="Times New Roman" w:hAnsi="Times New Roman"/>
          <w:sz w:val="24"/>
          <w:szCs w:val="24"/>
          <w:lang w:val="en-GB"/>
        </w:rPr>
        <w:t>in the European Union is a priority</w:t>
      </w:r>
      <w:r w:rsidRPr="001606F1">
        <w:rPr>
          <w:rFonts w:ascii="Times New Roman" w:eastAsia="Times New Roman" w:hAnsi="Times New Roman"/>
          <w:sz w:val="24"/>
          <w:szCs w:val="24"/>
          <w:lang w:val="en-GB"/>
        </w:rPr>
        <w:t>.</w:t>
      </w:r>
      <w:r>
        <w:rPr>
          <w:rFonts w:ascii="Times New Roman" w:eastAsia="Times New Roman" w:hAnsi="Times New Roman"/>
          <w:sz w:val="24"/>
          <w:szCs w:val="24"/>
          <w:lang w:val="en-GB"/>
        </w:rPr>
        <w:t xml:space="preserve"> It calls upon </w:t>
      </w:r>
      <w:r w:rsidRPr="009730DB">
        <w:rPr>
          <w:rFonts w:ascii="Times New Roman" w:eastAsia="Times New Roman" w:hAnsi="Times New Roman"/>
          <w:sz w:val="24"/>
          <w:szCs w:val="24"/>
          <w:lang w:val="en-GB"/>
        </w:rPr>
        <w:t xml:space="preserve">Member States to take a generous approach to UK </w:t>
      </w:r>
      <w:r>
        <w:rPr>
          <w:rFonts w:ascii="Times New Roman" w:eastAsia="Times New Roman" w:hAnsi="Times New Roman"/>
          <w:sz w:val="24"/>
          <w:szCs w:val="24"/>
          <w:lang w:val="en-GB"/>
        </w:rPr>
        <w:t>nationals</w:t>
      </w:r>
      <w:r w:rsidRPr="009730DB">
        <w:rPr>
          <w:rFonts w:ascii="Times New Roman" w:eastAsia="Times New Roman" w:hAnsi="Times New Roman"/>
          <w:sz w:val="24"/>
          <w:szCs w:val="24"/>
          <w:lang w:val="en-GB"/>
        </w:rPr>
        <w:t xml:space="preserve"> who are already resident in their territory</w:t>
      </w:r>
      <w:r w:rsidR="00A3020E">
        <w:rPr>
          <w:rStyle w:val="FootnoteReference"/>
          <w:rFonts w:ascii="Times New Roman" w:eastAsia="Times New Roman" w:hAnsi="Times New Roman"/>
          <w:lang w:val="en-GB"/>
        </w:rPr>
        <w:footnoteReference w:id="12"/>
      </w:r>
      <w:r>
        <w:rPr>
          <w:rFonts w:ascii="Times New Roman" w:eastAsia="Times New Roman" w:hAnsi="Times New Roman"/>
          <w:sz w:val="24"/>
          <w:szCs w:val="24"/>
          <w:lang w:val="en-GB"/>
        </w:rPr>
        <w:t>.</w:t>
      </w:r>
      <w:r w:rsidR="00CD452B" w:rsidRPr="00CD452B">
        <w:rPr>
          <w:rFonts w:ascii="Times New Roman" w:eastAsia="Times New Roman" w:hAnsi="Times New Roman"/>
          <w:noProof/>
          <w:sz w:val="24"/>
          <w:szCs w:val="24"/>
          <w:lang w:val="en-GB"/>
        </w:rPr>
        <w:t xml:space="preserve"> </w:t>
      </w:r>
      <w:r w:rsidR="00CD452B">
        <w:rPr>
          <w:rFonts w:ascii="Times New Roman" w:eastAsia="Times New Roman" w:hAnsi="Times New Roman"/>
          <w:noProof/>
          <w:sz w:val="24"/>
          <w:szCs w:val="24"/>
          <w:lang w:val="en-GB"/>
        </w:rPr>
        <w:t>The Commission welcomed in its Communication of 13 November the reassurances by Prime Minister May</w:t>
      </w:r>
      <w:r w:rsidR="00CD452B">
        <w:rPr>
          <w:rStyle w:val="FootnoteReference"/>
          <w:rFonts w:ascii="Times New Roman" w:eastAsia="Times New Roman" w:hAnsi="Times New Roman"/>
          <w:noProof/>
          <w:lang w:val="en-GB"/>
        </w:rPr>
        <w:footnoteReference w:id="13"/>
      </w:r>
      <w:r w:rsidR="00CD452B">
        <w:rPr>
          <w:rFonts w:ascii="Times New Roman" w:eastAsia="Times New Roman" w:hAnsi="Times New Roman"/>
          <w:noProof/>
          <w:sz w:val="24"/>
          <w:szCs w:val="24"/>
          <w:lang w:val="en-GB"/>
        </w:rPr>
        <w:t xml:space="preserve"> that even in a no deal scenario, the rights of EU citizens in the United Kingdom will be protected in a s</w:t>
      </w:r>
      <w:r w:rsidR="006C5508">
        <w:rPr>
          <w:rFonts w:ascii="Times New Roman" w:eastAsia="Times New Roman" w:hAnsi="Times New Roman"/>
          <w:noProof/>
          <w:sz w:val="24"/>
          <w:szCs w:val="24"/>
          <w:lang w:val="en-GB"/>
        </w:rPr>
        <w:t>i</w:t>
      </w:r>
      <w:r w:rsidR="00CD452B">
        <w:rPr>
          <w:rFonts w:ascii="Times New Roman" w:eastAsia="Times New Roman" w:hAnsi="Times New Roman"/>
          <w:noProof/>
          <w:sz w:val="24"/>
          <w:szCs w:val="24"/>
          <w:lang w:val="en-GB"/>
        </w:rPr>
        <w:t>milar way. The Commission expects this assurance to be formalised soon so that it can be relied upon by citizens.</w:t>
      </w:r>
    </w:p>
    <w:p w:rsidR="005A2D3A" w:rsidRPr="00C02218" w:rsidRDefault="005A2D3A" w:rsidP="00463704">
      <w:pPr>
        <w:keepNext/>
        <w:spacing w:before="360" w:after="240"/>
        <w:jc w:val="both"/>
        <w:rPr>
          <w:rFonts w:ascii="Times New Roman" w:eastAsia="Times New Roman" w:hAnsi="Times New Roman"/>
          <w:i/>
          <w:sz w:val="24"/>
          <w:szCs w:val="24"/>
          <w:lang w:val="en-GB"/>
        </w:rPr>
      </w:pPr>
      <w:r w:rsidRPr="00C02218">
        <w:rPr>
          <w:rFonts w:ascii="Times New Roman" w:eastAsia="Times New Roman" w:hAnsi="Times New Roman"/>
          <w:i/>
          <w:sz w:val="24"/>
          <w:szCs w:val="24"/>
          <w:lang w:val="en-GB"/>
        </w:rPr>
        <w:t>Right to stay</w:t>
      </w:r>
    </w:p>
    <w:p w:rsidR="00F36811" w:rsidRDefault="001606F1" w:rsidP="00FB7CAB">
      <w:pPr>
        <w:spacing w:before="240" w:after="120"/>
        <w:jc w:val="both"/>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For </w:t>
      </w:r>
      <w:r w:rsidR="00F36811" w:rsidRPr="00F36811">
        <w:rPr>
          <w:rFonts w:ascii="Times New Roman" w:eastAsia="Times New Roman" w:hAnsi="Times New Roman"/>
          <w:sz w:val="24"/>
          <w:szCs w:val="24"/>
          <w:lang w:val="en-GB"/>
        </w:rPr>
        <w:t xml:space="preserve">UK </w:t>
      </w:r>
      <w:r w:rsidR="00063E20">
        <w:rPr>
          <w:rFonts w:ascii="Times New Roman" w:eastAsia="Times New Roman" w:hAnsi="Times New Roman"/>
          <w:sz w:val="24"/>
          <w:szCs w:val="24"/>
          <w:lang w:val="en-GB"/>
        </w:rPr>
        <w:t xml:space="preserve">nationals </w:t>
      </w:r>
      <w:r w:rsidR="00F36811" w:rsidRPr="00F36811">
        <w:rPr>
          <w:rFonts w:ascii="Times New Roman" w:eastAsia="Times New Roman" w:hAnsi="Times New Roman"/>
          <w:sz w:val="24"/>
          <w:szCs w:val="24"/>
          <w:lang w:val="en-GB"/>
        </w:rPr>
        <w:t>residing in the European Union</w:t>
      </w:r>
      <w:r>
        <w:rPr>
          <w:rFonts w:ascii="Times New Roman" w:eastAsia="Times New Roman" w:hAnsi="Times New Roman"/>
          <w:sz w:val="24"/>
          <w:szCs w:val="24"/>
          <w:lang w:val="en-GB"/>
        </w:rPr>
        <w:t>,</w:t>
      </w:r>
      <w:r w:rsidR="00F36811" w:rsidRPr="00F36811">
        <w:rPr>
          <w:rFonts w:ascii="Times New Roman" w:eastAsia="Times New Roman" w:hAnsi="Times New Roman"/>
          <w:sz w:val="24"/>
          <w:szCs w:val="24"/>
          <w:lang w:val="en-GB"/>
        </w:rPr>
        <w:t xml:space="preserve"> EU rules as well as national rules regarding third-country nationals will apply to them as concerns their right to enter</w:t>
      </w:r>
      <w:r w:rsidR="00F36811">
        <w:rPr>
          <w:rFonts w:ascii="Times New Roman" w:eastAsia="Times New Roman" w:hAnsi="Times New Roman"/>
          <w:sz w:val="24"/>
          <w:szCs w:val="24"/>
          <w:lang w:val="en-GB"/>
        </w:rPr>
        <w:t>,</w:t>
      </w:r>
      <w:r w:rsidR="00F36811" w:rsidRPr="00F36811">
        <w:rPr>
          <w:rFonts w:ascii="Times New Roman" w:eastAsia="Times New Roman" w:hAnsi="Times New Roman"/>
          <w:sz w:val="24"/>
          <w:szCs w:val="24"/>
          <w:lang w:val="en-GB"/>
        </w:rPr>
        <w:t xml:space="preserve"> reside </w:t>
      </w:r>
      <w:r w:rsidR="00F36811">
        <w:rPr>
          <w:rFonts w:ascii="Times New Roman" w:eastAsia="Times New Roman" w:hAnsi="Times New Roman"/>
          <w:sz w:val="24"/>
          <w:szCs w:val="24"/>
          <w:lang w:val="en-GB"/>
        </w:rPr>
        <w:t xml:space="preserve">and work </w:t>
      </w:r>
      <w:r w:rsidR="00F36811" w:rsidRPr="00F36811">
        <w:rPr>
          <w:rFonts w:ascii="Times New Roman" w:eastAsia="Times New Roman" w:hAnsi="Times New Roman"/>
          <w:sz w:val="24"/>
          <w:szCs w:val="24"/>
          <w:lang w:val="en-GB"/>
        </w:rPr>
        <w:t>in the EU Member States. For short stays (</w:t>
      </w:r>
      <w:r w:rsidR="00EC6294">
        <w:rPr>
          <w:rFonts w:ascii="Times New Roman" w:eastAsia="Times New Roman" w:hAnsi="Times New Roman"/>
          <w:sz w:val="24"/>
          <w:szCs w:val="24"/>
          <w:lang w:val="en-GB"/>
        </w:rPr>
        <w:t>up to</w:t>
      </w:r>
      <w:r w:rsidR="00EC6294" w:rsidRPr="00F36811">
        <w:rPr>
          <w:rFonts w:ascii="Times New Roman" w:eastAsia="Times New Roman" w:hAnsi="Times New Roman"/>
          <w:sz w:val="24"/>
          <w:szCs w:val="24"/>
          <w:lang w:val="en-GB"/>
        </w:rPr>
        <w:t xml:space="preserve"> </w:t>
      </w:r>
      <w:r w:rsidR="00F36811" w:rsidRPr="00F36811">
        <w:rPr>
          <w:rFonts w:ascii="Times New Roman" w:eastAsia="Times New Roman" w:hAnsi="Times New Roman"/>
          <w:sz w:val="24"/>
          <w:szCs w:val="24"/>
          <w:lang w:val="en-GB"/>
        </w:rPr>
        <w:t>90 days</w:t>
      </w:r>
      <w:r w:rsidR="00EC6294">
        <w:rPr>
          <w:rFonts w:ascii="Times New Roman" w:eastAsia="Times New Roman" w:hAnsi="Times New Roman"/>
          <w:sz w:val="24"/>
          <w:szCs w:val="24"/>
          <w:lang w:val="en-GB"/>
        </w:rPr>
        <w:t xml:space="preserve"> in a 180 day-period</w:t>
      </w:r>
      <w:r w:rsidR="00F36811" w:rsidRPr="00F36811">
        <w:rPr>
          <w:rFonts w:ascii="Times New Roman" w:eastAsia="Times New Roman" w:hAnsi="Times New Roman"/>
          <w:sz w:val="24"/>
          <w:szCs w:val="24"/>
          <w:lang w:val="en-GB"/>
        </w:rPr>
        <w:t>) the Commission has adopted a proposal for a Regulation</w:t>
      </w:r>
      <w:r w:rsidR="00312780">
        <w:rPr>
          <w:rStyle w:val="FootnoteReference"/>
          <w:rFonts w:ascii="Times New Roman" w:eastAsia="Times New Roman" w:hAnsi="Times New Roman"/>
          <w:lang w:val="en-GB"/>
        </w:rPr>
        <w:footnoteReference w:id="14"/>
      </w:r>
      <w:r w:rsidR="00F36811" w:rsidRPr="00F36811">
        <w:rPr>
          <w:rFonts w:ascii="Times New Roman" w:eastAsia="Times New Roman" w:hAnsi="Times New Roman"/>
          <w:sz w:val="24"/>
          <w:szCs w:val="24"/>
          <w:lang w:val="en-GB"/>
        </w:rPr>
        <w:t xml:space="preserve"> </w:t>
      </w:r>
      <w:r w:rsidR="008F535F">
        <w:rPr>
          <w:rFonts w:ascii="Times New Roman" w:eastAsia="Times New Roman" w:hAnsi="Times New Roman"/>
          <w:sz w:val="24"/>
          <w:szCs w:val="24"/>
          <w:lang w:val="en-GB"/>
        </w:rPr>
        <w:t xml:space="preserve">which </w:t>
      </w:r>
      <w:r w:rsidR="00F36811" w:rsidRPr="00F36811">
        <w:rPr>
          <w:rFonts w:ascii="Times New Roman" w:eastAsia="Times New Roman" w:hAnsi="Times New Roman"/>
          <w:sz w:val="24"/>
          <w:szCs w:val="24"/>
          <w:lang w:val="en-GB"/>
        </w:rPr>
        <w:t>exempt</w:t>
      </w:r>
      <w:r w:rsidR="008F535F">
        <w:rPr>
          <w:rFonts w:ascii="Times New Roman" w:eastAsia="Times New Roman" w:hAnsi="Times New Roman"/>
          <w:sz w:val="24"/>
          <w:szCs w:val="24"/>
          <w:lang w:val="en-GB"/>
        </w:rPr>
        <w:t>s</w:t>
      </w:r>
      <w:r w:rsidR="00F36811" w:rsidRPr="00F36811">
        <w:rPr>
          <w:rFonts w:ascii="Times New Roman" w:eastAsia="Times New Roman" w:hAnsi="Times New Roman"/>
          <w:sz w:val="24"/>
          <w:szCs w:val="24"/>
          <w:lang w:val="en-GB"/>
        </w:rPr>
        <w:t xml:space="preserve"> UK nationals from visa requirements, provided that all </w:t>
      </w:r>
      <w:r w:rsidR="00EC6294">
        <w:rPr>
          <w:rFonts w:ascii="Times New Roman" w:eastAsia="Times New Roman" w:hAnsi="Times New Roman"/>
          <w:sz w:val="24"/>
          <w:szCs w:val="24"/>
          <w:lang w:val="en-GB"/>
        </w:rPr>
        <w:t>Union citizens</w:t>
      </w:r>
      <w:r w:rsidR="00F36811" w:rsidRPr="00F36811">
        <w:rPr>
          <w:rFonts w:ascii="Times New Roman" w:eastAsia="Times New Roman" w:hAnsi="Times New Roman"/>
          <w:sz w:val="24"/>
          <w:szCs w:val="24"/>
          <w:lang w:val="en-GB"/>
        </w:rPr>
        <w:t xml:space="preserve"> are equally exempted from UK visa requirements. Third-country nationals who want to reside in an EU Member State for more than 90 days for any purpose need to </w:t>
      </w:r>
      <w:r>
        <w:rPr>
          <w:rFonts w:ascii="Times New Roman" w:eastAsia="Times New Roman" w:hAnsi="Times New Roman"/>
          <w:sz w:val="24"/>
          <w:szCs w:val="24"/>
          <w:lang w:val="en-GB"/>
        </w:rPr>
        <w:t xml:space="preserve">obtain </w:t>
      </w:r>
      <w:r w:rsidR="00F36811" w:rsidRPr="00F36811">
        <w:rPr>
          <w:rFonts w:ascii="Times New Roman" w:eastAsia="Times New Roman" w:hAnsi="Times New Roman"/>
          <w:sz w:val="24"/>
          <w:szCs w:val="24"/>
          <w:lang w:val="en-GB"/>
        </w:rPr>
        <w:t xml:space="preserve">a residence permit or a long-stay visa from the national migration authorities. </w:t>
      </w:r>
      <w:r w:rsidR="00F36811">
        <w:rPr>
          <w:rFonts w:ascii="Times New Roman" w:eastAsia="Times New Roman" w:hAnsi="Times New Roman"/>
          <w:sz w:val="24"/>
          <w:szCs w:val="24"/>
          <w:lang w:val="en-GB"/>
        </w:rPr>
        <w:t>T</w:t>
      </w:r>
      <w:r w:rsidR="00F36811" w:rsidRPr="00F36811">
        <w:rPr>
          <w:rFonts w:ascii="Times New Roman" w:eastAsia="Times New Roman" w:hAnsi="Times New Roman"/>
          <w:sz w:val="24"/>
          <w:szCs w:val="24"/>
          <w:lang w:val="en-GB"/>
        </w:rPr>
        <w:t xml:space="preserve">hird country nationals who have been legal residents </w:t>
      </w:r>
      <w:r w:rsidR="00EC6294">
        <w:rPr>
          <w:rFonts w:ascii="Times New Roman" w:eastAsia="Times New Roman" w:hAnsi="Times New Roman"/>
          <w:sz w:val="24"/>
          <w:szCs w:val="24"/>
          <w:lang w:val="en-GB"/>
        </w:rPr>
        <w:t xml:space="preserve">in one Member State </w:t>
      </w:r>
      <w:r w:rsidR="00F36811" w:rsidRPr="00F36811">
        <w:rPr>
          <w:rFonts w:ascii="Times New Roman" w:eastAsia="Times New Roman" w:hAnsi="Times New Roman"/>
          <w:sz w:val="24"/>
          <w:szCs w:val="24"/>
          <w:lang w:val="en-GB"/>
        </w:rPr>
        <w:t>for a period of five years</w:t>
      </w:r>
      <w:r w:rsidR="00F36811">
        <w:rPr>
          <w:rFonts w:ascii="Times New Roman" w:eastAsia="Times New Roman" w:hAnsi="Times New Roman"/>
          <w:sz w:val="24"/>
          <w:szCs w:val="24"/>
          <w:lang w:val="en-GB"/>
        </w:rPr>
        <w:t xml:space="preserve"> must be granted, subject to certain conditions, </w:t>
      </w:r>
      <w:r w:rsidR="00F36811" w:rsidRPr="00F36811">
        <w:rPr>
          <w:rFonts w:ascii="Times New Roman" w:eastAsia="Times New Roman" w:hAnsi="Times New Roman"/>
          <w:sz w:val="24"/>
          <w:szCs w:val="24"/>
          <w:lang w:val="en-GB"/>
        </w:rPr>
        <w:t>long-term resident status</w:t>
      </w:r>
      <w:r w:rsidR="00F36811">
        <w:rPr>
          <w:rFonts w:ascii="Times New Roman" w:eastAsia="Times New Roman" w:hAnsi="Times New Roman"/>
          <w:sz w:val="24"/>
          <w:szCs w:val="24"/>
          <w:lang w:val="en-GB"/>
        </w:rPr>
        <w:t xml:space="preserve"> </w:t>
      </w:r>
      <w:r w:rsidR="00EC6294">
        <w:rPr>
          <w:rFonts w:ascii="Times New Roman" w:eastAsia="Times New Roman" w:hAnsi="Times New Roman"/>
          <w:sz w:val="24"/>
          <w:szCs w:val="24"/>
          <w:lang w:val="en-GB"/>
        </w:rPr>
        <w:t xml:space="preserve">in that Member State </w:t>
      </w:r>
      <w:r w:rsidR="00F36811">
        <w:rPr>
          <w:rFonts w:ascii="Times New Roman" w:eastAsia="Times New Roman" w:hAnsi="Times New Roman"/>
          <w:sz w:val="24"/>
          <w:szCs w:val="24"/>
          <w:lang w:val="en-GB"/>
        </w:rPr>
        <w:t>in accordance with Union rules</w:t>
      </w:r>
      <w:r w:rsidR="00F36811" w:rsidRPr="00F36811">
        <w:rPr>
          <w:rFonts w:ascii="Times New Roman" w:eastAsia="Times New Roman" w:hAnsi="Times New Roman"/>
          <w:sz w:val="24"/>
          <w:szCs w:val="24"/>
          <w:lang w:val="en-GB"/>
        </w:rPr>
        <w:t xml:space="preserve">. The Commission clarified in its </w:t>
      </w:r>
      <w:r w:rsidR="00887FD1">
        <w:rPr>
          <w:rFonts w:ascii="Times New Roman" w:eastAsia="Times New Roman" w:hAnsi="Times New Roman"/>
          <w:sz w:val="24"/>
          <w:szCs w:val="24"/>
          <w:lang w:val="en-GB"/>
        </w:rPr>
        <w:t>second</w:t>
      </w:r>
      <w:r w:rsidR="00F36811" w:rsidRPr="00F36811">
        <w:rPr>
          <w:rFonts w:ascii="Times New Roman" w:eastAsia="Times New Roman" w:hAnsi="Times New Roman"/>
          <w:sz w:val="24"/>
          <w:szCs w:val="24"/>
          <w:lang w:val="en-GB"/>
        </w:rPr>
        <w:t xml:space="preserve"> Brexit preparedness </w:t>
      </w:r>
      <w:r w:rsidR="00887FD1">
        <w:rPr>
          <w:rFonts w:ascii="Times New Roman" w:eastAsia="Times New Roman" w:hAnsi="Times New Roman"/>
          <w:sz w:val="24"/>
          <w:szCs w:val="24"/>
          <w:lang w:val="en-GB"/>
        </w:rPr>
        <w:t>C</w:t>
      </w:r>
      <w:r w:rsidR="00F36811" w:rsidRPr="00F36811">
        <w:rPr>
          <w:rFonts w:ascii="Times New Roman" w:eastAsia="Times New Roman" w:hAnsi="Times New Roman"/>
          <w:sz w:val="24"/>
          <w:szCs w:val="24"/>
          <w:lang w:val="en-GB"/>
        </w:rPr>
        <w:t xml:space="preserve">ommunication that it considers that periods of legal residence of UK </w:t>
      </w:r>
      <w:r w:rsidR="00063E20">
        <w:rPr>
          <w:rFonts w:ascii="Times New Roman" w:eastAsia="Times New Roman" w:hAnsi="Times New Roman"/>
          <w:sz w:val="24"/>
          <w:szCs w:val="24"/>
          <w:lang w:val="en-GB"/>
        </w:rPr>
        <w:t xml:space="preserve">nationals </w:t>
      </w:r>
      <w:r w:rsidR="00F36811" w:rsidRPr="00F36811">
        <w:rPr>
          <w:rFonts w:ascii="Times New Roman" w:eastAsia="Times New Roman" w:hAnsi="Times New Roman"/>
          <w:sz w:val="24"/>
          <w:szCs w:val="24"/>
          <w:lang w:val="en-GB"/>
        </w:rPr>
        <w:t xml:space="preserve">in </w:t>
      </w:r>
      <w:r w:rsidR="00EC6294">
        <w:rPr>
          <w:rFonts w:ascii="Times New Roman" w:eastAsia="Times New Roman" w:hAnsi="Times New Roman"/>
          <w:sz w:val="24"/>
          <w:szCs w:val="24"/>
          <w:lang w:val="en-GB"/>
        </w:rPr>
        <w:t xml:space="preserve">a </w:t>
      </w:r>
      <w:r w:rsidR="00F36811" w:rsidRPr="00F36811">
        <w:rPr>
          <w:rFonts w:ascii="Times New Roman" w:eastAsia="Times New Roman" w:hAnsi="Times New Roman"/>
          <w:sz w:val="24"/>
          <w:szCs w:val="24"/>
          <w:lang w:val="en-GB"/>
        </w:rPr>
        <w:t xml:space="preserve">Member State before the withdrawal should be taken into account for these purposes. </w:t>
      </w:r>
    </w:p>
    <w:p w:rsidR="00C24353" w:rsidRDefault="00693858" w:rsidP="00FB7CAB">
      <w:pPr>
        <w:spacing w:before="240" w:after="120"/>
        <w:jc w:val="both"/>
        <w:rPr>
          <w:rFonts w:ascii="Times New Roman" w:eastAsia="Times New Roman" w:hAnsi="Times New Roman"/>
          <w:sz w:val="24"/>
          <w:szCs w:val="24"/>
          <w:lang w:val="en-GB"/>
        </w:rPr>
      </w:pPr>
      <w:r>
        <w:rPr>
          <w:rFonts w:ascii="Times New Roman" w:eastAsia="Times New Roman" w:hAnsi="Times New Roman"/>
          <w:sz w:val="24"/>
          <w:szCs w:val="24"/>
          <w:lang w:val="en-GB"/>
        </w:rPr>
        <w:lastRenderedPageBreak/>
        <w:t>Against this background, the Commission calls upon Member States to</w:t>
      </w:r>
      <w:r w:rsidR="001606F1">
        <w:rPr>
          <w:rFonts w:ascii="Times New Roman" w:eastAsia="Times New Roman" w:hAnsi="Times New Roman"/>
          <w:sz w:val="24"/>
          <w:szCs w:val="24"/>
          <w:lang w:val="en-GB"/>
        </w:rPr>
        <w:t>:</w:t>
      </w:r>
      <w:r>
        <w:rPr>
          <w:rFonts w:ascii="Times New Roman" w:eastAsia="Times New Roman" w:hAnsi="Times New Roman"/>
          <w:sz w:val="24"/>
          <w:szCs w:val="24"/>
          <w:lang w:val="en-GB"/>
        </w:rPr>
        <w:t xml:space="preserve"> </w:t>
      </w:r>
    </w:p>
    <w:p w:rsidR="005A2D3A" w:rsidRDefault="00872D79" w:rsidP="00C24353">
      <w:pPr>
        <w:pStyle w:val="ListParagraph"/>
        <w:numPr>
          <w:ilvl w:val="0"/>
          <w:numId w:val="34"/>
        </w:numPr>
        <w:spacing w:before="240" w:after="120"/>
        <w:contextualSpacing/>
        <w:jc w:val="both"/>
        <w:rPr>
          <w:rFonts w:ascii="Times New Roman" w:eastAsia="Times New Roman" w:hAnsi="Times New Roman"/>
          <w:sz w:val="24"/>
          <w:szCs w:val="24"/>
          <w:lang w:val="en-GB"/>
        </w:rPr>
      </w:pPr>
      <w:r>
        <w:rPr>
          <w:rFonts w:ascii="Times New Roman" w:eastAsia="Times New Roman" w:hAnsi="Times New Roman"/>
          <w:sz w:val="24"/>
          <w:szCs w:val="24"/>
          <w:lang w:val="en-GB"/>
        </w:rPr>
        <w:t>take measures</w:t>
      </w:r>
      <w:r w:rsidR="00A81342">
        <w:rPr>
          <w:rFonts w:ascii="Times New Roman" w:eastAsia="Times New Roman" w:hAnsi="Times New Roman"/>
          <w:sz w:val="24"/>
          <w:szCs w:val="24"/>
          <w:lang w:val="en-GB"/>
        </w:rPr>
        <w:t>,</w:t>
      </w:r>
      <w:r>
        <w:rPr>
          <w:rFonts w:ascii="Times New Roman" w:eastAsia="Times New Roman" w:hAnsi="Times New Roman"/>
          <w:sz w:val="24"/>
          <w:szCs w:val="24"/>
          <w:lang w:val="en-GB"/>
        </w:rPr>
        <w:t xml:space="preserve"> </w:t>
      </w:r>
      <w:r w:rsidR="00A81342">
        <w:rPr>
          <w:rFonts w:ascii="Times New Roman" w:eastAsia="Times New Roman" w:hAnsi="Times New Roman"/>
          <w:sz w:val="24"/>
          <w:szCs w:val="24"/>
          <w:lang w:val="en-GB"/>
        </w:rPr>
        <w:t xml:space="preserve">in compliance with Union law, </w:t>
      </w:r>
      <w:r>
        <w:rPr>
          <w:rFonts w:ascii="Times New Roman" w:eastAsia="Times New Roman" w:hAnsi="Times New Roman"/>
          <w:sz w:val="24"/>
          <w:szCs w:val="24"/>
          <w:lang w:val="en-GB"/>
        </w:rPr>
        <w:t xml:space="preserve">so that </w:t>
      </w:r>
      <w:r w:rsidR="005A2D3A">
        <w:rPr>
          <w:rFonts w:ascii="Times New Roman" w:eastAsia="Times New Roman" w:hAnsi="Times New Roman"/>
          <w:sz w:val="24"/>
          <w:szCs w:val="24"/>
          <w:lang w:val="en-GB"/>
        </w:rPr>
        <w:t xml:space="preserve">all UK </w:t>
      </w:r>
      <w:r w:rsidR="00063E20">
        <w:rPr>
          <w:rFonts w:ascii="Times New Roman" w:eastAsia="Times New Roman" w:hAnsi="Times New Roman"/>
          <w:sz w:val="24"/>
          <w:szCs w:val="24"/>
          <w:lang w:val="en-GB"/>
        </w:rPr>
        <w:t xml:space="preserve">nationals </w:t>
      </w:r>
      <w:r w:rsidR="005A2D3A">
        <w:rPr>
          <w:rFonts w:ascii="Times New Roman" w:eastAsia="Times New Roman" w:hAnsi="Times New Roman"/>
          <w:sz w:val="24"/>
          <w:szCs w:val="24"/>
          <w:lang w:val="en-GB"/>
        </w:rPr>
        <w:t xml:space="preserve">legally residing in </w:t>
      </w:r>
      <w:r w:rsidR="00162F5F">
        <w:rPr>
          <w:rFonts w:ascii="Times New Roman" w:eastAsia="Times New Roman" w:hAnsi="Times New Roman"/>
          <w:sz w:val="24"/>
          <w:szCs w:val="24"/>
          <w:lang w:val="en-GB"/>
        </w:rPr>
        <w:t>a Member State on 29 March 2019</w:t>
      </w:r>
      <w:r w:rsidR="005A2D3A">
        <w:rPr>
          <w:rFonts w:ascii="Times New Roman" w:eastAsia="Times New Roman" w:hAnsi="Times New Roman"/>
          <w:sz w:val="24"/>
          <w:szCs w:val="24"/>
          <w:lang w:val="en-GB"/>
        </w:rPr>
        <w:t xml:space="preserve"> will continue to be considered </w:t>
      </w:r>
      <w:r w:rsidR="00162F5F">
        <w:rPr>
          <w:rFonts w:ascii="Times New Roman" w:eastAsia="Times New Roman" w:hAnsi="Times New Roman"/>
          <w:sz w:val="24"/>
          <w:szCs w:val="24"/>
          <w:lang w:val="en-GB"/>
        </w:rPr>
        <w:t xml:space="preserve">as </w:t>
      </w:r>
      <w:r w:rsidR="005A2D3A">
        <w:rPr>
          <w:rFonts w:ascii="Times New Roman" w:eastAsia="Times New Roman" w:hAnsi="Times New Roman"/>
          <w:sz w:val="24"/>
          <w:szCs w:val="24"/>
          <w:lang w:val="en-GB"/>
        </w:rPr>
        <w:t>legal</w:t>
      </w:r>
      <w:r w:rsidR="00B65E87">
        <w:rPr>
          <w:rFonts w:ascii="Times New Roman" w:eastAsia="Times New Roman" w:hAnsi="Times New Roman"/>
          <w:sz w:val="24"/>
          <w:szCs w:val="24"/>
          <w:lang w:val="en-GB"/>
        </w:rPr>
        <w:t xml:space="preserve"> residents of </w:t>
      </w:r>
      <w:r w:rsidR="00162F5F">
        <w:rPr>
          <w:rFonts w:ascii="Times New Roman" w:eastAsia="Times New Roman" w:hAnsi="Times New Roman"/>
          <w:sz w:val="24"/>
          <w:szCs w:val="24"/>
          <w:lang w:val="en-GB"/>
        </w:rPr>
        <w:t>that Member State</w:t>
      </w:r>
      <w:r w:rsidR="001606F1" w:rsidRPr="001606F1">
        <w:rPr>
          <w:rFonts w:ascii="Times New Roman" w:eastAsia="Times New Roman" w:hAnsi="Times New Roman"/>
          <w:sz w:val="24"/>
          <w:szCs w:val="24"/>
          <w:lang w:val="en-GB"/>
        </w:rPr>
        <w:t xml:space="preserve"> </w:t>
      </w:r>
      <w:r w:rsidR="001606F1">
        <w:rPr>
          <w:rFonts w:ascii="Times New Roman" w:eastAsia="Times New Roman" w:hAnsi="Times New Roman"/>
          <w:sz w:val="24"/>
          <w:szCs w:val="24"/>
          <w:lang w:val="en-GB"/>
        </w:rPr>
        <w:t>without interruption</w:t>
      </w:r>
      <w:r w:rsidR="005A2D3A">
        <w:rPr>
          <w:rFonts w:ascii="Times New Roman" w:eastAsia="Times New Roman" w:hAnsi="Times New Roman"/>
          <w:sz w:val="24"/>
          <w:szCs w:val="24"/>
          <w:lang w:val="en-GB"/>
        </w:rPr>
        <w:t>;</w:t>
      </w:r>
    </w:p>
    <w:p w:rsidR="008E4A03" w:rsidRDefault="00B65E87" w:rsidP="00C24353">
      <w:pPr>
        <w:pStyle w:val="ListParagraph"/>
        <w:numPr>
          <w:ilvl w:val="0"/>
          <w:numId w:val="34"/>
        </w:numPr>
        <w:spacing w:before="240" w:after="120"/>
        <w:contextualSpacing/>
        <w:jc w:val="both"/>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stand ready </w:t>
      </w:r>
      <w:r w:rsidR="00162F5F">
        <w:rPr>
          <w:rFonts w:ascii="Times New Roman" w:eastAsia="Times New Roman" w:hAnsi="Times New Roman"/>
          <w:sz w:val="24"/>
          <w:szCs w:val="24"/>
          <w:lang w:val="en-GB"/>
        </w:rPr>
        <w:t xml:space="preserve">to issue residence permits </w:t>
      </w:r>
      <w:r w:rsidR="0019291C">
        <w:rPr>
          <w:rFonts w:ascii="Times New Roman" w:eastAsia="Times New Roman" w:hAnsi="Times New Roman"/>
          <w:sz w:val="24"/>
          <w:szCs w:val="24"/>
          <w:lang w:val="en-GB"/>
        </w:rPr>
        <w:t xml:space="preserve">to the UK nationals concerned </w:t>
      </w:r>
      <w:r w:rsidR="00EC6294">
        <w:rPr>
          <w:rFonts w:ascii="Times New Roman" w:eastAsia="Times New Roman" w:hAnsi="Times New Roman"/>
          <w:sz w:val="24"/>
          <w:szCs w:val="24"/>
          <w:lang w:val="en-GB"/>
        </w:rPr>
        <w:t>as evidence of their legal stay and right to work</w:t>
      </w:r>
      <w:r w:rsidR="00162F5F">
        <w:rPr>
          <w:rFonts w:ascii="Times New Roman" w:eastAsia="Times New Roman" w:hAnsi="Times New Roman"/>
          <w:sz w:val="24"/>
          <w:szCs w:val="24"/>
          <w:lang w:val="en-GB"/>
        </w:rPr>
        <w:t xml:space="preserve">. Member States, in particular those hosting the largest numbers, </w:t>
      </w:r>
      <w:r w:rsidR="00063E20">
        <w:rPr>
          <w:rFonts w:ascii="Times New Roman" w:eastAsia="Times New Roman" w:hAnsi="Times New Roman"/>
          <w:sz w:val="24"/>
          <w:szCs w:val="24"/>
          <w:lang w:val="en-GB"/>
        </w:rPr>
        <w:t xml:space="preserve">are invited to take </w:t>
      </w:r>
      <w:r w:rsidR="005A2D3A" w:rsidRPr="00FB7CAB">
        <w:rPr>
          <w:rFonts w:ascii="Times New Roman" w:eastAsia="Times New Roman" w:hAnsi="Times New Roman"/>
          <w:sz w:val="24"/>
          <w:szCs w:val="24"/>
          <w:lang w:val="en-GB"/>
        </w:rPr>
        <w:t xml:space="preserve">a </w:t>
      </w:r>
      <w:r w:rsidR="005A2D3A">
        <w:rPr>
          <w:rFonts w:ascii="Times New Roman" w:eastAsia="Times New Roman" w:hAnsi="Times New Roman"/>
          <w:sz w:val="24"/>
          <w:szCs w:val="24"/>
          <w:lang w:val="en-GB"/>
        </w:rPr>
        <w:t xml:space="preserve">pragmatic </w:t>
      </w:r>
      <w:r w:rsidR="005A2D3A" w:rsidRPr="00FB7CAB">
        <w:rPr>
          <w:rFonts w:ascii="Times New Roman" w:eastAsia="Times New Roman" w:hAnsi="Times New Roman"/>
          <w:sz w:val="24"/>
          <w:szCs w:val="24"/>
          <w:lang w:val="en-GB"/>
        </w:rPr>
        <w:t>approach</w:t>
      </w:r>
      <w:r w:rsidR="00A81342">
        <w:rPr>
          <w:rFonts w:ascii="Times New Roman" w:eastAsia="Times New Roman" w:hAnsi="Times New Roman"/>
          <w:sz w:val="24"/>
          <w:szCs w:val="24"/>
          <w:lang w:val="en-GB"/>
        </w:rPr>
        <w:t>, in compliance with Union law,</w:t>
      </w:r>
      <w:r w:rsidR="005A2D3A" w:rsidRPr="00FB7CAB">
        <w:rPr>
          <w:rFonts w:ascii="Times New Roman" w:eastAsia="Times New Roman" w:hAnsi="Times New Roman"/>
          <w:sz w:val="24"/>
          <w:szCs w:val="24"/>
          <w:lang w:val="en-GB"/>
        </w:rPr>
        <w:t xml:space="preserve"> </w:t>
      </w:r>
      <w:r w:rsidR="005A2D3A">
        <w:rPr>
          <w:rFonts w:ascii="Times New Roman" w:eastAsia="Times New Roman" w:hAnsi="Times New Roman"/>
          <w:sz w:val="24"/>
          <w:szCs w:val="24"/>
          <w:lang w:val="en-GB"/>
        </w:rPr>
        <w:t xml:space="preserve">to </w:t>
      </w:r>
      <w:r w:rsidR="000439E1">
        <w:rPr>
          <w:rFonts w:ascii="Times New Roman" w:eastAsia="Times New Roman" w:hAnsi="Times New Roman"/>
          <w:sz w:val="24"/>
          <w:szCs w:val="24"/>
          <w:lang w:val="en-GB"/>
        </w:rPr>
        <w:t xml:space="preserve">issue </w:t>
      </w:r>
      <w:r w:rsidR="005A2D3A">
        <w:rPr>
          <w:rFonts w:ascii="Times New Roman" w:eastAsia="Times New Roman" w:hAnsi="Times New Roman"/>
          <w:sz w:val="24"/>
          <w:szCs w:val="24"/>
          <w:lang w:val="en-GB"/>
        </w:rPr>
        <w:t xml:space="preserve">temporary residence </w:t>
      </w:r>
      <w:r w:rsidR="00162F5F">
        <w:rPr>
          <w:rFonts w:ascii="Times New Roman" w:eastAsia="Times New Roman" w:hAnsi="Times New Roman"/>
          <w:sz w:val="24"/>
          <w:szCs w:val="24"/>
          <w:lang w:val="en-GB"/>
        </w:rPr>
        <w:t>documents</w:t>
      </w:r>
      <w:r w:rsidR="005A2D3A">
        <w:rPr>
          <w:rFonts w:ascii="Times New Roman" w:eastAsia="Times New Roman" w:hAnsi="Times New Roman"/>
          <w:sz w:val="24"/>
          <w:szCs w:val="24"/>
          <w:lang w:val="en-GB"/>
        </w:rPr>
        <w:t xml:space="preserve">, until definitive </w:t>
      </w:r>
      <w:r w:rsidR="00EC6294">
        <w:rPr>
          <w:rFonts w:ascii="Times New Roman" w:eastAsia="Times New Roman" w:hAnsi="Times New Roman"/>
          <w:sz w:val="24"/>
          <w:szCs w:val="24"/>
          <w:lang w:val="en-GB"/>
        </w:rPr>
        <w:t xml:space="preserve">residence </w:t>
      </w:r>
      <w:r w:rsidR="005A2D3A">
        <w:rPr>
          <w:rFonts w:ascii="Times New Roman" w:eastAsia="Times New Roman" w:hAnsi="Times New Roman"/>
          <w:sz w:val="24"/>
          <w:szCs w:val="24"/>
          <w:lang w:val="en-GB"/>
        </w:rPr>
        <w:t xml:space="preserve">permits can be </w:t>
      </w:r>
      <w:r w:rsidR="00063E20">
        <w:rPr>
          <w:rFonts w:ascii="Times New Roman" w:eastAsia="Times New Roman" w:hAnsi="Times New Roman"/>
          <w:sz w:val="24"/>
          <w:szCs w:val="24"/>
          <w:lang w:val="en-GB"/>
        </w:rPr>
        <w:t>issued</w:t>
      </w:r>
      <w:r w:rsidR="00693858">
        <w:rPr>
          <w:rStyle w:val="FootnoteReference"/>
          <w:rFonts w:ascii="Times New Roman" w:eastAsia="Times New Roman" w:hAnsi="Times New Roman"/>
          <w:sz w:val="24"/>
          <w:szCs w:val="24"/>
        </w:rPr>
        <w:footnoteReference w:id="15"/>
      </w:r>
      <w:r w:rsidR="00463704">
        <w:rPr>
          <w:rFonts w:ascii="Times New Roman" w:eastAsia="Times New Roman" w:hAnsi="Times New Roman"/>
          <w:sz w:val="24"/>
          <w:szCs w:val="24"/>
          <w:lang w:val="en-GB"/>
        </w:rPr>
        <w:t>.</w:t>
      </w:r>
      <w:r w:rsidR="008F535F">
        <w:rPr>
          <w:rFonts w:ascii="Times New Roman" w:eastAsia="Times New Roman" w:hAnsi="Times New Roman"/>
          <w:sz w:val="24"/>
          <w:szCs w:val="24"/>
          <w:lang w:val="en-GB"/>
        </w:rPr>
        <w:t xml:space="preserve"> Several technical options, such as national legislative measures, issuing temporary </w:t>
      </w:r>
      <w:r w:rsidR="000439E1">
        <w:rPr>
          <w:rFonts w:ascii="Times New Roman" w:eastAsia="Times New Roman" w:hAnsi="Times New Roman"/>
          <w:sz w:val="24"/>
          <w:szCs w:val="24"/>
          <w:lang w:val="en-GB"/>
        </w:rPr>
        <w:t xml:space="preserve">documents </w:t>
      </w:r>
      <w:r w:rsidR="008F535F">
        <w:rPr>
          <w:rFonts w:ascii="Times New Roman" w:eastAsia="Times New Roman" w:hAnsi="Times New Roman"/>
          <w:sz w:val="24"/>
          <w:szCs w:val="24"/>
          <w:lang w:val="en-GB"/>
        </w:rPr>
        <w:t xml:space="preserve">or recognising pre-existing </w:t>
      </w:r>
      <w:r w:rsidR="000439E1">
        <w:rPr>
          <w:rFonts w:ascii="Times New Roman" w:eastAsia="Times New Roman" w:hAnsi="Times New Roman"/>
          <w:sz w:val="24"/>
          <w:szCs w:val="24"/>
          <w:lang w:val="en-GB"/>
        </w:rPr>
        <w:t>documents</w:t>
      </w:r>
      <w:r w:rsidR="008F535F">
        <w:rPr>
          <w:rFonts w:ascii="Times New Roman" w:eastAsia="Times New Roman" w:hAnsi="Times New Roman"/>
          <w:sz w:val="24"/>
          <w:szCs w:val="24"/>
          <w:lang w:val="en-GB"/>
        </w:rPr>
        <w:t xml:space="preserve">, can be </w:t>
      </w:r>
      <w:r w:rsidR="007042A8">
        <w:rPr>
          <w:rFonts w:ascii="Times New Roman" w:eastAsia="Times New Roman" w:hAnsi="Times New Roman"/>
          <w:sz w:val="24"/>
          <w:szCs w:val="24"/>
          <w:lang w:val="en-GB"/>
        </w:rPr>
        <w:t>used</w:t>
      </w:r>
      <w:r w:rsidR="008F535F">
        <w:rPr>
          <w:rFonts w:ascii="Times New Roman" w:eastAsia="Times New Roman" w:hAnsi="Times New Roman"/>
          <w:sz w:val="24"/>
          <w:szCs w:val="24"/>
          <w:lang w:val="en-GB"/>
        </w:rPr>
        <w:t xml:space="preserve"> to take into account the specific situations of each Member State</w:t>
      </w:r>
      <w:r w:rsidR="005A2D3A">
        <w:rPr>
          <w:rFonts w:ascii="Times New Roman" w:eastAsia="Times New Roman" w:hAnsi="Times New Roman"/>
          <w:sz w:val="24"/>
          <w:szCs w:val="24"/>
          <w:lang w:val="en-GB"/>
        </w:rPr>
        <w:t>;</w:t>
      </w:r>
      <w:r w:rsidR="00463704">
        <w:rPr>
          <w:rFonts w:ascii="Times New Roman" w:eastAsia="Times New Roman" w:hAnsi="Times New Roman"/>
          <w:sz w:val="24"/>
          <w:szCs w:val="24"/>
          <w:lang w:val="en-GB"/>
        </w:rPr>
        <w:t xml:space="preserve"> and</w:t>
      </w:r>
    </w:p>
    <w:p w:rsidR="008E4A03" w:rsidRPr="008E4A03" w:rsidRDefault="008E4A03" w:rsidP="00C02218">
      <w:pPr>
        <w:pStyle w:val="ListParagraph"/>
        <w:numPr>
          <w:ilvl w:val="0"/>
          <w:numId w:val="34"/>
        </w:numPr>
        <w:spacing w:before="240" w:after="120"/>
        <w:ind w:left="714" w:hanging="357"/>
        <w:contextualSpacing/>
        <w:jc w:val="both"/>
        <w:rPr>
          <w:rFonts w:ascii="Times New Roman" w:eastAsia="Times New Roman" w:hAnsi="Times New Roman"/>
          <w:sz w:val="24"/>
          <w:szCs w:val="24"/>
          <w:lang w:val="en-GB"/>
        </w:rPr>
      </w:pPr>
      <w:r w:rsidRPr="008E4A03">
        <w:rPr>
          <w:rFonts w:ascii="Times New Roman" w:eastAsia="Times New Roman" w:hAnsi="Times New Roman"/>
          <w:sz w:val="24"/>
          <w:szCs w:val="24"/>
          <w:lang w:val="en-GB"/>
        </w:rPr>
        <w:t xml:space="preserve">take all necessary legislative and administrative measures </w:t>
      </w:r>
      <w:r w:rsidR="008F535F">
        <w:rPr>
          <w:rFonts w:ascii="Times New Roman" w:eastAsia="Times New Roman" w:hAnsi="Times New Roman"/>
          <w:sz w:val="24"/>
          <w:szCs w:val="24"/>
          <w:lang w:val="en-GB"/>
        </w:rPr>
        <w:t xml:space="preserve">to be </w:t>
      </w:r>
      <w:r w:rsidRPr="008E4A03">
        <w:rPr>
          <w:rFonts w:ascii="Times New Roman" w:eastAsia="Times New Roman" w:hAnsi="Times New Roman"/>
          <w:sz w:val="24"/>
          <w:szCs w:val="24"/>
          <w:lang w:val="en-GB"/>
        </w:rPr>
        <w:t xml:space="preserve">able to issue temporary </w:t>
      </w:r>
      <w:r w:rsidR="00D75768">
        <w:rPr>
          <w:rFonts w:ascii="Times New Roman" w:eastAsia="Times New Roman" w:hAnsi="Times New Roman"/>
          <w:sz w:val="24"/>
          <w:szCs w:val="24"/>
          <w:lang w:val="en-GB"/>
        </w:rPr>
        <w:t xml:space="preserve">residence documents </w:t>
      </w:r>
      <w:r w:rsidR="00AC3EA0">
        <w:rPr>
          <w:rFonts w:ascii="Times New Roman" w:eastAsia="Times New Roman" w:hAnsi="Times New Roman"/>
          <w:sz w:val="24"/>
          <w:szCs w:val="24"/>
          <w:lang w:val="en-GB"/>
        </w:rPr>
        <w:t xml:space="preserve">by the withdrawal date, </w:t>
      </w:r>
      <w:r w:rsidRPr="008E4A03">
        <w:rPr>
          <w:rFonts w:ascii="Times New Roman" w:eastAsia="Times New Roman" w:hAnsi="Times New Roman"/>
          <w:sz w:val="24"/>
          <w:szCs w:val="24"/>
          <w:lang w:val="en-GB"/>
        </w:rPr>
        <w:t xml:space="preserve">and </w:t>
      </w:r>
      <w:r w:rsidR="00A81342">
        <w:rPr>
          <w:rFonts w:ascii="Times New Roman" w:eastAsia="Times New Roman" w:hAnsi="Times New Roman"/>
          <w:sz w:val="24"/>
          <w:szCs w:val="24"/>
          <w:lang w:val="en-GB"/>
        </w:rPr>
        <w:t xml:space="preserve">to </w:t>
      </w:r>
      <w:r w:rsidRPr="008E4A03">
        <w:rPr>
          <w:rFonts w:ascii="Times New Roman" w:eastAsia="Times New Roman" w:hAnsi="Times New Roman"/>
          <w:sz w:val="24"/>
          <w:szCs w:val="24"/>
          <w:lang w:val="en-GB"/>
        </w:rPr>
        <w:t xml:space="preserve">process applications for </w:t>
      </w:r>
      <w:r w:rsidR="00872D79">
        <w:rPr>
          <w:rFonts w:ascii="Times New Roman" w:eastAsia="Times New Roman" w:hAnsi="Times New Roman"/>
          <w:sz w:val="24"/>
          <w:szCs w:val="24"/>
          <w:lang w:val="en-GB"/>
        </w:rPr>
        <w:t xml:space="preserve">definitive </w:t>
      </w:r>
      <w:r w:rsidRPr="008E4A03">
        <w:rPr>
          <w:rFonts w:ascii="Times New Roman" w:eastAsia="Times New Roman" w:hAnsi="Times New Roman"/>
          <w:sz w:val="24"/>
          <w:szCs w:val="24"/>
          <w:lang w:val="en-GB"/>
        </w:rPr>
        <w:t xml:space="preserve">residence permits </w:t>
      </w:r>
      <w:r w:rsidR="00EC6294">
        <w:rPr>
          <w:rFonts w:ascii="Times New Roman" w:eastAsia="Times New Roman" w:hAnsi="Times New Roman"/>
          <w:sz w:val="24"/>
          <w:szCs w:val="24"/>
          <w:lang w:val="en-GB"/>
        </w:rPr>
        <w:t xml:space="preserve">under </w:t>
      </w:r>
      <w:r w:rsidR="00D75768">
        <w:rPr>
          <w:rFonts w:ascii="Times New Roman" w:eastAsia="Times New Roman" w:hAnsi="Times New Roman"/>
          <w:sz w:val="24"/>
          <w:szCs w:val="24"/>
          <w:lang w:val="en-GB"/>
        </w:rPr>
        <w:t xml:space="preserve">the </w:t>
      </w:r>
      <w:r w:rsidR="00EC6294">
        <w:rPr>
          <w:rFonts w:ascii="Times New Roman" w:eastAsia="Times New Roman" w:hAnsi="Times New Roman"/>
          <w:sz w:val="24"/>
          <w:szCs w:val="24"/>
          <w:lang w:val="en-GB"/>
        </w:rPr>
        <w:t xml:space="preserve">uniform </w:t>
      </w:r>
      <w:r w:rsidR="00D75768">
        <w:rPr>
          <w:rFonts w:ascii="Times New Roman" w:eastAsia="Times New Roman" w:hAnsi="Times New Roman"/>
          <w:sz w:val="24"/>
          <w:szCs w:val="24"/>
          <w:lang w:val="en-GB"/>
        </w:rPr>
        <w:t>format</w:t>
      </w:r>
      <w:r w:rsidR="00D75768">
        <w:rPr>
          <w:rStyle w:val="FootnoteReference"/>
          <w:rFonts w:ascii="Times New Roman" w:eastAsia="Times New Roman" w:hAnsi="Times New Roman"/>
          <w:lang w:val="en-GB"/>
        </w:rPr>
        <w:footnoteReference w:id="16"/>
      </w:r>
      <w:r w:rsidR="00D75768">
        <w:rPr>
          <w:rFonts w:ascii="Times New Roman" w:eastAsia="Times New Roman" w:hAnsi="Times New Roman"/>
          <w:sz w:val="24"/>
          <w:szCs w:val="24"/>
          <w:lang w:val="en-GB"/>
        </w:rPr>
        <w:t xml:space="preserve"> </w:t>
      </w:r>
      <w:r w:rsidRPr="008E4A03">
        <w:rPr>
          <w:rFonts w:ascii="Times New Roman" w:eastAsia="Times New Roman" w:hAnsi="Times New Roman"/>
          <w:sz w:val="24"/>
          <w:szCs w:val="24"/>
          <w:lang w:val="en-GB"/>
        </w:rPr>
        <w:t>by the end of 2019.</w:t>
      </w:r>
    </w:p>
    <w:p w:rsidR="003170C0" w:rsidRPr="00451409" w:rsidRDefault="006608B5" w:rsidP="00B21F0F">
      <w:pPr>
        <w:spacing w:before="240" w:after="120"/>
        <w:jc w:val="both"/>
        <w:rPr>
          <w:rFonts w:ascii="Times New Roman" w:eastAsia="Times New Roman" w:hAnsi="Times New Roman"/>
          <w:sz w:val="24"/>
          <w:szCs w:val="24"/>
          <w:lang w:val="en-GB"/>
        </w:rPr>
      </w:pPr>
      <w:r w:rsidRPr="00451409">
        <w:rPr>
          <w:rFonts w:ascii="Times New Roman" w:eastAsia="Times New Roman" w:hAnsi="Times New Roman"/>
          <w:sz w:val="24"/>
          <w:szCs w:val="24"/>
          <w:lang w:val="en-GB"/>
        </w:rPr>
        <w:t>The</w:t>
      </w:r>
      <w:r w:rsidR="003170C0" w:rsidRPr="00451409">
        <w:rPr>
          <w:rFonts w:ascii="Times New Roman" w:eastAsia="Times New Roman" w:hAnsi="Times New Roman"/>
          <w:sz w:val="24"/>
          <w:szCs w:val="24"/>
          <w:lang w:val="en-GB"/>
        </w:rPr>
        <w:t xml:space="preserve"> </w:t>
      </w:r>
      <w:r w:rsidR="00625DBA">
        <w:rPr>
          <w:rFonts w:ascii="Times New Roman" w:eastAsia="Times New Roman" w:hAnsi="Times New Roman"/>
          <w:sz w:val="24"/>
          <w:szCs w:val="24"/>
          <w:lang w:val="en-GB"/>
        </w:rPr>
        <w:t xml:space="preserve">Commission will discuss </w:t>
      </w:r>
      <w:r w:rsidR="00B65E87">
        <w:rPr>
          <w:rFonts w:ascii="Times New Roman" w:eastAsia="Times New Roman" w:hAnsi="Times New Roman"/>
          <w:sz w:val="24"/>
          <w:szCs w:val="24"/>
          <w:lang w:val="en-GB"/>
        </w:rPr>
        <w:t xml:space="preserve">further </w:t>
      </w:r>
      <w:r w:rsidR="008E4A03">
        <w:rPr>
          <w:rFonts w:ascii="Times New Roman" w:eastAsia="Times New Roman" w:hAnsi="Times New Roman"/>
          <w:sz w:val="24"/>
          <w:szCs w:val="24"/>
          <w:lang w:val="en-GB"/>
        </w:rPr>
        <w:t xml:space="preserve">practicalities </w:t>
      </w:r>
      <w:r w:rsidR="003170C0" w:rsidRPr="00451409">
        <w:rPr>
          <w:rFonts w:ascii="Times New Roman" w:eastAsia="Times New Roman" w:hAnsi="Times New Roman"/>
          <w:sz w:val="24"/>
          <w:szCs w:val="24"/>
          <w:lang w:val="en-GB"/>
        </w:rPr>
        <w:t xml:space="preserve">with </w:t>
      </w:r>
      <w:r w:rsidR="00625DBA">
        <w:rPr>
          <w:rFonts w:ascii="Times New Roman" w:eastAsia="Times New Roman" w:hAnsi="Times New Roman"/>
          <w:sz w:val="24"/>
          <w:szCs w:val="24"/>
          <w:lang w:val="en-GB"/>
        </w:rPr>
        <w:t xml:space="preserve">Member States </w:t>
      </w:r>
      <w:r w:rsidR="00693858">
        <w:rPr>
          <w:rFonts w:ascii="Times New Roman" w:eastAsia="Times New Roman" w:hAnsi="Times New Roman"/>
          <w:sz w:val="24"/>
          <w:szCs w:val="24"/>
          <w:lang w:val="en-GB"/>
        </w:rPr>
        <w:t>(EU27)</w:t>
      </w:r>
      <w:r w:rsidR="00063E20">
        <w:rPr>
          <w:rFonts w:ascii="Times New Roman" w:eastAsia="Times New Roman" w:hAnsi="Times New Roman"/>
          <w:sz w:val="24"/>
          <w:szCs w:val="24"/>
          <w:lang w:val="en-GB"/>
        </w:rPr>
        <w:t xml:space="preserve"> </w:t>
      </w:r>
      <w:r w:rsidR="003170C0" w:rsidRPr="00451409">
        <w:rPr>
          <w:rFonts w:ascii="Times New Roman" w:eastAsia="Times New Roman" w:hAnsi="Times New Roman"/>
          <w:sz w:val="24"/>
          <w:szCs w:val="24"/>
          <w:lang w:val="en-GB"/>
        </w:rPr>
        <w:t>on 20 December 2018</w:t>
      </w:r>
      <w:r w:rsidR="002E175D">
        <w:rPr>
          <w:rFonts w:ascii="Times New Roman" w:eastAsia="Times New Roman" w:hAnsi="Times New Roman"/>
          <w:sz w:val="24"/>
          <w:szCs w:val="24"/>
          <w:lang w:val="en-GB"/>
        </w:rPr>
        <w:t xml:space="preserve"> with a view to ensur</w:t>
      </w:r>
      <w:r w:rsidR="00AC3EA0">
        <w:rPr>
          <w:rFonts w:ascii="Times New Roman" w:eastAsia="Times New Roman" w:hAnsi="Times New Roman"/>
          <w:sz w:val="24"/>
          <w:szCs w:val="24"/>
          <w:lang w:val="en-GB"/>
        </w:rPr>
        <w:t>ing</w:t>
      </w:r>
      <w:r w:rsidR="002E175D">
        <w:rPr>
          <w:rFonts w:ascii="Times New Roman" w:eastAsia="Times New Roman" w:hAnsi="Times New Roman"/>
          <w:sz w:val="24"/>
          <w:szCs w:val="24"/>
          <w:lang w:val="en-GB"/>
        </w:rPr>
        <w:t xml:space="preserve"> a coherent approach</w:t>
      </w:r>
      <w:r w:rsidR="003170C0" w:rsidRPr="00451409">
        <w:rPr>
          <w:rFonts w:ascii="Times New Roman" w:eastAsia="Times New Roman" w:hAnsi="Times New Roman"/>
          <w:sz w:val="24"/>
          <w:szCs w:val="24"/>
          <w:lang w:val="en-GB"/>
        </w:rPr>
        <w:t>.</w:t>
      </w:r>
    </w:p>
    <w:p w:rsidR="005A2D3A" w:rsidRDefault="00AC3EA0" w:rsidP="005A2D3A">
      <w:pPr>
        <w:spacing w:before="240" w:after="120"/>
        <w:jc w:val="both"/>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For </w:t>
      </w:r>
      <w:r w:rsidR="005A2D3A" w:rsidRPr="00D03D8F">
        <w:rPr>
          <w:rFonts w:ascii="Times New Roman" w:eastAsia="Times New Roman" w:hAnsi="Times New Roman"/>
          <w:b/>
          <w:sz w:val="24"/>
          <w:szCs w:val="24"/>
          <w:lang w:val="en-GB"/>
        </w:rPr>
        <w:t xml:space="preserve">EU citizens residing in the United Kingdom, </w:t>
      </w:r>
      <w:r w:rsidR="005A2D3A">
        <w:rPr>
          <w:rFonts w:ascii="Times New Roman" w:eastAsia="Times New Roman" w:hAnsi="Times New Roman"/>
          <w:sz w:val="24"/>
          <w:szCs w:val="24"/>
          <w:lang w:val="en-GB"/>
        </w:rPr>
        <w:t>in addition to the efforts of Member State diplomatic representations in the United Kingdom, t</w:t>
      </w:r>
      <w:r w:rsidR="005A2D3A" w:rsidRPr="007D7A51">
        <w:rPr>
          <w:rFonts w:ascii="Times New Roman" w:eastAsia="Times New Roman" w:hAnsi="Times New Roman"/>
          <w:sz w:val="24"/>
          <w:szCs w:val="24"/>
          <w:lang w:val="en-GB"/>
        </w:rPr>
        <w:t xml:space="preserve">he Commission Representation Offices in the United Kingdom </w:t>
      </w:r>
      <w:r w:rsidR="00162F5F">
        <w:rPr>
          <w:rFonts w:ascii="Times New Roman" w:eastAsia="Times New Roman" w:hAnsi="Times New Roman"/>
          <w:sz w:val="24"/>
          <w:szCs w:val="24"/>
          <w:lang w:val="en-GB"/>
        </w:rPr>
        <w:t xml:space="preserve">will </w:t>
      </w:r>
      <w:r w:rsidR="005A2D3A">
        <w:rPr>
          <w:rFonts w:ascii="Times New Roman" w:eastAsia="Times New Roman" w:hAnsi="Times New Roman"/>
          <w:sz w:val="24"/>
          <w:szCs w:val="24"/>
          <w:lang w:val="en-GB"/>
        </w:rPr>
        <w:t xml:space="preserve">continue to </w:t>
      </w:r>
      <w:r w:rsidR="00162F5F">
        <w:rPr>
          <w:rFonts w:ascii="Times New Roman" w:eastAsia="Times New Roman" w:hAnsi="Times New Roman"/>
          <w:sz w:val="24"/>
          <w:szCs w:val="24"/>
          <w:lang w:val="en-GB"/>
        </w:rPr>
        <w:t xml:space="preserve">monitor </w:t>
      </w:r>
      <w:r>
        <w:rPr>
          <w:rFonts w:ascii="Times New Roman" w:eastAsia="Times New Roman" w:hAnsi="Times New Roman"/>
          <w:sz w:val="24"/>
          <w:szCs w:val="24"/>
          <w:lang w:val="en-GB"/>
        </w:rPr>
        <w:t xml:space="preserve">closely </w:t>
      </w:r>
      <w:r w:rsidR="00162F5F">
        <w:rPr>
          <w:rFonts w:ascii="Times New Roman" w:eastAsia="Times New Roman" w:hAnsi="Times New Roman"/>
          <w:sz w:val="24"/>
          <w:szCs w:val="24"/>
          <w:lang w:val="en-GB"/>
        </w:rPr>
        <w:t xml:space="preserve">the United Kingdom’s </w:t>
      </w:r>
      <w:r>
        <w:rPr>
          <w:rFonts w:ascii="Times New Roman" w:eastAsia="Times New Roman" w:hAnsi="Times New Roman"/>
          <w:sz w:val="24"/>
          <w:szCs w:val="24"/>
          <w:lang w:val="en-GB"/>
        </w:rPr>
        <w:t>position</w:t>
      </w:r>
      <w:r w:rsidR="00162F5F">
        <w:rPr>
          <w:rFonts w:ascii="Times New Roman" w:eastAsia="Times New Roman" w:hAnsi="Times New Roman"/>
          <w:sz w:val="24"/>
          <w:szCs w:val="24"/>
          <w:lang w:val="en-GB"/>
        </w:rPr>
        <w:t xml:space="preserve"> with respect to the continued residence of Union citizens in the United Kingdom</w:t>
      </w:r>
      <w:r w:rsidR="00931C72">
        <w:rPr>
          <w:rFonts w:ascii="Times New Roman" w:eastAsia="Times New Roman" w:hAnsi="Times New Roman"/>
          <w:sz w:val="24"/>
          <w:szCs w:val="24"/>
          <w:lang w:val="en-GB"/>
        </w:rPr>
        <w:t xml:space="preserve">. It </w:t>
      </w:r>
      <w:r w:rsidR="00162F5F">
        <w:rPr>
          <w:rFonts w:ascii="Times New Roman" w:eastAsia="Times New Roman" w:hAnsi="Times New Roman"/>
          <w:sz w:val="24"/>
          <w:szCs w:val="24"/>
          <w:lang w:val="en-GB"/>
        </w:rPr>
        <w:t xml:space="preserve">will </w:t>
      </w:r>
      <w:r w:rsidR="005A2D3A" w:rsidRPr="007D7A51">
        <w:rPr>
          <w:rFonts w:ascii="Times New Roman" w:eastAsia="Times New Roman" w:hAnsi="Times New Roman"/>
          <w:sz w:val="24"/>
          <w:szCs w:val="24"/>
          <w:lang w:val="en-GB"/>
        </w:rPr>
        <w:t>provid</w:t>
      </w:r>
      <w:r w:rsidR="005A2D3A">
        <w:rPr>
          <w:rFonts w:ascii="Times New Roman" w:eastAsia="Times New Roman" w:hAnsi="Times New Roman"/>
          <w:sz w:val="24"/>
          <w:szCs w:val="24"/>
          <w:lang w:val="en-GB"/>
        </w:rPr>
        <w:t>e</w:t>
      </w:r>
      <w:r w:rsidR="005A2D3A" w:rsidRPr="007D7A51">
        <w:rPr>
          <w:rFonts w:ascii="Times New Roman" w:eastAsia="Times New Roman" w:hAnsi="Times New Roman"/>
          <w:sz w:val="24"/>
          <w:szCs w:val="24"/>
          <w:lang w:val="en-GB"/>
        </w:rPr>
        <w:t xml:space="preserve"> information and expertise</w:t>
      </w:r>
      <w:r w:rsidR="00162F5F">
        <w:rPr>
          <w:rFonts w:ascii="Times New Roman" w:eastAsia="Times New Roman" w:hAnsi="Times New Roman"/>
          <w:sz w:val="24"/>
          <w:szCs w:val="24"/>
          <w:lang w:val="en-GB"/>
        </w:rPr>
        <w:t xml:space="preserve"> to interested citizens in that regard</w:t>
      </w:r>
      <w:r w:rsidR="005A2D3A" w:rsidRPr="007D7A51">
        <w:rPr>
          <w:rFonts w:ascii="Times New Roman" w:eastAsia="Times New Roman" w:hAnsi="Times New Roman"/>
          <w:sz w:val="24"/>
          <w:szCs w:val="24"/>
          <w:lang w:val="en-GB"/>
        </w:rPr>
        <w:t>.</w:t>
      </w:r>
      <w:r w:rsidR="005A2D3A">
        <w:rPr>
          <w:rFonts w:ascii="Times New Roman" w:eastAsia="Times New Roman" w:hAnsi="Times New Roman"/>
          <w:sz w:val="24"/>
          <w:szCs w:val="24"/>
          <w:lang w:val="en-GB"/>
        </w:rPr>
        <w:t xml:space="preserve"> </w:t>
      </w:r>
    </w:p>
    <w:p w:rsidR="005A2D3A" w:rsidRPr="00C02218" w:rsidRDefault="005A2D3A" w:rsidP="00DA54D0">
      <w:pPr>
        <w:keepNext/>
        <w:spacing w:before="360" w:after="240"/>
        <w:jc w:val="both"/>
        <w:rPr>
          <w:rFonts w:ascii="Times New Roman" w:eastAsia="Times New Roman" w:hAnsi="Times New Roman"/>
          <w:i/>
          <w:sz w:val="24"/>
          <w:szCs w:val="24"/>
          <w:lang w:val="en-GB"/>
        </w:rPr>
      </w:pPr>
      <w:r w:rsidRPr="00C02218">
        <w:rPr>
          <w:rFonts w:ascii="Times New Roman" w:eastAsia="Times New Roman" w:hAnsi="Times New Roman"/>
          <w:i/>
          <w:sz w:val="24"/>
          <w:szCs w:val="24"/>
          <w:lang w:val="en-GB"/>
        </w:rPr>
        <w:t>Social security coordination</w:t>
      </w:r>
    </w:p>
    <w:p w:rsidR="004D0937" w:rsidRDefault="00CA5AC4" w:rsidP="003D6BA4">
      <w:pPr>
        <w:spacing w:before="240" w:after="120"/>
        <w:jc w:val="both"/>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Union law </w:t>
      </w:r>
      <w:r w:rsidR="008A1114" w:rsidRPr="008A1114">
        <w:rPr>
          <w:rFonts w:ascii="Times New Roman" w:eastAsia="Times New Roman" w:hAnsi="Times New Roman"/>
          <w:sz w:val="24"/>
          <w:szCs w:val="24"/>
          <w:lang w:val="en-GB"/>
        </w:rPr>
        <w:t xml:space="preserve">provides common rules </w:t>
      </w:r>
      <w:r>
        <w:rPr>
          <w:rFonts w:ascii="Times New Roman" w:eastAsia="Times New Roman" w:hAnsi="Times New Roman"/>
          <w:sz w:val="24"/>
          <w:szCs w:val="24"/>
          <w:lang w:val="en-GB"/>
        </w:rPr>
        <w:t xml:space="preserve">on social security coordination </w:t>
      </w:r>
      <w:r w:rsidR="008A1114" w:rsidRPr="008A1114">
        <w:rPr>
          <w:rFonts w:ascii="Times New Roman" w:eastAsia="Times New Roman" w:hAnsi="Times New Roman"/>
          <w:sz w:val="24"/>
          <w:szCs w:val="24"/>
          <w:lang w:val="en-GB"/>
        </w:rPr>
        <w:t>to protect</w:t>
      </w:r>
      <w:r w:rsidR="008A1114" w:rsidRPr="00766CF0">
        <w:rPr>
          <w:rFonts w:ascii="Times New Roman" w:eastAsia="Times New Roman" w:hAnsi="Times New Roman"/>
          <w:b/>
          <w:sz w:val="24"/>
          <w:szCs w:val="24"/>
          <w:lang w:val="en-GB"/>
        </w:rPr>
        <w:t xml:space="preserve"> the social security rights of EU citizens</w:t>
      </w:r>
      <w:r w:rsidR="008A1114">
        <w:rPr>
          <w:rFonts w:ascii="Times New Roman" w:eastAsia="Times New Roman" w:hAnsi="Times New Roman"/>
          <w:sz w:val="24"/>
          <w:szCs w:val="24"/>
          <w:lang w:val="en-GB"/>
        </w:rPr>
        <w:t xml:space="preserve"> </w:t>
      </w:r>
      <w:r>
        <w:rPr>
          <w:rFonts w:ascii="Times New Roman" w:eastAsia="Times New Roman" w:hAnsi="Times New Roman"/>
          <w:sz w:val="24"/>
          <w:szCs w:val="24"/>
          <w:lang w:val="en-GB"/>
        </w:rPr>
        <w:t xml:space="preserve">who </w:t>
      </w:r>
      <w:r w:rsidR="00764C96">
        <w:rPr>
          <w:rFonts w:ascii="Times New Roman" w:eastAsia="Times New Roman" w:hAnsi="Times New Roman"/>
          <w:sz w:val="24"/>
          <w:szCs w:val="24"/>
          <w:lang w:val="en-GB"/>
        </w:rPr>
        <w:t>exercise</w:t>
      </w:r>
      <w:r>
        <w:rPr>
          <w:rFonts w:ascii="Times New Roman" w:eastAsia="Times New Roman" w:hAnsi="Times New Roman"/>
          <w:sz w:val="24"/>
          <w:szCs w:val="24"/>
          <w:lang w:val="en-GB"/>
        </w:rPr>
        <w:t>d</w:t>
      </w:r>
      <w:r w:rsidR="00764C96">
        <w:rPr>
          <w:rFonts w:ascii="Times New Roman" w:eastAsia="Times New Roman" w:hAnsi="Times New Roman"/>
          <w:sz w:val="24"/>
          <w:szCs w:val="24"/>
          <w:lang w:val="en-GB"/>
        </w:rPr>
        <w:t xml:space="preserve"> their fundamental right to</w:t>
      </w:r>
      <w:r w:rsidR="008A1114">
        <w:rPr>
          <w:rFonts w:ascii="Times New Roman" w:eastAsia="Times New Roman" w:hAnsi="Times New Roman"/>
          <w:sz w:val="24"/>
          <w:szCs w:val="24"/>
          <w:lang w:val="en-GB"/>
        </w:rPr>
        <w:t xml:space="preserve"> </w:t>
      </w:r>
      <w:r w:rsidR="008A1114" w:rsidRPr="008A1114">
        <w:rPr>
          <w:rFonts w:ascii="Times New Roman" w:eastAsia="Times New Roman" w:hAnsi="Times New Roman"/>
          <w:sz w:val="24"/>
          <w:szCs w:val="24"/>
          <w:lang w:val="en-GB"/>
        </w:rPr>
        <w:t>mov</w:t>
      </w:r>
      <w:r w:rsidR="008A1114">
        <w:rPr>
          <w:rFonts w:ascii="Times New Roman" w:eastAsia="Times New Roman" w:hAnsi="Times New Roman"/>
          <w:sz w:val="24"/>
          <w:szCs w:val="24"/>
          <w:lang w:val="en-GB"/>
        </w:rPr>
        <w:t xml:space="preserve">e </w:t>
      </w:r>
      <w:r>
        <w:rPr>
          <w:rFonts w:ascii="Times New Roman" w:eastAsia="Times New Roman" w:hAnsi="Times New Roman"/>
          <w:sz w:val="24"/>
          <w:szCs w:val="24"/>
          <w:lang w:val="en-GB"/>
        </w:rPr>
        <w:t>to another Member State</w:t>
      </w:r>
      <w:r w:rsidR="008A1114" w:rsidRPr="008A1114">
        <w:rPr>
          <w:rFonts w:ascii="Times New Roman" w:eastAsia="Times New Roman" w:hAnsi="Times New Roman"/>
          <w:sz w:val="24"/>
          <w:szCs w:val="24"/>
          <w:lang w:val="en-GB"/>
        </w:rPr>
        <w:t xml:space="preserve">. </w:t>
      </w:r>
      <w:r w:rsidR="00A81342">
        <w:rPr>
          <w:rFonts w:ascii="Times New Roman" w:eastAsia="Times New Roman" w:hAnsi="Times New Roman"/>
          <w:sz w:val="24"/>
          <w:szCs w:val="24"/>
          <w:lang w:val="en-GB"/>
        </w:rPr>
        <w:t xml:space="preserve">Union </w:t>
      </w:r>
      <w:r w:rsidR="008A1114" w:rsidRPr="008A1114">
        <w:rPr>
          <w:rFonts w:ascii="Times New Roman" w:eastAsia="Times New Roman" w:hAnsi="Times New Roman"/>
          <w:sz w:val="24"/>
          <w:szCs w:val="24"/>
          <w:lang w:val="en-GB"/>
        </w:rPr>
        <w:t xml:space="preserve">rules on social security coordination </w:t>
      </w:r>
      <w:r w:rsidR="003D6BA4">
        <w:rPr>
          <w:rFonts w:ascii="Times New Roman" w:eastAsia="Times New Roman" w:hAnsi="Times New Roman"/>
          <w:sz w:val="24"/>
          <w:szCs w:val="24"/>
          <w:lang w:val="en-GB"/>
        </w:rPr>
        <w:t xml:space="preserve">cover rights </w:t>
      </w:r>
      <w:r w:rsidR="0019291C">
        <w:rPr>
          <w:rFonts w:ascii="Times New Roman" w:eastAsia="Times New Roman" w:hAnsi="Times New Roman"/>
          <w:sz w:val="24"/>
          <w:szCs w:val="24"/>
          <w:lang w:val="en-GB"/>
        </w:rPr>
        <w:t xml:space="preserve">derived from national law </w:t>
      </w:r>
      <w:r w:rsidR="003D6BA4">
        <w:rPr>
          <w:rFonts w:ascii="Times New Roman" w:eastAsia="Times New Roman" w:hAnsi="Times New Roman"/>
          <w:sz w:val="24"/>
          <w:szCs w:val="24"/>
          <w:lang w:val="en-GB"/>
        </w:rPr>
        <w:t>linked to s</w:t>
      </w:r>
      <w:r w:rsidR="003D6BA4" w:rsidRPr="003D6BA4">
        <w:rPr>
          <w:rFonts w:ascii="Times New Roman" w:eastAsia="Times New Roman" w:hAnsi="Times New Roman"/>
          <w:sz w:val="24"/>
          <w:szCs w:val="24"/>
          <w:lang w:val="en-GB"/>
        </w:rPr>
        <w:t>ickness, maternity and paternity</w:t>
      </w:r>
      <w:r w:rsidR="003D6BA4">
        <w:rPr>
          <w:rFonts w:ascii="Times New Roman" w:eastAsia="Times New Roman" w:hAnsi="Times New Roman"/>
          <w:sz w:val="24"/>
          <w:szCs w:val="24"/>
          <w:lang w:val="en-GB"/>
        </w:rPr>
        <w:t>, p</w:t>
      </w:r>
      <w:r w:rsidR="003D6BA4" w:rsidRPr="003D6BA4">
        <w:rPr>
          <w:rFonts w:ascii="Times New Roman" w:eastAsia="Times New Roman" w:hAnsi="Times New Roman"/>
          <w:sz w:val="24"/>
          <w:szCs w:val="24"/>
          <w:lang w:val="en-GB"/>
        </w:rPr>
        <w:t>ensions</w:t>
      </w:r>
      <w:r w:rsidR="003D6BA4">
        <w:rPr>
          <w:rFonts w:ascii="Times New Roman" w:eastAsia="Times New Roman" w:hAnsi="Times New Roman"/>
          <w:sz w:val="24"/>
          <w:szCs w:val="24"/>
          <w:lang w:val="en-GB"/>
        </w:rPr>
        <w:t>, i</w:t>
      </w:r>
      <w:r w:rsidR="003D6BA4" w:rsidRPr="003D6BA4">
        <w:rPr>
          <w:rFonts w:ascii="Times New Roman" w:eastAsia="Times New Roman" w:hAnsi="Times New Roman"/>
          <w:sz w:val="24"/>
          <w:szCs w:val="24"/>
          <w:lang w:val="en-GB"/>
        </w:rPr>
        <w:t>nvalidity</w:t>
      </w:r>
      <w:r w:rsidR="003D6BA4">
        <w:rPr>
          <w:rFonts w:ascii="Times New Roman" w:eastAsia="Times New Roman" w:hAnsi="Times New Roman"/>
          <w:sz w:val="24"/>
          <w:szCs w:val="24"/>
          <w:lang w:val="en-GB"/>
        </w:rPr>
        <w:t>, u</w:t>
      </w:r>
      <w:r w:rsidR="003D6BA4" w:rsidRPr="003D6BA4">
        <w:rPr>
          <w:rFonts w:ascii="Times New Roman" w:eastAsia="Times New Roman" w:hAnsi="Times New Roman"/>
          <w:sz w:val="24"/>
          <w:szCs w:val="24"/>
          <w:lang w:val="en-GB"/>
        </w:rPr>
        <w:t>nemployment</w:t>
      </w:r>
      <w:r w:rsidR="003D6BA4">
        <w:rPr>
          <w:rFonts w:ascii="Times New Roman" w:eastAsia="Times New Roman" w:hAnsi="Times New Roman"/>
          <w:sz w:val="24"/>
          <w:szCs w:val="24"/>
          <w:lang w:val="en-GB"/>
        </w:rPr>
        <w:t>, f</w:t>
      </w:r>
      <w:r w:rsidR="003D6BA4" w:rsidRPr="003D6BA4">
        <w:rPr>
          <w:rFonts w:ascii="Times New Roman" w:eastAsia="Times New Roman" w:hAnsi="Times New Roman"/>
          <w:sz w:val="24"/>
          <w:szCs w:val="24"/>
          <w:lang w:val="en-GB"/>
        </w:rPr>
        <w:t>amily benefits</w:t>
      </w:r>
      <w:r w:rsidR="003D6BA4">
        <w:rPr>
          <w:rFonts w:ascii="Times New Roman" w:eastAsia="Times New Roman" w:hAnsi="Times New Roman"/>
          <w:sz w:val="24"/>
          <w:szCs w:val="24"/>
          <w:lang w:val="en-GB"/>
        </w:rPr>
        <w:t>, a</w:t>
      </w:r>
      <w:r w:rsidR="003D6BA4" w:rsidRPr="003D6BA4">
        <w:rPr>
          <w:rFonts w:ascii="Times New Roman" w:eastAsia="Times New Roman" w:hAnsi="Times New Roman"/>
          <w:sz w:val="24"/>
          <w:szCs w:val="24"/>
          <w:lang w:val="en-GB"/>
        </w:rPr>
        <w:t>ccidents at work and occupational diseases</w:t>
      </w:r>
      <w:r w:rsidR="001B70E3">
        <w:rPr>
          <w:rStyle w:val="FootnoteReference"/>
          <w:rFonts w:ascii="Times New Roman" w:eastAsia="Times New Roman" w:hAnsi="Times New Roman"/>
          <w:lang w:val="en-GB"/>
        </w:rPr>
        <w:footnoteReference w:id="17"/>
      </w:r>
      <w:r w:rsidR="004D0937">
        <w:rPr>
          <w:rFonts w:ascii="Times New Roman" w:eastAsia="Times New Roman" w:hAnsi="Times New Roman"/>
          <w:sz w:val="24"/>
          <w:szCs w:val="24"/>
          <w:lang w:val="en-GB"/>
        </w:rPr>
        <w:t>.</w:t>
      </w:r>
      <w:r w:rsidR="004D0937" w:rsidRPr="004D0937">
        <w:rPr>
          <w:rFonts w:ascii="Times New Roman" w:eastAsia="Times New Roman" w:hAnsi="Times New Roman"/>
          <w:sz w:val="24"/>
          <w:szCs w:val="24"/>
          <w:lang w:val="en-GB"/>
        </w:rPr>
        <w:t xml:space="preserve"> The principles underpinning </w:t>
      </w:r>
      <w:r w:rsidR="003D6BA4">
        <w:rPr>
          <w:rFonts w:ascii="Times New Roman" w:eastAsia="Times New Roman" w:hAnsi="Times New Roman"/>
          <w:sz w:val="24"/>
          <w:szCs w:val="24"/>
          <w:lang w:val="en-GB"/>
        </w:rPr>
        <w:t xml:space="preserve">the rules on </w:t>
      </w:r>
      <w:r w:rsidR="004D0937" w:rsidRPr="004D0937">
        <w:rPr>
          <w:rFonts w:ascii="Times New Roman" w:eastAsia="Times New Roman" w:hAnsi="Times New Roman"/>
          <w:sz w:val="24"/>
          <w:szCs w:val="24"/>
          <w:lang w:val="en-GB"/>
        </w:rPr>
        <w:t>social security coordination ensure that</w:t>
      </w:r>
      <w:r w:rsidR="003D6BA4">
        <w:rPr>
          <w:rFonts w:ascii="Times New Roman" w:eastAsia="Times New Roman" w:hAnsi="Times New Roman"/>
          <w:sz w:val="24"/>
          <w:szCs w:val="24"/>
          <w:lang w:val="en-GB"/>
        </w:rPr>
        <w:t xml:space="preserve"> </w:t>
      </w:r>
      <w:r w:rsidR="004D0937" w:rsidRPr="004D0937">
        <w:rPr>
          <w:rFonts w:ascii="Times New Roman" w:eastAsia="Times New Roman" w:hAnsi="Times New Roman"/>
          <w:sz w:val="24"/>
          <w:szCs w:val="24"/>
          <w:lang w:val="en-GB"/>
        </w:rPr>
        <w:t xml:space="preserve">citizens </w:t>
      </w:r>
      <w:r w:rsidR="00D06C6A">
        <w:rPr>
          <w:rFonts w:ascii="Times New Roman" w:eastAsia="Times New Roman" w:hAnsi="Times New Roman"/>
          <w:sz w:val="24"/>
          <w:szCs w:val="24"/>
          <w:lang w:val="en-GB"/>
        </w:rPr>
        <w:t xml:space="preserve">are </w:t>
      </w:r>
      <w:r w:rsidR="004D0937" w:rsidRPr="004D0937">
        <w:rPr>
          <w:rFonts w:ascii="Times New Roman" w:eastAsia="Times New Roman" w:hAnsi="Times New Roman"/>
          <w:sz w:val="24"/>
          <w:szCs w:val="24"/>
          <w:lang w:val="en-GB"/>
        </w:rPr>
        <w:t xml:space="preserve">only </w:t>
      </w:r>
      <w:r w:rsidR="00D06C6A">
        <w:rPr>
          <w:rFonts w:ascii="Times New Roman" w:eastAsia="Times New Roman" w:hAnsi="Times New Roman"/>
          <w:sz w:val="24"/>
          <w:szCs w:val="24"/>
          <w:lang w:val="en-GB"/>
        </w:rPr>
        <w:t>covered by the legislation of</w:t>
      </w:r>
      <w:r w:rsidR="004D0937">
        <w:rPr>
          <w:rFonts w:ascii="Times New Roman" w:eastAsia="Times New Roman" w:hAnsi="Times New Roman"/>
          <w:sz w:val="24"/>
          <w:szCs w:val="24"/>
          <w:lang w:val="en-GB"/>
        </w:rPr>
        <w:t xml:space="preserve"> one </w:t>
      </w:r>
      <w:r w:rsidR="00487532">
        <w:rPr>
          <w:rFonts w:ascii="Times New Roman" w:eastAsia="Times New Roman" w:hAnsi="Times New Roman"/>
          <w:sz w:val="24"/>
          <w:szCs w:val="24"/>
          <w:lang w:val="en-GB"/>
        </w:rPr>
        <w:t>Member State</w:t>
      </w:r>
      <w:r w:rsidR="004D0937">
        <w:rPr>
          <w:rFonts w:ascii="Times New Roman" w:eastAsia="Times New Roman" w:hAnsi="Times New Roman"/>
          <w:sz w:val="24"/>
          <w:szCs w:val="24"/>
          <w:lang w:val="en-GB"/>
        </w:rPr>
        <w:t xml:space="preserve"> (unicity)</w:t>
      </w:r>
      <w:r w:rsidR="0090462C">
        <w:rPr>
          <w:rFonts w:ascii="Times New Roman" w:eastAsia="Times New Roman" w:hAnsi="Times New Roman"/>
          <w:sz w:val="24"/>
          <w:szCs w:val="24"/>
          <w:lang w:val="en-GB"/>
        </w:rPr>
        <w:t>, and that they</w:t>
      </w:r>
      <w:r w:rsidR="004D0937" w:rsidRPr="004D0937">
        <w:rPr>
          <w:rFonts w:ascii="Times New Roman" w:eastAsia="Times New Roman" w:hAnsi="Times New Roman"/>
          <w:sz w:val="24"/>
          <w:szCs w:val="24"/>
          <w:lang w:val="en-GB"/>
        </w:rPr>
        <w:t xml:space="preserve"> have the same rights and obligations as the nationals of the </w:t>
      </w:r>
      <w:r w:rsidR="00487532">
        <w:rPr>
          <w:rFonts w:ascii="Times New Roman" w:eastAsia="Times New Roman" w:hAnsi="Times New Roman"/>
          <w:sz w:val="24"/>
          <w:szCs w:val="24"/>
          <w:lang w:val="en-GB"/>
        </w:rPr>
        <w:t xml:space="preserve">Member State </w:t>
      </w:r>
      <w:r w:rsidR="004D0937" w:rsidRPr="004D0937">
        <w:rPr>
          <w:rFonts w:ascii="Times New Roman" w:eastAsia="Times New Roman" w:hAnsi="Times New Roman"/>
          <w:sz w:val="24"/>
          <w:szCs w:val="24"/>
          <w:lang w:val="en-GB"/>
        </w:rPr>
        <w:t>where the</w:t>
      </w:r>
      <w:r w:rsidR="004D0937">
        <w:rPr>
          <w:rFonts w:ascii="Times New Roman" w:eastAsia="Times New Roman" w:hAnsi="Times New Roman"/>
          <w:sz w:val="24"/>
          <w:szCs w:val="24"/>
          <w:lang w:val="en-GB"/>
        </w:rPr>
        <w:t>y are covered (equal treatment)</w:t>
      </w:r>
      <w:r w:rsidR="0090462C">
        <w:rPr>
          <w:rFonts w:ascii="Times New Roman" w:eastAsia="Times New Roman" w:hAnsi="Times New Roman"/>
          <w:sz w:val="24"/>
          <w:szCs w:val="24"/>
          <w:lang w:val="en-GB"/>
        </w:rPr>
        <w:t xml:space="preserve">. The principles also ensure </w:t>
      </w:r>
      <w:r w:rsidR="004D0937" w:rsidRPr="004D0937">
        <w:rPr>
          <w:rFonts w:ascii="Times New Roman" w:eastAsia="Times New Roman" w:hAnsi="Times New Roman"/>
          <w:sz w:val="24"/>
          <w:szCs w:val="24"/>
          <w:lang w:val="en-GB"/>
        </w:rPr>
        <w:t xml:space="preserve">that previous periods of insurance, work or residence in other </w:t>
      </w:r>
      <w:r w:rsidR="00487532">
        <w:rPr>
          <w:rFonts w:ascii="Times New Roman" w:eastAsia="Times New Roman" w:hAnsi="Times New Roman"/>
          <w:sz w:val="24"/>
          <w:szCs w:val="24"/>
          <w:lang w:val="en-GB"/>
        </w:rPr>
        <w:t xml:space="preserve">Member States </w:t>
      </w:r>
      <w:r w:rsidR="004D0937" w:rsidRPr="004D0937">
        <w:rPr>
          <w:rFonts w:ascii="Times New Roman" w:eastAsia="Times New Roman" w:hAnsi="Times New Roman"/>
          <w:sz w:val="24"/>
          <w:szCs w:val="24"/>
          <w:lang w:val="en-GB"/>
        </w:rPr>
        <w:t>are taken into account</w:t>
      </w:r>
      <w:r w:rsidR="00CD2CCD">
        <w:rPr>
          <w:rFonts w:ascii="Times New Roman" w:eastAsia="Times New Roman" w:hAnsi="Times New Roman"/>
          <w:sz w:val="24"/>
          <w:szCs w:val="24"/>
          <w:lang w:val="en-GB"/>
        </w:rPr>
        <w:t xml:space="preserve"> when authorities determine a person’s eligibility </w:t>
      </w:r>
      <w:r w:rsidR="00AC3EA0">
        <w:rPr>
          <w:rFonts w:ascii="Times New Roman" w:eastAsia="Times New Roman" w:hAnsi="Times New Roman"/>
          <w:sz w:val="24"/>
          <w:szCs w:val="24"/>
          <w:lang w:val="en-GB"/>
        </w:rPr>
        <w:t xml:space="preserve">for </w:t>
      </w:r>
      <w:r w:rsidR="00CD2CCD">
        <w:rPr>
          <w:rFonts w:ascii="Times New Roman" w:eastAsia="Times New Roman" w:hAnsi="Times New Roman"/>
          <w:sz w:val="24"/>
          <w:szCs w:val="24"/>
          <w:lang w:val="en-GB"/>
        </w:rPr>
        <w:t xml:space="preserve">a benefit </w:t>
      </w:r>
      <w:r w:rsidR="004D0937" w:rsidRPr="004D0937">
        <w:rPr>
          <w:rFonts w:ascii="Times New Roman" w:eastAsia="Times New Roman" w:hAnsi="Times New Roman"/>
          <w:sz w:val="24"/>
          <w:szCs w:val="24"/>
          <w:lang w:val="en-GB"/>
        </w:rPr>
        <w:t>(aggregation)</w:t>
      </w:r>
      <w:r w:rsidR="0090462C">
        <w:rPr>
          <w:rFonts w:ascii="Times New Roman" w:eastAsia="Times New Roman" w:hAnsi="Times New Roman"/>
          <w:sz w:val="24"/>
          <w:szCs w:val="24"/>
          <w:lang w:val="en-GB"/>
        </w:rPr>
        <w:t>,</w:t>
      </w:r>
      <w:r w:rsidR="004D0937" w:rsidRPr="004D0937">
        <w:rPr>
          <w:rFonts w:ascii="Times New Roman" w:eastAsia="Times New Roman" w:hAnsi="Times New Roman"/>
          <w:sz w:val="24"/>
          <w:szCs w:val="24"/>
          <w:lang w:val="en-GB"/>
        </w:rPr>
        <w:t xml:space="preserve"> and that </w:t>
      </w:r>
      <w:r w:rsidR="00063E20">
        <w:rPr>
          <w:rFonts w:ascii="Times New Roman" w:eastAsia="Times New Roman" w:hAnsi="Times New Roman"/>
          <w:sz w:val="24"/>
          <w:szCs w:val="24"/>
          <w:lang w:val="en-GB"/>
        </w:rPr>
        <w:t>citizens</w:t>
      </w:r>
      <w:r w:rsidR="00063E20" w:rsidRPr="004D0937">
        <w:rPr>
          <w:rFonts w:ascii="Times New Roman" w:eastAsia="Times New Roman" w:hAnsi="Times New Roman"/>
          <w:sz w:val="24"/>
          <w:szCs w:val="24"/>
          <w:lang w:val="en-GB"/>
        </w:rPr>
        <w:t xml:space="preserve"> </w:t>
      </w:r>
      <w:r w:rsidR="004D0937" w:rsidRPr="004D0937">
        <w:rPr>
          <w:rFonts w:ascii="Times New Roman" w:eastAsia="Times New Roman" w:hAnsi="Times New Roman"/>
          <w:sz w:val="24"/>
          <w:szCs w:val="24"/>
          <w:lang w:val="en-GB"/>
        </w:rPr>
        <w:t>may</w:t>
      </w:r>
      <w:r w:rsidR="003D6BA4">
        <w:rPr>
          <w:rFonts w:ascii="Times New Roman" w:eastAsia="Times New Roman" w:hAnsi="Times New Roman"/>
          <w:sz w:val="24"/>
          <w:szCs w:val="24"/>
          <w:lang w:val="en-GB"/>
        </w:rPr>
        <w:t xml:space="preserve">, as a rule, </w:t>
      </w:r>
      <w:r w:rsidR="004D0937" w:rsidRPr="004D0937">
        <w:rPr>
          <w:rFonts w:ascii="Times New Roman" w:eastAsia="Times New Roman" w:hAnsi="Times New Roman"/>
          <w:sz w:val="24"/>
          <w:szCs w:val="24"/>
          <w:lang w:val="en-GB"/>
        </w:rPr>
        <w:t xml:space="preserve">receive cash benefits to which they are entitled even if they </w:t>
      </w:r>
      <w:r w:rsidR="00063E20">
        <w:rPr>
          <w:rFonts w:ascii="Times New Roman" w:eastAsia="Times New Roman" w:hAnsi="Times New Roman"/>
          <w:sz w:val="24"/>
          <w:szCs w:val="24"/>
          <w:lang w:val="en-GB"/>
        </w:rPr>
        <w:t xml:space="preserve">live </w:t>
      </w:r>
      <w:r w:rsidR="004D0937" w:rsidRPr="004D0937">
        <w:rPr>
          <w:rFonts w:ascii="Times New Roman" w:eastAsia="Times New Roman" w:hAnsi="Times New Roman"/>
          <w:sz w:val="24"/>
          <w:szCs w:val="24"/>
          <w:lang w:val="en-GB"/>
        </w:rPr>
        <w:t xml:space="preserve">in a different </w:t>
      </w:r>
      <w:r w:rsidR="00487532">
        <w:rPr>
          <w:rFonts w:ascii="Times New Roman" w:eastAsia="Times New Roman" w:hAnsi="Times New Roman"/>
          <w:sz w:val="24"/>
          <w:szCs w:val="24"/>
          <w:lang w:val="en-GB"/>
        </w:rPr>
        <w:t xml:space="preserve">Member State </w:t>
      </w:r>
      <w:r w:rsidR="004D0937" w:rsidRPr="004D0937">
        <w:rPr>
          <w:rFonts w:ascii="Times New Roman" w:eastAsia="Times New Roman" w:hAnsi="Times New Roman"/>
          <w:sz w:val="24"/>
          <w:szCs w:val="24"/>
          <w:lang w:val="en-GB"/>
        </w:rPr>
        <w:t>(exportability)</w:t>
      </w:r>
      <w:r w:rsidR="004D0937">
        <w:rPr>
          <w:rFonts w:ascii="Times New Roman" w:eastAsia="Times New Roman" w:hAnsi="Times New Roman"/>
          <w:sz w:val="24"/>
          <w:szCs w:val="24"/>
          <w:lang w:val="en-GB"/>
        </w:rPr>
        <w:t>.</w:t>
      </w:r>
    </w:p>
    <w:p w:rsidR="00C344BB" w:rsidRDefault="00693858" w:rsidP="00764C96">
      <w:pPr>
        <w:spacing w:before="240" w:after="120"/>
        <w:jc w:val="both"/>
        <w:rPr>
          <w:rFonts w:ascii="Times New Roman" w:eastAsia="Times New Roman" w:hAnsi="Times New Roman"/>
          <w:sz w:val="24"/>
          <w:szCs w:val="24"/>
          <w:lang w:val="en-GB"/>
        </w:rPr>
      </w:pPr>
      <w:r>
        <w:rPr>
          <w:rFonts w:ascii="Times New Roman" w:eastAsia="Times New Roman" w:hAnsi="Times New Roman"/>
          <w:sz w:val="24"/>
          <w:szCs w:val="24"/>
          <w:lang w:val="en-GB"/>
        </w:rPr>
        <w:lastRenderedPageBreak/>
        <w:t xml:space="preserve">If the Withdrawal Agreement is not ratified, </w:t>
      </w:r>
      <w:r w:rsidR="001F6A02">
        <w:rPr>
          <w:rFonts w:ascii="Times New Roman" w:eastAsia="Times New Roman" w:hAnsi="Times New Roman"/>
          <w:sz w:val="24"/>
          <w:szCs w:val="24"/>
          <w:lang w:val="en-GB"/>
        </w:rPr>
        <w:t xml:space="preserve">Union rules on social security coordination will no longer apply to </w:t>
      </w:r>
      <w:r w:rsidR="00625DBA">
        <w:rPr>
          <w:rFonts w:ascii="Times New Roman" w:eastAsia="Times New Roman" w:hAnsi="Times New Roman"/>
          <w:sz w:val="24"/>
          <w:szCs w:val="24"/>
          <w:lang w:val="en-GB"/>
        </w:rPr>
        <w:t>the United Kingdom</w:t>
      </w:r>
      <w:r w:rsidR="00C344BB">
        <w:rPr>
          <w:rFonts w:ascii="Times New Roman" w:eastAsia="Times New Roman" w:hAnsi="Times New Roman"/>
          <w:sz w:val="24"/>
          <w:szCs w:val="24"/>
          <w:lang w:val="en-GB"/>
        </w:rPr>
        <w:t xml:space="preserve">. This </w:t>
      </w:r>
      <w:r w:rsidR="00C344BB" w:rsidRPr="00C344BB">
        <w:rPr>
          <w:rFonts w:ascii="Times New Roman" w:eastAsia="Times New Roman" w:hAnsi="Times New Roman"/>
          <w:sz w:val="24"/>
          <w:szCs w:val="24"/>
          <w:lang w:val="en-GB"/>
        </w:rPr>
        <w:t xml:space="preserve">raises concerns for </w:t>
      </w:r>
      <w:r>
        <w:rPr>
          <w:rFonts w:ascii="Times New Roman" w:eastAsia="Times New Roman" w:hAnsi="Times New Roman"/>
          <w:sz w:val="24"/>
          <w:szCs w:val="24"/>
          <w:lang w:val="en-GB"/>
        </w:rPr>
        <w:t>EU</w:t>
      </w:r>
      <w:r w:rsidR="00D75768">
        <w:rPr>
          <w:rFonts w:ascii="Times New Roman" w:eastAsia="Times New Roman" w:hAnsi="Times New Roman"/>
          <w:sz w:val="24"/>
          <w:szCs w:val="24"/>
          <w:lang w:val="en-GB"/>
        </w:rPr>
        <w:t xml:space="preserve"> </w:t>
      </w:r>
      <w:r w:rsidR="00C344BB" w:rsidRPr="00002C85">
        <w:rPr>
          <w:rFonts w:ascii="Times New Roman" w:hAnsi="Times New Roman"/>
          <w:sz w:val="24"/>
          <w:lang w:val="en-GB"/>
        </w:rPr>
        <w:t xml:space="preserve">citizens who </w:t>
      </w:r>
      <w:r w:rsidR="00C344BB">
        <w:rPr>
          <w:rFonts w:ascii="Times New Roman" w:eastAsia="Times New Roman" w:hAnsi="Times New Roman"/>
          <w:sz w:val="24"/>
          <w:szCs w:val="24"/>
          <w:lang w:val="en-GB"/>
        </w:rPr>
        <w:t xml:space="preserve">currently work or </w:t>
      </w:r>
      <w:r w:rsidR="00C344BB" w:rsidRPr="00C344BB">
        <w:rPr>
          <w:rFonts w:ascii="Times New Roman" w:eastAsia="Times New Roman" w:hAnsi="Times New Roman"/>
          <w:sz w:val="24"/>
          <w:szCs w:val="24"/>
          <w:lang w:val="en-GB"/>
        </w:rPr>
        <w:t>resid</w:t>
      </w:r>
      <w:r w:rsidR="00C344BB">
        <w:rPr>
          <w:rFonts w:ascii="Times New Roman" w:eastAsia="Times New Roman" w:hAnsi="Times New Roman"/>
          <w:sz w:val="24"/>
          <w:szCs w:val="24"/>
          <w:lang w:val="en-GB"/>
        </w:rPr>
        <w:t>e</w:t>
      </w:r>
      <w:r w:rsidR="00C344BB" w:rsidRPr="00C344BB">
        <w:rPr>
          <w:rFonts w:ascii="Times New Roman" w:eastAsia="Times New Roman" w:hAnsi="Times New Roman"/>
          <w:sz w:val="24"/>
          <w:szCs w:val="24"/>
          <w:lang w:val="en-GB"/>
        </w:rPr>
        <w:t xml:space="preserve"> in </w:t>
      </w:r>
      <w:r w:rsidR="00C344BB" w:rsidRPr="00002C85">
        <w:rPr>
          <w:rFonts w:ascii="Times New Roman" w:hAnsi="Times New Roman"/>
          <w:sz w:val="24"/>
          <w:lang w:val="en-GB"/>
        </w:rPr>
        <w:t>the United Kingdom</w:t>
      </w:r>
      <w:r w:rsidR="00C344BB">
        <w:rPr>
          <w:rFonts w:ascii="Times New Roman" w:eastAsia="Times New Roman" w:hAnsi="Times New Roman"/>
          <w:sz w:val="24"/>
          <w:szCs w:val="24"/>
          <w:lang w:val="en-GB"/>
        </w:rPr>
        <w:t>, or have done so</w:t>
      </w:r>
      <w:r w:rsidR="00C344BB" w:rsidRPr="00C344BB">
        <w:rPr>
          <w:rFonts w:ascii="Times New Roman" w:eastAsia="Times New Roman" w:hAnsi="Times New Roman"/>
          <w:sz w:val="24"/>
          <w:szCs w:val="24"/>
          <w:lang w:val="en-GB"/>
        </w:rPr>
        <w:t xml:space="preserve"> previously</w:t>
      </w:r>
      <w:r w:rsidR="00C344BB">
        <w:rPr>
          <w:rFonts w:ascii="Times New Roman" w:eastAsia="Times New Roman" w:hAnsi="Times New Roman"/>
          <w:sz w:val="24"/>
          <w:szCs w:val="24"/>
          <w:lang w:val="en-GB"/>
        </w:rPr>
        <w:t xml:space="preserve">, </w:t>
      </w:r>
      <w:r w:rsidR="00AC3EA0">
        <w:rPr>
          <w:rFonts w:ascii="Times New Roman" w:eastAsia="Times New Roman" w:hAnsi="Times New Roman"/>
          <w:sz w:val="24"/>
          <w:szCs w:val="24"/>
          <w:lang w:val="en-GB"/>
        </w:rPr>
        <w:t xml:space="preserve">about </w:t>
      </w:r>
      <w:r w:rsidR="00C344BB">
        <w:rPr>
          <w:rFonts w:ascii="Times New Roman" w:eastAsia="Times New Roman" w:hAnsi="Times New Roman"/>
          <w:sz w:val="24"/>
          <w:szCs w:val="24"/>
          <w:lang w:val="en-GB"/>
        </w:rPr>
        <w:t>the</w:t>
      </w:r>
      <w:r w:rsidR="00931C72">
        <w:rPr>
          <w:rFonts w:ascii="Times New Roman" w:eastAsia="Times New Roman" w:hAnsi="Times New Roman"/>
          <w:sz w:val="24"/>
          <w:szCs w:val="24"/>
          <w:lang w:val="en-GB"/>
        </w:rPr>
        <w:t>ir</w:t>
      </w:r>
      <w:r w:rsidR="00C344BB" w:rsidRPr="00C344BB">
        <w:rPr>
          <w:rFonts w:ascii="Times New Roman" w:eastAsia="Times New Roman" w:hAnsi="Times New Roman"/>
          <w:sz w:val="24"/>
          <w:szCs w:val="24"/>
          <w:lang w:val="en-GB"/>
        </w:rPr>
        <w:t xml:space="preserve"> social security </w:t>
      </w:r>
      <w:r w:rsidR="00C344BB">
        <w:rPr>
          <w:rFonts w:ascii="Times New Roman" w:eastAsia="Times New Roman" w:hAnsi="Times New Roman"/>
          <w:sz w:val="24"/>
          <w:szCs w:val="24"/>
          <w:lang w:val="en-GB"/>
        </w:rPr>
        <w:t>entitlements</w:t>
      </w:r>
      <w:r w:rsidR="00C344BB" w:rsidRPr="00C344BB">
        <w:rPr>
          <w:rFonts w:ascii="Times New Roman" w:eastAsia="Times New Roman" w:hAnsi="Times New Roman"/>
          <w:sz w:val="24"/>
          <w:szCs w:val="24"/>
          <w:lang w:val="en-GB"/>
        </w:rPr>
        <w:t>. The same applies to U</w:t>
      </w:r>
      <w:r w:rsidR="00D75768">
        <w:rPr>
          <w:rFonts w:ascii="Times New Roman" w:eastAsia="Times New Roman" w:hAnsi="Times New Roman"/>
          <w:sz w:val="24"/>
          <w:szCs w:val="24"/>
          <w:lang w:val="en-GB"/>
        </w:rPr>
        <w:t xml:space="preserve">K </w:t>
      </w:r>
      <w:r w:rsidR="00C344BB" w:rsidRPr="00C344BB">
        <w:rPr>
          <w:rFonts w:ascii="Times New Roman" w:eastAsia="Times New Roman" w:hAnsi="Times New Roman"/>
          <w:sz w:val="24"/>
          <w:szCs w:val="24"/>
          <w:lang w:val="en-GB"/>
        </w:rPr>
        <w:t>nationals curre</w:t>
      </w:r>
      <w:r w:rsidR="00C344BB">
        <w:rPr>
          <w:rFonts w:ascii="Times New Roman" w:eastAsia="Times New Roman" w:hAnsi="Times New Roman"/>
          <w:sz w:val="24"/>
          <w:szCs w:val="24"/>
          <w:lang w:val="en-GB"/>
        </w:rPr>
        <w:t xml:space="preserve">ntly working/residing in </w:t>
      </w:r>
      <w:r w:rsidR="00D75768">
        <w:rPr>
          <w:rFonts w:ascii="Times New Roman" w:eastAsia="Times New Roman" w:hAnsi="Times New Roman"/>
          <w:sz w:val="24"/>
          <w:szCs w:val="24"/>
          <w:lang w:val="en-GB"/>
        </w:rPr>
        <w:t>a different Member State</w:t>
      </w:r>
      <w:r w:rsidR="00C344BB" w:rsidRPr="00C344BB">
        <w:rPr>
          <w:rFonts w:ascii="Times New Roman" w:eastAsia="Times New Roman" w:hAnsi="Times New Roman"/>
          <w:sz w:val="24"/>
          <w:szCs w:val="24"/>
          <w:lang w:val="en-GB"/>
        </w:rPr>
        <w:t>.</w:t>
      </w:r>
      <w:r w:rsidR="00C344BB">
        <w:rPr>
          <w:rFonts w:ascii="Times New Roman" w:eastAsia="Times New Roman" w:hAnsi="Times New Roman"/>
          <w:sz w:val="24"/>
          <w:szCs w:val="24"/>
          <w:lang w:val="en-GB"/>
        </w:rPr>
        <w:t xml:space="preserve"> </w:t>
      </w:r>
    </w:p>
    <w:p w:rsidR="001B70E3" w:rsidRDefault="00C344BB" w:rsidP="00764C96">
      <w:pPr>
        <w:spacing w:before="240" w:after="120"/>
        <w:jc w:val="both"/>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The Commission </w:t>
      </w:r>
      <w:r w:rsidR="00A81050">
        <w:rPr>
          <w:rFonts w:ascii="Times New Roman" w:eastAsia="Times New Roman" w:hAnsi="Times New Roman"/>
          <w:sz w:val="24"/>
          <w:szCs w:val="24"/>
          <w:lang w:val="en-GB"/>
        </w:rPr>
        <w:t>calls up</w:t>
      </w:r>
      <w:r w:rsidR="00FE4D53">
        <w:rPr>
          <w:rFonts w:ascii="Times New Roman" w:eastAsia="Times New Roman" w:hAnsi="Times New Roman"/>
          <w:sz w:val="24"/>
          <w:szCs w:val="24"/>
          <w:lang w:val="en-GB"/>
        </w:rPr>
        <w:t>on</w:t>
      </w:r>
      <w:r w:rsidR="00A81050">
        <w:rPr>
          <w:rFonts w:ascii="Times New Roman" w:eastAsia="Times New Roman" w:hAnsi="Times New Roman"/>
          <w:sz w:val="24"/>
          <w:szCs w:val="24"/>
          <w:lang w:val="en-GB"/>
        </w:rPr>
        <w:t xml:space="preserve"> Member States </w:t>
      </w:r>
      <w:r>
        <w:rPr>
          <w:rFonts w:ascii="Times New Roman" w:eastAsia="Times New Roman" w:hAnsi="Times New Roman"/>
          <w:sz w:val="24"/>
          <w:szCs w:val="24"/>
          <w:lang w:val="en-GB"/>
        </w:rPr>
        <w:t xml:space="preserve">to take all possible steps to </w:t>
      </w:r>
      <w:r w:rsidR="00764C96" w:rsidRPr="00764C96">
        <w:rPr>
          <w:rFonts w:ascii="Times New Roman" w:eastAsia="Times New Roman" w:hAnsi="Times New Roman"/>
          <w:sz w:val="24"/>
          <w:szCs w:val="24"/>
          <w:lang w:val="en-GB"/>
        </w:rPr>
        <w:t xml:space="preserve">respond to these concerns and </w:t>
      </w:r>
      <w:r w:rsidR="00A81050">
        <w:rPr>
          <w:rFonts w:ascii="Times New Roman" w:eastAsia="Times New Roman" w:hAnsi="Times New Roman"/>
          <w:sz w:val="24"/>
          <w:szCs w:val="24"/>
          <w:lang w:val="en-GB"/>
        </w:rPr>
        <w:t xml:space="preserve">to </w:t>
      </w:r>
      <w:r w:rsidR="00764C96" w:rsidRPr="00764C96">
        <w:rPr>
          <w:rFonts w:ascii="Times New Roman" w:eastAsia="Times New Roman" w:hAnsi="Times New Roman"/>
          <w:sz w:val="24"/>
          <w:szCs w:val="24"/>
          <w:lang w:val="en-GB"/>
        </w:rPr>
        <w:t xml:space="preserve">ensure legal certainty </w:t>
      </w:r>
      <w:r>
        <w:rPr>
          <w:rFonts w:ascii="Times New Roman" w:eastAsia="Times New Roman" w:hAnsi="Times New Roman"/>
          <w:sz w:val="24"/>
          <w:szCs w:val="24"/>
          <w:lang w:val="en-GB"/>
        </w:rPr>
        <w:t>and protection of</w:t>
      </w:r>
      <w:r w:rsidR="0059058B">
        <w:rPr>
          <w:rFonts w:ascii="Times New Roman" w:eastAsia="Times New Roman" w:hAnsi="Times New Roman"/>
          <w:sz w:val="24"/>
          <w:szCs w:val="24"/>
          <w:lang w:val="en-GB"/>
        </w:rPr>
        <w:t xml:space="preserve"> the social security entitlements</w:t>
      </w:r>
      <w:r>
        <w:rPr>
          <w:rFonts w:ascii="Times New Roman" w:eastAsia="Times New Roman" w:hAnsi="Times New Roman"/>
          <w:sz w:val="24"/>
          <w:szCs w:val="24"/>
          <w:lang w:val="en-GB"/>
        </w:rPr>
        <w:t xml:space="preserve"> acquired </w:t>
      </w:r>
      <w:r w:rsidR="0019402A">
        <w:rPr>
          <w:rFonts w:ascii="Times New Roman" w:eastAsia="Times New Roman" w:hAnsi="Times New Roman"/>
          <w:sz w:val="24"/>
          <w:szCs w:val="24"/>
          <w:lang w:val="en-GB"/>
        </w:rPr>
        <w:t>by</w:t>
      </w:r>
      <w:r w:rsidR="00764C96" w:rsidRPr="00764C96">
        <w:rPr>
          <w:rFonts w:ascii="Times New Roman" w:eastAsia="Times New Roman" w:hAnsi="Times New Roman"/>
          <w:sz w:val="24"/>
          <w:szCs w:val="24"/>
          <w:lang w:val="en-GB"/>
        </w:rPr>
        <w:t xml:space="preserve"> citize</w:t>
      </w:r>
      <w:r>
        <w:rPr>
          <w:rFonts w:ascii="Times New Roman" w:eastAsia="Times New Roman" w:hAnsi="Times New Roman"/>
          <w:sz w:val="24"/>
          <w:szCs w:val="24"/>
          <w:lang w:val="en-GB"/>
        </w:rPr>
        <w:t xml:space="preserve">ns </w:t>
      </w:r>
      <w:r w:rsidRPr="00D54035">
        <w:rPr>
          <w:rFonts w:ascii="Times New Roman" w:eastAsia="Times New Roman" w:hAnsi="Times New Roman"/>
          <w:sz w:val="24"/>
          <w:szCs w:val="24"/>
          <w:lang w:val="en-GB"/>
        </w:rPr>
        <w:t xml:space="preserve">who exercised </w:t>
      </w:r>
      <w:r>
        <w:rPr>
          <w:rFonts w:ascii="Times New Roman" w:eastAsia="Times New Roman" w:hAnsi="Times New Roman"/>
          <w:sz w:val="24"/>
          <w:szCs w:val="24"/>
          <w:lang w:val="en-GB"/>
        </w:rPr>
        <w:t xml:space="preserve">their right to </w:t>
      </w:r>
      <w:r w:rsidRPr="00D54035">
        <w:rPr>
          <w:rFonts w:ascii="Times New Roman" w:eastAsia="Times New Roman" w:hAnsi="Times New Roman"/>
          <w:sz w:val="24"/>
          <w:szCs w:val="24"/>
          <w:lang w:val="en-GB"/>
        </w:rPr>
        <w:t>free movement prior to 30 March 2019</w:t>
      </w:r>
      <w:r w:rsidR="001B70E3" w:rsidRPr="001B70E3">
        <w:rPr>
          <w:rFonts w:ascii="Times New Roman" w:eastAsia="Times New Roman" w:hAnsi="Times New Roman"/>
          <w:sz w:val="24"/>
          <w:szCs w:val="24"/>
          <w:lang w:val="en-GB"/>
        </w:rPr>
        <w:t>.</w:t>
      </w:r>
      <w:r w:rsidR="00A81050">
        <w:rPr>
          <w:rFonts w:ascii="Times New Roman" w:eastAsia="Times New Roman" w:hAnsi="Times New Roman"/>
          <w:sz w:val="24"/>
          <w:szCs w:val="24"/>
          <w:lang w:val="en-GB"/>
        </w:rPr>
        <w:t xml:space="preserve"> </w:t>
      </w:r>
    </w:p>
    <w:p w:rsidR="00A81050" w:rsidRDefault="00A81050" w:rsidP="00764C96">
      <w:pPr>
        <w:spacing w:before="240" w:after="120"/>
        <w:jc w:val="both"/>
        <w:rPr>
          <w:rFonts w:ascii="Times New Roman" w:eastAsia="Times New Roman" w:hAnsi="Times New Roman"/>
          <w:sz w:val="24"/>
          <w:szCs w:val="24"/>
          <w:lang w:val="en-GB"/>
        </w:rPr>
      </w:pPr>
      <w:r>
        <w:rPr>
          <w:rFonts w:ascii="Times New Roman" w:eastAsia="Times New Roman" w:hAnsi="Times New Roman"/>
          <w:sz w:val="24"/>
          <w:szCs w:val="24"/>
          <w:lang w:val="en-GB"/>
        </w:rPr>
        <w:t>In particular, the Commission calls upon Member States to</w:t>
      </w:r>
      <w:r w:rsidR="0019291C">
        <w:rPr>
          <w:rFonts w:ascii="Times New Roman" w:eastAsia="Times New Roman" w:hAnsi="Times New Roman"/>
          <w:sz w:val="24"/>
          <w:szCs w:val="24"/>
          <w:lang w:val="en-GB"/>
        </w:rPr>
        <w:t>:</w:t>
      </w:r>
    </w:p>
    <w:p w:rsidR="00A81050" w:rsidRDefault="00A81050" w:rsidP="00A81050">
      <w:pPr>
        <w:pStyle w:val="ListParagraph"/>
        <w:numPr>
          <w:ilvl w:val="0"/>
          <w:numId w:val="35"/>
        </w:numPr>
        <w:spacing w:before="240" w:after="120"/>
        <w:jc w:val="both"/>
        <w:rPr>
          <w:rFonts w:ascii="Times New Roman" w:eastAsia="Times New Roman" w:hAnsi="Times New Roman"/>
          <w:sz w:val="24"/>
          <w:szCs w:val="24"/>
          <w:lang w:val="en-GB"/>
        </w:rPr>
      </w:pPr>
      <w:r>
        <w:rPr>
          <w:rFonts w:ascii="Times New Roman" w:eastAsia="Times New Roman" w:hAnsi="Times New Roman"/>
          <w:sz w:val="24"/>
          <w:szCs w:val="24"/>
          <w:lang w:val="en-GB"/>
        </w:rPr>
        <w:t>take into account, for EU27 citizens and UK nationals, periods of work/insurance that occurred in the United Kingdom before the withdrawal;</w:t>
      </w:r>
    </w:p>
    <w:p w:rsidR="00A81050" w:rsidRDefault="00A81050" w:rsidP="00A81050">
      <w:pPr>
        <w:pStyle w:val="ListParagraph"/>
        <w:numPr>
          <w:ilvl w:val="0"/>
          <w:numId w:val="35"/>
        </w:numPr>
        <w:spacing w:before="240" w:after="120"/>
        <w:jc w:val="both"/>
        <w:rPr>
          <w:rFonts w:ascii="Times New Roman" w:eastAsia="Times New Roman" w:hAnsi="Times New Roman"/>
          <w:sz w:val="24"/>
          <w:szCs w:val="24"/>
          <w:lang w:val="en-GB"/>
        </w:rPr>
      </w:pPr>
      <w:r>
        <w:rPr>
          <w:rFonts w:ascii="Times New Roman" w:eastAsia="Times New Roman" w:hAnsi="Times New Roman"/>
          <w:sz w:val="24"/>
          <w:szCs w:val="24"/>
          <w:lang w:val="en-GB"/>
        </w:rPr>
        <w:t>i</w:t>
      </w:r>
      <w:r w:rsidRPr="00CD2CCD">
        <w:rPr>
          <w:rFonts w:ascii="Times New Roman" w:eastAsia="Times New Roman" w:hAnsi="Times New Roman"/>
          <w:sz w:val="24"/>
          <w:szCs w:val="24"/>
          <w:lang w:val="en-GB"/>
        </w:rPr>
        <w:t xml:space="preserve">nform citizens that they should </w:t>
      </w:r>
      <w:r>
        <w:rPr>
          <w:rFonts w:ascii="Times New Roman" w:eastAsia="Times New Roman" w:hAnsi="Times New Roman"/>
          <w:sz w:val="24"/>
          <w:szCs w:val="24"/>
          <w:lang w:val="en-GB"/>
        </w:rPr>
        <w:t>keep the appropriate documentation that provides evidence for these periods;</w:t>
      </w:r>
    </w:p>
    <w:p w:rsidR="0019291C" w:rsidRDefault="00A81050" w:rsidP="00A81050">
      <w:pPr>
        <w:pStyle w:val="ListParagraph"/>
        <w:numPr>
          <w:ilvl w:val="0"/>
          <w:numId w:val="35"/>
        </w:numPr>
        <w:spacing w:before="240" w:after="120"/>
        <w:jc w:val="both"/>
        <w:rPr>
          <w:rFonts w:ascii="Times New Roman" w:eastAsia="Times New Roman" w:hAnsi="Times New Roman"/>
          <w:sz w:val="24"/>
          <w:szCs w:val="24"/>
          <w:lang w:val="en-GB"/>
        </w:rPr>
      </w:pPr>
      <w:r>
        <w:rPr>
          <w:rFonts w:ascii="Times New Roman" w:eastAsia="Times New Roman" w:hAnsi="Times New Roman"/>
          <w:sz w:val="24"/>
          <w:szCs w:val="24"/>
          <w:lang w:val="en-GB"/>
        </w:rPr>
        <w:t>ensure that ‘aggregation’ of periods completed until withdrawal also benefits those</w:t>
      </w:r>
      <w:r w:rsidRPr="007B768A">
        <w:rPr>
          <w:rFonts w:ascii="Times New Roman" w:eastAsia="Times New Roman" w:hAnsi="Times New Roman"/>
          <w:sz w:val="24"/>
          <w:szCs w:val="24"/>
          <w:lang w:val="en-GB"/>
        </w:rPr>
        <w:t xml:space="preserve"> who continue to </w:t>
      </w:r>
      <w:r>
        <w:rPr>
          <w:rFonts w:ascii="Times New Roman" w:eastAsia="Times New Roman" w:hAnsi="Times New Roman"/>
          <w:sz w:val="24"/>
          <w:szCs w:val="24"/>
          <w:lang w:val="en-GB"/>
        </w:rPr>
        <w:t>live</w:t>
      </w:r>
      <w:r w:rsidR="0019291C">
        <w:rPr>
          <w:rFonts w:ascii="Times New Roman" w:eastAsia="Times New Roman" w:hAnsi="Times New Roman"/>
          <w:sz w:val="24"/>
          <w:szCs w:val="24"/>
          <w:lang w:val="en-GB"/>
        </w:rPr>
        <w:t xml:space="preserve"> in the United Kingdom;</w:t>
      </w:r>
      <w:r>
        <w:rPr>
          <w:rFonts w:ascii="Times New Roman" w:eastAsia="Times New Roman" w:hAnsi="Times New Roman"/>
          <w:sz w:val="24"/>
          <w:szCs w:val="24"/>
          <w:lang w:val="en-GB"/>
        </w:rPr>
        <w:t xml:space="preserve"> </w:t>
      </w:r>
    </w:p>
    <w:p w:rsidR="00A81050" w:rsidRPr="009F40E1" w:rsidRDefault="00D06C6A" w:rsidP="00A81050">
      <w:pPr>
        <w:pStyle w:val="ListParagraph"/>
        <w:numPr>
          <w:ilvl w:val="0"/>
          <w:numId w:val="35"/>
        </w:numPr>
        <w:spacing w:before="240" w:after="120"/>
        <w:jc w:val="both"/>
        <w:rPr>
          <w:rFonts w:ascii="Times New Roman" w:eastAsia="Times New Roman" w:hAnsi="Times New Roman"/>
          <w:sz w:val="24"/>
          <w:szCs w:val="24"/>
          <w:lang w:val="en-GB"/>
        </w:rPr>
      </w:pPr>
      <w:r w:rsidRPr="002D025C">
        <w:rPr>
          <w:rFonts w:ascii="Times New Roman" w:hAnsi="Times New Roman"/>
          <w:sz w:val="24"/>
          <w:szCs w:val="24"/>
          <w:lang w:val="en-GB"/>
        </w:rPr>
        <w:t>export old-age pensions to the United Kingdom, despite the fact that it will be a third country.</w:t>
      </w:r>
      <w:r>
        <w:rPr>
          <w:rFonts w:ascii="Times New Roman" w:hAnsi="Times New Roman"/>
          <w:sz w:val="24"/>
          <w:szCs w:val="24"/>
          <w:lang w:val="en-GB"/>
        </w:rPr>
        <w:t xml:space="preserve"> </w:t>
      </w:r>
      <w:r w:rsidRPr="002D025C">
        <w:rPr>
          <w:rFonts w:ascii="Times New Roman" w:hAnsi="Times New Roman"/>
          <w:sz w:val="24"/>
          <w:szCs w:val="24"/>
          <w:lang w:val="en-GB"/>
        </w:rPr>
        <w:t xml:space="preserve">This would apply to those citizens who continue to reside in the United Kingdom after the withdrawal date, but also to the UK nationals who acquired old-age pension entitlements </w:t>
      </w:r>
      <w:r w:rsidR="0019291C" w:rsidRPr="002D025C">
        <w:rPr>
          <w:rFonts w:ascii="Times New Roman" w:hAnsi="Times New Roman"/>
          <w:sz w:val="24"/>
          <w:szCs w:val="24"/>
          <w:lang w:val="en-GB"/>
        </w:rPr>
        <w:t>within the EU27</w:t>
      </w:r>
      <w:r w:rsidR="0019291C">
        <w:rPr>
          <w:rFonts w:ascii="Times New Roman" w:hAnsi="Times New Roman"/>
          <w:sz w:val="24"/>
          <w:szCs w:val="24"/>
          <w:lang w:val="en-GB"/>
        </w:rPr>
        <w:t xml:space="preserve"> </w:t>
      </w:r>
      <w:r w:rsidRPr="002D025C">
        <w:rPr>
          <w:rFonts w:ascii="Times New Roman" w:hAnsi="Times New Roman"/>
          <w:sz w:val="24"/>
          <w:szCs w:val="24"/>
          <w:lang w:val="en-GB"/>
        </w:rPr>
        <w:t>prior to the withdrawal date</w:t>
      </w:r>
      <w:r w:rsidR="00A81050" w:rsidRPr="007B768A">
        <w:rPr>
          <w:rFonts w:ascii="Times New Roman" w:eastAsia="Times New Roman" w:hAnsi="Times New Roman"/>
          <w:sz w:val="24"/>
          <w:szCs w:val="24"/>
          <w:lang w:val="en-GB"/>
        </w:rPr>
        <w:t>.</w:t>
      </w:r>
      <w:r w:rsidR="00A81050" w:rsidRPr="00D53AAC">
        <w:rPr>
          <w:lang w:val="en-GB"/>
        </w:rPr>
        <w:t xml:space="preserve"> </w:t>
      </w:r>
    </w:p>
    <w:p w:rsidR="007B768A" w:rsidRDefault="00C344BB" w:rsidP="00B21F0F">
      <w:pPr>
        <w:spacing w:before="240" w:after="120"/>
        <w:jc w:val="both"/>
        <w:rPr>
          <w:rFonts w:ascii="Times New Roman" w:eastAsia="Times New Roman" w:hAnsi="Times New Roman"/>
          <w:sz w:val="24"/>
          <w:szCs w:val="24"/>
          <w:lang w:val="en-GB"/>
        </w:rPr>
      </w:pPr>
      <w:r>
        <w:rPr>
          <w:rFonts w:ascii="Times New Roman" w:eastAsia="Times New Roman" w:hAnsi="Times New Roman"/>
          <w:sz w:val="24"/>
          <w:szCs w:val="24"/>
          <w:lang w:val="en-GB"/>
        </w:rPr>
        <w:t>T</w:t>
      </w:r>
      <w:r w:rsidRPr="001B70E3">
        <w:rPr>
          <w:rFonts w:ascii="Times New Roman" w:eastAsia="Times New Roman" w:hAnsi="Times New Roman"/>
          <w:sz w:val="24"/>
          <w:szCs w:val="24"/>
          <w:lang w:val="en-GB"/>
        </w:rPr>
        <w:t xml:space="preserve">he </w:t>
      </w:r>
      <w:r w:rsidRPr="00CD2CCD">
        <w:rPr>
          <w:rFonts w:ascii="Times New Roman" w:eastAsia="Times New Roman" w:hAnsi="Times New Roman"/>
          <w:sz w:val="24"/>
          <w:szCs w:val="24"/>
          <w:lang w:val="en-GB"/>
        </w:rPr>
        <w:t xml:space="preserve">Commission </w:t>
      </w:r>
      <w:r w:rsidR="0019291C">
        <w:rPr>
          <w:rFonts w:ascii="Times New Roman" w:eastAsia="Times New Roman" w:hAnsi="Times New Roman"/>
          <w:sz w:val="24"/>
          <w:szCs w:val="24"/>
          <w:lang w:val="en-GB"/>
        </w:rPr>
        <w:t xml:space="preserve">will </w:t>
      </w:r>
      <w:r w:rsidR="0019291C" w:rsidRPr="00CD2CCD">
        <w:rPr>
          <w:rFonts w:ascii="Times New Roman" w:eastAsia="Times New Roman" w:hAnsi="Times New Roman"/>
          <w:sz w:val="24"/>
          <w:szCs w:val="24"/>
          <w:lang w:val="en-GB"/>
        </w:rPr>
        <w:t>provid</w:t>
      </w:r>
      <w:r w:rsidR="0019291C">
        <w:rPr>
          <w:rFonts w:ascii="Times New Roman" w:eastAsia="Times New Roman" w:hAnsi="Times New Roman"/>
          <w:sz w:val="24"/>
          <w:szCs w:val="24"/>
          <w:lang w:val="en-GB"/>
        </w:rPr>
        <w:t>e</w:t>
      </w:r>
      <w:r w:rsidR="0019291C" w:rsidRPr="00CD2CCD">
        <w:rPr>
          <w:rFonts w:ascii="Times New Roman" w:eastAsia="Times New Roman" w:hAnsi="Times New Roman"/>
          <w:sz w:val="24"/>
          <w:szCs w:val="24"/>
          <w:lang w:val="en-GB"/>
        </w:rPr>
        <w:t xml:space="preserve"> concrete and detailed advice </w:t>
      </w:r>
      <w:r w:rsidR="0019291C">
        <w:rPr>
          <w:rFonts w:ascii="Times New Roman" w:eastAsia="Times New Roman" w:hAnsi="Times New Roman"/>
          <w:sz w:val="24"/>
          <w:szCs w:val="24"/>
          <w:lang w:val="en-GB"/>
        </w:rPr>
        <w:t xml:space="preserve">to </w:t>
      </w:r>
      <w:r w:rsidR="00E40408">
        <w:rPr>
          <w:rFonts w:ascii="Times New Roman" w:eastAsia="Times New Roman" w:hAnsi="Times New Roman"/>
          <w:sz w:val="24"/>
          <w:szCs w:val="24"/>
          <w:lang w:val="en-GB"/>
        </w:rPr>
        <w:t>Member State</w:t>
      </w:r>
      <w:r w:rsidR="0019291C">
        <w:rPr>
          <w:rFonts w:ascii="Times New Roman" w:eastAsia="Times New Roman" w:hAnsi="Times New Roman"/>
          <w:sz w:val="24"/>
          <w:szCs w:val="24"/>
          <w:lang w:val="en-GB"/>
        </w:rPr>
        <w:t>s</w:t>
      </w:r>
      <w:r w:rsidR="00E40408">
        <w:rPr>
          <w:rFonts w:ascii="Times New Roman" w:eastAsia="Times New Roman" w:hAnsi="Times New Roman"/>
          <w:sz w:val="24"/>
          <w:szCs w:val="24"/>
          <w:lang w:val="en-GB"/>
        </w:rPr>
        <w:t xml:space="preserve"> </w:t>
      </w:r>
      <w:r w:rsidR="00A81050">
        <w:rPr>
          <w:rFonts w:ascii="Times New Roman" w:eastAsia="Times New Roman" w:hAnsi="Times New Roman"/>
          <w:sz w:val="24"/>
          <w:szCs w:val="24"/>
          <w:lang w:val="en-GB"/>
        </w:rPr>
        <w:t xml:space="preserve">(EU27) </w:t>
      </w:r>
      <w:r w:rsidR="0019291C">
        <w:rPr>
          <w:rFonts w:ascii="Times New Roman" w:eastAsia="Times New Roman" w:hAnsi="Times New Roman"/>
          <w:sz w:val="24"/>
          <w:szCs w:val="24"/>
          <w:lang w:val="en-GB"/>
        </w:rPr>
        <w:t>on 20 December 2018</w:t>
      </w:r>
      <w:r w:rsidR="00E40408">
        <w:rPr>
          <w:rFonts w:ascii="Times New Roman" w:eastAsia="Times New Roman" w:hAnsi="Times New Roman"/>
          <w:sz w:val="24"/>
          <w:szCs w:val="24"/>
          <w:lang w:val="en-GB"/>
        </w:rPr>
        <w:t xml:space="preserve"> </w:t>
      </w:r>
      <w:r w:rsidR="00CD2CCD" w:rsidRPr="00CD2CCD">
        <w:rPr>
          <w:rFonts w:ascii="Times New Roman" w:eastAsia="Times New Roman" w:hAnsi="Times New Roman"/>
          <w:sz w:val="24"/>
          <w:szCs w:val="24"/>
          <w:lang w:val="en-GB"/>
        </w:rPr>
        <w:t xml:space="preserve">on how </w:t>
      </w:r>
      <w:r w:rsidR="00CD2CCD" w:rsidRPr="0057752F">
        <w:rPr>
          <w:rFonts w:ascii="Times New Roman" w:hAnsi="Times New Roman"/>
          <w:sz w:val="24"/>
          <w:szCs w:val="24"/>
          <w:lang w:val="en-GB"/>
        </w:rPr>
        <w:t xml:space="preserve">to achieve a </w:t>
      </w:r>
      <w:r w:rsidR="00CD2CCD" w:rsidRPr="00CD2CCD">
        <w:rPr>
          <w:rFonts w:ascii="Times New Roman" w:eastAsia="Times New Roman" w:hAnsi="Times New Roman"/>
          <w:sz w:val="24"/>
          <w:szCs w:val="24"/>
          <w:lang w:val="en-GB"/>
        </w:rPr>
        <w:t>coherent</w:t>
      </w:r>
      <w:r w:rsidRPr="00CD2CCD">
        <w:rPr>
          <w:rFonts w:ascii="Times New Roman" w:eastAsia="Times New Roman" w:hAnsi="Times New Roman"/>
          <w:sz w:val="24"/>
          <w:szCs w:val="24"/>
          <w:lang w:val="en-GB"/>
        </w:rPr>
        <w:t xml:space="preserve"> contingency approach regarding social security coordination, </w:t>
      </w:r>
      <w:r w:rsidR="0090462C">
        <w:rPr>
          <w:rFonts w:ascii="Times New Roman" w:eastAsia="Times New Roman" w:hAnsi="Times New Roman"/>
          <w:sz w:val="24"/>
          <w:szCs w:val="24"/>
          <w:lang w:val="en-GB"/>
        </w:rPr>
        <w:t>which the</w:t>
      </w:r>
      <w:r w:rsidR="00C136D3">
        <w:rPr>
          <w:rFonts w:ascii="Times New Roman" w:eastAsia="Times New Roman" w:hAnsi="Times New Roman"/>
          <w:sz w:val="24"/>
          <w:szCs w:val="24"/>
          <w:lang w:val="en-GB"/>
        </w:rPr>
        <w:t xml:space="preserve"> Member States</w:t>
      </w:r>
      <w:r w:rsidR="0090462C">
        <w:rPr>
          <w:rFonts w:ascii="Times New Roman" w:eastAsia="Times New Roman" w:hAnsi="Times New Roman"/>
          <w:sz w:val="24"/>
          <w:szCs w:val="24"/>
          <w:lang w:val="en-GB"/>
        </w:rPr>
        <w:t xml:space="preserve"> should apply </w:t>
      </w:r>
      <w:r w:rsidRPr="00CD2CCD">
        <w:rPr>
          <w:rFonts w:ascii="Times New Roman" w:eastAsia="Times New Roman" w:hAnsi="Times New Roman"/>
          <w:sz w:val="24"/>
          <w:szCs w:val="24"/>
          <w:lang w:val="en-GB"/>
        </w:rPr>
        <w:t>as of the withdrawal</w:t>
      </w:r>
      <w:r w:rsidR="0059058B">
        <w:rPr>
          <w:rFonts w:ascii="Times New Roman" w:eastAsia="Times New Roman" w:hAnsi="Times New Roman"/>
          <w:sz w:val="24"/>
          <w:szCs w:val="24"/>
          <w:lang w:val="en-GB"/>
        </w:rPr>
        <w:t xml:space="preserve"> date</w:t>
      </w:r>
      <w:r w:rsidRPr="00CD2CCD">
        <w:rPr>
          <w:rFonts w:ascii="Times New Roman" w:eastAsia="Times New Roman" w:hAnsi="Times New Roman"/>
          <w:sz w:val="24"/>
          <w:szCs w:val="24"/>
          <w:lang w:val="en-GB"/>
        </w:rPr>
        <w:t xml:space="preserve">. </w:t>
      </w:r>
    </w:p>
    <w:p w:rsidR="00AC3512" w:rsidRPr="00AC3512" w:rsidRDefault="00AC3512" w:rsidP="00AC3512">
      <w:pPr>
        <w:spacing w:before="240" w:after="120"/>
        <w:jc w:val="both"/>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The Commission recalls that the Union has exclusive competence on social security coordination </w:t>
      </w:r>
      <w:r w:rsidR="00625DBA">
        <w:rPr>
          <w:rFonts w:ascii="Times New Roman" w:eastAsia="Times New Roman" w:hAnsi="Times New Roman"/>
          <w:sz w:val="24"/>
          <w:szCs w:val="24"/>
          <w:lang w:val="en-GB"/>
        </w:rPr>
        <w:t xml:space="preserve">for </w:t>
      </w:r>
      <w:r>
        <w:rPr>
          <w:rFonts w:ascii="Times New Roman" w:eastAsia="Times New Roman" w:hAnsi="Times New Roman"/>
          <w:sz w:val="24"/>
          <w:szCs w:val="24"/>
          <w:lang w:val="en-GB"/>
        </w:rPr>
        <w:t xml:space="preserve">the periods completed </w:t>
      </w:r>
      <w:r w:rsidR="00083DB1">
        <w:rPr>
          <w:rFonts w:ascii="Times New Roman" w:eastAsia="Times New Roman" w:hAnsi="Times New Roman"/>
          <w:sz w:val="24"/>
          <w:szCs w:val="24"/>
          <w:lang w:val="en-GB"/>
        </w:rPr>
        <w:t xml:space="preserve">and </w:t>
      </w:r>
      <w:r w:rsidR="00625DBA">
        <w:rPr>
          <w:rFonts w:ascii="Times New Roman" w:eastAsia="Times New Roman" w:hAnsi="Times New Roman"/>
          <w:sz w:val="24"/>
          <w:szCs w:val="24"/>
          <w:lang w:val="en-GB"/>
        </w:rPr>
        <w:t xml:space="preserve">for </w:t>
      </w:r>
      <w:r>
        <w:rPr>
          <w:rFonts w:ascii="Times New Roman" w:eastAsia="Times New Roman" w:hAnsi="Times New Roman"/>
          <w:sz w:val="24"/>
          <w:szCs w:val="24"/>
          <w:lang w:val="en-GB"/>
        </w:rPr>
        <w:t>fact</w:t>
      </w:r>
      <w:r w:rsidR="00625DBA">
        <w:rPr>
          <w:rFonts w:ascii="Times New Roman" w:eastAsia="Times New Roman" w:hAnsi="Times New Roman"/>
          <w:sz w:val="24"/>
          <w:szCs w:val="24"/>
          <w:lang w:val="en-GB"/>
        </w:rPr>
        <w:t>s</w:t>
      </w:r>
      <w:r>
        <w:rPr>
          <w:rFonts w:ascii="Times New Roman" w:eastAsia="Times New Roman" w:hAnsi="Times New Roman"/>
          <w:sz w:val="24"/>
          <w:szCs w:val="24"/>
          <w:lang w:val="en-GB"/>
        </w:rPr>
        <w:t xml:space="preserve"> and events that occurred before the withdrawal date. </w:t>
      </w:r>
    </w:p>
    <w:p w:rsidR="00C07070" w:rsidRPr="00FB26AB" w:rsidRDefault="00C07070" w:rsidP="00331A9E">
      <w:pPr>
        <w:pStyle w:val="ListParagraph"/>
        <w:keepNext/>
        <w:numPr>
          <w:ilvl w:val="0"/>
          <w:numId w:val="41"/>
        </w:numPr>
        <w:spacing w:before="480" w:after="240"/>
        <w:ind w:left="714" w:hanging="357"/>
        <w:rPr>
          <w:rFonts w:ascii="Times New Roman" w:eastAsia="Times New Roman" w:hAnsi="Times New Roman"/>
          <w:b/>
          <w:sz w:val="24"/>
          <w:szCs w:val="24"/>
          <w:lang w:val="en-GB"/>
        </w:rPr>
      </w:pPr>
      <w:r>
        <w:rPr>
          <w:rFonts w:ascii="Times New Roman" w:eastAsia="Times New Roman" w:hAnsi="Times New Roman"/>
          <w:b/>
          <w:sz w:val="24"/>
          <w:szCs w:val="24"/>
          <w:lang w:val="en-GB"/>
        </w:rPr>
        <w:t>Sector</w:t>
      </w:r>
      <w:r w:rsidR="0079174D">
        <w:rPr>
          <w:rFonts w:ascii="Times New Roman" w:eastAsia="Times New Roman" w:hAnsi="Times New Roman"/>
          <w:b/>
          <w:sz w:val="24"/>
          <w:szCs w:val="24"/>
          <w:lang w:val="en-GB"/>
        </w:rPr>
        <w:t>-</w:t>
      </w:r>
      <w:r>
        <w:rPr>
          <w:rFonts w:ascii="Times New Roman" w:eastAsia="Times New Roman" w:hAnsi="Times New Roman"/>
          <w:b/>
          <w:sz w:val="24"/>
          <w:szCs w:val="24"/>
          <w:lang w:val="en-GB"/>
        </w:rPr>
        <w:t>s</w:t>
      </w:r>
      <w:r w:rsidR="008E4A03">
        <w:rPr>
          <w:rFonts w:ascii="Times New Roman" w:eastAsia="Times New Roman" w:hAnsi="Times New Roman"/>
          <w:b/>
          <w:sz w:val="24"/>
          <w:szCs w:val="24"/>
          <w:lang w:val="en-GB"/>
        </w:rPr>
        <w:t>pecific regulation</w:t>
      </w:r>
    </w:p>
    <w:p w:rsidR="00436509" w:rsidRPr="009730DB" w:rsidRDefault="00436509" w:rsidP="00331A9E">
      <w:pPr>
        <w:keepNext/>
        <w:spacing w:before="360" w:after="240"/>
        <w:rPr>
          <w:rFonts w:ascii="Times New Roman" w:eastAsia="Times New Roman" w:hAnsi="Times New Roman"/>
          <w:b/>
          <w:i/>
          <w:sz w:val="24"/>
          <w:szCs w:val="24"/>
          <w:lang w:val="en-GB"/>
        </w:rPr>
      </w:pPr>
      <w:r w:rsidRPr="009730DB">
        <w:rPr>
          <w:rFonts w:ascii="Times New Roman" w:eastAsia="Times New Roman" w:hAnsi="Times New Roman"/>
          <w:b/>
          <w:i/>
          <w:sz w:val="24"/>
          <w:szCs w:val="24"/>
          <w:lang w:val="en-GB"/>
        </w:rPr>
        <w:t>Financial services</w:t>
      </w:r>
    </w:p>
    <w:p w:rsidR="001255F6" w:rsidRDefault="00BC2C7B" w:rsidP="004660C6">
      <w:pPr>
        <w:jc w:val="both"/>
        <w:rPr>
          <w:rFonts w:ascii="Times New Roman" w:eastAsia="Times New Roman" w:hAnsi="Times New Roman"/>
          <w:sz w:val="24"/>
          <w:szCs w:val="24"/>
          <w:lang w:val="en-GB"/>
        </w:rPr>
      </w:pPr>
      <w:r>
        <w:rPr>
          <w:rFonts w:ascii="Times New Roman" w:eastAsia="Times New Roman" w:hAnsi="Times New Roman"/>
          <w:sz w:val="24"/>
          <w:szCs w:val="24"/>
          <w:lang w:val="en-GB"/>
        </w:rPr>
        <w:t>If the Withdrawal Agreement is not ratified</w:t>
      </w:r>
      <w:r w:rsidR="00331A9E">
        <w:rPr>
          <w:rFonts w:ascii="Times New Roman" w:eastAsia="Times New Roman" w:hAnsi="Times New Roman"/>
          <w:sz w:val="24"/>
          <w:szCs w:val="24"/>
          <w:lang w:val="en-GB"/>
        </w:rPr>
        <w:t>,</w:t>
      </w:r>
      <w:r>
        <w:rPr>
          <w:rFonts w:ascii="Times New Roman" w:eastAsia="Times New Roman" w:hAnsi="Times New Roman"/>
          <w:sz w:val="24"/>
          <w:szCs w:val="24"/>
          <w:lang w:val="en-GB"/>
        </w:rPr>
        <w:t xml:space="preserve"> </w:t>
      </w:r>
      <w:r w:rsidR="001255F6" w:rsidRPr="001408A3">
        <w:rPr>
          <w:rFonts w:ascii="Times New Roman" w:hAnsi="Times New Roman"/>
          <w:sz w:val="24"/>
          <w:szCs w:val="24"/>
          <w:lang w:val="en-GB"/>
        </w:rPr>
        <w:t xml:space="preserve">financial operators established in the United Kingdom </w:t>
      </w:r>
      <w:r w:rsidR="00931C72">
        <w:rPr>
          <w:rFonts w:ascii="Times New Roman" w:hAnsi="Times New Roman"/>
          <w:sz w:val="24"/>
          <w:szCs w:val="24"/>
          <w:lang w:val="en-GB"/>
        </w:rPr>
        <w:t>will lose</w:t>
      </w:r>
      <w:r>
        <w:rPr>
          <w:rFonts w:ascii="Times New Roman" w:hAnsi="Times New Roman"/>
          <w:sz w:val="24"/>
          <w:szCs w:val="24"/>
          <w:lang w:val="en-GB"/>
        </w:rPr>
        <w:t>, as of the withdrawal date,</w:t>
      </w:r>
      <w:r w:rsidR="0090462C">
        <w:rPr>
          <w:rFonts w:ascii="Times New Roman" w:hAnsi="Times New Roman"/>
          <w:sz w:val="24"/>
          <w:szCs w:val="24"/>
          <w:lang w:val="en-GB"/>
        </w:rPr>
        <w:t xml:space="preserve"> the right </w:t>
      </w:r>
      <w:r w:rsidR="001255F6" w:rsidRPr="001408A3">
        <w:rPr>
          <w:rFonts w:ascii="Times New Roman" w:hAnsi="Times New Roman"/>
          <w:sz w:val="24"/>
          <w:szCs w:val="24"/>
          <w:lang w:val="en-GB"/>
        </w:rPr>
        <w:t xml:space="preserve">to provide their services in the EU27 Member States under </w:t>
      </w:r>
      <w:r w:rsidR="001255F6" w:rsidRPr="00A8320E">
        <w:rPr>
          <w:rFonts w:ascii="Times New Roman" w:hAnsi="Times New Roman"/>
          <w:sz w:val="24"/>
          <w:szCs w:val="24"/>
          <w:lang w:val="en-GB"/>
        </w:rPr>
        <w:t xml:space="preserve">the EU financial services passports. </w:t>
      </w:r>
      <w:r w:rsidR="003A03CC">
        <w:rPr>
          <w:rFonts w:ascii="Times New Roman" w:hAnsi="Times New Roman"/>
          <w:sz w:val="24"/>
          <w:szCs w:val="24"/>
          <w:lang w:val="en-GB"/>
        </w:rPr>
        <w:t xml:space="preserve">UK operators and their counterparts in the EU27 </w:t>
      </w:r>
      <w:r w:rsidR="001255F6">
        <w:rPr>
          <w:rFonts w:ascii="Times New Roman" w:hAnsi="Times New Roman"/>
          <w:sz w:val="24"/>
          <w:szCs w:val="24"/>
          <w:lang w:val="en-GB"/>
        </w:rPr>
        <w:t xml:space="preserve">must therefore take action to comply with Union law in all scenarios and </w:t>
      </w:r>
      <w:r w:rsidR="00D53AAC">
        <w:rPr>
          <w:rFonts w:ascii="Times New Roman" w:hAnsi="Times New Roman"/>
          <w:sz w:val="24"/>
          <w:szCs w:val="24"/>
          <w:lang w:val="en-GB"/>
        </w:rPr>
        <w:t xml:space="preserve">in time </w:t>
      </w:r>
      <w:r w:rsidR="00D53AAC" w:rsidRPr="0019291C">
        <w:rPr>
          <w:rFonts w:ascii="Times New Roman" w:hAnsi="Times New Roman"/>
          <w:sz w:val="24"/>
          <w:szCs w:val="24"/>
          <w:lang w:val="en-GB"/>
        </w:rPr>
        <w:t>for the United Kingdom’s withdrawal</w:t>
      </w:r>
      <w:r w:rsidR="0090462C" w:rsidRPr="0019291C">
        <w:rPr>
          <w:rFonts w:ascii="Times New Roman" w:hAnsi="Times New Roman"/>
          <w:sz w:val="24"/>
          <w:szCs w:val="24"/>
          <w:lang w:val="en-GB"/>
        </w:rPr>
        <w:t xml:space="preserve">, </w:t>
      </w:r>
      <w:r w:rsidR="001255F6" w:rsidRPr="0019291C">
        <w:rPr>
          <w:rFonts w:ascii="Times New Roman" w:hAnsi="Times New Roman"/>
          <w:sz w:val="24"/>
          <w:szCs w:val="24"/>
          <w:lang w:val="en-GB"/>
        </w:rPr>
        <w:t xml:space="preserve">as </w:t>
      </w:r>
      <w:r w:rsidR="0090462C" w:rsidRPr="0019291C">
        <w:rPr>
          <w:rFonts w:ascii="Times New Roman" w:hAnsi="Times New Roman"/>
          <w:sz w:val="24"/>
          <w:szCs w:val="24"/>
          <w:lang w:val="en-GB"/>
        </w:rPr>
        <w:t>the Commission</w:t>
      </w:r>
      <w:r w:rsidR="00361F2A" w:rsidRPr="0019291C">
        <w:rPr>
          <w:rFonts w:ascii="Times New Roman" w:hAnsi="Times New Roman"/>
          <w:sz w:val="24"/>
          <w:szCs w:val="24"/>
          <w:lang w:val="en-GB"/>
        </w:rPr>
        <w:t xml:space="preserve"> has</w:t>
      </w:r>
      <w:r w:rsidR="0090462C" w:rsidRPr="0019291C">
        <w:rPr>
          <w:rFonts w:ascii="Times New Roman" w:hAnsi="Times New Roman"/>
          <w:sz w:val="24"/>
          <w:szCs w:val="24"/>
          <w:lang w:val="en-GB"/>
        </w:rPr>
        <w:t xml:space="preserve"> </w:t>
      </w:r>
      <w:r w:rsidR="001255F6" w:rsidRPr="0019291C">
        <w:rPr>
          <w:rFonts w:ascii="Times New Roman" w:hAnsi="Times New Roman"/>
          <w:sz w:val="24"/>
          <w:szCs w:val="24"/>
          <w:lang w:val="en-GB"/>
        </w:rPr>
        <w:t>indicated in the stakeholder</w:t>
      </w:r>
      <w:r w:rsidR="001255F6" w:rsidRPr="001408A3">
        <w:rPr>
          <w:rFonts w:ascii="Times New Roman" w:hAnsi="Times New Roman"/>
          <w:sz w:val="24"/>
          <w:szCs w:val="24"/>
          <w:lang w:val="en-GB"/>
        </w:rPr>
        <w:t xml:space="preserve"> notices</w:t>
      </w:r>
      <w:r w:rsidR="00AC3EA0">
        <w:rPr>
          <w:rFonts w:ascii="Times New Roman" w:hAnsi="Times New Roman"/>
          <w:sz w:val="24"/>
          <w:szCs w:val="24"/>
          <w:lang w:val="en-GB"/>
        </w:rPr>
        <w:t xml:space="preserve"> which it published in this area</w:t>
      </w:r>
      <w:r w:rsidR="001255F6">
        <w:rPr>
          <w:rStyle w:val="FootnoteReference"/>
          <w:rFonts w:ascii="Times New Roman" w:hAnsi="Times New Roman"/>
          <w:sz w:val="24"/>
          <w:szCs w:val="24"/>
        </w:rPr>
        <w:footnoteReference w:id="18"/>
      </w:r>
      <w:r w:rsidR="001255F6" w:rsidRPr="001408A3">
        <w:rPr>
          <w:rFonts w:ascii="Times New Roman" w:hAnsi="Times New Roman"/>
          <w:sz w:val="24"/>
          <w:szCs w:val="24"/>
          <w:lang w:val="en-GB"/>
        </w:rPr>
        <w:t>.</w:t>
      </w:r>
    </w:p>
    <w:p w:rsidR="00171819" w:rsidRPr="00331A9E" w:rsidRDefault="00661AC1" w:rsidP="00171819">
      <w:pPr>
        <w:spacing w:before="240" w:after="120"/>
        <w:jc w:val="both"/>
        <w:rPr>
          <w:lang w:val="en-GB"/>
        </w:rPr>
      </w:pPr>
      <w:r>
        <w:rPr>
          <w:rFonts w:ascii="Times New Roman" w:eastAsia="Times New Roman" w:hAnsi="Times New Roman"/>
          <w:sz w:val="24"/>
          <w:szCs w:val="24"/>
          <w:lang w:val="en-GB"/>
        </w:rPr>
        <w:t>A</w:t>
      </w:r>
      <w:r w:rsidR="00171819">
        <w:rPr>
          <w:rFonts w:ascii="Times New Roman" w:eastAsia="Times New Roman" w:hAnsi="Times New Roman"/>
          <w:sz w:val="24"/>
          <w:szCs w:val="24"/>
          <w:lang w:val="en-GB"/>
        </w:rPr>
        <w:t>fter examin</w:t>
      </w:r>
      <w:r w:rsidR="0090462C">
        <w:rPr>
          <w:rFonts w:ascii="Times New Roman" w:eastAsia="Times New Roman" w:hAnsi="Times New Roman"/>
          <w:sz w:val="24"/>
          <w:szCs w:val="24"/>
          <w:lang w:val="en-GB"/>
        </w:rPr>
        <w:t>ing</w:t>
      </w:r>
      <w:r w:rsidR="00171819">
        <w:rPr>
          <w:rFonts w:ascii="Times New Roman" w:eastAsia="Times New Roman" w:hAnsi="Times New Roman"/>
          <w:sz w:val="24"/>
          <w:szCs w:val="24"/>
          <w:lang w:val="en-GB"/>
        </w:rPr>
        <w:t xml:space="preserve"> the risks linked to a no deal scenario in the financial sector</w:t>
      </w:r>
      <w:r w:rsidR="00F3010D">
        <w:rPr>
          <w:rFonts w:ascii="Times New Roman" w:eastAsia="Times New Roman" w:hAnsi="Times New Roman"/>
          <w:sz w:val="24"/>
          <w:szCs w:val="24"/>
          <w:lang w:val="en-GB"/>
        </w:rPr>
        <w:t>,</w:t>
      </w:r>
      <w:r w:rsidR="00171819">
        <w:rPr>
          <w:rFonts w:ascii="Times New Roman" w:eastAsia="Times New Roman" w:hAnsi="Times New Roman"/>
          <w:sz w:val="24"/>
          <w:szCs w:val="24"/>
          <w:lang w:val="en-GB"/>
        </w:rPr>
        <w:t xml:space="preserve"> </w:t>
      </w:r>
      <w:r w:rsidR="00AC3EA0">
        <w:rPr>
          <w:rFonts w:ascii="Times New Roman" w:eastAsia="Times New Roman" w:hAnsi="Times New Roman"/>
          <w:sz w:val="24"/>
          <w:szCs w:val="24"/>
          <w:lang w:val="en-GB"/>
        </w:rPr>
        <w:t xml:space="preserve">and </w:t>
      </w:r>
      <w:r w:rsidR="007C5F74">
        <w:rPr>
          <w:rFonts w:ascii="Times New Roman" w:eastAsia="Times New Roman" w:hAnsi="Times New Roman"/>
          <w:sz w:val="24"/>
          <w:szCs w:val="24"/>
          <w:lang w:val="en-GB"/>
        </w:rPr>
        <w:t xml:space="preserve">taking into account the views of </w:t>
      </w:r>
      <w:r w:rsidR="00171819">
        <w:rPr>
          <w:rFonts w:ascii="Times New Roman" w:eastAsia="Times New Roman" w:hAnsi="Times New Roman"/>
          <w:sz w:val="24"/>
          <w:szCs w:val="24"/>
          <w:lang w:val="en-GB"/>
        </w:rPr>
        <w:t>the European Central Bank</w:t>
      </w:r>
      <w:r w:rsidR="00D03D8F">
        <w:rPr>
          <w:rFonts w:ascii="Times New Roman" w:eastAsia="Times New Roman" w:hAnsi="Times New Roman"/>
          <w:sz w:val="24"/>
          <w:szCs w:val="24"/>
          <w:lang w:val="en-GB"/>
        </w:rPr>
        <w:t xml:space="preserve"> and</w:t>
      </w:r>
      <w:r w:rsidR="00171819">
        <w:rPr>
          <w:rFonts w:ascii="Times New Roman" w:eastAsia="Times New Roman" w:hAnsi="Times New Roman"/>
          <w:sz w:val="24"/>
          <w:szCs w:val="24"/>
          <w:lang w:val="en-GB"/>
        </w:rPr>
        <w:t xml:space="preserve"> the European Supervisory Authorities, the Commission has </w:t>
      </w:r>
      <w:r w:rsidR="007C5F74">
        <w:rPr>
          <w:rFonts w:ascii="Times New Roman" w:eastAsia="Times New Roman" w:hAnsi="Times New Roman"/>
          <w:sz w:val="24"/>
          <w:szCs w:val="24"/>
          <w:lang w:val="en-GB"/>
        </w:rPr>
        <w:t xml:space="preserve">concluded </w:t>
      </w:r>
      <w:r w:rsidR="00171819">
        <w:rPr>
          <w:rFonts w:ascii="Times New Roman" w:eastAsia="Times New Roman" w:hAnsi="Times New Roman"/>
          <w:sz w:val="24"/>
          <w:szCs w:val="24"/>
          <w:lang w:val="en-GB"/>
        </w:rPr>
        <w:t xml:space="preserve">that </w:t>
      </w:r>
      <w:r w:rsidR="00625DBA">
        <w:rPr>
          <w:rFonts w:ascii="Times New Roman" w:eastAsia="Times New Roman" w:hAnsi="Times New Roman"/>
          <w:sz w:val="24"/>
          <w:szCs w:val="24"/>
          <w:lang w:val="en-GB"/>
        </w:rPr>
        <w:t xml:space="preserve">only a </w:t>
      </w:r>
      <w:r w:rsidR="00D03D8F">
        <w:rPr>
          <w:rFonts w:ascii="Times New Roman" w:eastAsia="Times New Roman" w:hAnsi="Times New Roman"/>
          <w:sz w:val="24"/>
          <w:szCs w:val="24"/>
          <w:lang w:val="en-GB"/>
        </w:rPr>
        <w:t xml:space="preserve">limited </w:t>
      </w:r>
      <w:r w:rsidR="00625DBA">
        <w:rPr>
          <w:rFonts w:ascii="Times New Roman" w:eastAsia="Times New Roman" w:hAnsi="Times New Roman"/>
          <w:sz w:val="24"/>
          <w:szCs w:val="24"/>
          <w:lang w:val="en-GB"/>
        </w:rPr>
        <w:t xml:space="preserve">number of </w:t>
      </w:r>
      <w:r w:rsidR="00171819">
        <w:rPr>
          <w:rFonts w:ascii="Times New Roman" w:eastAsia="Times New Roman" w:hAnsi="Times New Roman"/>
          <w:sz w:val="24"/>
          <w:szCs w:val="24"/>
          <w:lang w:val="en-GB"/>
        </w:rPr>
        <w:t>conti</w:t>
      </w:r>
      <w:r w:rsidR="00D03D8F">
        <w:rPr>
          <w:rFonts w:ascii="Times New Roman" w:eastAsia="Times New Roman" w:hAnsi="Times New Roman"/>
          <w:sz w:val="24"/>
          <w:szCs w:val="24"/>
          <w:lang w:val="en-GB"/>
        </w:rPr>
        <w:t>n</w:t>
      </w:r>
      <w:r w:rsidR="00171819">
        <w:rPr>
          <w:rFonts w:ascii="Times New Roman" w:eastAsia="Times New Roman" w:hAnsi="Times New Roman"/>
          <w:sz w:val="24"/>
          <w:szCs w:val="24"/>
          <w:lang w:val="en-GB"/>
        </w:rPr>
        <w:t>gen</w:t>
      </w:r>
      <w:r w:rsidR="00D03D8F">
        <w:rPr>
          <w:rFonts w:ascii="Times New Roman" w:eastAsia="Times New Roman" w:hAnsi="Times New Roman"/>
          <w:sz w:val="24"/>
          <w:szCs w:val="24"/>
          <w:lang w:val="en-GB"/>
        </w:rPr>
        <w:t xml:space="preserve">cy measures </w:t>
      </w:r>
      <w:r w:rsidR="00625DBA">
        <w:rPr>
          <w:rFonts w:ascii="Times New Roman" w:eastAsia="Times New Roman" w:hAnsi="Times New Roman"/>
          <w:sz w:val="24"/>
          <w:szCs w:val="24"/>
          <w:lang w:val="en-GB"/>
        </w:rPr>
        <w:t xml:space="preserve">is </w:t>
      </w:r>
      <w:r w:rsidR="00D03D8F">
        <w:rPr>
          <w:rFonts w:ascii="Times New Roman" w:eastAsia="Times New Roman" w:hAnsi="Times New Roman"/>
          <w:sz w:val="24"/>
          <w:szCs w:val="24"/>
          <w:lang w:val="en-GB"/>
        </w:rPr>
        <w:lastRenderedPageBreak/>
        <w:t>necessary</w:t>
      </w:r>
      <w:r w:rsidR="008E4A03">
        <w:rPr>
          <w:rFonts w:ascii="Times New Roman" w:eastAsia="Times New Roman" w:hAnsi="Times New Roman"/>
          <w:sz w:val="24"/>
          <w:szCs w:val="24"/>
          <w:lang w:val="en-GB"/>
        </w:rPr>
        <w:t xml:space="preserve"> to safeguard financial stability</w:t>
      </w:r>
      <w:r w:rsidR="007C5F74">
        <w:rPr>
          <w:rFonts w:ascii="Times New Roman" w:eastAsia="Times New Roman" w:hAnsi="Times New Roman"/>
          <w:sz w:val="24"/>
          <w:szCs w:val="24"/>
          <w:lang w:val="en-GB"/>
        </w:rPr>
        <w:t xml:space="preserve"> in the EU27</w:t>
      </w:r>
      <w:r w:rsidR="00C35280">
        <w:rPr>
          <w:rFonts w:ascii="Times New Roman" w:eastAsia="Times New Roman" w:hAnsi="Times New Roman"/>
          <w:sz w:val="24"/>
          <w:szCs w:val="24"/>
          <w:lang w:val="en-GB"/>
        </w:rPr>
        <w:t>.</w:t>
      </w:r>
      <w:r w:rsidR="00B52B33">
        <w:rPr>
          <w:rFonts w:ascii="Times New Roman" w:eastAsia="Times New Roman" w:hAnsi="Times New Roman"/>
          <w:sz w:val="24"/>
          <w:szCs w:val="24"/>
          <w:lang w:val="en-GB"/>
        </w:rPr>
        <w:t xml:space="preserve"> These measures mitigate financial stability risks </w:t>
      </w:r>
      <w:r w:rsidR="00FE4D53">
        <w:rPr>
          <w:rFonts w:ascii="Times New Roman" w:eastAsia="Times New Roman" w:hAnsi="Times New Roman"/>
          <w:sz w:val="24"/>
          <w:szCs w:val="24"/>
          <w:lang w:val="en-GB"/>
        </w:rPr>
        <w:t xml:space="preserve">only </w:t>
      </w:r>
      <w:r w:rsidR="00B52B33">
        <w:rPr>
          <w:rFonts w:ascii="Times New Roman" w:eastAsia="Times New Roman" w:hAnsi="Times New Roman"/>
          <w:sz w:val="24"/>
          <w:szCs w:val="24"/>
          <w:lang w:val="en-GB"/>
        </w:rPr>
        <w:t xml:space="preserve">in </w:t>
      </w:r>
      <w:r w:rsidR="00FE4D53">
        <w:rPr>
          <w:rFonts w:ascii="Times New Roman" w:eastAsia="Times New Roman" w:hAnsi="Times New Roman"/>
          <w:sz w:val="24"/>
          <w:szCs w:val="24"/>
          <w:lang w:val="en-GB"/>
        </w:rPr>
        <w:t xml:space="preserve">those </w:t>
      </w:r>
      <w:r w:rsidR="00B52B33">
        <w:rPr>
          <w:rFonts w:ascii="Times New Roman" w:eastAsia="Times New Roman" w:hAnsi="Times New Roman"/>
          <w:sz w:val="24"/>
          <w:szCs w:val="24"/>
          <w:lang w:val="en-GB"/>
        </w:rPr>
        <w:t xml:space="preserve">areas </w:t>
      </w:r>
      <w:r w:rsidR="007C5F74">
        <w:rPr>
          <w:rFonts w:ascii="Times New Roman" w:eastAsia="Times New Roman" w:hAnsi="Times New Roman"/>
          <w:sz w:val="24"/>
          <w:szCs w:val="24"/>
          <w:lang w:val="en-GB"/>
        </w:rPr>
        <w:t xml:space="preserve">where preparedness actions from market operators </w:t>
      </w:r>
      <w:r w:rsidR="000D0BA5">
        <w:rPr>
          <w:rFonts w:ascii="Times New Roman" w:eastAsia="Times New Roman" w:hAnsi="Times New Roman"/>
          <w:sz w:val="24"/>
          <w:szCs w:val="24"/>
          <w:lang w:val="en-GB"/>
        </w:rPr>
        <w:t xml:space="preserve">alone </w:t>
      </w:r>
      <w:r w:rsidR="007C5F74">
        <w:rPr>
          <w:rFonts w:ascii="Times New Roman" w:eastAsia="Times New Roman" w:hAnsi="Times New Roman"/>
          <w:sz w:val="24"/>
          <w:szCs w:val="24"/>
          <w:lang w:val="en-GB"/>
        </w:rPr>
        <w:t xml:space="preserve">are </w:t>
      </w:r>
      <w:r w:rsidR="00CD452B">
        <w:rPr>
          <w:rFonts w:ascii="Times New Roman" w:eastAsia="Times New Roman" w:hAnsi="Times New Roman"/>
          <w:sz w:val="24"/>
          <w:szCs w:val="24"/>
          <w:lang w:val="en-GB"/>
        </w:rPr>
        <w:t xml:space="preserve">clearly </w:t>
      </w:r>
      <w:r w:rsidR="007C5F74">
        <w:rPr>
          <w:rFonts w:ascii="Times New Roman" w:eastAsia="Times New Roman" w:hAnsi="Times New Roman"/>
          <w:sz w:val="24"/>
          <w:szCs w:val="24"/>
          <w:lang w:val="en-GB"/>
        </w:rPr>
        <w:t>insufficient to address these risks</w:t>
      </w:r>
      <w:r w:rsidR="00A3020E">
        <w:rPr>
          <w:rFonts w:ascii="Times New Roman" w:eastAsia="Times New Roman" w:hAnsi="Times New Roman"/>
          <w:sz w:val="24"/>
          <w:szCs w:val="24"/>
          <w:lang w:val="en-GB"/>
        </w:rPr>
        <w:t xml:space="preserve"> by the withdrawal date</w:t>
      </w:r>
      <w:r w:rsidR="00B52B33">
        <w:rPr>
          <w:rFonts w:ascii="Times New Roman" w:eastAsia="Times New Roman" w:hAnsi="Times New Roman"/>
          <w:sz w:val="24"/>
          <w:szCs w:val="24"/>
          <w:lang w:val="en-GB"/>
        </w:rPr>
        <w:t xml:space="preserve">. </w:t>
      </w:r>
      <w:r w:rsidR="00C35280">
        <w:rPr>
          <w:rFonts w:ascii="Times New Roman" w:eastAsia="Times New Roman" w:hAnsi="Times New Roman"/>
          <w:sz w:val="24"/>
          <w:szCs w:val="24"/>
          <w:lang w:val="en-GB"/>
        </w:rPr>
        <w:t xml:space="preserve">The Commission has </w:t>
      </w:r>
      <w:r w:rsidR="00B52B33">
        <w:rPr>
          <w:rFonts w:ascii="Times New Roman" w:eastAsia="Times New Roman" w:hAnsi="Times New Roman"/>
          <w:sz w:val="24"/>
          <w:szCs w:val="24"/>
          <w:lang w:val="en-GB"/>
        </w:rPr>
        <w:t xml:space="preserve">therefore </w:t>
      </w:r>
      <w:r w:rsidR="00C35280">
        <w:rPr>
          <w:rFonts w:ascii="Times New Roman" w:eastAsia="Times New Roman" w:hAnsi="Times New Roman"/>
          <w:sz w:val="24"/>
          <w:szCs w:val="24"/>
          <w:lang w:val="en-GB"/>
        </w:rPr>
        <w:t>today adopt</w:t>
      </w:r>
      <w:r w:rsidR="00B155FB">
        <w:rPr>
          <w:rFonts w:ascii="Times New Roman" w:eastAsia="Times New Roman" w:hAnsi="Times New Roman"/>
          <w:sz w:val="24"/>
          <w:szCs w:val="24"/>
          <w:lang w:val="en-GB"/>
        </w:rPr>
        <w:t>ed</w:t>
      </w:r>
      <w:r w:rsidR="00C35280">
        <w:rPr>
          <w:rFonts w:ascii="Times New Roman" w:eastAsia="Times New Roman" w:hAnsi="Times New Roman"/>
          <w:sz w:val="24"/>
          <w:szCs w:val="24"/>
          <w:lang w:val="en-GB"/>
        </w:rPr>
        <w:t xml:space="preserve"> the following acts</w:t>
      </w:r>
      <w:r w:rsidR="00B155FB">
        <w:rPr>
          <w:rFonts w:ascii="Times New Roman" w:eastAsia="Times New Roman" w:hAnsi="Times New Roman"/>
          <w:sz w:val="24"/>
          <w:szCs w:val="24"/>
          <w:lang w:val="en-GB"/>
        </w:rPr>
        <w:t xml:space="preserve"> </w:t>
      </w:r>
      <w:r w:rsidR="00DE1580">
        <w:rPr>
          <w:rFonts w:ascii="Times New Roman" w:eastAsia="Times New Roman" w:hAnsi="Times New Roman"/>
          <w:sz w:val="24"/>
          <w:szCs w:val="24"/>
          <w:lang w:val="en-GB"/>
        </w:rPr>
        <w:t xml:space="preserve">that </w:t>
      </w:r>
      <w:r w:rsidR="00B155FB">
        <w:rPr>
          <w:rFonts w:ascii="Times New Roman" w:eastAsia="Times New Roman" w:hAnsi="Times New Roman"/>
          <w:sz w:val="24"/>
          <w:szCs w:val="24"/>
          <w:lang w:val="en-GB"/>
        </w:rPr>
        <w:t>will apply from the withdrawal date</w:t>
      </w:r>
      <w:r w:rsidR="00DE1580">
        <w:rPr>
          <w:rFonts w:ascii="Times New Roman" w:eastAsia="Times New Roman" w:hAnsi="Times New Roman"/>
          <w:sz w:val="24"/>
          <w:szCs w:val="24"/>
          <w:lang w:val="en-GB"/>
        </w:rPr>
        <w:t xml:space="preserve"> </w:t>
      </w:r>
      <w:r w:rsidR="00B94471">
        <w:rPr>
          <w:rFonts w:ascii="Times New Roman" w:eastAsia="Times New Roman" w:hAnsi="Times New Roman"/>
          <w:sz w:val="24"/>
          <w:szCs w:val="24"/>
          <w:lang w:val="en-GB"/>
        </w:rPr>
        <w:t>if the Withdrawal Agreement is not ratified</w:t>
      </w:r>
      <w:r w:rsidR="00D03D8F" w:rsidRPr="00331A9E">
        <w:rPr>
          <w:rFonts w:ascii="Times New Roman" w:eastAsia="Times New Roman" w:hAnsi="Times New Roman"/>
          <w:sz w:val="24"/>
          <w:szCs w:val="24"/>
          <w:lang w:val="en-GB"/>
        </w:rPr>
        <w:t>:</w:t>
      </w:r>
    </w:p>
    <w:p w:rsidR="00D03D8F" w:rsidRPr="00331A9E" w:rsidRDefault="00C35280" w:rsidP="001255F6">
      <w:pPr>
        <w:pStyle w:val="ListParagraph"/>
        <w:numPr>
          <w:ilvl w:val="0"/>
          <w:numId w:val="33"/>
        </w:numPr>
        <w:spacing w:before="360" w:after="120"/>
        <w:contextualSpacing/>
        <w:jc w:val="both"/>
        <w:rPr>
          <w:rFonts w:ascii="Times New Roman" w:eastAsia="Times New Roman" w:hAnsi="Times New Roman"/>
          <w:b/>
          <w:i/>
          <w:sz w:val="24"/>
          <w:szCs w:val="24"/>
          <w:lang w:val="en-GB"/>
        </w:rPr>
      </w:pPr>
      <w:r w:rsidRPr="00331A9E">
        <w:rPr>
          <w:rFonts w:ascii="Times New Roman" w:eastAsia="Times New Roman" w:hAnsi="Times New Roman"/>
          <w:sz w:val="24"/>
          <w:szCs w:val="24"/>
          <w:lang w:val="en-GB"/>
        </w:rPr>
        <w:t>A</w:t>
      </w:r>
      <w:r w:rsidR="00D03D8F" w:rsidRPr="00331A9E">
        <w:rPr>
          <w:rFonts w:ascii="Times New Roman" w:eastAsia="Times New Roman" w:hAnsi="Times New Roman"/>
          <w:sz w:val="24"/>
          <w:szCs w:val="24"/>
          <w:lang w:val="en-GB"/>
        </w:rPr>
        <w:t xml:space="preserve"> </w:t>
      </w:r>
      <w:r w:rsidR="002B20A7" w:rsidRPr="00331A9E">
        <w:rPr>
          <w:rFonts w:ascii="Times New Roman" w:eastAsia="Times New Roman" w:hAnsi="Times New Roman"/>
          <w:sz w:val="24"/>
          <w:szCs w:val="24"/>
          <w:lang w:val="en-GB"/>
        </w:rPr>
        <w:t>temporary and conditional equivalence decision</w:t>
      </w:r>
      <w:r w:rsidR="00726A0B" w:rsidRPr="00331A9E">
        <w:rPr>
          <w:rStyle w:val="EndnoteReference"/>
          <w:rFonts w:ascii="Times New Roman" w:eastAsia="Times New Roman" w:hAnsi="Times New Roman"/>
          <w:sz w:val="24"/>
          <w:szCs w:val="24"/>
          <w:lang w:val="en-GB"/>
        </w:rPr>
        <w:endnoteReference w:id="2"/>
      </w:r>
      <w:r w:rsidR="002B20A7" w:rsidRPr="00331A9E">
        <w:rPr>
          <w:rFonts w:ascii="Times New Roman" w:eastAsia="Times New Roman" w:hAnsi="Times New Roman"/>
          <w:sz w:val="24"/>
          <w:szCs w:val="24"/>
          <w:lang w:val="en-GB"/>
        </w:rPr>
        <w:t xml:space="preserve"> </w:t>
      </w:r>
      <w:r w:rsidR="00DE6B4A" w:rsidRPr="00331A9E">
        <w:rPr>
          <w:rFonts w:ascii="Times New Roman" w:eastAsia="Times New Roman" w:hAnsi="Times New Roman"/>
          <w:sz w:val="24"/>
          <w:szCs w:val="24"/>
          <w:lang w:val="en-GB"/>
        </w:rPr>
        <w:t xml:space="preserve">for </w:t>
      </w:r>
      <w:r w:rsidR="00A3020E" w:rsidRPr="00331A9E">
        <w:rPr>
          <w:rFonts w:ascii="Times New Roman" w:eastAsia="Times New Roman" w:hAnsi="Times New Roman"/>
          <w:sz w:val="24"/>
          <w:szCs w:val="24"/>
          <w:lang w:val="en-GB"/>
        </w:rPr>
        <w:t>12 months</w:t>
      </w:r>
      <w:r w:rsidR="00DE6B4A" w:rsidRPr="00331A9E">
        <w:rPr>
          <w:rFonts w:ascii="Times New Roman" w:eastAsia="Times New Roman" w:hAnsi="Times New Roman"/>
          <w:sz w:val="24"/>
          <w:szCs w:val="24"/>
          <w:lang w:val="en-GB"/>
        </w:rPr>
        <w:t xml:space="preserve"> </w:t>
      </w:r>
      <w:r w:rsidR="002B20A7" w:rsidRPr="00331A9E">
        <w:rPr>
          <w:rFonts w:ascii="Times New Roman" w:eastAsia="Times New Roman" w:hAnsi="Times New Roman"/>
          <w:sz w:val="24"/>
          <w:szCs w:val="24"/>
          <w:lang w:val="en-GB"/>
        </w:rPr>
        <w:t xml:space="preserve">to ensure </w:t>
      </w:r>
      <w:r w:rsidR="00BC4659" w:rsidRPr="00331A9E">
        <w:rPr>
          <w:rFonts w:ascii="Times New Roman" w:eastAsia="Times New Roman" w:hAnsi="Times New Roman"/>
          <w:sz w:val="24"/>
          <w:szCs w:val="24"/>
          <w:lang w:val="en-GB"/>
        </w:rPr>
        <w:t xml:space="preserve">that there will be </w:t>
      </w:r>
      <w:r w:rsidR="002B20A7" w:rsidRPr="00331A9E">
        <w:rPr>
          <w:rFonts w:ascii="Times New Roman" w:eastAsia="Times New Roman" w:hAnsi="Times New Roman"/>
          <w:sz w:val="24"/>
          <w:szCs w:val="24"/>
          <w:lang w:val="en-GB"/>
        </w:rPr>
        <w:t xml:space="preserve">no disruption in </w:t>
      </w:r>
      <w:r w:rsidR="002B20A7" w:rsidRPr="00331A9E">
        <w:rPr>
          <w:rFonts w:ascii="Times New Roman" w:eastAsia="Times New Roman" w:hAnsi="Times New Roman"/>
          <w:b/>
          <w:sz w:val="24"/>
          <w:szCs w:val="24"/>
          <w:lang w:val="en-GB"/>
        </w:rPr>
        <w:t>central clearing</w:t>
      </w:r>
      <w:r w:rsidRPr="00331A9E">
        <w:rPr>
          <w:rFonts w:ascii="Times New Roman" w:eastAsia="Times New Roman" w:hAnsi="Times New Roman"/>
          <w:sz w:val="24"/>
          <w:szCs w:val="24"/>
          <w:lang w:val="en-GB"/>
        </w:rPr>
        <w:t xml:space="preserve"> </w:t>
      </w:r>
      <w:r w:rsidRPr="00466376">
        <w:rPr>
          <w:rFonts w:ascii="Times New Roman" w:eastAsia="Times New Roman" w:hAnsi="Times New Roman"/>
          <w:b/>
          <w:sz w:val="24"/>
          <w:szCs w:val="24"/>
          <w:lang w:val="en-GB"/>
        </w:rPr>
        <w:t>of</w:t>
      </w:r>
      <w:r w:rsidRPr="00331A9E">
        <w:rPr>
          <w:rFonts w:ascii="Times New Roman" w:eastAsia="Times New Roman" w:hAnsi="Times New Roman"/>
          <w:sz w:val="24"/>
          <w:szCs w:val="24"/>
          <w:lang w:val="en-GB"/>
        </w:rPr>
        <w:t xml:space="preserve"> </w:t>
      </w:r>
      <w:r w:rsidRPr="00331A9E">
        <w:rPr>
          <w:rFonts w:ascii="Times New Roman" w:eastAsia="Times New Roman" w:hAnsi="Times New Roman"/>
          <w:b/>
          <w:sz w:val="24"/>
          <w:szCs w:val="24"/>
          <w:lang w:val="en-GB"/>
        </w:rPr>
        <w:t>derivatives</w:t>
      </w:r>
      <w:r w:rsidR="00A3020E" w:rsidRPr="00331A9E">
        <w:rPr>
          <w:rFonts w:ascii="Times New Roman" w:eastAsia="Times New Roman" w:hAnsi="Times New Roman"/>
          <w:sz w:val="24"/>
          <w:szCs w:val="24"/>
          <w:lang w:val="en-GB"/>
        </w:rPr>
        <w:t xml:space="preserve">. This </w:t>
      </w:r>
      <w:r w:rsidR="007462CA" w:rsidRPr="00331A9E">
        <w:rPr>
          <w:rFonts w:ascii="Times New Roman" w:eastAsia="Times New Roman" w:hAnsi="Times New Roman"/>
          <w:sz w:val="24"/>
          <w:szCs w:val="24"/>
          <w:lang w:val="en-GB"/>
        </w:rPr>
        <w:t xml:space="preserve">will allow </w:t>
      </w:r>
      <w:r w:rsidR="0019291C" w:rsidRPr="00331A9E">
        <w:rPr>
          <w:rFonts w:ascii="Times New Roman" w:eastAsia="Times New Roman" w:hAnsi="Times New Roman"/>
          <w:sz w:val="24"/>
          <w:szCs w:val="24"/>
          <w:lang w:val="en-GB"/>
        </w:rPr>
        <w:t xml:space="preserve">the </w:t>
      </w:r>
      <w:r w:rsidR="00A3020E" w:rsidRPr="00331A9E">
        <w:rPr>
          <w:rFonts w:ascii="Times New Roman" w:eastAsia="Times New Roman" w:hAnsi="Times New Roman"/>
          <w:sz w:val="24"/>
          <w:szCs w:val="24"/>
          <w:lang w:val="en-GB"/>
        </w:rPr>
        <w:t xml:space="preserve">European Securities and Markets Authority (ESMA) to recognise temporarily central counterparties currently established in the </w:t>
      </w:r>
      <w:r w:rsidR="007462CA" w:rsidRPr="00331A9E">
        <w:rPr>
          <w:rFonts w:ascii="Times New Roman" w:eastAsia="Times New Roman" w:hAnsi="Times New Roman"/>
          <w:sz w:val="24"/>
          <w:szCs w:val="24"/>
          <w:lang w:val="en-GB"/>
        </w:rPr>
        <w:t>United Kingdom</w:t>
      </w:r>
      <w:r w:rsidR="00A3020E" w:rsidRPr="00331A9E">
        <w:rPr>
          <w:rFonts w:ascii="Times New Roman" w:eastAsia="Times New Roman" w:hAnsi="Times New Roman"/>
          <w:sz w:val="24"/>
          <w:szCs w:val="24"/>
          <w:lang w:val="en-GB"/>
        </w:rPr>
        <w:t>,</w:t>
      </w:r>
      <w:r w:rsidR="007462CA" w:rsidRPr="00331A9E">
        <w:rPr>
          <w:rFonts w:ascii="Times New Roman" w:eastAsia="Times New Roman" w:hAnsi="Times New Roman"/>
          <w:sz w:val="24"/>
          <w:szCs w:val="24"/>
          <w:lang w:val="en-GB"/>
        </w:rPr>
        <w:t xml:space="preserve"> </w:t>
      </w:r>
      <w:r w:rsidR="00A3020E" w:rsidRPr="00331A9E">
        <w:rPr>
          <w:rFonts w:ascii="Times New Roman" w:eastAsia="Times New Roman" w:hAnsi="Times New Roman"/>
          <w:sz w:val="24"/>
          <w:szCs w:val="24"/>
          <w:lang w:val="en-GB"/>
        </w:rPr>
        <w:t xml:space="preserve">allowing them </w:t>
      </w:r>
      <w:r w:rsidR="00AC3EA0" w:rsidRPr="00331A9E">
        <w:rPr>
          <w:rFonts w:ascii="Times New Roman" w:eastAsia="Times New Roman" w:hAnsi="Times New Roman"/>
          <w:sz w:val="24"/>
          <w:szCs w:val="24"/>
          <w:lang w:val="en-GB"/>
        </w:rPr>
        <w:t xml:space="preserve">temporarily </w:t>
      </w:r>
      <w:r w:rsidR="007462CA" w:rsidRPr="00331A9E">
        <w:rPr>
          <w:rFonts w:ascii="Times New Roman" w:eastAsia="Times New Roman" w:hAnsi="Times New Roman"/>
          <w:sz w:val="24"/>
          <w:szCs w:val="24"/>
          <w:lang w:val="en-GB"/>
        </w:rPr>
        <w:t>to continue providing services in the Union</w:t>
      </w:r>
      <w:r w:rsidR="00D03D8F" w:rsidRPr="00331A9E">
        <w:rPr>
          <w:rFonts w:ascii="Times New Roman" w:eastAsia="Times New Roman" w:hAnsi="Times New Roman"/>
          <w:sz w:val="24"/>
          <w:szCs w:val="24"/>
          <w:lang w:val="en-GB"/>
        </w:rPr>
        <w:t>.</w:t>
      </w:r>
      <w:r w:rsidR="0019291C" w:rsidRPr="00331A9E">
        <w:rPr>
          <w:rFonts w:ascii="Times New Roman" w:eastAsia="Times New Roman" w:hAnsi="Times New Roman"/>
          <w:sz w:val="24"/>
          <w:szCs w:val="24"/>
          <w:lang w:val="en-GB"/>
        </w:rPr>
        <w:t xml:space="preserve"> The Commission has concluded that EU27 companies need this time to have in place fully viable alternatives to UK operators</w:t>
      </w:r>
      <w:r w:rsidR="0019291C" w:rsidRPr="00331A9E">
        <w:rPr>
          <w:rFonts w:ascii="Times New Roman" w:eastAsia="Times New Roman" w:hAnsi="Times New Roman"/>
          <w:sz w:val="24"/>
          <w:szCs w:val="24"/>
          <w:lang w:val="en-US"/>
        </w:rPr>
        <w:t>.</w:t>
      </w:r>
    </w:p>
    <w:p w:rsidR="00C35280" w:rsidRPr="00331A9E" w:rsidRDefault="00C35280" w:rsidP="001255F6">
      <w:pPr>
        <w:pStyle w:val="ListParagraph"/>
        <w:numPr>
          <w:ilvl w:val="0"/>
          <w:numId w:val="33"/>
        </w:numPr>
        <w:spacing w:before="360" w:after="120"/>
        <w:jc w:val="both"/>
        <w:rPr>
          <w:rFonts w:ascii="Times New Roman" w:eastAsia="Times New Roman" w:hAnsi="Times New Roman"/>
          <w:b/>
          <w:i/>
          <w:sz w:val="24"/>
          <w:szCs w:val="24"/>
          <w:lang w:val="en-GB"/>
        </w:rPr>
      </w:pPr>
      <w:r w:rsidRPr="00331A9E">
        <w:rPr>
          <w:rFonts w:ascii="Times New Roman" w:eastAsia="Times New Roman" w:hAnsi="Times New Roman"/>
          <w:sz w:val="24"/>
          <w:szCs w:val="24"/>
          <w:lang w:val="en-GB"/>
        </w:rPr>
        <w:t>A temporary and conditional equivalence decision</w:t>
      </w:r>
      <w:r w:rsidR="00726A0B" w:rsidRPr="00331A9E">
        <w:rPr>
          <w:rStyle w:val="EndnoteReference"/>
          <w:rFonts w:ascii="Times New Roman" w:eastAsia="Times New Roman" w:hAnsi="Times New Roman"/>
          <w:sz w:val="24"/>
          <w:szCs w:val="24"/>
          <w:lang w:val="en-GB"/>
        </w:rPr>
        <w:endnoteReference w:id="3"/>
      </w:r>
      <w:r w:rsidRPr="00331A9E">
        <w:rPr>
          <w:rFonts w:ascii="Times New Roman" w:eastAsia="Times New Roman" w:hAnsi="Times New Roman"/>
          <w:sz w:val="24"/>
          <w:szCs w:val="24"/>
          <w:lang w:val="en-GB"/>
        </w:rPr>
        <w:t xml:space="preserve"> </w:t>
      </w:r>
      <w:r w:rsidR="002102FD" w:rsidRPr="00331A9E">
        <w:rPr>
          <w:rFonts w:ascii="Times New Roman" w:eastAsia="Times New Roman" w:hAnsi="Times New Roman"/>
          <w:sz w:val="24"/>
          <w:szCs w:val="24"/>
          <w:lang w:val="en-GB"/>
        </w:rPr>
        <w:t xml:space="preserve">for </w:t>
      </w:r>
      <w:r w:rsidR="00B275EE" w:rsidRPr="00331A9E">
        <w:rPr>
          <w:rFonts w:ascii="Times New Roman" w:eastAsia="Times New Roman" w:hAnsi="Times New Roman"/>
          <w:sz w:val="24"/>
          <w:szCs w:val="24"/>
          <w:lang w:val="en-GB"/>
        </w:rPr>
        <w:t xml:space="preserve">24 months </w:t>
      </w:r>
      <w:r w:rsidRPr="00331A9E">
        <w:rPr>
          <w:rFonts w:ascii="Times New Roman" w:eastAsia="Times New Roman" w:hAnsi="Times New Roman"/>
          <w:sz w:val="24"/>
          <w:szCs w:val="24"/>
          <w:lang w:val="en-GB"/>
        </w:rPr>
        <w:t>to ensure that there w</w:t>
      </w:r>
      <w:r w:rsidR="00B155FB" w:rsidRPr="00331A9E">
        <w:rPr>
          <w:rFonts w:ascii="Times New Roman" w:eastAsia="Times New Roman" w:hAnsi="Times New Roman"/>
          <w:sz w:val="24"/>
          <w:szCs w:val="24"/>
          <w:lang w:val="en-GB"/>
        </w:rPr>
        <w:t>ill be no disruption in</w:t>
      </w:r>
      <w:r w:rsidR="00DE6B4A" w:rsidRPr="00331A9E">
        <w:rPr>
          <w:rFonts w:ascii="Times New Roman" w:eastAsia="Times New Roman" w:hAnsi="Times New Roman"/>
          <w:sz w:val="24"/>
          <w:szCs w:val="24"/>
          <w:lang w:val="en-GB"/>
        </w:rPr>
        <w:t xml:space="preserve"> </w:t>
      </w:r>
      <w:r w:rsidR="00B275EE" w:rsidRPr="00331A9E">
        <w:rPr>
          <w:rFonts w:ascii="Times New Roman" w:eastAsia="Times New Roman" w:hAnsi="Times New Roman"/>
          <w:sz w:val="24"/>
          <w:szCs w:val="24"/>
          <w:lang w:val="en-GB"/>
        </w:rPr>
        <w:t xml:space="preserve">services provided by UK </w:t>
      </w:r>
      <w:r w:rsidR="00DE6B4A" w:rsidRPr="00331A9E">
        <w:rPr>
          <w:rFonts w:ascii="Times New Roman" w:eastAsia="Times New Roman" w:hAnsi="Times New Roman"/>
          <w:b/>
          <w:sz w:val="24"/>
          <w:szCs w:val="24"/>
          <w:lang w:val="en-GB"/>
        </w:rPr>
        <w:t>central</w:t>
      </w:r>
      <w:r w:rsidR="00B155FB" w:rsidRPr="00331A9E">
        <w:rPr>
          <w:rFonts w:ascii="Times New Roman" w:eastAsia="Times New Roman" w:hAnsi="Times New Roman"/>
          <w:sz w:val="24"/>
          <w:szCs w:val="24"/>
          <w:lang w:val="en-GB"/>
        </w:rPr>
        <w:t xml:space="preserve"> </w:t>
      </w:r>
      <w:r w:rsidR="00B275EE" w:rsidRPr="006C5508">
        <w:rPr>
          <w:rFonts w:ascii="Times New Roman" w:eastAsia="Times New Roman" w:hAnsi="Times New Roman"/>
          <w:b/>
          <w:sz w:val="24"/>
          <w:szCs w:val="24"/>
          <w:lang w:val="en-GB"/>
        </w:rPr>
        <w:t xml:space="preserve">securities </w:t>
      </w:r>
      <w:r w:rsidR="00B275EE" w:rsidRPr="00331A9E">
        <w:rPr>
          <w:rFonts w:ascii="Times New Roman" w:eastAsia="Times New Roman" w:hAnsi="Times New Roman"/>
          <w:b/>
          <w:sz w:val="24"/>
          <w:szCs w:val="24"/>
          <w:lang w:val="en-GB"/>
        </w:rPr>
        <w:t>depositories</w:t>
      </w:r>
      <w:r w:rsidR="006C5508">
        <w:rPr>
          <w:rFonts w:ascii="Times New Roman" w:eastAsia="Times New Roman" w:hAnsi="Times New Roman"/>
          <w:b/>
          <w:sz w:val="24"/>
          <w:szCs w:val="24"/>
          <w:lang w:val="en-GB"/>
        </w:rPr>
        <w:t>.</w:t>
      </w:r>
      <w:r w:rsidR="007462CA" w:rsidRPr="00331A9E">
        <w:rPr>
          <w:rFonts w:ascii="Times New Roman" w:eastAsia="Times New Roman" w:hAnsi="Times New Roman"/>
          <w:sz w:val="24"/>
          <w:szCs w:val="24"/>
          <w:lang w:val="en-GB"/>
        </w:rPr>
        <w:t xml:space="preserve"> </w:t>
      </w:r>
      <w:r w:rsidR="00AC3EA0" w:rsidRPr="00331A9E">
        <w:rPr>
          <w:rFonts w:ascii="Times New Roman" w:eastAsia="Times New Roman" w:hAnsi="Times New Roman"/>
          <w:sz w:val="24"/>
          <w:szCs w:val="24"/>
          <w:lang w:val="en-GB"/>
        </w:rPr>
        <w:t>It</w:t>
      </w:r>
      <w:r w:rsidR="007462CA" w:rsidRPr="00331A9E">
        <w:rPr>
          <w:rFonts w:ascii="Times New Roman" w:eastAsia="Times New Roman" w:hAnsi="Times New Roman"/>
          <w:sz w:val="24"/>
          <w:szCs w:val="24"/>
          <w:lang w:val="en-GB"/>
        </w:rPr>
        <w:t xml:space="preserve"> will </w:t>
      </w:r>
      <w:r w:rsidR="00B275EE" w:rsidRPr="00331A9E">
        <w:rPr>
          <w:rFonts w:ascii="Times New Roman" w:eastAsia="Times New Roman" w:hAnsi="Times New Roman"/>
          <w:sz w:val="24"/>
          <w:szCs w:val="24"/>
          <w:lang w:val="en-GB"/>
        </w:rPr>
        <w:t xml:space="preserve">temporarily </w:t>
      </w:r>
      <w:r w:rsidR="007462CA" w:rsidRPr="00331A9E">
        <w:rPr>
          <w:rFonts w:ascii="Times New Roman" w:eastAsia="Times New Roman" w:hAnsi="Times New Roman"/>
          <w:sz w:val="24"/>
          <w:szCs w:val="24"/>
          <w:lang w:val="en-GB"/>
        </w:rPr>
        <w:t xml:space="preserve">allow </w:t>
      </w:r>
      <w:r w:rsidR="00B275EE" w:rsidRPr="00331A9E">
        <w:rPr>
          <w:rFonts w:ascii="Times New Roman" w:eastAsia="Times New Roman" w:hAnsi="Times New Roman"/>
          <w:sz w:val="24"/>
          <w:szCs w:val="24"/>
          <w:lang w:val="en-GB"/>
        </w:rPr>
        <w:t xml:space="preserve">them </w:t>
      </w:r>
      <w:r w:rsidR="007462CA" w:rsidRPr="00331A9E">
        <w:rPr>
          <w:rFonts w:ascii="Times New Roman" w:eastAsia="Times New Roman" w:hAnsi="Times New Roman"/>
          <w:sz w:val="24"/>
          <w:szCs w:val="24"/>
          <w:lang w:val="en-GB"/>
        </w:rPr>
        <w:t>to continue</w:t>
      </w:r>
      <w:r w:rsidR="0090462C" w:rsidRPr="00331A9E">
        <w:rPr>
          <w:rFonts w:ascii="Times New Roman" w:eastAsia="Times New Roman" w:hAnsi="Times New Roman"/>
          <w:sz w:val="24"/>
          <w:szCs w:val="24"/>
          <w:lang w:val="en-GB"/>
        </w:rPr>
        <w:t xml:space="preserve"> </w:t>
      </w:r>
      <w:r w:rsidR="00B275EE" w:rsidRPr="00331A9E">
        <w:rPr>
          <w:rFonts w:ascii="Times New Roman" w:eastAsia="Times New Roman" w:hAnsi="Times New Roman"/>
          <w:sz w:val="24"/>
          <w:szCs w:val="24"/>
          <w:lang w:val="en-GB"/>
        </w:rPr>
        <w:t xml:space="preserve">providing </w:t>
      </w:r>
      <w:r w:rsidR="007462CA" w:rsidRPr="00331A9E">
        <w:rPr>
          <w:rFonts w:ascii="Times New Roman" w:eastAsia="Times New Roman" w:hAnsi="Times New Roman"/>
          <w:sz w:val="24"/>
          <w:szCs w:val="24"/>
          <w:lang w:val="en-GB"/>
        </w:rPr>
        <w:t xml:space="preserve">notary and </w:t>
      </w:r>
      <w:r w:rsidR="00B275EE" w:rsidRPr="00331A9E">
        <w:rPr>
          <w:rFonts w:ascii="Times New Roman" w:eastAsia="Times New Roman" w:hAnsi="Times New Roman"/>
          <w:sz w:val="24"/>
          <w:szCs w:val="24"/>
          <w:lang w:val="en-GB"/>
        </w:rPr>
        <w:t xml:space="preserve">central </w:t>
      </w:r>
      <w:r w:rsidR="007462CA" w:rsidRPr="00331A9E">
        <w:rPr>
          <w:rFonts w:ascii="Times New Roman" w:eastAsia="Times New Roman" w:hAnsi="Times New Roman"/>
          <w:sz w:val="24"/>
          <w:szCs w:val="24"/>
          <w:lang w:val="en-GB"/>
        </w:rPr>
        <w:t xml:space="preserve">maintenance services </w:t>
      </w:r>
      <w:r w:rsidR="00B275EE" w:rsidRPr="00331A9E">
        <w:rPr>
          <w:rFonts w:ascii="Times New Roman" w:eastAsia="Times New Roman" w:hAnsi="Times New Roman"/>
          <w:sz w:val="24"/>
          <w:szCs w:val="24"/>
          <w:lang w:val="en-GB"/>
        </w:rPr>
        <w:t xml:space="preserve">to operators </w:t>
      </w:r>
      <w:r w:rsidR="007462CA" w:rsidRPr="00331A9E">
        <w:rPr>
          <w:rFonts w:ascii="Times New Roman" w:eastAsia="Times New Roman" w:hAnsi="Times New Roman"/>
          <w:sz w:val="24"/>
          <w:szCs w:val="24"/>
          <w:lang w:val="en-GB"/>
        </w:rPr>
        <w:t>in the Union</w:t>
      </w:r>
      <w:r w:rsidRPr="00331A9E">
        <w:rPr>
          <w:rFonts w:ascii="Times New Roman" w:eastAsia="Times New Roman" w:hAnsi="Times New Roman"/>
          <w:sz w:val="24"/>
          <w:szCs w:val="24"/>
          <w:lang w:val="en-GB"/>
        </w:rPr>
        <w:t>.</w:t>
      </w:r>
      <w:r w:rsidR="001255F6" w:rsidRPr="00331A9E">
        <w:rPr>
          <w:rFonts w:ascii="Times New Roman" w:eastAsia="Times New Roman" w:hAnsi="Times New Roman"/>
          <w:sz w:val="24"/>
          <w:szCs w:val="24"/>
          <w:lang w:val="en-GB"/>
        </w:rPr>
        <w:t xml:space="preserve"> </w:t>
      </w:r>
      <w:r w:rsidR="0019291C" w:rsidRPr="00331A9E">
        <w:rPr>
          <w:rFonts w:ascii="Times New Roman" w:eastAsia="Times New Roman" w:hAnsi="Times New Roman"/>
          <w:sz w:val="24"/>
          <w:szCs w:val="24"/>
          <w:lang w:val="en-GB"/>
        </w:rPr>
        <w:t>T</w:t>
      </w:r>
      <w:r w:rsidR="001255F6" w:rsidRPr="00331A9E">
        <w:rPr>
          <w:rFonts w:ascii="Times New Roman" w:eastAsia="Times New Roman" w:hAnsi="Times New Roman"/>
          <w:sz w:val="24"/>
          <w:szCs w:val="24"/>
          <w:lang w:val="en-GB"/>
        </w:rPr>
        <w:t xml:space="preserve">his </w:t>
      </w:r>
      <w:r w:rsidR="0090462C" w:rsidRPr="00331A9E">
        <w:rPr>
          <w:rFonts w:ascii="Times New Roman" w:eastAsia="Times New Roman" w:hAnsi="Times New Roman"/>
          <w:sz w:val="24"/>
          <w:szCs w:val="24"/>
          <w:lang w:val="en-GB"/>
        </w:rPr>
        <w:t xml:space="preserve">will </w:t>
      </w:r>
      <w:r w:rsidR="001255F6" w:rsidRPr="00331A9E">
        <w:rPr>
          <w:rFonts w:ascii="Times New Roman" w:eastAsia="Times New Roman" w:hAnsi="Times New Roman"/>
          <w:sz w:val="24"/>
          <w:szCs w:val="24"/>
          <w:lang w:val="en-GB"/>
        </w:rPr>
        <w:t xml:space="preserve">allow EU27 operators that currently have no </w:t>
      </w:r>
      <w:r w:rsidR="0019291C" w:rsidRPr="00331A9E">
        <w:rPr>
          <w:rFonts w:ascii="Times New Roman" w:eastAsia="Times New Roman" w:hAnsi="Times New Roman"/>
          <w:sz w:val="24"/>
          <w:szCs w:val="24"/>
          <w:lang w:val="en-GB"/>
        </w:rPr>
        <w:t xml:space="preserve">immediately available </w:t>
      </w:r>
      <w:r w:rsidR="001255F6" w:rsidRPr="00331A9E">
        <w:rPr>
          <w:rFonts w:ascii="Times New Roman" w:eastAsia="Times New Roman" w:hAnsi="Times New Roman"/>
          <w:sz w:val="24"/>
          <w:szCs w:val="24"/>
          <w:lang w:val="en-GB"/>
        </w:rPr>
        <w:t>alternative in the EU27 to fulfil their obligations under EU law</w:t>
      </w:r>
      <w:r w:rsidR="0019291C" w:rsidRPr="00331A9E">
        <w:rPr>
          <w:rFonts w:ascii="Times New Roman" w:eastAsia="Times New Roman" w:hAnsi="Times New Roman"/>
          <w:sz w:val="24"/>
          <w:szCs w:val="24"/>
          <w:lang w:val="en-GB"/>
        </w:rPr>
        <w:t>.</w:t>
      </w:r>
    </w:p>
    <w:p w:rsidR="00B155FB" w:rsidRPr="001255F6" w:rsidRDefault="00DE6B4A" w:rsidP="001255F6">
      <w:pPr>
        <w:pStyle w:val="ListParagraph"/>
        <w:numPr>
          <w:ilvl w:val="0"/>
          <w:numId w:val="33"/>
        </w:numPr>
        <w:spacing w:before="360" w:after="120"/>
        <w:jc w:val="both"/>
        <w:rPr>
          <w:rFonts w:ascii="Times New Roman" w:eastAsia="Times New Roman" w:hAnsi="Times New Roman"/>
          <w:sz w:val="24"/>
          <w:szCs w:val="24"/>
          <w:lang w:val="en-GB"/>
        </w:rPr>
      </w:pPr>
      <w:r w:rsidRPr="00331A9E">
        <w:rPr>
          <w:rFonts w:ascii="Times New Roman" w:eastAsia="Times New Roman" w:hAnsi="Times New Roman"/>
          <w:sz w:val="24"/>
          <w:szCs w:val="24"/>
          <w:lang w:val="en-GB"/>
        </w:rPr>
        <w:t>Two</w:t>
      </w:r>
      <w:r w:rsidR="00A72795" w:rsidRPr="00331A9E">
        <w:rPr>
          <w:rFonts w:ascii="Times New Roman" w:eastAsia="Times New Roman" w:hAnsi="Times New Roman"/>
          <w:sz w:val="24"/>
          <w:szCs w:val="24"/>
          <w:lang w:val="en-GB"/>
        </w:rPr>
        <w:t xml:space="preserve"> Delegated</w:t>
      </w:r>
      <w:r w:rsidRPr="00331A9E">
        <w:rPr>
          <w:rFonts w:ascii="Times New Roman" w:eastAsia="Times New Roman" w:hAnsi="Times New Roman"/>
          <w:sz w:val="24"/>
          <w:szCs w:val="24"/>
          <w:lang w:val="en-GB"/>
        </w:rPr>
        <w:t xml:space="preserve"> </w:t>
      </w:r>
      <w:r w:rsidR="00B155FB" w:rsidRPr="00331A9E">
        <w:rPr>
          <w:rFonts w:ascii="Times New Roman" w:eastAsia="Times New Roman" w:hAnsi="Times New Roman"/>
          <w:sz w:val="24"/>
          <w:szCs w:val="24"/>
          <w:lang w:val="en-GB"/>
        </w:rPr>
        <w:t>Regulat</w:t>
      </w:r>
      <w:r w:rsidRPr="00331A9E">
        <w:rPr>
          <w:rFonts w:ascii="Times New Roman" w:eastAsia="Times New Roman" w:hAnsi="Times New Roman"/>
          <w:sz w:val="24"/>
          <w:szCs w:val="24"/>
          <w:lang w:val="en-GB"/>
        </w:rPr>
        <w:t>ions</w:t>
      </w:r>
      <w:r w:rsidR="001255F6" w:rsidRPr="00331A9E">
        <w:rPr>
          <w:rStyle w:val="EndnoteReference"/>
          <w:rFonts w:ascii="Times New Roman" w:eastAsia="Times New Roman" w:hAnsi="Times New Roman"/>
          <w:sz w:val="24"/>
          <w:szCs w:val="24"/>
          <w:lang w:val="en-GB"/>
        </w:rPr>
        <w:endnoteReference w:id="4"/>
      </w:r>
      <w:r w:rsidR="001255F6" w:rsidRPr="00331A9E">
        <w:rPr>
          <w:rFonts w:ascii="Times New Roman" w:eastAsia="Times New Roman" w:hAnsi="Times New Roman"/>
          <w:sz w:val="24"/>
          <w:szCs w:val="24"/>
          <w:vertAlign w:val="superscript"/>
          <w:lang w:val="en-GB"/>
        </w:rPr>
        <w:t>,</w:t>
      </w:r>
      <w:r w:rsidR="00327A45" w:rsidRPr="00331A9E">
        <w:rPr>
          <w:rStyle w:val="EndnoteReference"/>
          <w:rFonts w:ascii="Times New Roman" w:eastAsia="Times New Roman" w:hAnsi="Times New Roman"/>
          <w:sz w:val="24"/>
          <w:szCs w:val="24"/>
          <w:lang w:val="en-GB"/>
        </w:rPr>
        <w:endnoteReference w:id="5"/>
      </w:r>
      <w:r w:rsidR="00B155FB" w:rsidRPr="00331A9E">
        <w:rPr>
          <w:rFonts w:ascii="Times New Roman" w:eastAsia="Times New Roman" w:hAnsi="Times New Roman"/>
          <w:sz w:val="24"/>
          <w:szCs w:val="24"/>
          <w:lang w:val="en-GB"/>
        </w:rPr>
        <w:t xml:space="preserve"> </w:t>
      </w:r>
      <w:r w:rsidRPr="00331A9E">
        <w:rPr>
          <w:rFonts w:ascii="Times New Roman" w:eastAsia="Times New Roman" w:hAnsi="Times New Roman"/>
          <w:sz w:val="24"/>
          <w:szCs w:val="24"/>
          <w:lang w:val="en-GB"/>
        </w:rPr>
        <w:t>facilitating</w:t>
      </w:r>
      <w:r w:rsidRPr="001255F6">
        <w:rPr>
          <w:rFonts w:ascii="Times New Roman" w:eastAsia="Times New Roman" w:hAnsi="Times New Roman"/>
          <w:sz w:val="24"/>
          <w:szCs w:val="24"/>
          <w:lang w:val="en-GB"/>
        </w:rPr>
        <w:t xml:space="preserve"> novation</w:t>
      </w:r>
      <w:r w:rsidR="002102FD">
        <w:rPr>
          <w:rFonts w:ascii="Times New Roman" w:eastAsia="Times New Roman" w:hAnsi="Times New Roman"/>
          <w:sz w:val="24"/>
          <w:szCs w:val="24"/>
          <w:lang w:val="en-GB"/>
        </w:rPr>
        <w:t>, for a fixed period,</w:t>
      </w:r>
      <w:r w:rsidRPr="001255F6">
        <w:rPr>
          <w:rFonts w:ascii="Times New Roman" w:eastAsia="Times New Roman" w:hAnsi="Times New Roman"/>
          <w:sz w:val="24"/>
          <w:szCs w:val="24"/>
          <w:lang w:val="en-GB"/>
        </w:rPr>
        <w:t xml:space="preserve"> of </w:t>
      </w:r>
      <w:r w:rsidR="0006273B" w:rsidRPr="001255F6">
        <w:rPr>
          <w:rFonts w:ascii="Times New Roman" w:eastAsia="Times New Roman" w:hAnsi="Times New Roman"/>
          <w:b/>
          <w:sz w:val="24"/>
          <w:szCs w:val="24"/>
          <w:lang w:val="en-GB"/>
        </w:rPr>
        <w:t>certain over-the-counter derivatives contracts with a counterpart</w:t>
      </w:r>
      <w:r w:rsidRPr="001255F6">
        <w:rPr>
          <w:rFonts w:ascii="Times New Roman" w:eastAsia="Times New Roman" w:hAnsi="Times New Roman"/>
          <w:b/>
          <w:sz w:val="24"/>
          <w:szCs w:val="24"/>
          <w:lang w:val="en-GB"/>
        </w:rPr>
        <w:t>y</w:t>
      </w:r>
      <w:r w:rsidR="0006273B" w:rsidRPr="001255F6">
        <w:rPr>
          <w:rFonts w:ascii="Times New Roman" w:eastAsia="Times New Roman" w:hAnsi="Times New Roman"/>
          <w:b/>
          <w:sz w:val="24"/>
          <w:szCs w:val="24"/>
          <w:lang w:val="en-GB"/>
        </w:rPr>
        <w:t xml:space="preserve"> established in the United Kingdom </w:t>
      </w:r>
      <w:r w:rsidR="0006273B" w:rsidRPr="001255F6">
        <w:rPr>
          <w:rFonts w:ascii="Times New Roman" w:eastAsia="Times New Roman" w:hAnsi="Times New Roman"/>
          <w:sz w:val="24"/>
          <w:szCs w:val="24"/>
          <w:lang w:val="en-GB"/>
        </w:rPr>
        <w:t>to replace th</w:t>
      </w:r>
      <w:r w:rsidRPr="001255F6">
        <w:rPr>
          <w:rFonts w:ascii="Times New Roman" w:eastAsia="Times New Roman" w:hAnsi="Times New Roman"/>
          <w:sz w:val="24"/>
          <w:szCs w:val="24"/>
          <w:lang w:val="en-GB"/>
        </w:rPr>
        <w:t>at</w:t>
      </w:r>
      <w:r w:rsidR="0006273B" w:rsidRPr="001255F6">
        <w:rPr>
          <w:rFonts w:ascii="Times New Roman" w:eastAsia="Times New Roman" w:hAnsi="Times New Roman"/>
          <w:sz w:val="24"/>
          <w:szCs w:val="24"/>
          <w:lang w:val="en-GB"/>
        </w:rPr>
        <w:t xml:space="preserve"> counterparty with a counterparty </w:t>
      </w:r>
      <w:r w:rsidRPr="001255F6">
        <w:rPr>
          <w:rFonts w:ascii="Times New Roman" w:eastAsia="Times New Roman" w:hAnsi="Times New Roman"/>
          <w:sz w:val="24"/>
          <w:szCs w:val="24"/>
          <w:lang w:val="en-GB"/>
        </w:rPr>
        <w:t>established in the Union</w:t>
      </w:r>
      <w:r w:rsidR="0006273B" w:rsidRPr="001255F6">
        <w:rPr>
          <w:rFonts w:ascii="Times New Roman" w:eastAsia="Times New Roman" w:hAnsi="Times New Roman"/>
          <w:sz w:val="24"/>
          <w:szCs w:val="24"/>
          <w:lang w:val="en-GB"/>
        </w:rPr>
        <w:t>.</w:t>
      </w:r>
      <w:r w:rsidR="001255F6">
        <w:rPr>
          <w:rFonts w:ascii="Times New Roman" w:eastAsia="Times New Roman" w:hAnsi="Times New Roman"/>
          <w:sz w:val="24"/>
          <w:szCs w:val="24"/>
          <w:lang w:val="en-GB"/>
        </w:rPr>
        <w:t xml:space="preserve"> </w:t>
      </w:r>
      <w:r w:rsidR="003D377A">
        <w:rPr>
          <w:rFonts w:ascii="Times New Roman" w:eastAsia="Times New Roman" w:hAnsi="Times New Roman"/>
          <w:sz w:val="24"/>
          <w:szCs w:val="24"/>
          <w:lang w:val="en-GB"/>
        </w:rPr>
        <w:t xml:space="preserve">This allows such contracts to be transferred to </w:t>
      </w:r>
      <w:r w:rsidR="0019291C">
        <w:rPr>
          <w:rFonts w:ascii="Times New Roman" w:eastAsia="Times New Roman" w:hAnsi="Times New Roman"/>
          <w:sz w:val="24"/>
          <w:szCs w:val="24"/>
          <w:lang w:val="en-GB"/>
        </w:rPr>
        <w:t xml:space="preserve">an </w:t>
      </w:r>
      <w:r w:rsidR="003D377A">
        <w:rPr>
          <w:rFonts w:ascii="Times New Roman" w:eastAsia="Times New Roman" w:hAnsi="Times New Roman"/>
          <w:sz w:val="24"/>
          <w:szCs w:val="24"/>
          <w:lang w:val="en-GB"/>
        </w:rPr>
        <w:t xml:space="preserve">EU27 </w:t>
      </w:r>
      <w:r w:rsidR="0019291C">
        <w:rPr>
          <w:rFonts w:ascii="Times New Roman" w:eastAsia="Times New Roman" w:hAnsi="Times New Roman"/>
          <w:sz w:val="24"/>
          <w:szCs w:val="24"/>
          <w:lang w:val="en-GB"/>
        </w:rPr>
        <w:t xml:space="preserve">counterparty </w:t>
      </w:r>
      <w:r w:rsidR="003D377A">
        <w:rPr>
          <w:rFonts w:ascii="Times New Roman" w:eastAsia="Times New Roman" w:hAnsi="Times New Roman"/>
          <w:sz w:val="24"/>
          <w:szCs w:val="24"/>
          <w:lang w:val="en-GB"/>
        </w:rPr>
        <w:t xml:space="preserve">while maintaining their exempted status and thus </w:t>
      </w:r>
      <w:r w:rsidR="0019127F">
        <w:rPr>
          <w:rFonts w:ascii="Times New Roman" w:eastAsia="Times New Roman" w:hAnsi="Times New Roman"/>
          <w:sz w:val="24"/>
          <w:szCs w:val="24"/>
          <w:lang w:val="en-GB"/>
        </w:rPr>
        <w:t xml:space="preserve">not </w:t>
      </w:r>
      <w:r w:rsidR="003D377A">
        <w:rPr>
          <w:rFonts w:ascii="Times New Roman" w:eastAsia="Times New Roman" w:hAnsi="Times New Roman"/>
          <w:sz w:val="24"/>
          <w:szCs w:val="24"/>
          <w:lang w:val="en-GB"/>
        </w:rPr>
        <w:t xml:space="preserve">becoming subject to clearing and margining obligations under </w:t>
      </w:r>
      <w:r w:rsidR="001255F6" w:rsidRPr="001255F6">
        <w:rPr>
          <w:rFonts w:ascii="Times New Roman" w:eastAsia="Times New Roman" w:hAnsi="Times New Roman"/>
          <w:sz w:val="24"/>
          <w:szCs w:val="24"/>
          <w:lang w:val="en-GB"/>
        </w:rPr>
        <w:t>the European Market Infrastructures Regulation</w:t>
      </w:r>
      <w:r w:rsidR="003A03CC">
        <w:rPr>
          <w:rFonts w:ascii="Times New Roman" w:eastAsia="Times New Roman" w:hAnsi="Times New Roman"/>
          <w:sz w:val="24"/>
          <w:szCs w:val="24"/>
          <w:lang w:val="en-GB"/>
        </w:rPr>
        <w:t>. Such contracts, pre-dating EMIR, are</w:t>
      </w:r>
      <w:r w:rsidR="001255F6" w:rsidRPr="001255F6">
        <w:rPr>
          <w:rFonts w:ascii="Times New Roman" w:eastAsia="Times New Roman" w:hAnsi="Times New Roman"/>
          <w:sz w:val="24"/>
          <w:szCs w:val="24"/>
          <w:lang w:val="en-GB"/>
        </w:rPr>
        <w:t xml:space="preserve"> exempted from EMIR requirements</w:t>
      </w:r>
      <w:r w:rsidR="003A03CC">
        <w:rPr>
          <w:rFonts w:ascii="Times New Roman" w:eastAsia="Times New Roman" w:hAnsi="Times New Roman"/>
          <w:sz w:val="24"/>
          <w:szCs w:val="24"/>
          <w:lang w:val="en-GB"/>
        </w:rPr>
        <w:t xml:space="preserve">. This act will </w:t>
      </w:r>
      <w:r w:rsidR="00B2238B">
        <w:rPr>
          <w:rFonts w:ascii="Times New Roman" w:eastAsia="Times New Roman" w:hAnsi="Times New Roman"/>
          <w:sz w:val="24"/>
          <w:szCs w:val="24"/>
          <w:lang w:val="en-GB"/>
        </w:rPr>
        <w:t>ensure</w:t>
      </w:r>
      <w:r w:rsidR="003A03CC">
        <w:rPr>
          <w:rFonts w:ascii="Times New Roman" w:eastAsia="Times New Roman" w:hAnsi="Times New Roman"/>
          <w:sz w:val="24"/>
          <w:szCs w:val="24"/>
          <w:lang w:val="en-GB"/>
        </w:rPr>
        <w:t xml:space="preserve"> that a change of counterparty will not change that exempted status</w:t>
      </w:r>
      <w:r w:rsidR="001255F6" w:rsidRPr="001255F6">
        <w:rPr>
          <w:rFonts w:ascii="Times New Roman" w:eastAsia="Times New Roman" w:hAnsi="Times New Roman"/>
          <w:sz w:val="24"/>
          <w:szCs w:val="24"/>
          <w:lang w:val="en-GB"/>
        </w:rPr>
        <w:t>.</w:t>
      </w:r>
    </w:p>
    <w:p w:rsidR="00510727" w:rsidRDefault="008C39D9" w:rsidP="00002C85">
      <w:pPr>
        <w:spacing w:before="360" w:after="120"/>
        <w:jc w:val="both"/>
        <w:rPr>
          <w:rFonts w:ascii="Times New Roman" w:eastAsia="Times New Roman" w:hAnsi="Times New Roman"/>
          <w:sz w:val="24"/>
          <w:szCs w:val="24"/>
          <w:lang w:val="en-GB"/>
        </w:rPr>
      </w:pPr>
      <w:r w:rsidRPr="00C40050">
        <w:rPr>
          <w:rFonts w:ascii="Times New Roman" w:eastAsia="Times New Roman" w:hAnsi="Times New Roman"/>
          <w:sz w:val="24"/>
          <w:szCs w:val="24"/>
          <w:lang w:val="en-GB"/>
        </w:rPr>
        <w:t xml:space="preserve">In </w:t>
      </w:r>
      <w:r w:rsidR="0019291C" w:rsidRPr="00C40050">
        <w:rPr>
          <w:rFonts w:ascii="Times New Roman" w:eastAsia="Times New Roman" w:hAnsi="Times New Roman"/>
          <w:sz w:val="24"/>
          <w:szCs w:val="24"/>
          <w:lang w:val="en-GB"/>
        </w:rPr>
        <w:t xml:space="preserve">all sectors of financial services, firms should continue to take all the necessary steps to mitigate risks and ensure that clients continue to be served. Firms should actively inform clients about the steps they have taken and how they are implementing them. For their part, </w:t>
      </w:r>
      <w:r w:rsidR="00C40050" w:rsidRPr="00C40050">
        <w:rPr>
          <w:rFonts w:ascii="Times New Roman" w:eastAsia="Times New Roman" w:hAnsi="Times New Roman"/>
          <w:sz w:val="24"/>
          <w:szCs w:val="24"/>
          <w:lang w:val="en-GB"/>
        </w:rPr>
        <w:t xml:space="preserve">clients in the European Union of UK firms need to prepare for a scenario in which their provider is no longer subject to EU law. </w:t>
      </w:r>
    </w:p>
    <w:p w:rsidR="003E3F27" w:rsidRPr="009730DB" w:rsidRDefault="00A81050" w:rsidP="009E7713">
      <w:pPr>
        <w:keepNext/>
        <w:spacing w:before="360" w:after="240"/>
        <w:jc w:val="both"/>
        <w:rPr>
          <w:rFonts w:ascii="Times New Roman" w:eastAsia="Times New Roman" w:hAnsi="Times New Roman"/>
          <w:b/>
          <w:i/>
          <w:sz w:val="24"/>
          <w:szCs w:val="24"/>
          <w:lang w:val="en-GB"/>
        </w:rPr>
      </w:pPr>
      <w:r>
        <w:rPr>
          <w:rFonts w:ascii="Times New Roman" w:eastAsia="Times New Roman" w:hAnsi="Times New Roman"/>
          <w:b/>
          <w:i/>
          <w:sz w:val="24"/>
          <w:szCs w:val="24"/>
          <w:lang w:val="en-GB"/>
        </w:rPr>
        <w:t>Air t</w:t>
      </w:r>
      <w:r w:rsidR="00C95C66" w:rsidRPr="009730DB">
        <w:rPr>
          <w:rFonts w:ascii="Times New Roman" w:eastAsia="Times New Roman" w:hAnsi="Times New Roman"/>
          <w:b/>
          <w:i/>
          <w:sz w:val="24"/>
          <w:szCs w:val="24"/>
          <w:lang w:val="en-GB"/>
        </w:rPr>
        <w:t>ransport</w:t>
      </w:r>
    </w:p>
    <w:p w:rsidR="003E3F27" w:rsidRPr="009730DB" w:rsidRDefault="00BC2C7B" w:rsidP="00BC2C7B">
      <w:pPr>
        <w:spacing w:before="240" w:after="200"/>
        <w:jc w:val="both"/>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If the Withdrawal Agreement is not ratified, air traffic between the </w:t>
      </w:r>
      <w:r w:rsidR="0081230B">
        <w:rPr>
          <w:rFonts w:ascii="Times New Roman" w:eastAsia="Times New Roman" w:hAnsi="Times New Roman"/>
          <w:sz w:val="24"/>
          <w:szCs w:val="24"/>
          <w:lang w:val="en-GB"/>
        </w:rPr>
        <w:t>EU and the United Kingdom will</w:t>
      </w:r>
      <w:r>
        <w:rPr>
          <w:rFonts w:ascii="Times New Roman" w:eastAsia="Times New Roman" w:hAnsi="Times New Roman"/>
          <w:sz w:val="24"/>
          <w:szCs w:val="24"/>
          <w:lang w:val="en-GB"/>
        </w:rPr>
        <w:t xml:space="preserve"> be interrupted as of the withdrawal date. T</w:t>
      </w:r>
      <w:r w:rsidR="009C4811">
        <w:rPr>
          <w:rFonts w:ascii="Times New Roman" w:eastAsia="Times New Roman" w:hAnsi="Times New Roman"/>
          <w:sz w:val="24"/>
          <w:szCs w:val="24"/>
          <w:lang w:val="en-GB"/>
        </w:rPr>
        <w:t xml:space="preserve">he Commission has today adopted two </w:t>
      </w:r>
      <w:r w:rsidR="00AC3EA0">
        <w:rPr>
          <w:rFonts w:ascii="Times New Roman" w:eastAsia="Times New Roman" w:hAnsi="Times New Roman"/>
          <w:sz w:val="24"/>
          <w:szCs w:val="24"/>
          <w:lang w:val="en-GB"/>
        </w:rPr>
        <w:t xml:space="preserve">temporary </w:t>
      </w:r>
      <w:r w:rsidR="009C4811">
        <w:rPr>
          <w:rFonts w:ascii="Times New Roman" w:eastAsia="Times New Roman" w:hAnsi="Times New Roman"/>
          <w:sz w:val="24"/>
          <w:szCs w:val="24"/>
          <w:lang w:val="en-GB"/>
        </w:rPr>
        <w:t xml:space="preserve">measures </w:t>
      </w:r>
      <w:r w:rsidR="00AC3EA0">
        <w:rPr>
          <w:rFonts w:ascii="Times New Roman" w:eastAsia="Times New Roman" w:hAnsi="Times New Roman"/>
          <w:sz w:val="24"/>
          <w:szCs w:val="24"/>
          <w:lang w:val="en-GB"/>
        </w:rPr>
        <w:t xml:space="preserve">to </w:t>
      </w:r>
      <w:r w:rsidR="00B52B33">
        <w:rPr>
          <w:rFonts w:ascii="Times New Roman" w:eastAsia="Times New Roman" w:hAnsi="Times New Roman"/>
          <w:sz w:val="24"/>
          <w:szCs w:val="24"/>
          <w:lang w:val="en-GB"/>
        </w:rPr>
        <w:t xml:space="preserve">avoid </w:t>
      </w:r>
      <w:r w:rsidR="00CD452B">
        <w:rPr>
          <w:rFonts w:ascii="Times New Roman" w:eastAsia="Times New Roman" w:hAnsi="Times New Roman"/>
          <w:sz w:val="24"/>
          <w:szCs w:val="24"/>
          <w:lang w:val="en-GB"/>
        </w:rPr>
        <w:t xml:space="preserve">full </w:t>
      </w:r>
      <w:r w:rsidR="00B52B33">
        <w:rPr>
          <w:rFonts w:ascii="Times New Roman" w:eastAsia="Times New Roman" w:hAnsi="Times New Roman"/>
          <w:sz w:val="24"/>
          <w:szCs w:val="24"/>
          <w:lang w:val="en-GB"/>
        </w:rPr>
        <w:t>interruption of air traffic between the Union and the United Kingdom</w:t>
      </w:r>
      <w:r w:rsidR="00CD452B">
        <w:rPr>
          <w:rFonts w:ascii="Times New Roman" w:eastAsia="Times New Roman" w:hAnsi="Times New Roman"/>
          <w:sz w:val="24"/>
          <w:szCs w:val="24"/>
          <w:lang w:val="en-GB"/>
        </w:rPr>
        <w:t xml:space="preserve"> and to ensure basic connectivity</w:t>
      </w:r>
      <w:r w:rsidR="009C4811">
        <w:rPr>
          <w:rFonts w:ascii="Times New Roman" w:eastAsia="Times New Roman" w:hAnsi="Times New Roman"/>
          <w:sz w:val="24"/>
          <w:szCs w:val="24"/>
          <w:lang w:val="en-GB"/>
        </w:rPr>
        <w:t>:</w:t>
      </w:r>
    </w:p>
    <w:p w:rsidR="003E3F27" w:rsidRDefault="009C4811" w:rsidP="002102FD">
      <w:pPr>
        <w:pStyle w:val="ListParagraph"/>
        <w:numPr>
          <w:ilvl w:val="0"/>
          <w:numId w:val="4"/>
        </w:numPr>
        <w:spacing w:before="100" w:beforeAutospacing="1" w:after="120"/>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A </w:t>
      </w:r>
      <w:r w:rsidR="00BD456A">
        <w:rPr>
          <w:rFonts w:ascii="Times New Roman" w:eastAsia="Times New Roman" w:hAnsi="Times New Roman"/>
          <w:sz w:val="24"/>
          <w:szCs w:val="24"/>
          <w:lang w:val="en-GB"/>
        </w:rPr>
        <w:t xml:space="preserve">proposal for a </w:t>
      </w:r>
      <w:r>
        <w:rPr>
          <w:rFonts w:ascii="Times New Roman" w:eastAsia="Times New Roman" w:hAnsi="Times New Roman"/>
          <w:sz w:val="24"/>
          <w:szCs w:val="24"/>
          <w:lang w:val="en-GB"/>
        </w:rPr>
        <w:t>Regulation</w:t>
      </w:r>
      <w:r w:rsidR="00327A45">
        <w:rPr>
          <w:rStyle w:val="EndnoteReference"/>
          <w:rFonts w:ascii="Times New Roman" w:eastAsia="Times New Roman" w:hAnsi="Times New Roman"/>
          <w:sz w:val="24"/>
          <w:szCs w:val="24"/>
          <w:lang w:val="en-GB"/>
        </w:rPr>
        <w:endnoteReference w:id="6"/>
      </w:r>
      <w:r w:rsidR="0017040C">
        <w:rPr>
          <w:rFonts w:ascii="Times New Roman" w:eastAsia="Times New Roman" w:hAnsi="Times New Roman"/>
          <w:sz w:val="24"/>
          <w:szCs w:val="24"/>
          <w:lang w:val="en-GB"/>
        </w:rPr>
        <w:t xml:space="preserve"> </w:t>
      </w:r>
      <w:r>
        <w:rPr>
          <w:rFonts w:ascii="Times New Roman" w:eastAsia="Times New Roman" w:hAnsi="Times New Roman"/>
          <w:sz w:val="24"/>
          <w:szCs w:val="24"/>
          <w:lang w:val="en-GB"/>
        </w:rPr>
        <w:t xml:space="preserve">to ensure </w:t>
      </w:r>
      <w:r w:rsidR="00625DBA">
        <w:rPr>
          <w:rFonts w:ascii="Times New Roman" w:eastAsia="Times New Roman" w:hAnsi="Times New Roman"/>
          <w:sz w:val="24"/>
          <w:szCs w:val="24"/>
          <w:lang w:val="en-GB"/>
        </w:rPr>
        <w:t>temporarily</w:t>
      </w:r>
      <w:r w:rsidR="00CF5D6D">
        <w:rPr>
          <w:rFonts w:ascii="Times New Roman" w:eastAsia="Times New Roman" w:hAnsi="Times New Roman"/>
          <w:sz w:val="24"/>
          <w:szCs w:val="24"/>
          <w:lang w:val="en-GB"/>
        </w:rPr>
        <w:t>, for 12 months,</w:t>
      </w:r>
      <w:r w:rsidR="00625DBA">
        <w:rPr>
          <w:rFonts w:ascii="Times New Roman" w:eastAsia="Times New Roman" w:hAnsi="Times New Roman"/>
          <w:sz w:val="24"/>
          <w:szCs w:val="24"/>
          <w:lang w:val="en-GB"/>
        </w:rPr>
        <w:t xml:space="preserve"> </w:t>
      </w:r>
      <w:r>
        <w:rPr>
          <w:rFonts w:ascii="Times New Roman" w:eastAsia="Times New Roman" w:hAnsi="Times New Roman"/>
          <w:sz w:val="24"/>
          <w:szCs w:val="24"/>
          <w:lang w:val="en-GB"/>
        </w:rPr>
        <w:t xml:space="preserve">the </w:t>
      </w:r>
      <w:r w:rsidRPr="00350CD3">
        <w:rPr>
          <w:rFonts w:ascii="Times New Roman" w:eastAsia="Times New Roman" w:hAnsi="Times New Roman"/>
          <w:b/>
          <w:sz w:val="24"/>
          <w:szCs w:val="24"/>
          <w:lang w:val="en-GB"/>
        </w:rPr>
        <w:t xml:space="preserve">provision of </w:t>
      </w:r>
      <w:r w:rsidR="00FE4D53">
        <w:rPr>
          <w:rFonts w:ascii="Times New Roman" w:eastAsia="Times New Roman" w:hAnsi="Times New Roman"/>
          <w:b/>
          <w:sz w:val="24"/>
          <w:szCs w:val="24"/>
          <w:lang w:val="en-GB"/>
        </w:rPr>
        <w:t xml:space="preserve">certain </w:t>
      </w:r>
      <w:r w:rsidRPr="00350CD3">
        <w:rPr>
          <w:rFonts w:ascii="Times New Roman" w:eastAsia="Times New Roman" w:hAnsi="Times New Roman"/>
          <w:b/>
          <w:sz w:val="24"/>
          <w:szCs w:val="24"/>
          <w:lang w:val="en-GB"/>
        </w:rPr>
        <w:t xml:space="preserve">air services between the United Kingdom and the </w:t>
      </w:r>
      <w:r w:rsidR="00350CD3">
        <w:rPr>
          <w:rFonts w:ascii="Times New Roman" w:eastAsia="Times New Roman" w:hAnsi="Times New Roman"/>
          <w:b/>
          <w:sz w:val="24"/>
          <w:szCs w:val="24"/>
          <w:lang w:val="en-GB"/>
        </w:rPr>
        <w:t xml:space="preserve">EU27 </w:t>
      </w:r>
      <w:r w:rsidRPr="00350CD3">
        <w:rPr>
          <w:rFonts w:ascii="Times New Roman" w:eastAsia="Times New Roman" w:hAnsi="Times New Roman"/>
          <w:b/>
          <w:sz w:val="24"/>
          <w:szCs w:val="24"/>
          <w:lang w:val="en-GB"/>
        </w:rPr>
        <w:t>Member States</w:t>
      </w:r>
      <w:r w:rsidR="004B6491">
        <w:rPr>
          <w:rFonts w:ascii="Times New Roman" w:eastAsia="Times New Roman" w:hAnsi="Times New Roman"/>
          <w:sz w:val="24"/>
          <w:szCs w:val="24"/>
          <w:lang w:val="en-GB"/>
        </w:rPr>
        <w:t>,</w:t>
      </w:r>
      <w:r>
        <w:rPr>
          <w:rFonts w:ascii="Times New Roman" w:eastAsia="Times New Roman" w:hAnsi="Times New Roman"/>
          <w:sz w:val="24"/>
          <w:szCs w:val="24"/>
          <w:lang w:val="en-GB"/>
        </w:rPr>
        <w:t xml:space="preserve"> allow</w:t>
      </w:r>
      <w:r w:rsidR="004B6491">
        <w:rPr>
          <w:rFonts w:ascii="Times New Roman" w:eastAsia="Times New Roman" w:hAnsi="Times New Roman"/>
          <w:sz w:val="24"/>
          <w:szCs w:val="24"/>
          <w:lang w:val="en-GB"/>
        </w:rPr>
        <w:t>ing</w:t>
      </w:r>
      <w:r w:rsidR="00C95C66" w:rsidRPr="009730DB">
        <w:rPr>
          <w:rFonts w:ascii="Times New Roman" w:eastAsia="Times New Roman" w:hAnsi="Times New Roman"/>
          <w:sz w:val="24"/>
          <w:szCs w:val="24"/>
          <w:lang w:val="en-GB"/>
        </w:rPr>
        <w:t xml:space="preserve"> air carriers from the United Kingd</w:t>
      </w:r>
      <w:r>
        <w:rPr>
          <w:rFonts w:ascii="Times New Roman" w:eastAsia="Times New Roman" w:hAnsi="Times New Roman"/>
          <w:sz w:val="24"/>
          <w:szCs w:val="24"/>
          <w:lang w:val="en-GB"/>
        </w:rPr>
        <w:t>om to fly across</w:t>
      </w:r>
      <w:r w:rsidR="00C95C66" w:rsidRPr="009730DB">
        <w:rPr>
          <w:rFonts w:ascii="Times New Roman" w:eastAsia="Times New Roman" w:hAnsi="Times New Roman"/>
          <w:sz w:val="24"/>
          <w:szCs w:val="24"/>
          <w:lang w:val="en-GB"/>
        </w:rPr>
        <w:t xml:space="preserve"> the territory of the Union</w:t>
      </w:r>
      <w:r>
        <w:rPr>
          <w:rFonts w:ascii="Times New Roman" w:eastAsia="Times New Roman" w:hAnsi="Times New Roman"/>
          <w:sz w:val="24"/>
          <w:szCs w:val="24"/>
          <w:lang w:val="en-GB"/>
        </w:rPr>
        <w:t xml:space="preserve"> without landing</w:t>
      </w:r>
      <w:r w:rsidR="00C95C66" w:rsidRPr="009730DB">
        <w:rPr>
          <w:rFonts w:ascii="Times New Roman" w:eastAsia="Times New Roman" w:hAnsi="Times New Roman"/>
          <w:sz w:val="24"/>
          <w:szCs w:val="24"/>
          <w:lang w:val="en-GB"/>
        </w:rPr>
        <w:t xml:space="preserve">, make </w:t>
      </w:r>
      <w:r w:rsidR="00487532">
        <w:rPr>
          <w:rFonts w:ascii="Times New Roman" w:eastAsia="Times New Roman" w:hAnsi="Times New Roman"/>
          <w:sz w:val="24"/>
          <w:szCs w:val="24"/>
          <w:lang w:val="en-GB"/>
        </w:rPr>
        <w:t>stops in the territory of the Union for non-traffic purposes, and perform scheduled and non-scheduled international passenger and cargo air transport services</w:t>
      </w:r>
      <w:r w:rsidR="002102FD">
        <w:rPr>
          <w:rFonts w:ascii="Times New Roman" w:eastAsia="Times New Roman" w:hAnsi="Times New Roman"/>
          <w:sz w:val="24"/>
          <w:szCs w:val="24"/>
          <w:lang w:val="en-GB"/>
        </w:rPr>
        <w:t>. T</w:t>
      </w:r>
      <w:r w:rsidR="002102FD" w:rsidRPr="002102FD">
        <w:rPr>
          <w:rFonts w:ascii="Times New Roman" w:eastAsia="Times New Roman" w:hAnsi="Times New Roman"/>
          <w:sz w:val="24"/>
          <w:szCs w:val="24"/>
          <w:lang w:val="en-GB"/>
        </w:rPr>
        <w:t xml:space="preserve">his is subject to the United Kingdom conferring equivalent rights to air </w:t>
      </w:r>
      <w:r w:rsidR="002102FD" w:rsidRPr="002102FD">
        <w:rPr>
          <w:rFonts w:ascii="Times New Roman" w:eastAsia="Times New Roman" w:hAnsi="Times New Roman"/>
          <w:sz w:val="24"/>
          <w:szCs w:val="24"/>
          <w:lang w:val="en-GB"/>
        </w:rPr>
        <w:lastRenderedPageBreak/>
        <w:t>carriers from the Union, as well as to the United Kingdom ensuring conditions of fair competition</w:t>
      </w:r>
      <w:r w:rsidR="00C95C66" w:rsidRPr="009730DB">
        <w:rPr>
          <w:rFonts w:ascii="Times New Roman" w:eastAsia="Times New Roman" w:hAnsi="Times New Roman"/>
          <w:sz w:val="24"/>
          <w:szCs w:val="24"/>
          <w:lang w:val="en-GB"/>
        </w:rPr>
        <w:t xml:space="preserve">. </w:t>
      </w:r>
    </w:p>
    <w:p w:rsidR="00BD456A" w:rsidRDefault="0017040C" w:rsidP="00BD456A">
      <w:pPr>
        <w:pStyle w:val="ListParagraph"/>
        <w:numPr>
          <w:ilvl w:val="0"/>
          <w:numId w:val="4"/>
        </w:numPr>
        <w:spacing w:before="100" w:beforeAutospacing="1" w:after="120"/>
        <w:ind w:left="714" w:hanging="357"/>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A </w:t>
      </w:r>
      <w:r w:rsidR="00BD456A">
        <w:rPr>
          <w:rFonts w:ascii="Times New Roman" w:eastAsia="Times New Roman" w:hAnsi="Times New Roman"/>
          <w:sz w:val="24"/>
          <w:szCs w:val="24"/>
          <w:lang w:val="en-GB"/>
        </w:rPr>
        <w:t xml:space="preserve">proposal for a </w:t>
      </w:r>
      <w:r>
        <w:rPr>
          <w:rFonts w:ascii="Times New Roman" w:eastAsia="Times New Roman" w:hAnsi="Times New Roman"/>
          <w:sz w:val="24"/>
          <w:szCs w:val="24"/>
          <w:lang w:val="en-GB"/>
        </w:rPr>
        <w:t>Regulation</w:t>
      </w:r>
      <w:r w:rsidR="00742DF9">
        <w:rPr>
          <w:rStyle w:val="EndnoteReference"/>
          <w:rFonts w:ascii="Times New Roman" w:eastAsia="Times New Roman" w:hAnsi="Times New Roman"/>
          <w:sz w:val="24"/>
          <w:szCs w:val="24"/>
          <w:lang w:val="en-GB"/>
        </w:rPr>
        <w:endnoteReference w:id="7"/>
      </w:r>
      <w:r>
        <w:rPr>
          <w:rFonts w:ascii="Times New Roman" w:eastAsia="Times New Roman" w:hAnsi="Times New Roman"/>
          <w:sz w:val="24"/>
          <w:szCs w:val="24"/>
          <w:lang w:val="en-GB"/>
        </w:rPr>
        <w:t xml:space="preserve"> r</w:t>
      </w:r>
      <w:r w:rsidR="00630CE0" w:rsidRPr="009021D4">
        <w:rPr>
          <w:rFonts w:ascii="Times New Roman" w:eastAsia="Times New Roman" w:hAnsi="Times New Roman"/>
          <w:sz w:val="24"/>
          <w:szCs w:val="24"/>
          <w:lang w:val="en-GB"/>
        </w:rPr>
        <w:t xml:space="preserve">egarding </w:t>
      </w:r>
      <w:r w:rsidR="00630CE0" w:rsidRPr="00056430">
        <w:rPr>
          <w:rFonts w:ascii="Times New Roman" w:eastAsia="Times New Roman" w:hAnsi="Times New Roman"/>
          <w:b/>
          <w:sz w:val="24"/>
          <w:szCs w:val="24"/>
          <w:lang w:val="en-GB"/>
        </w:rPr>
        <w:t>aviation safety</w:t>
      </w:r>
      <w:r w:rsidR="002A2D8E">
        <w:rPr>
          <w:rFonts w:ascii="Times New Roman" w:eastAsia="Times New Roman" w:hAnsi="Times New Roman"/>
          <w:b/>
          <w:sz w:val="24"/>
          <w:szCs w:val="24"/>
          <w:lang w:val="en-GB"/>
        </w:rPr>
        <w:t xml:space="preserve"> </w:t>
      </w:r>
      <w:r w:rsidR="002A2D8E">
        <w:rPr>
          <w:rFonts w:ascii="Times New Roman" w:eastAsia="Times New Roman" w:hAnsi="Times New Roman"/>
          <w:sz w:val="24"/>
          <w:szCs w:val="24"/>
          <w:lang w:val="en-GB"/>
        </w:rPr>
        <w:t xml:space="preserve">to </w:t>
      </w:r>
      <w:r w:rsidR="006232DE">
        <w:rPr>
          <w:rFonts w:ascii="Times New Roman" w:eastAsia="Times New Roman" w:hAnsi="Times New Roman"/>
          <w:sz w:val="24"/>
          <w:szCs w:val="24"/>
          <w:lang w:val="en-GB"/>
        </w:rPr>
        <w:t>extend temporarily</w:t>
      </w:r>
      <w:r w:rsidR="00CF5D6D">
        <w:rPr>
          <w:rFonts w:ascii="Times New Roman" w:eastAsia="Times New Roman" w:hAnsi="Times New Roman"/>
          <w:sz w:val="24"/>
          <w:szCs w:val="24"/>
          <w:lang w:val="en-GB"/>
        </w:rPr>
        <w:t>, for 9 months,</w:t>
      </w:r>
      <w:r w:rsidR="006232DE">
        <w:rPr>
          <w:rFonts w:ascii="Times New Roman" w:eastAsia="Times New Roman" w:hAnsi="Times New Roman"/>
          <w:sz w:val="24"/>
          <w:szCs w:val="24"/>
          <w:lang w:val="en-GB"/>
        </w:rPr>
        <w:t xml:space="preserve"> the validity of certain existing licences, to </w:t>
      </w:r>
      <w:r w:rsidR="00487532">
        <w:rPr>
          <w:rFonts w:ascii="Times New Roman" w:eastAsia="Times New Roman" w:hAnsi="Times New Roman"/>
          <w:sz w:val="24"/>
          <w:szCs w:val="24"/>
          <w:lang w:val="en-GB"/>
        </w:rPr>
        <w:t xml:space="preserve">address the </w:t>
      </w:r>
      <w:r w:rsidR="006232DE">
        <w:rPr>
          <w:rFonts w:ascii="Times New Roman" w:eastAsia="Times New Roman" w:hAnsi="Times New Roman"/>
          <w:sz w:val="24"/>
          <w:szCs w:val="24"/>
          <w:lang w:val="en-GB"/>
        </w:rPr>
        <w:t>s</w:t>
      </w:r>
      <w:r w:rsidR="00487532">
        <w:rPr>
          <w:rFonts w:ascii="Times New Roman" w:eastAsia="Times New Roman" w:hAnsi="Times New Roman"/>
          <w:sz w:val="24"/>
          <w:szCs w:val="24"/>
          <w:lang w:val="en-GB"/>
        </w:rPr>
        <w:t>pecific situation in the aviation safety sector</w:t>
      </w:r>
      <w:r w:rsidR="00394CC8">
        <w:rPr>
          <w:rFonts w:ascii="Times New Roman" w:eastAsia="Times New Roman" w:hAnsi="Times New Roman"/>
          <w:sz w:val="24"/>
          <w:szCs w:val="24"/>
          <w:lang w:val="en-GB"/>
        </w:rPr>
        <w:t xml:space="preserve"> where</w:t>
      </w:r>
      <w:r w:rsidR="009E5135">
        <w:rPr>
          <w:rFonts w:ascii="Times New Roman" w:eastAsia="Times New Roman" w:hAnsi="Times New Roman"/>
          <w:sz w:val="24"/>
          <w:szCs w:val="24"/>
          <w:lang w:val="en-GB"/>
        </w:rPr>
        <w:t xml:space="preserve"> </w:t>
      </w:r>
      <w:r w:rsidR="002A2D8E">
        <w:rPr>
          <w:rFonts w:ascii="Times New Roman" w:eastAsia="Times New Roman" w:hAnsi="Times New Roman"/>
          <w:sz w:val="24"/>
          <w:szCs w:val="24"/>
          <w:lang w:val="en-GB"/>
        </w:rPr>
        <w:t xml:space="preserve">the European Union Aviation Safety Agency </w:t>
      </w:r>
      <w:r w:rsidR="009E7713">
        <w:rPr>
          <w:rFonts w:ascii="Times New Roman" w:eastAsia="Times New Roman" w:hAnsi="Times New Roman"/>
          <w:sz w:val="24"/>
          <w:szCs w:val="24"/>
          <w:lang w:val="en-GB"/>
        </w:rPr>
        <w:t xml:space="preserve">(EASA) </w:t>
      </w:r>
      <w:r w:rsidR="00487532">
        <w:rPr>
          <w:rFonts w:ascii="Times New Roman" w:eastAsia="Times New Roman" w:hAnsi="Times New Roman"/>
          <w:sz w:val="24"/>
          <w:szCs w:val="24"/>
          <w:lang w:val="en-GB"/>
        </w:rPr>
        <w:t>can only issue certain certificates on the basis of a licence issued in a third country</w:t>
      </w:r>
      <w:r w:rsidR="00A81050">
        <w:rPr>
          <w:rFonts w:ascii="Times New Roman" w:eastAsia="Times New Roman" w:hAnsi="Times New Roman"/>
          <w:sz w:val="24"/>
          <w:szCs w:val="24"/>
          <w:lang w:val="en-GB"/>
        </w:rPr>
        <w:t>, while t</w:t>
      </w:r>
      <w:r w:rsidR="00487532">
        <w:rPr>
          <w:rFonts w:ascii="Times New Roman" w:eastAsia="Times New Roman" w:hAnsi="Times New Roman"/>
          <w:sz w:val="24"/>
          <w:szCs w:val="24"/>
          <w:lang w:val="en-GB"/>
        </w:rPr>
        <w:t>he United Kingdom</w:t>
      </w:r>
      <w:r w:rsidR="00394CC8">
        <w:rPr>
          <w:rFonts w:ascii="Times New Roman" w:eastAsia="Times New Roman" w:hAnsi="Times New Roman"/>
          <w:sz w:val="24"/>
          <w:szCs w:val="24"/>
          <w:lang w:val="en-GB"/>
        </w:rPr>
        <w:t xml:space="preserve"> can only </w:t>
      </w:r>
      <w:r w:rsidR="00A81050">
        <w:rPr>
          <w:rFonts w:ascii="Times New Roman" w:eastAsia="Times New Roman" w:hAnsi="Times New Roman"/>
          <w:sz w:val="24"/>
          <w:szCs w:val="24"/>
          <w:lang w:val="en-GB"/>
        </w:rPr>
        <w:t xml:space="preserve">issue licences as of </w:t>
      </w:r>
      <w:r w:rsidR="00394CC8">
        <w:rPr>
          <w:rFonts w:ascii="Times New Roman" w:eastAsia="Times New Roman" w:hAnsi="Times New Roman"/>
          <w:sz w:val="24"/>
          <w:szCs w:val="24"/>
          <w:lang w:val="en-GB"/>
        </w:rPr>
        <w:t>the withdrawal date</w:t>
      </w:r>
      <w:r w:rsidR="00A81050">
        <w:rPr>
          <w:rFonts w:ascii="Times New Roman" w:eastAsia="Times New Roman" w:hAnsi="Times New Roman"/>
          <w:sz w:val="24"/>
          <w:szCs w:val="24"/>
          <w:lang w:val="en-GB"/>
        </w:rPr>
        <w:t>, when it has re-gained the status of "State of design".</w:t>
      </w:r>
    </w:p>
    <w:p w:rsidR="0005018C" w:rsidRDefault="00BD456A" w:rsidP="00BD456A">
      <w:pPr>
        <w:spacing w:before="100" w:beforeAutospacing="1" w:after="240"/>
        <w:jc w:val="both"/>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Only EU level contingency action is necessary and possible to ensure the required </w:t>
      </w:r>
      <w:r w:rsidR="007C0568">
        <w:rPr>
          <w:rFonts w:ascii="Times New Roman" w:eastAsia="Times New Roman" w:hAnsi="Times New Roman"/>
          <w:sz w:val="24"/>
          <w:szCs w:val="24"/>
          <w:lang w:val="en-GB"/>
        </w:rPr>
        <w:t xml:space="preserve">legal framework </w:t>
      </w:r>
      <w:r w:rsidR="003D377A">
        <w:rPr>
          <w:rFonts w:ascii="Times New Roman" w:eastAsia="Times New Roman" w:hAnsi="Times New Roman"/>
          <w:sz w:val="24"/>
          <w:szCs w:val="24"/>
          <w:lang w:val="en-GB"/>
        </w:rPr>
        <w:t xml:space="preserve">to avoid the abrupt interruption of activities </w:t>
      </w:r>
      <w:r>
        <w:rPr>
          <w:rFonts w:ascii="Times New Roman" w:eastAsia="Times New Roman" w:hAnsi="Times New Roman"/>
          <w:sz w:val="24"/>
          <w:szCs w:val="24"/>
          <w:lang w:val="en-GB"/>
        </w:rPr>
        <w:t>in the area of air transport</w:t>
      </w:r>
      <w:r w:rsidR="007C0568">
        <w:rPr>
          <w:rStyle w:val="FootnoteReference"/>
          <w:rFonts w:ascii="Times New Roman" w:eastAsia="Times New Roman" w:hAnsi="Times New Roman"/>
          <w:lang w:val="en-GB"/>
        </w:rPr>
        <w:footnoteReference w:id="19"/>
      </w:r>
      <w:r w:rsidR="00742DF9">
        <w:rPr>
          <w:rFonts w:ascii="Times New Roman" w:eastAsia="Times New Roman" w:hAnsi="Times New Roman"/>
          <w:sz w:val="24"/>
          <w:szCs w:val="24"/>
          <w:lang w:val="en-GB"/>
        </w:rPr>
        <w:t>.</w:t>
      </w:r>
      <w:r>
        <w:rPr>
          <w:rFonts w:ascii="Times New Roman" w:eastAsia="Times New Roman" w:hAnsi="Times New Roman"/>
          <w:sz w:val="24"/>
          <w:szCs w:val="24"/>
          <w:lang w:val="en-GB"/>
        </w:rPr>
        <w:t xml:space="preserve"> </w:t>
      </w:r>
      <w:r w:rsidR="00394CC8">
        <w:rPr>
          <w:rFonts w:ascii="Times New Roman" w:eastAsia="Times New Roman" w:hAnsi="Times New Roman"/>
          <w:sz w:val="24"/>
          <w:szCs w:val="24"/>
          <w:lang w:val="en-GB"/>
        </w:rPr>
        <w:t>Additional national measures are not necessary.</w:t>
      </w:r>
    </w:p>
    <w:p w:rsidR="00630CE0" w:rsidRPr="00BB0BA8" w:rsidRDefault="00630CE0" w:rsidP="00615329">
      <w:pPr>
        <w:keepNext/>
        <w:spacing w:before="360" w:after="240"/>
        <w:rPr>
          <w:rFonts w:ascii="Times New Roman" w:hAnsi="Times New Roman"/>
          <w:b/>
          <w:i/>
          <w:sz w:val="24"/>
          <w:szCs w:val="24"/>
          <w:lang w:val="en-GB"/>
        </w:rPr>
      </w:pPr>
      <w:r w:rsidRPr="006B5C5E">
        <w:rPr>
          <w:rFonts w:ascii="Times New Roman" w:hAnsi="Times New Roman"/>
          <w:b/>
          <w:i/>
          <w:sz w:val="24"/>
          <w:szCs w:val="24"/>
          <w:lang w:val="en-GB"/>
        </w:rPr>
        <w:t xml:space="preserve">Road </w:t>
      </w:r>
      <w:r w:rsidR="00742DF9" w:rsidRPr="006B5C5E">
        <w:rPr>
          <w:rFonts w:ascii="Times New Roman" w:hAnsi="Times New Roman"/>
          <w:b/>
          <w:i/>
          <w:sz w:val="24"/>
          <w:szCs w:val="24"/>
          <w:lang w:val="en-GB"/>
        </w:rPr>
        <w:t>haulage</w:t>
      </w:r>
    </w:p>
    <w:p w:rsidR="007C0568" w:rsidRPr="006B5C5E" w:rsidRDefault="00BC2C7B" w:rsidP="00BC2C7B">
      <w:pPr>
        <w:spacing w:before="240" w:after="240"/>
        <w:jc w:val="both"/>
        <w:rPr>
          <w:rFonts w:ascii="Times New Roman" w:hAnsi="Times New Roman"/>
          <w:sz w:val="24"/>
          <w:szCs w:val="24"/>
          <w:lang w:val="en-GB"/>
        </w:rPr>
      </w:pPr>
      <w:r w:rsidRPr="00BB0BA8">
        <w:rPr>
          <w:rFonts w:ascii="Times New Roman" w:eastAsia="Times New Roman" w:hAnsi="Times New Roman"/>
          <w:sz w:val="24"/>
          <w:szCs w:val="24"/>
          <w:lang w:val="en-GB"/>
        </w:rPr>
        <w:t>If the Withdrawal Agreement is not ratified, road haulage between the EU and the United Kingdom will be severely restricted and limited to an international system of limited quota</w:t>
      </w:r>
      <w:r w:rsidR="00C40050">
        <w:rPr>
          <w:rFonts w:ascii="Times New Roman" w:eastAsia="Times New Roman" w:hAnsi="Times New Roman"/>
          <w:sz w:val="24"/>
          <w:szCs w:val="24"/>
          <w:lang w:val="en-GB"/>
        </w:rPr>
        <w:t>s</w:t>
      </w:r>
      <w:r w:rsidRPr="00BB0BA8">
        <w:rPr>
          <w:rFonts w:ascii="Times New Roman" w:eastAsia="Times New Roman" w:hAnsi="Times New Roman"/>
          <w:sz w:val="24"/>
          <w:szCs w:val="24"/>
          <w:lang w:val="en-GB"/>
        </w:rPr>
        <w:t>.</w:t>
      </w:r>
      <w:r w:rsidRPr="00894A56">
        <w:rPr>
          <w:rFonts w:ascii="Times New Roman" w:eastAsia="Times New Roman" w:hAnsi="Times New Roman"/>
          <w:sz w:val="24"/>
          <w:szCs w:val="24"/>
          <w:lang w:val="en-GB"/>
        </w:rPr>
        <w:t xml:space="preserve"> </w:t>
      </w:r>
      <w:r w:rsidRPr="006B5C5E">
        <w:rPr>
          <w:rFonts w:ascii="Times New Roman" w:hAnsi="Times New Roman"/>
          <w:sz w:val="24"/>
          <w:szCs w:val="24"/>
          <w:lang w:val="en-GB"/>
        </w:rPr>
        <w:t>T</w:t>
      </w:r>
      <w:r w:rsidR="007C0568" w:rsidRPr="006B5C5E">
        <w:rPr>
          <w:rFonts w:ascii="Times New Roman" w:hAnsi="Times New Roman"/>
          <w:sz w:val="24"/>
          <w:szCs w:val="24"/>
          <w:lang w:val="en-GB"/>
        </w:rPr>
        <w:t xml:space="preserve">he Commission has today adopted </w:t>
      </w:r>
      <w:r w:rsidR="004E675E" w:rsidRPr="006B5C5E">
        <w:rPr>
          <w:rFonts w:ascii="Times New Roman" w:hAnsi="Times New Roman"/>
          <w:sz w:val="24"/>
          <w:szCs w:val="24"/>
          <w:lang w:val="en-GB"/>
        </w:rPr>
        <w:t>a</w:t>
      </w:r>
      <w:r w:rsidR="009E5135" w:rsidRPr="006B5C5E">
        <w:rPr>
          <w:rFonts w:ascii="Times New Roman" w:hAnsi="Times New Roman"/>
          <w:sz w:val="24"/>
          <w:szCs w:val="24"/>
          <w:lang w:val="en-GB"/>
        </w:rPr>
        <w:t xml:space="preserve"> measure</w:t>
      </w:r>
      <w:r w:rsidR="00625DBA" w:rsidRPr="006B5C5E">
        <w:rPr>
          <w:rFonts w:ascii="Times New Roman" w:hAnsi="Times New Roman"/>
          <w:sz w:val="24"/>
          <w:szCs w:val="24"/>
          <w:lang w:val="en-GB"/>
        </w:rPr>
        <w:t xml:space="preserve"> to ensure basic connectivity</w:t>
      </w:r>
      <w:r w:rsidR="004E675E" w:rsidRPr="006B5C5E">
        <w:rPr>
          <w:rFonts w:ascii="Times New Roman" w:hAnsi="Times New Roman"/>
          <w:sz w:val="24"/>
          <w:szCs w:val="24"/>
          <w:lang w:val="en-GB"/>
        </w:rPr>
        <w:t>. This</w:t>
      </w:r>
      <w:r w:rsidR="007F4E3C" w:rsidRPr="006B5C5E">
        <w:rPr>
          <w:rFonts w:ascii="Times New Roman" w:hAnsi="Times New Roman"/>
          <w:sz w:val="24"/>
          <w:szCs w:val="24"/>
          <w:lang w:val="en-GB"/>
        </w:rPr>
        <w:t xml:space="preserve"> will allow operators from the United Kingdom </w:t>
      </w:r>
      <w:r w:rsidR="004E675E" w:rsidRPr="006B5C5E">
        <w:rPr>
          <w:rFonts w:ascii="Times New Roman" w:hAnsi="Times New Roman"/>
          <w:sz w:val="24"/>
          <w:szCs w:val="24"/>
          <w:lang w:val="en-GB"/>
        </w:rPr>
        <w:t xml:space="preserve">temporarily </w:t>
      </w:r>
      <w:r w:rsidR="007F4E3C" w:rsidRPr="006B5C5E">
        <w:rPr>
          <w:rFonts w:ascii="Times New Roman" w:hAnsi="Times New Roman"/>
          <w:sz w:val="24"/>
          <w:szCs w:val="24"/>
          <w:lang w:val="en-GB"/>
        </w:rPr>
        <w:t>to carry goods into the Union, provided the United Kingdom confer</w:t>
      </w:r>
      <w:r w:rsidR="007C5F74" w:rsidRPr="006B5C5E">
        <w:rPr>
          <w:rFonts w:ascii="Times New Roman" w:hAnsi="Times New Roman"/>
          <w:sz w:val="24"/>
          <w:szCs w:val="24"/>
          <w:lang w:val="en-GB"/>
        </w:rPr>
        <w:t>s</w:t>
      </w:r>
      <w:r w:rsidR="007F4E3C" w:rsidRPr="006B5C5E">
        <w:rPr>
          <w:rFonts w:ascii="Times New Roman" w:hAnsi="Times New Roman"/>
          <w:sz w:val="24"/>
          <w:szCs w:val="24"/>
          <w:lang w:val="en-GB"/>
        </w:rPr>
        <w:t xml:space="preserve"> equivalent rights to Union road haulage operators and subject to conditions ensuring fair competition</w:t>
      </w:r>
      <w:r w:rsidR="004A0583" w:rsidRPr="006B5C5E">
        <w:rPr>
          <w:rFonts w:ascii="Times New Roman" w:hAnsi="Times New Roman"/>
          <w:sz w:val="24"/>
          <w:szCs w:val="24"/>
          <w:lang w:val="en-GB"/>
        </w:rPr>
        <w:t xml:space="preserve">: </w:t>
      </w:r>
    </w:p>
    <w:p w:rsidR="00436509" w:rsidRPr="00BB0BA8" w:rsidRDefault="007C0568" w:rsidP="004A0583">
      <w:pPr>
        <w:pStyle w:val="ListParagraph"/>
        <w:numPr>
          <w:ilvl w:val="0"/>
          <w:numId w:val="43"/>
        </w:numPr>
        <w:spacing w:before="240" w:after="240"/>
        <w:jc w:val="both"/>
        <w:rPr>
          <w:rFonts w:ascii="Times New Roman" w:eastAsia="Times New Roman" w:hAnsi="Times New Roman"/>
          <w:sz w:val="24"/>
          <w:szCs w:val="24"/>
          <w:lang w:val="en-GB"/>
        </w:rPr>
      </w:pPr>
      <w:r w:rsidRPr="006B5C5E">
        <w:rPr>
          <w:rFonts w:ascii="Times New Roman" w:hAnsi="Times New Roman"/>
          <w:sz w:val="24"/>
          <w:szCs w:val="24"/>
          <w:lang w:val="en-GB"/>
        </w:rPr>
        <w:t>A proposal for a Regulation</w:t>
      </w:r>
      <w:r w:rsidR="00742DF9" w:rsidRPr="006B5C5E">
        <w:rPr>
          <w:rStyle w:val="EndnoteReference"/>
          <w:rFonts w:ascii="Times New Roman" w:hAnsi="Times New Roman"/>
          <w:sz w:val="24"/>
          <w:szCs w:val="24"/>
          <w:lang w:val="en-GB"/>
        </w:rPr>
        <w:endnoteReference w:id="8"/>
      </w:r>
      <w:r w:rsidRPr="006B5C5E">
        <w:rPr>
          <w:rFonts w:ascii="Times New Roman" w:hAnsi="Times New Roman"/>
          <w:sz w:val="24"/>
          <w:szCs w:val="24"/>
          <w:lang w:val="en-GB"/>
        </w:rPr>
        <w:t xml:space="preserve"> </w:t>
      </w:r>
      <w:r w:rsidR="00742DF9" w:rsidRPr="006B5C5E">
        <w:rPr>
          <w:rFonts w:ascii="Times New Roman" w:hAnsi="Times New Roman"/>
          <w:sz w:val="24"/>
          <w:szCs w:val="24"/>
          <w:lang w:val="en-GB"/>
        </w:rPr>
        <w:t xml:space="preserve">to </w:t>
      </w:r>
      <w:r w:rsidR="0092626A" w:rsidRPr="006B5C5E">
        <w:rPr>
          <w:rFonts w:ascii="Times New Roman" w:hAnsi="Times New Roman"/>
          <w:sz w:val="24"/>
          <w:szCs w:val="24"/>
          <w:lang w:val="en-GB"/>
        </w:rPr>
        <w:t xml:space="preserve">allow </w:t>
      </w:r>
      <w:r w:rsidR="00625DBA" w:rsidRPr="006B5C5E">
        <w:rPr>
          <w:rFonts w:ascii="Times New Roman" w:hAnsi="Times New Roman"/>
          <w:sz w:val="24"/>
          <w:szCs w:val="24"/>
          <w:lang w:val="en-GB"/>
        </w:rPr>
        <w:t>temporarily</w:t>
      </w:r>
      <w:r w:rsidR="00CF5D6D">
        <w:rPr>
          <w:rFonts w:ascii="Times New Roman" w:hAnsi="Times New Roman"/>
          <w:sz w:val="24"/>
          <w:szCs w:val="24"/>
          <w:lang w:val="en-GB"/>
        </w:rPr>
        <w:t>, for 9 months,</w:t>
      </w:r>
      <w:r w:rsidR="00625DBA" w:rsidRPr="006B5C5E">
        <w:rPr>
          <w:rFonts w:ascii="Times New Roman" w:hAnsi="Times New Roman"/>
          <w:sz w:val="24"/>
          <w:szCs w:val="24"/>
          <w:lang w:val="en-GB"/>
        </w:rPr>
        <w:t xml:space="preserve"> </w:t>
      </w:r>
      <w:r w:rsidR="0092626A" w:rsidRPr="006B5C5E">
        <w:rPr>
          <w:rFonts w:ascii="Times New Roman" w:hAnsi="Times New Roman"/>
          <w:sz w:val="24"/>
          <w:szCs w:val="24"/>
          <w:lang w:val="en-GB"/>
        </w:rPr>
        <w:t xml:space="preserve">access for road haulage operators licenced in the United Kingdom to </w:t>
      </w:r>
      <w:r w:rsidR="00094A7E" w:rsidRPr="006B5C5E">
        <w:rPr>
          <w:rFonts w:ascii="Times New Roman" w:hAnsi="Times New Roman"/>
          <w:sz w:val="24"/>
          <w:szCs w:val="24"/>
          <w:lang w:val="en-GB"/>
        </w:rPr>
        <w:t xml:space="preserve">the </w:t>
      </w:r>
      <w:r w:rsidR="0092626A" w:rsidRPr="006B5C5E">
        <w:rPr>
          <w:rFonts w:ascii="Times New Roman" w:hAnsi="Times New Roman"/>
          <w:sz w:val="24"/>
          <w:szCs w:val="24"/>
          <w:lang w:val="en-GB"/>
        </w:rPr>
        <w:t xml:space="preserve">carriage of goods by road between the territory </w:t>
      </w:r>
      <w:r w:rsidR="00F3010D" w:rsidRPr="006B5C5E">
        <w:rPr>
          <w:rFonts w:ascii="Times New Roman" w:hAnsi="Times New Roman"/>
          <w:sz w:val="24"/>
          <w:szCs w:val="24"/>
          <w:lang w:val="en-GB"/>
        </w:rPr>
        <w:t>of the latter and the EU27 Membe</w:t>
      </w:r>
      <w:r w:rsidR="0092626A" w:rsidRPr="006B5C5E">
        <w:rPr>
          <w:rFonts w:ascii="Times New Roman" w:hAnsi="Times New Roman"/>
          <w:sz w:val="24"/>
          <w:szCs w:val="24"/>
          <w:lang w:val="en-GB"/>
        </w:rPr>
        <w:t>r States.</w:t>
      </w:r>
      <w:r w:rsidR="0092626A" w:rsidRPr="00BB0BA8">
        <w:rPr>
          <w:rFonts w:ascii="Times New Roman" w:hAnsi="Times New Roman"/>
          <w:sz w:val="24"/>
          <w:szCs w:val="24"/>
          <w:lang w:val="en-GB"/>
        </w:rPr>
        <w:t xml:space="preserve"> </w:t>
      </w:r>
    </w:p>
    <w:p w:rsidR="00F3010D" w:rsidRPr="00F3010D" w:rsidRDefault="00F3010D" w:rsidP="00F3010D">
      <w:pPr>
        <w:spacing w:before="240" w:after="240"/>
        <w:jc w:val="both"/>
        <w:rPr>
          <w:rFonts w:ascii="Times New Roman" w:eastAsia="Times New Roman" w:hAnsi="Times New Roman"/>
          <w:sz w:val="24"/>
          <w:szCs w:val="24"/>
          <w:lang w:val="en-GB"/>
        </w:rPr>
      </w:pPr>
      <w:r w:rsidRPr="006B5C5E">
        <w:rPr>
          <w:rFonts w:ascii="Times New Roman" w:eastAsia="Times New Roman" w:hAnsi="Times New Roman"/>
          <w:sz w:val="24"/>
          <w:szCs w:val="24"/>
          <w:lang w:val="en-GB"/>
        </w:rPr>
        <w:t xml:space="preserve">EU level contingency action is necessary to ensure </w:t>
      </w:r>
      <w:r w:rsidR="004E675E" w:rsidRPr="006B5C5E">
        <w:rPr>
          <w:rFonts w:ascii="Times New Roman" w:eastAsia="Times New Roman" w:hAnsi="Times New Roman"/>
          <w:sz w:val="24"/>
          <w:szCs w:val="24"/>
          <w:lang w:val="en-GB"/>
        </w:rPr>
        <w:t xml:space="preserve">an appropriate legal </w:t>
      </w:r>
      <w:r w:rsidRPr="006B5C5E">
        <w:rPr>
          <w:rFonts w:ascii="Times New Roman" w:eastAsia="Times New Roman" w:hAnsi="Times New Roman"/>
          <w:sz w:val="24"/>
          <w:szCs w:val="24"/>
          <w:lang w:val="en-GB"/>
        </w:rPr>
        <w:t xml:space="preserve">framework in the area of road haulage. </w:t>
      </w:r>
      <w:r w:rsidR="004E675E" w:rsidRPr="006B5C5E">
        <w:rPr>
          <w:rFonts w:ascii="Times New Roman" w:eastAsia="Times New Roman" w:hAnsi="Times New Roman"/>
          <w:sz w:val="24"/>
          <w:szCs w:val="24"/>
          <w:lang w:val="en-GB"/>
        </w:rPr>
        <w:t>EU law has superseded o</w:t>
      </w:r>
      <w:r w:rsidR="00FD2EAA" w:rsidRPr="006B5C5E">
        <w:rPr>
          <w:rFonts w:ascii="Times New Roman" w:eastAsia="Times New Roman" w:hAnsi="Times New Roman"/>
          <w:sz w:val="24"/>
          <w:szCs w:val="24"/>
          <w:lang w:val="en-GB"/>
        </w:rPr>
        <w:t xml:space="preserve">ld bilateral agreements on road haulage rights and </w:t>
      </w:r>
      <w:r w:rsidR="004E675E" w:rsidRPr="006B5C5E">
        <w:rPr>
          <w:rFonts w:ascii="Times New Roman" w:eastAsia="Times New Roman" w:hAnsi="Times New Roman"/>
          <w:sz w:val="24"/>
          <w:szCs w:val="24"/>
          <w:lang w:val="en-GB"/>
        </w:rPr>
        <w:t xml:space="preserve">they </w:t>
      </w:r>
      <w:r w:rsidR="00300B13" w:rsidRPr="006B5C5E">
        <w:rPr>
          <w:rFonts w:ascii="Times New Roman" w:eastAsia="Times New Roman" w:hAnsi="Times New Roman"/>
          <w:sz w:val="24"/>
          <w:szCs w:val="24"/>
          <w:lang w:val="en-GB"/>
        </w:rPr>
        <w:t>cannot be resurrected</w:t>
      </w:r>
      <w:r w:rsidR="00FD2EAA" w:rsidRPr="006B5C5E">
        <w:rPr>
          <w:rFonts w:ascii="Times New Roman" w:eastAsia="Times New Roman" w:hAnsi="Times New Roman"/>
          <w:sz w:val="24"/>
          <w:szCs w:val="24"/>
          <w:lang w:val="en-GB"/>
        </w:rPr>
        <w:t xml:space="preserve">. </w:t>
      </w:r>
      <w:r w:rsidR="00300B13" w:rsidRPr="006B5C5E">
        <w:rPr>
          <w:rFonts w:ascii="Times New Roman" w:eastAsia="Times New Roman" w:hAnsi="Times New Roman"/>
          <w:sz w:val="24"/>
          <w:szCs w:val="24"/>
          <w:lang w:val="en-GB"/>
        </w:rPr>
        <w:t xml:space="preserve">Any </w:t>
      </w:r>
      <w:r w:rsidR="00365507" w:rsidRPr="006B5C5E">
        <w:rPr>
          <w:rFonts w:ascii="Times New Roman" w:eastAsia="Times New Roman" w:hAnsi="Times New Roman"/>
          <w:sz w:val="24"/>
          <w:szCs w:val="24"/>
          <w:lang w:val="en-GB"/>
        </w:rPr>
        <w:t xml:space="preserve">new </w:t>
      </w:r>
      <w:r w:rsidR="00FD2EAA" w:rsidRPr="006B5C5E">
        <w:rPr>
          <w:rFonts w:ascii="Times New Roman" w:eastAsia="Times New Roman" w:hAnsi="Times New Roman"/>
          <w:sz w:val="24"/>
          <w:szCs w:val="24"/>
          <w:lang w:val="en-GB"/>
        </w:rPr>
        <w:t>bilateral agreement</w:t>
      </w:r>
      <w:r w:rsidR="00C40050">
        <w:rPr>
          <w:rFonts w:ascii="Times New Roman" w:eastAsia="Times New Roman" w:hAnsi="Times New Roman"/>
          <w:sz w:val="24"/>
          <w:szCs w:val="24"/>
          <w:lang w:val="en-GB"/>
        </w:rPr>
        <w:t xml:space="preserve"> would raise issues of competence, and </w:t>
      </w:r>
      <w:r w:rsidR="00FD2EAA" w:rsidRPr="006B5C5E">
        <w:rPr>
          <w:rFonts w:ascii="Times New Roman" w:eastAsia="Times New Roman" w:hAnsi="Times New Roman"/>
          <w:sz w:val="24"/>
          <w:szCs w:val="24"/>
          <w:lang w:val="en-GB"/>
        </w:rPr>
        <w:t xml:space="preserve">would not </w:t>
      </w:r>
      <w:r w:rsidR="00094A7E" w:rsidRPr="006B5C5E">
        <w:rPr>
          <w:rFonts w:ascii="Times New Roman" w:eastAsia="Times New Roman" w:hAnsi="Times New Roman"/>
          <w:sz w:val="24"/>
          <w:szCs w:val="24"/>
          <w:lang w:val="en-GB"/>
        </w:rPr>
        <w:t>allow for road haulage</w:t>
      </w:r>
      <w:r w:rsidR="00ED0CE1" w:rsidRPr="006B5C5E">
        <w:rPr>
          <w:rFonts w:ascii="Times New Roman" w:eastAsia="Times New Roman" w:hAnsi="Times New Roman"/>
          <w:sz w:val="24"/>
          <w:szCs w:val="24"/>
          <w:lang w:val="en-GB"/>
        </w:rPr>
        <w:t xml:space="preserve"> to the United Kingdom</w:t>
      </w:r>
      <w:r w:rsidR="00094A7E" w:rsidRPr="006B5C5E">
        <w:rPr>
          <w:rFonts w:ascii="Times New Roman" w:eastAsia="Times New Roman" w:hAnsi="Times New Roman"/>
          <w:sz w:val="24"/>
          <w:szCs w:val="24"/>
          <w:lang w:val="en-GB"/>
        </w:rPr>
        <w:t xml:space="preserve"> by an operator </w:t>
      </w:r>
      <w:r w:rsidR="00ED0CE1" w:rsidRPr="006B5C5E">
        <w:rPr>
          <w:rFonts w:ascii="Times New Roman" w:eastAsia="Times New Roman" w:hAnsi="Times New Roman"/>
          <w:sz w:val="24"/>
          <w:szCs w:val="24"/>
          <w:lang w:val="en-GB"/>
        </w:rPr>
        <w:t xml:space="preserve">of another </w:t>
      </w:r>
      <w:r w:rsidR="00094A7E" w:rsidRPr="006B5C5E">
        <w:rPr>
          <w:rFonts w:ascii="Times New Roman" w:eastAsia="Times New Roman" w:hAnsi="Times New Roman"/>
          <w:sz w:val="24"/>
          <w:szCs w:val="24"/>
          <w:lang w:val="en-GB"/>
        </w:rPr>
        <w:t xml:space="preserve">Member State </w:t>
      </w:r>
      <w:r w:rsidR="00ED0CE1" w:rsidRPr="006B5C5E">
        <w:rPr>
          <w:rFonts w:ascii="Times New Roman" w:eastAsia="Times New Roman" w:hAnsi="Times New Roman"/>
          <w:sz w:val="24"/>
          <w:szCs w:val="24"/>
          <w:lang w:val="en-GB"/>
        </w:rPr>
        <w:t>(cross-trade)</w:t>
      </w:r>
      <w:r w:rsidR="00C40050">
        <w:rPr>
          <w:rFonts w:ascii="Times New Roman" w:eastAsia="Times New Roman" w:hAnsi="Times New Roman"/>
          <w:sz w:val="24"/>
          <w:szCs w:val="24"/>
          <w:lang w:val="en-GB"/>
        </w:rPr>
        <w:t xml:space="preserve">. They are therefore not a practical solution. </w:t>
      </w:r>
    </w:p>
    <w:p w:rsidR="003E3F27" w:rsidRPr="00100F08" w:rsidRDefault="00C95C66" w:rsidP="00615329">
      <w:pPr>
        <w:keepNext/>
        <w:spacing w:before="360" w:after="240"/>
        <w:rPr>
          <w:rFonts w:ascii="Times New Roman" w:eastAsia="Times New Roman" w:hAnsi="Times New Roman"/>
          <w:b/>
          <w:i/>
          <w:sz w:val="24"/>
          <w:szCs w:val="24"/>
          <w:lang w:val="en-GB"/>
        </w:rPr>
      </w:pPr>
      <w:r w:rsidRPr="00FB26AB">
        <w:rPr>
          <w:rFonts w:ascii="Times New Roman" w:eastAsia="Times New Roman" w:hAnsi="Times New Roman"/>
          <w:b/>
          <w:i/>
          <w:sz w:val="24"/>
          <w:szCs w:val="24"/>
          <w:lang w:val="en-GB"/>
        </w:rPr>
        <w:t>Customs</w:t>
      </w:r>
      <w:r w:rsidR="00992C22" w:rsidRPr="00FB26AB">
        <w:rPr>
          <w:rFonts w:ascii="Times New Roman" w:eastAsia="Times New Roman" w:hAnsi="Times New Roman"/>
          <w:b/>
          <w:i/>
          <w:sz w:val="24"/>
          <w:szCs w:val="24"/>
          <w:lang w:val="en-GB"/>
        </w:rPr>
        <w:t xml:space="preserve"> </w:t>
      </w:r>
      <w:r w:rsidR="00992C22" w:rsidRPr="00002C85">
        <w:rPr>
          <w:rFonts w:ascii="Times New Roman" w:hAnsi="Times New Roman"/>
          <w:b/>
          <w:i/>
          <w:sz w:val="24"/>
          <w:lang w:val="en-GB"/>
        </w:rPr>
        <w:t xml:space="preserve">and </w:t>
      </w:r>
      <w:r w:rsidR="00FB26AB" w:rsidRPr="00FB26AB">
        <w:rPr>
          <w:rFonts w:ascii="Times New Roman" w:eastAsia="Times New Roman" w:hAnsi="Times New Roman"/>
          <w:b/>
          <w:i/>
          <w:sz w:val="24"/>
          <w:szCs w:val="24"/>
          <w:lang w:val="en-GB"/>
        </w:rPr>
        <w:t xml:space="preserve">the </w:t>
      </w:r>
      <w:r w:rsidR="00992C22" w:rsidRPr="00002C85">
        <w:rPr>
          <w:rFonts w:ascii="Times New Roman" w:hAnsi="Times New Roman"/>
          <w:b/>
          <w:i/>
          <w:sz w:val="24"/>
          <w:lang w:val="en-GB"/>
        </w:rPr>
        <w:t>exports of goods</w:t>
      </w:r>
    </w:p>
    <w:p w:rsidR="00BC2C7B" w:rsidRDefault="00BC2C7B">
      <w:pPr>
        <w:spacing w:before="240" w:after="120"/>
        <w:jc w:val="both"/>
        <w:rPr>
          <w:rFonts w:ascii="Times New Roman" w:eastAsia="Times New Roman" w:hAnsi="Times New Roman"/>
          <w:sz w:val="24"/>
          <w:szCs w:val="24"/>
          <w:lang w:val="en-GB"/>
        </w:rPr>
      </w:pPr>
      <w:r>
        <w:rPr>
          <w:rFonts w:ascii="Times New Roman" w:eastAsia="Times New Roman" w:hAnsi="Times New Roman"/>
          <w:sz w:val="24"/>
          <w:szCs w:val="24"/>
          <w:lang w:val="en-GB"/>
        </w:rPr>
        <w:t>If the Withdrawal Agreement is not ratified</w:t>
      </w:r>
      <w:r w:rsidR="00300B13">
        <w:rPr>
          <w:rFonts w:ascii="Times New Roman" w:eastAsia="Times New Roman" w:hAnsi="Times New Roman"/>
          <w:sz w:val="24"/>
          <w:szCs w:val="24"/>
          <w:lang w:val="en-GB"/>
        </w:rPr>
        <w:t>,</w:t>
      </w:r>
      <w:r w:rsidR="00D326DC">
        <w:rPr>
          <w:rFonts w:ascii="Times New Roman" w:eastAsia="Times New Roman" w:hAnsi="Times New Roman"/>
          <w:sz w:val="24"/>
          <w:szCs w:val="24"/>
          <w:lang w:val="en-GB"/>
        </w:rPr>
        <w:t xml:space="preserve"> a</w:t>
      </w:r>
      <w:r w:rsidR="00C95C66" w:rsidRPr="002326F6">
        <w:rPr>
          <w:rFonts w:ascii="Times New Roman" w:eastAsia="Times New Roman" w:hAnsi="Times New Roman"/>
          <w:sz w:val="24"/>
          <w:szCs w:val="24"/>
          <w:lang w:val="en-GB"/>
        </w:rPr>
        <w:t xml:space="preserve">ll relevant EU legislation on imported goods </w:t>
      </w:r>
      <w:r w:rsidR="0022292D">
        <w:rPr>
          <w:rFonts w:ascii="Times New Roman" w:eastAsia="Times New Roman" w:hAnsi="Times New Roman"/>
          <w:sz w:val="24"/>
          <w:szCs w:val="24"/>
          <w:lang w:val="en-GB"/>
        </w:rPr>
        <w:t xml:space="preserve">and </w:t>
      </w:r>
      <w:r w:rsidR="0022292D" w:rsidRPr="009E7C4D">
        <w:rPr>
          <w:rFonts w:ascii="Times New Roman" w:eastAsia="Times New Roman" w:hAnsi="Times New Roman"/>
          <w:sz w:val="24"/>
          <w:szCs w:val="24"/>
          <w:lang w:val="en-GB"/>
        </w:rPr>
        <w:t xml:space="preserve">exported </w:t>
      </w:r>
      <w:r w:rsidR="0022292D" w:rsidRPr="002326F6">
        <w:rPr>
          <w:rFonts w:ascii="Times New Roman" w:eastAsia="Times New Roman" w:hAnsi="Times New Roman"/>
          <w:sz w:val="24"/>
          <w:szCs w:val="24"/>
          <w:lang w:val="en-GB"/>
        </w:rPr>
        <w:t xml:space="preserve">goods </w:t>
      </w:r>
      <w:r w:rsidR="00C95C66" w:rsidRPr="002326F6">
        <w:rPr>
          <w:rFonts w:ascii="Times New Roman" w:eastAsia="Times New Roman" w:hAnsi="Times New Roman"/>
          <w:sz w:val="24"/>
          <w:szCs w:val="24"/>
          <w:lang w:val="en-GB"/>
        </w:rPr>
        <w:t>will apply</w:t>
      </w:r>
      <w:r>
        <w:rPr>
          <w:rFonts w:ascii="Times New Roman" w:eastAsia="Times New Roman" w:hAnsi="Times New Roman"/>
          <w:sz w:val="24"/>
          <w:szCs w:val="24"/>
          <w:lang w:val="en-GB"/>
        </w:rPr>
        <w:t xml:space="preserve"> as of the withdrawal date. This includes the </w:t>
      </w:r>
      <w:r w:rsidR="00C95C66" w:rsidRPr="00D326DC">
        <w:rPr>
          <w:rFonts w:ascii="Times New Roman" w:eastAsia="Times New Roman" w:hAnsi="Times New Roman"/>
          <w:sz w:val="24"/>
          <w:szCs w:val="24"/>
          <w:lang w:val="en-GB"/>
        </w:rPr>
        <w:t>levy</w:t>
      </w:r>
      <w:r>
        <w:rPr>
          <w:rFonts w:ascii="Times New Roman" w:eastAsia="Times New Roman" w:hAnsi="Times New Roman"/>
          <w:sz w:val="24"/>
          <w:szCs w:val="24"/>
          <w:lang w:val="en-GB"/>
        </w:rPr>
        <w:t>ing</w:t>
      </w:r>
      <w:r w:rsidR="00C95C66" w:rsidRPr="00D326DC">
        <w:rPr>
          <w:rFonts w:ascii="Times New Roman" w:eastAsia="Times New Roman" w:hAnsi="Times New Roman"/>
          <w:sz w:val="24"/>
          <w:szCs w:val="24"/>
          <w:lang w:val="en-GB"/>
        </w:rPr>
        <w:t xml:space="preserve"> of duties and </w:t>
      </w:r>
      <w:r w:rsidR="00C95C66" w:rsidRPr="006C5508">
        <w:rPr>
          <w:rFonts w:ascii="Times New Roman" w:eastAsia="Times New Roman" w:hAnsi="Times New Roman"/>
          <w:sz w:val="24"/>
          <w:szCs w:val="24"/>
          <w:lang w:val="en-GB"/>
        </w:rPr>
        <w:t>taxes</w:t>
      </w:r>
      <w:r w:rsidR="00052150" w:rsidRPr="006C5508">
        <w:rPr>
          <w:rFonts w:ascii="Times New Roman" w:eastAsia="Times New Roman" w:hAnsi="Times New Roman"/>
          <w:sz w:val="24"/>
          <w:szCs w:val="24"/>
          <w:lang w:val="en-GB"/>
        </w:rPr>
        <w:t xml:space="preserve"> and the respect of the formalities and controls required by the current legal framework</w:t>
      </w:r>
      <w:r w:rsidR="00E025F4" w:rsidRPr="006C5508">
        <w:rPr>
          <w:rFonts w:ascii="Times New Roman" w:eastAsia="Times New Roman" w:hAnsi="Times New Roman"/>
          <w:sz w:val="24"/>
          <w:szCs w:val="24"/>
          <w:lang w:val="en-GB"/>
        </w:rPr>
        <w:t xml:space="preserve">, in order </w:t>
      </w:r>
      <w:r w:rsidR="00052150" w:rsidRPr="006C5508">
        <w:rPr>
          <w:rFonts w:ascii="Times New Roman" w:eastAsia="Times New Roman" w:hAnsi="Times New Roman"/>
          <w:sz w:val="24"/>
          <w:szCs w:val="24"/>
          <w:lang w:val="en-GB"/>
        </w:rPr>
        <w:t>to ensure a level playing field</w:t>
      </w:r>
      <w:r w:rsidR="00D326DC" w:rsidRPr="006C5508">
        <w:rPr>
          <w:rFonts w:ascii="Times New Roman" w:eastAsia="Times New Roman" w:hAnsi="Times New Roman"/>
          <w:sz w:val="24"/>
          <w:szCs w:val="24"/>
          <w:lang w:val="en-GB"/>
        </w:rPr>
        <w:t>.</w:t>
      </w:r>
      <w:r w:rsidR="00D326DC">
        <w:rPr>
          <w:rFonts w:ascii="Times New Roman" w:eastAsia="Times New Roman" w:hAnsi="Times New Roman"/>
          <w:sz w:val="24"/>
          <w:szCs w:val="24"/>
          <w:lang w:val="en-GB"/>
        </w:rPr>
        <w:t xml:space="preserve"> </w:t>
      </w:r>
      <w:r w:rsidR="00227B55">
        <w:rPr>
          <w:rFonts w:ascii="Times New Roman" w:eastAsia="Times New Roman" w:hAnsi="Times New Roman"/>
          <w:sz w:val="24"/>
          <w:szCs w:val="24"/>
          <w:lang w:val="en-GB"/>
        </w:rPr>
        <w:t xml:space="preserve"> </w:t>
      </w:r>
    </w:p>
    <w:p w:rsidR="00BC2C7B" w:rsidRDefault="00BC2C7B">
      <w:pPr>
        <w:spacing w:before="240" w:after="120"/>
        <w:jc w:val="both"/>
        <w:rPr>
          <w:rFonts w:ascii="Times New Roman" w:eastAsia="Times New Roman" w:hAnsi="Times New Roman"/>
          <w:sz w:val="24"/>
          <w:szCs w:val="24"/>
          <w:lang w:val="en-GB"/>
        </w:rPr>
      </w:pPr>
      <w:r>
        <w:rPr>
          <w:rFonts w:ascii="Times New Roman" w:eastAsia="Times New Roman" w:hAnsi="Times New Roman"/>
          <w:sz w:val="24"/>
          <w:szCs w:val="24"/>
          <w:lang w:val="en-GB"/>
        </w:rPr>
        <w:t>Member State action continues to be essential. Member States</w:t>
      </w:r>
      <w:r w:rsidRPr="00D326DC">
        <w:rPr>
          <w:rFonts w:ascii="Times New Roman" w:eastAsia="Times New Roman" w:hAnsi="Times New Roman"/>
          <w:sz w:val="24"/>
          <w:szCs w:val="24"/>
          <w:lang w:val="en-GB"/>
        </w:rPr>
        <w:t xml:space="preserve"> </w:t>
      </w:r>
      <w:r w:rsidR="00CD452B">
        <w:rPr>
          <w:rFonts w:ascii="Times New Roman" w:eastAsia="Times New Roman" w:hAnsi="Times New Roman"/>
          <w:sz w:val="24"/>
          <w:szCs w:val="24"/>
          <w:lang w:val="en-GB"/>
        </w:rPr>
        <w:t xml:space="preserve">must </w:t>
      </w:r>
      <w:r w:rsidRPr="00D326DC">
        <w:rPr>
          <w:rFonts w:ascii="Times New Roman" w:eastAsia="Times New Roman" w:hAnsi="Times New Roman"/>
          <w:sz w:val="24"/>
          <w:szCs w:val="24"/>
          <w:lang w:val="en-GB"/>
        </w:rPr>
        <w:t>take all necess</w:t>
      </w:r>
      <w:r>
        <w:rPr>
          <w:rFonts w:ascii="Times New Roman" w:eastAsia="Times New Roman" w:hAnsi="Times New Roman"/>
          <w:sz w:val="24"/>
          <w:szCs w:val="24"/>
          <w:lang w:val="en-GB"/>
        </w:rPr>
        <w:t>ary steps to be in a position</w:t>
      </w:r>
      <w:r w:rsidRPr="00D326DC">
        <w:rPr>
          <w:rFonts w:ascii="Times New Roman" w:eastAsia="Times New Roman" w:hAnsi="Times New Roman"/>
          <w:sz w:val="24"/>
          <w:szCs w:val="24"/>
          <w:lang w:val="en-GB"/>
        </w:rPr>
        <w:t xml:space="preserve">, </w:t>
      </w:r>
      <w:r>
        <w:rPr>
          <w:rFonts w:ascii="Times New Roman" w:eastAsia="Times New Roman" w:hAnsi="Times New Roman"/>
          <w:sz w:val="24"/>
          <w:szCs w:val="24"/>
          <w:lang w:val="en-GB"/>
        </w:rPr>
        <w:t xml:space="preserve">as from the withdrawal date </w:t>
      </w:r>
      <w:r w:rsidRPr="00D326DC">
        <w:rPr>
          <w:rFonts w:ascii="Times New Roman" w:eastAsia="Times New Roman" w:hAnsi="Times New Roman"/>
          <w:sz w:val="24"/>
          <w:szCs w:val="24"/>
          <w:lang w:val="en-GB"/>
        </w:rPr>
        <w:t xml:space="preserve">in case </w:t>
      </w:r>
      <w:r w:rsidR="00B94471">
        <w:rPr>
          <w:rFonts w:ascii="Times New Roman" w:eastAsia="Times New Roman" w:hAnsi="Times New Roman"/>
          <w:sz w:val="24"/>
          <w:szCs w:val="24"/>
          <w:lang w:val="en-GB"/>
        </w:rPr>
        <w:t>the withdrawal agreement is not ratified</w:t>
      </w:r>
      <w:r w:rsidRPr="00D326DC">
        <w:rPr>
          <w:rFonts w:ascii="Times New Roman" w:eastAsia="Times New Roman" w:hAnsi="Times New Roman"/>
          <w:sz w:val="24"/>
          <w:szCs w:val="24"/>
          <w:lang w:val="en-GB"/>
        </w:rPr>
        <w:t xml:space="preserve">, </w:t>
      </w:r>
      <w:r>
        <w:rPr>
          <w:rFonts w:ascii="Times New Roman" w:eastAsia="Times New Roman" w:hAnsi="Times New Roman"/>
          <w:sz w:val="24"/>
          <w:szCs w:val="24"/>
          <w:lang w:val="en-GB"/>
        </w:rPr>
        <w:t xml:space="preserve">to </w:t>
      </w:r>
      <w:r w:rsidRPr="00D326DC">
        <w:rPr>
          <w:rFonts w:ascii="Times New Roman" w:eastAsia="Times New Roman" w:hAnsi="Times New Roman"/>
          <w:sz w:val="24"/>
          <w:szCs w:val="24"/>
          <w:lang w:val="en-GB"/>
        </w:rPr>
        <w:t xml:space="preserve">apply the Union Customs Code and the relevant rules </w:t>
      </w:r>
      <w:r>
        <w:rPr>
          <w:rFonts w:ascii="Times New Roman" w:eastAsia="Times New Roman" w:hAnsi="Times New Roman"/>
          <w:sz w:val="24"/>
          <w:szCs w:val="24"/>
          <w:lang w:val="en-GB"/>
        </w:rPr>
        <w:t>on</w:t>
      </w:r>
      <w:r w:rsidRPr="00D326DC">
        <w:rPr>
          <w:rFonts w:ascii="Times New Roman" w:eastAsia="Times New Roman" w:hAnsi="Times New Roman"/>
          <w:sz w:val="24"/>
          <w:szCs w:val="24"/>
          <w:lang w:val="en-GB"/>
        </w:rPr>
        <w:t xml:space="preserve"> indirect taxation to all imports from and exports to the United Kingdom</w:t>
      </w:r>
      <w:r>
        <w:rPr>
          <w:rFonts w:ascii="Times New Roman" w:eastAsia="Times New Roman" w:hAnsi="Times New Roman"/>
          <w:sz w:val="24"/>
          <w:szCs w:val="24"/>
          <w:lang w:val="en-GB"/>
        </w:rPr>
        <w:t>. They should use the existing possibilities to i</w:t>
      </w:r>
      <w:r w:rsidRPr="00D326DC">
        <w:rPr>
          <w:rFonts w:ascii="Times New Roman" w:eastAsia="Times New Roman" w:hAnsi="Times New Roman"/>
          <w:sz w:val="24"/>
          <w:szCs w:val="24"/>
          <w:lang w:val="en-GB"/>
        </w:rPr>
        <w:t xml:space="preserve">ssue authorisations for facilitation measures provided for in the Union Customs Code. </w:t>
      </w:r>
      <w:r>
        <w:rPr>
          <w:rFonts w:ascii="Times New Roman" w:eastAsia="Times New Roman" w:hAnsi="Times New Roman"/>
          <w:sz w:val="24"/>
          <w:szCs w:val="24"/>
          <w:lang w:val="en-GB"/>
        </w:rPr>
        <w:t>In meetings with the Member States, the Commission has provided detailed information on</w:t>
      </w:r>
      <w:r w:rsidR="00BB0BA8">
        <w:rPr>
          <w:rFonts w:ascii="Times New Roman" w:eastAsia="Times New Roman" w:hAnsi="Times New Roman"/>
          <w:sz w:val="24"/>
          <w:szCs w:val="24"/>
          <w:lang w:val="en-GB"/>
        </w:rPr>
        <w:t xml:space="preserve"> the options available under the Union Customs Code</w:t>
      </w:r>
      <w:r>
        <w:rPr>
          <w:rFonts w:ascii="Times New Roman" w:eastAsia="Times New Roman" w:hAnsi="Times New Roman"/>
          <w:sz w:val="24"/>
          <w:szCs w:val="24"/>
          <w:lang w:val="en-GB"/>
        </w:rPr>
        <w:t>.</w:t>
      </w:r>
    </w:p>
    <w:p w:rsidR="00551D6D" w:rsidRDefault="00227B55">
      <w:pPr>
        <w:spacing w:before="240" w:after="120"/>
        <w:jc w:val="both"/>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The </w:t>
      </w:r>
      <w:r w:rsidR="00A72795">
        <w:rPr>
          <w:rFonts w:ascii="Times New Roman" w:eastAsia="Times New Roman" w:hAnsi="Times New Roman"/>
          <w:sz w:val="24"/>
          <w:szCs w:val="24"/>
          <w:lang w:val="en-GB"/>
        </w:rPr>
        <w:t>Commission</w:t>
      </w:r>
      <w:r>
        <w:rPr>
          <w:rFonts w:ascii="Times New Roman" w:eastAsia="Times New Roman" w:hAnsi="Times New Roman"/>
          <w:sz w:val="24"/>
          <w:szCs w:val="24"/>
          <w:lang w:val="en-GB"/>
        </w:rPr>
        <w:t xml:space="preserve"> has also </w:t>
      </w:r>
      <w:r w:rsidR="00BC2C7B">
        <w:rPr>
          <w:rFonts w:ascii="Times New Roman" w:eastAsia="Times New Roman" w:hAnsi="Times New Roman"/>
          <w:sz w:val="24"/>
          <w:szCs w:val="24"/>
          <w:lang w:val="en-GB"/>
        </w:rPr>
        <w:t>adopted, today,</w:t>
      </w:r>
      <w:r w:rsidR="00801026">
        <w:rPr>
          <w:rFonts w:ascii="Times New Roman" w:eastAsia="Times New Roman" w:hAnsi="Times New Roman"/>
          <w:sz w:val="24"/>
          <w:szCs w:val="24"/>
          <w:lang w:val="en-GB"/>
        </w:rPr>
        <w:t xml:space="preserve"> the following </w:t>
      </w:r>
      <w:r w:rsidR="00BC2C7B">
        <w:rPr>
          <w:rFonts w:ascii="Times New Roman" w:eastAsia="Times New Roman" w:hAnsi="Times New Roman"/>
          <w:sz w:val="24"/>
          <w:szCs w:val="24"/>
          <w:lang w:val="en-GB"/>
        </w:rPr>
        <w:t xml:space="preserve">technical </w:t>
      </w:r>
      <w:r w:rsidR="00801026">
        <w:rPr>
          <w:rFonts w:ascii="Times New Roman" w:eastAsia="Times New Roman" w:hAnsi="Times New Roman"/>
          <w:sz w:val="24"/>
          <w:szCs w:val="24"/>
          <w:lang w:val="en-GB"/>
        </w:rPr>
        <w:t xml:space="preserve">measure: </w:t>
      </w:r>
    </w:p>
    <w:p w:rsidR="003E3F27" w:rsidRPr="007F4E3C" w:rsidRDefault="00551D6D" w:rsidP="007F4E3C">
      <w:pPr>
        <w:pStyle w:val="ListParagraph"/>
        <w:numPr>
          <w:ilvl w:val="0"/>
          <w:numId w:val="42"/>
        </w:numPr>
        <w:spacing w:before="240" w:after="120"/>
        <w:jc w:val="both"/>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A </w:t>
      </w:r>
      <w:r w:rsidR="00DE66E2">
        <w:rPr>
          <w:rFonts w:ascii="Times New Roman" w:eastAsia="Times New Roman" w:hAnsi="Times New Roman"/>
          <w:sz w:val="24"/>
          <w:szCs w:val="24"/>
          <w:lang w:val="en-GB"/>
        </w:rPr>
        <w:t>D</w:t>
      </w:r>
      <w:r>
        <w:rPr>
          <w:rFonts w:ascii="Times New Roman" w:eastAsia="Times New Roman" w:hAnsi="Times New Roman"/>
          <w:sz w:val="24"/>
          <w:szCs w:val="24"/>
          <w:lang w:val="en-GB"/>
        </w:rPr>
        <w:t>elegated Regulation</w:t>
      </w:r>
      <w:r w:rsidR="00360E29">
        <w:rPr>
          <w:rStyle w:val="EndnoteReference"/>
          <w:rFonts w:ascii="Times New Roman" w:eastAsia="Times New Roman" w:hAnsi="Times New Roman"/>
          <w:sz w:val="24"/>
          <w:szCs w:val="24"/>
          <w:lang w:val="en-GB"/>
        </w:rPr>
        <w:endnoteReference w:id="9"/>
      </w:r>
      <w:r>
        <w:rPr>
          <w:rFonts w:ascii="Times New Roman" w:eastAsia="Times New Roman" w:hAnsi="Times New Roman"/>
          <w:sz w:val="24"/>
          <w:szCs w:val="24"/>
          <w:lang w:val="en-GB"/>
        </w:rPr>
        <w:t xml:space="preserve"> </w:t>
      </w:r>
      <w:r w:rsidR="00C40050">
        <w:rPr>
          <w:rFonts w:ascii="Times New Roman" w:eastAsia="Times New Roman" w:hAnsi="Times New Roman"/>
          <w:sz w:val="24"/>
          <w:szCs w:val="24"/>
          <w:lang w:val="en-GB"/>
        </w:rPr>
        <w:t xml:space="preserve">to </w:t>
      </w:r>
      <w:r>
        <w:rPr>
          <w:rFonts w:ascii="Times New Roman" w:eastAsia="Times New Roman" w:hAnsi="Times New Roman"/>
          <w:sz w:val="24"/>
          <w:szCs w:val="24"/>
          <w:lang w:val="en-GB"/>
        </w:rPr>
        <w:t>includ</w:t>
      </w:r>
      <w:r w:rsidR="00C40050">
        <w:rPr>
          <w:rFonts w:ascii="Times New Roman" w:eastAsia="Times New Roman" w:hAnsi="Times New Roman"/>
          <w:sz w:val="24"/>
          <w:szCs w:val="24"/>
          <w:lang w:val="en-GB"/>
        </w:rPr>
        <w:t>e</w:t>
      </w:r>
      <w:r>
        <w:rPr>
          <w:rFonts w:ascii="Times New Roman" w:eastAsia="Times New Roman" w:hAnsi="Times New Roman"/>
          <w:sz w:val="24"/>
          <w:szCs w:val="24"/>
          <w:lang w:val="en-GB"/>
        </w:rPr>
        <w:t xml:space="preserve"> the </w:t>
      </w:r>
      <w:r w:rsidRPr="00551D6D">
        <w:rPr>
          <w:rFonts w:ascii="Times New Roman" w:eastAsia="Times New Roman" w:hAnsi="Times New Roman"/>
          <w:sz w:val="24"/>
          <w:szCs w:val="24"/>
          <w:lang w:val="en-GB"/>
        </w:rPr>
        <w:t xml:space="preserve">seas surrounding the United Kingdom </w:t>
      </w:r>
      <w:r>
        <w:rPr>
          <w:rFonts w:ascii="Times New Roman" w:eastAsia="Times New Roman" w:hAnsi="Times New Roman"/>
          <w:sz w:val="24"/>
          <w:szCs w:val="24"/>
          <w:lang w:val="en-GB"/>
        </w:rPr>
        <w:t xml:space="preserve">in </w:t>
      </w:r>
      <w:r w:rsidRPr="00551D6D">
        <w:rPr>
          <w:rFonts w:ascii="Times New Roman" w:eastAsia="Times New Roman" w:hAnsi="Times New Roman"/>
          <w:sz w:val="24"/>
          <w:szCs w:val="24"/>
          <w:lang w:val="en-GB"/>
        </w:rPr>
        <w:t xml:space="preserve">the </w:t>
      </w:r>
      <w:r w:rsidR="00BB0BA8">
        <w:rPr>
          <w:rFonts w:ascii="Times New Roman" w:eastAsia="Times New Roman" w:hAnsi="Times New Roman"/>
          <w:sz w:val="24"/>
          <w:szCs w:val="24"/>
          <w:lang w:val="en-GB"/>
        </w:rPr>
        <w:t>provisions on time-limits within which entry summary declarations and pre-departure</w:t>
      </w:r>
      <w:r w:rsidRPr="00551D6D">
        <w:rPr>
          <w:rFonts w:ascii="Times New Roman" w:eastAsia="Times New Roman" w:hAnsi="Times New Roman"/>
          <w:sz w:val="24"/>
          <w:szCs w:val="24"/>
          <w:lang w:val="en-GB"/>
        </w:rPr>
        <w:t xml:space="preserve"> declarations have to be lodged prior to entering </w:t>
      </w:r>
      <w:r w:rsidR="00BB0BA8">
        <w:rPr>
          <w:rFonts w:ascii="Times New Roman" w:eastAsia="Times New Roman" w:hAnsi="Times New Roman"/>
          <w:sz w:val="24"/>
          <w:szCs w:val="24"/>
          <w:lang w:val="en-GB"/>
        </w:rPr>
        <w:t xml:space="preserve">or leaving </w:t>
      </w:r>
      <w:r w:rsidRPr="00551D6D">
        <w:rPr>
          <w:rFonts w:ascii="Times New Roman" w:eastAsia="Times New Roman" w:hAnsi="Times New Roman"/>
          <w:sz w:val="24"/>
          <w:szCs w:val="24"/>
          <w:lang w:val="en-GB"/>
        </w:rPr>
        <w:t>the Union’s customs territory</w:t>
      </w:r>
      <w:r>
        <w:rPr>
          <w:rFonts w:ascii="Times New Roman" w:eastAsia="Times New Roman" w:hAnsi="Times New Roman"/>
          <w:sz w:val="24"/>
          <w:szCs w:val="24"/>
          <w:lang w:val="en-GB"/>
        </w:rPr>
        <w:t>.</w:t>
      </w:r>
    </w:p>
    <w:p w:rsidR="00350CD3" w:rsidRPr="00C02218" w:rsidRDefault="00BC2C7B" w:rsidP="00DE66E2">
      <w:pPr>
        <w:pStyle w:val="NormalWeb"/>
        <w:spacing w:before="360" w:after="240"/>
        <w:jc w:val="both"/>
        <w:rPr>
          <w:lang w:val="en-GB"/>
        </w:rPr>
      </w:pPr>
      <w:r>
        <w:rPr>
          <w:lang w:val="en-GB"/>
        </w:rPr>
        <w:t>If the Withdrawal Agreement is not ratifi</w:t>
      </w:r>
      <w:r w:rsidR="00DE66E2">
        <w:rPr>
          <w:lang w:val="en-GB"/>
        </w:rPr>
        <w:t xml:space="preserve">ed, the </w:t>
      </w:r>
      <w:r w:rsidR="00DE66E2" w:rsidRPr="00DE66E2">
        <w:rPr>
          <w:b/>
          <w:lang w:val="en-GB"/>
        </w:rPr>
        <w:t>export of dual-use items</w:t>
      </w:r>
      <w:r>
        <w:rPr>
          <w:lang w:val="en-GB"/>
        </w:rPr>
        <w:t xml:space="preserve"> from the EU to the United Kingdom, as of the withdrawal date,</w:t>
      </w:r>
      <w:r w:rsidR="00C40050">
        <w:rPr>
          <w:lang w:val="en-GB"/>
        </w:rPr>
        <w:t xml:space="preserve"> will require individual licenses</w:t>
      </w:r>
      <w:r>
        <w:rPr>
          <w:lang w:val="en-GB"/>
        </w:rPr>
        <w:t xml:space="preserve">. </w:t>
      </w:r>
      <w:r w:rsidR="000F2C2A" w:rsidRPr="000F2C2A">
        <w:rPr>
          <w:lang w:val="en-GB"/>
        </w:rPr>
        <w:t xml:space="preserve">Dual-use items are goods, software and technology that can be used for both civilian and military applications. The </w:t>
      </w:r>
      <w:r w:rsidR="000F2C2A">
        <w:rPr>
          <w:lang w:val="en-GB"/>
        </w:rPr>
        <w:t xml:space="preserve">Union </w:t>
      </w:r>
      <w:r w:rsidR="000F2C2A" w:rsidRPr="000F2C2A">
        <w:rPr>
          <w:lang w:val="en-GB"/>
        </w:rPr>
        <w:t xml:space="preserve">controls the export, transit and brokering of dual-use items so </w:t>
      </w:r>
      <w:r w:rsidR="000F2C2A">
        <w:rPr>
          <w:lang w:val="en-GB"/>
        </w:rPr>
        <w:t xml:space="preserve">it </w:t>
      </w:r>
      <w:r w:rsidR="000F2C2A" w:rsidRPr="000F2C2A">
        <w:rPr>
          <w:lang w:val="en-GB"/>
        </w:rPr>
        <w:t>can contribute to international peace and security and prevent the proliferation of Weapons of Mass Destruction (WMD).</w:t>
      </w:r>
      <w:r w:rsidR="000F2C2A">
        <w:rPr>
          <w:lang w:val="en-GB"/>
        </w:rPr>
        <w:t xml:space="preserve"> Union </w:t>
      </w:r>
      <w:r w:rsidR="000F2C2A" w:rsidRPr="000F2C2A">
        <w:rPr>
          <w:lang w:val="en-GB"/>
        </w:rPr>
        <w:t>General Export Authorisations (EUGEAs) allow exports of dual-use items to certain destinations under certain conditions</w:t>
      </w:r>
      <w:r w:rsidR="00A72795" w:rsidRPr="00887FD1">
        <w:rPr>
          <w:rStyle w:val="FootnoteReference"/>
          <w:lang w:val="en-GB"/>
        </w:rPr>
        <w:footnoteReference w:id="20"/>
      </w:r>
      <w:r w:rsidR="000F2C2A" w:rsidRPr="00887FD1">
        <w:rPr>
          <w:lang w:val="en-GB"/>
        </w:rPr>
        <w:t>.</w:t>
      </w:r>
      <w:r w:rsidR="000F2C2A" w:rsidRPr="00C02218">
        <w:rPr>
          <w:lang w:val="en-GB"/>
        </w:rPr>
        <w:t xml:space="preserve"> </w:t>
      </w:r>
      <w:r w:rsidR="00C76201">
        <w:rPr>
          <w:lang w:val="en-GB"/>
        </w:rPr>
        <w:t>T</w:t>
      </w:r>
      <w:r w:rsidR="00992C22" w:rsidRPr="00C02218">
        <w:rPr>
          <w:lang w:val="en-GB"/>
        </w:rPr>
        <w:t xml:space="preserve">o facilitate </w:t>
      </w:r>
      <w:r w:rsidR="00894A56">
        <w:rPr>
          <w:lang w:val="en-GB"/>
        </w:rPr>
        <w:t xml:space="preserve">controls on </w:t>
      </w:r>
      <w:r w:rsidR="00992C22" w:rsidRPr="00C02218">
        <w:rPr>
          <w:lang w:val="en-GB"/>
        </w:rPr>
        <w:t xml:space="preserve">the export </w:t>
      </w:r>
      <w:r w:rsidR="000F2C2A" w:rsidRPr="00C02218">
        <w:rPr>
          <w:lang w:val="en-GB"/>
        </w:rPr>
        <w:t xml:space="preserve">to the United Kingdom </w:t>
      </w:r>
      <w:r w:rsidR="00992C22" w:rsidRPr="00C02218">
        <w:rPr>
          <w:lang w:val="en-GB"/>
        </w:rPr>
        <w:t xml:space="preserve">of </w:t>
      </w:r>
      <w:r w:rsidR="00992C22" w:rsidRPr="00DE66E2">
        <w:rPr>
          <w:lang w:val="en-GB"/>
        </w:rPr>
        <w:t xml:space="preserve">dual use </w:t>
      </w:r>
      <w:r w:rsidR="00894A56" w:rsidRPr="00DE66E2">
        <w:rPr>
          <w:lang w:val="en-GB"/>
        </w:rPr>
        <w:t>items</w:t>
      </w:r>
      <w:r w:rsidR="00894A56" w:rsidRPr="00C02218">
        <w:rPr>
          <w:b/>
          <w:lang w:val="en-GB"/>
        </w:rPr>
        <w:t xml:space="preserve"> </w:t>
      </w:r>
      <w:r w:rsidR="00B94471">
        <w:rPr>
          <w:lang w:val="en-GB"/>
        </w:rPr>
        <w:t>as of the withdrawal date if the Withdrawal Agreement is not ratified</w:t>
      </w:r>
      <w:r w:rsidR="00350CD3" w:rsidRPr="00C02218">
        <w:rPr>
          <w:lang w:val="en-GB"/>
        </w:rPr>
        <w:t xml:space="preserve">, </w:t>
      </w:r>
      <w:r w:rsidR="00C76201">
        <w:rPr>
          <w:lang w:val="en-GB"/>
        </w:rPr>
        <w:t>and to ensure</w:t>
      </w:r>
      <w:r w:rsidR="009E5135">
        <w:rPr>
          <w:lang w:val="en-GB"/>
        </w:rPr>
        <w:t xml:space="preserve"> the</w:t>
      </w:r>
      <w:r w:rsidR="00C76201">
        <w:rPr>
          <w:lang w:val="en-GB"/>
        </w:rPr>
        <w:t xml:space="preserve"> good functioning of the export authorisation regime for all EU27 Member States, </w:t>
      </w:r>
      <w:r w:rsidR="00350CD3" w:rsidRPr="00C02218">
        <w:rPr>
          <w:lang w:val="en-GB"/>
        </w:rPr>
        <w:t>the Commission has adopted the following act:</w:t>
      </w:r>
    </w:p>
    <w:p w:rsidR="00992C22" w:rsidRPr="00C02218" w:rsidRDefault="009E5135" w:rsidP="00205FAF">
      <w:pPr>
        <w:pStyle w:val="NormalWeb"/>
        <w:numPr>
          <w:ilvl w:val="0"/>
          <w:numId w:val="36"/>
        </w:numPr>
        <w:ind w:left="714" w:hanging="357"/>
        <w:jc w:val="both"/>
        <w:rPr>
          <w:lang w:val="en-GB"/>
        </w:rPr>
      </w:pPr>
      <w:r>
        <w:rPr>
          <w:lang w:val="en-GB"/>
        </w:rPr>
        <w:t xml:space="preserve">A </w:t>
      </w:r>
      <w:r w:rsidR="00350CD3" w:rsidRPr="00C02218">
        <w:rPr>
          <w:lang w:val="en-GB"/>
        </w:rPr>
        <w:t>proposal for a Regulation</w:t>
      </w:r>
      <w:r w:rsidR="00350CD3" w:rsidRPr="00C02218">
        <w:rPr>
          <w:rStyle w:val="EndnoteReference"/>
          <w:lang w:val="en-GB"/>
        </w:rPr>
        <w:endnoteReference w:id="10"/>
      </w:r>
      <w:r w:rsidR="00350CD3" w:rsidRPr="00C02218">
        <w:rPr>
          <w:lang w:val="en-GB"/>
        </w:rPr>
        <w:t xml:space="preserve"> to add the United Kingdom to the list of countries for which a general authorisa</w:t>
      </w:r>
      <w:r w:rsidR="00C40050">
        <w:rPr>
          <w:lang w:val="en-GB"/>
        </w:rPr>
        <w:t>tion to export dual-</w:t>
      </w:r>
      <w:r w:rsidR="00350CD3" w:rsidRPr="00C02218">
        <w:rPr>
          <w:lang w:val="en-GB"/>
        </w:rPr>
        <w:t xml:space="preserve">use </w:t>
      </w:r>
      <w:r w:rsidR="00C40050">
        <w:rPr>
          <w:lang w:val="en-GB"/>
        </w:rPr>
        <w:t xml:space="preserve">items </w:t>
      </w:r>
      <w:r w:rsidR="00350CD3" w:rsidRPr="00C02218">
        <w:rPr>
          <w:lang w:val="en-GB"/>
        </w:rPr>
        <w:t>is valid through</w:t>
      </w:r>
      <w:r w:rsidR="002C4548" w:rsidRPr="00C02218">
        <w:rPr>
          <w:lang w:val="en-GB"/>
        </w:rPr>
        <w:t>ou</w:t>
      </w:r>
      <w:r w:rsidR="00350CD3" w:rsidRPr="00C02218">
        <w:rPr>
          <w:lang w:val="en-GB"/>
        </w:rPr>
        <w:t>t the EU.</w:t>
      </w:r>
    </w:p>
    <w:p w:rsidR="00026EBF" w:rsidRDefault="00026EBF" w:rsidP="00AC0312">
      <w:pPr>
        <w:keepNext/>
        <w:spacing w:before="360" w:after="240"/>
        <w:jc w:val="both"/>
        <w:rPr>
          <w:rFonts w:ascii="Times New Roman" w:eastAsia="Times New Roman" w:hAnsi="Times New Roman"/>
          <w:sz w:val="24"/>
          <w:szCs w:val="24"/>
          <w:lang w:val="en-GB"/>
        </w:rPr>
      </w:pPr>
      <w:r w:rsidRPr="00056430">
        <w:rPr>
          <w:rFonts w:ascii="Times New Roman" w:eastAsia="Times New Roman" w:hAnsi="Times New Roman"/>
          <w:b/>
          <w:i/>
          <w:sz w:val="24"/>
          <w:szCs w:val="24"/>
          <w:lang w:val="en-GB"/>
        </w:rPr>
        <w:t>E</w:t>
      </w:r>
      <w:r w:rsidR="00CB16BB">
        <w:rPr>
          <w:rFonts w:ascii="Times New Roman" w:eastAsia="Times New Roman" w:hAnsi="Times New Roman"/>
          <w:b/>
          <w:i/>
          <w:sz w:val="24"/>
          <w:szCs w:val="24"/>
          <w:lang w:val="en-GB"/>
        </w:rPr>
        <w:t xml:space="preserve">uropean </w:t>
      </w:r>
      <w:r w:rsidRPr="00056430">
        <w:rPr>
          <w:rFonts w:ascii="Times New Roman" w:eastAsia="Times New Roman" w:hAnsi="Times New Roman"/>
          <w:b/>
          <w:i/>
          <w:sz w:val="24"/>
          <w:szCs w:val="24"/>
          <w:lang w:val="en-GB"/>
        </w:rPr>
        <w:t>U</w:t>
      </w:r>
      <w:r w:rsidR="00CB16BB">
        <w:rPr>
          <w:rFonts w:ascii="Times New Roman" w:eastAsia="Times New Roman" w:hAnsi="Times New Roman"/>
          <w:b/>
          <w:i/>
          <w:sz w:val="24"/>
          <w:szCs w:val="24"/>
          <w:lang w:val="en-GB"/>
        </w:rPr>
        <w:t>nion</w:t>
      </w:r>
      <w:r w:rsidRPr="00056430">
        <w:rPr>
          <w:rFonts w:ascii="Times New Roman" w:eastAsia="Times New Roman" w:hAnsi="Times New Roman"/>
          <w:b/>
          <w:i/>
          <w:sz w:val="24"/>
          <w:szCs w:val="24"/>
          <w:lang w:val="en-GB"/>
        </w:rPr>
        <w:t xml:space="preserve"> climate policy</w:t>
      </w:r>
    </w:p>
    <w:p w:rsidR="00E33AF3" w:rsidRDefault="00CB16BB" w:rsidP="009175CF">
      <w:pPr>
        <w:pStyle w:val="NormalWeb"/>
        <w:spacing w:after="240"/>
        <w:jc w:val="both"/>
        <w:rPr>
          <w:lang w:val="en-GB"/>
        </w:rPr>
      </w:pPr>
      <w:r>
        <w:rPr>
          <w:lang w:val="en-GB"/>
        </w:rPr>
        <w:t xml:space="preserve">European Union climate policy consists of various instruments, in particular the Emissions Trading System, and a quota system for the placing on the market of hydrofluorocarbons. The </w:t>
      </w:r>
      <w:r w:rsidRPr="00205FAF">
        <w:rPr>
          <w:b/>
          <w:lang w:val="en-GB"/>
        </w:rPr>
        <w:t>Emissions Trading System</w:t>
      </w:r>
      <w:r>
        <w:rPr>
          <w:lang w:val="en-GB"/>
        </w:rPr>
        <w:t xml:space="preserve"> works on the basis of market mechanisms for the supply of emission allowances. </w:t>
      </w:r>
      <w:r w:rsidR="00B94471">
        <w:rPr>
          <w:lang w:val="en-GB"/>
        </w:rPr>
        <w:t xml:space="preserve">If the Withdrawal Agreement is not ratified, the United Kingdom </w:t>
      </w:r>
      <w:r>
        <w:rPr>
          <w:lang w:val="en-GB"/>
        </w:rPr>
        <w:t>will no longer participate in the system and allowances which it has emitted may create a situation of oversupply. To prevent the distortion of the market that would result, and to ensure the smooth f</w:t>
      </w:r>
      <w:r w:rsidR="00B94471" w:rsidRPr="00002C85">
        <w:rPr>
          <w:lang w:val="en-GB"/>
        </w:rPr>
        <w:t xml:space="preserve">unctioning and </w:t>
      </w:r>
      <w:r w:rsidR="00B94471">
        <w:rPr>
          <w:lang w:val="en-GB"/>
        </w:rPr>
        <w:t xml:space="preserve">the environmental </w:t>
      </w:r>
      <w:r w:rsidR="00B94471" w:rsidRPr="00002C85">
        <w:rPr>
          <w:lang w:val="en-GB"/>
        </w:rPr>
        <w:t xml:space="preserve">integrity of </w:t>
      </w:r>
      <w:r w:rsidR="00B94471">
        <w:rPr>
          <w:lang w:val="en-GB"/>
        </w:rPr>
        <w:t xml:space="preserve">the </w:t>
      </w:r>
      <w:r>
        <w:rPr>
          <w:lang w:val="en-GB"/>
        </w:rPr>
        <w:t>E</w:t>
      </w:r>
      <w:r w:rsidR="00B94471">
        <w:rPr>
          <w:lang w:val="en-GB"/>
        </w:rPr>
        <w:t>missions Trading</w:t>
      </w:r>
      <w:r w:rsidR="00CD452B">
        <w:rPr>
          <w:lang w:val="en-GB"/>
        </w:rPr>
        <w:t xml:space="preserve"> System</w:t>
      </w:r>
      <w:r w:rsidR="00B94471">
        <w:rPr>
          <w:lang w:val="en-GB"/>
        </w:rPr>
        <w:t>, t</w:t>
      </w:r>
      <w:r w:rsidR="00992C22" w:rsidRPr="00002C85">
        <w:rPr>
          <w:lang w:val="en-GB"/>
        </w:rPr>
        <w:t xml:space="preserve">he Commission has adopted </w:t>
      </w:r>
      <w:r w:rsidR="00B94471">
        <w:rPr>
          <w:lang w:val="en-GB"/>
        </w:rPr>
        <w:t xml:space="preserve">the following </w:t>
      </w:r>
      <w:r w:rsidR="00992C22" w:rsidRPr="00002C85">
        <w:rPr>
          <w:lang w:val="en-GB"/>
        </w:rPr>
        <w:t>act:</w:t>
      </w:r>
    </w:p>
    <w:p w:rsidR="00CB16BB" w:rsidRDefault="00CB16BB" w:rsidP="00CB16BB">
      <w:pPr>
        <w:pStyle w:val="NormalWeb"/>
        <w:numPr>
          <w:ilvl w:val="0"/>
          <w:numId w:val="36"/>
        </w:numPr>
        <w:spacing w:before="120" w:after="120"/>
        <w:jc w:val="both"/>
        <w:rPr>
          <w:lang w:val="en-GB"/>
        </w:rPr>
      </w:pPr>
      <w:r>
        <w:rPr>
          <w:lang w:val="en-GB"/>
        </w:rPr>
        <w:t>A Commission Decision</w:t>
      </w:r>
      <w:r>
        <w:rPr>
          <w:rStyle w:val="EndnoteReference"/>
          <w:lang w:val="en-GB"/>
        </w:rPr>
        <w:endnoteReference w:id="11"/>
      </w:r>
      <w:r>
        <w:rPr>
          <w:lang w:val="en-GB"/>
        </w:rPr>
        <w:t xml:space="preserve"> to </w:t>
      </w:r>
      <w:r w:rsidRPr="00AC3512">
        <w:rPr>
          <w:b/>
          <w:lang w:val="en-GB"/>
        </w:rPr>
        <w:t xml:space="preserve">suspend temporarily </w:t>
      </w:r>
      <w:r w:rsidR="00CD452B" w:rsidRPr="006C5508">
        <w:rPr>
          <w:lang w:val="en-GB"/>
        </w:rPr>
        <w:t>for the U</w:t>
      </w:r>
      <w:r w:rsidR="00833282">
        <w:rPr>
          <w:lang w:val="en-GB"/>
        </w:rPr>
        <w:t xml:space="preserve">nited </w:t>
      </w:r>
      <w:r w:rsidR="00CD452B" w:rsidRPr="006C5508">
        <w:rPr>
          <w:lang w:val="en-GB"/>
        </w:rPr>
        <w:t>K</w:t>
      </w:r>
      <w:r w:rsidR="00833282">
        <w:rPr>
          <w:lang w:val="en-GB"/>
        </w:rPr>
        <w:t>ingdom</w:t>
      </w:r>
      <w:r w:rsidR="00CD452B">
        <w:rPr>
          <w:b/>
          <w:lang w:val="en-GB"/>
        </w:rPr>
        <w:t xml:space="preserve"> </w:t>
      </w:r>
      <w:r w:rsidRPr="0026638B">
        <w:rPr>
          <w:lang w:val="en-GB"/>
        </w:rPr>
        <w:t xml:space="preserve">the </w:t>
      </w:r>
      <w:r w:rsidRPr="00614D83">
        <w:rPr>
          <w:lang w:val="en-GB"/>
        </w:rPr>
        <w:t>free allocation</w:t>
      </w:r>
      <w:r>
        <w:rPr>
          <w:lang w:val="en-GB"/>
        </w:rPr>
        <w:t xml:space="preserve"> of emissions allowances</w:t>
      </w:r>
      <w:r w:rsidR="00CD452B">
        <w:rPr>
          <w:lang w:val="en-GB"/>
        </w:rPr>
        <w:t>, auctioning, and the exchange of international credits</w:t>
      </w:r>
      <w:r>
        <w:rPr>
          <w:lang w:val="en-GB"/>
        </w:rPr>
        <w:t xml:space="preserve"> with effect from 1 January 2019.</w:t>
      </w:r>
    </w:p>
    <w:p w:rsidR="00CB16BB" w:rsidRDefault="00CB16BB" w:rsidP="00864BEB">
      <w:pPr>
        <w:pStyle w:val="NormalWeb"/>
        <w:spacing w:before="240" w:after="240"/>
        <w:jc w:val="both"/>
        <w:rPr>
          <w:lang w:val="en-GB"/>
        </w:rPr>
      </w:pPr>
      <w:r>
        <w:rPr>
          <w:lang w:val="en-GB"/>
        </w:rPr>
        <w:t xml:space="preserve">In addition, if the Withdrawal Agreement is not ratified, the United Kingdom will no longer take part in the quota system for placing </w:t>
      </w:r>
      <w:r w:rsidRPr="00205FAF">
        <w:rPr>
          <w:b/>
          <w:lang w:val="en-GB"/>
        </w:rPr>
        <w:t>hyd</w:t>
      </w:r>
      <w:r w:rsidR="0019127F" w:rsidRPr="00205FAF">
        <w:rPr>
          <w:b/>
          <w:lang w:val="en-GB"/>
        </w:rPr>
        <w:t>rofluoro</w:t>
      </w:r>
      <w:r w:rsidRPr="00205FAF">
        <w:rPr>
          <w:b/>
          <w:lang w:val="en-GB"/>
        </w:rPr>
        <w:t>carbons</w:t>
      </w:r>
      <w:r>
        <w:rPr>
          <w:lang w:val="en-GB"/>
        </w:rPr>
        <w:t xml:space="preserve"> on the market. The </w:t>
      </w:r>
      <w:r w:rsidR="0019127F">
        <w:rPr>
          <w:lang w:val="en-GB"/>
        </w:rPr>
        <w:t>Commission has therefore adopted the following measures:</w:t>
      </w:r>
      <w:r>
        <w:rPr>
          <w:lang w:val="en-GB"/>
        </w:rPr>
        <w:t xml:space="preserve"> </w:t>
      </w:r>
    </w:p>
    <w:p w:rsidR="00894A56" w:rsidRDefault="00894A56" w:rsidP="00864BEB">
      <w:pPr>
        <w:pStyle w:val="NormalWeb"/>
        <w:numPr>
          <w:ilvl w:val="0"/>
          <w:numId w:val="36"/>
        </w:numPr>
        <w:spacing w:before="120" w:after="120"/>
        <w:ind w:left="714" w:hanging="357"/>
        <w:jc w:val="both"/>
        <w:rPr>
          <w:lang w:val="en-GB"/>
        </w:rPr>
      </w:pPr>
      <w:r>
        <w:rPr>
          <w:rFonts w:eastAsia="Calibri"/>
          <w:lang w:val="en-GB" w:eastAsia="en-GB"/>
        </w:rPr>
        <w:t>A</w:t>
      </w:r>
      <w:r w:rsidR="0019127F">
        <w:rPr>
          <w:rFonts w:eastAsia="Calibri"/>
          <w:lang w:val="en-GB" w:eastAsia="en-GB"/>
        </w:rPr>
        <w:t xml:space="preserve">n </w:t>
      </w:r>
      <w:r>
        <w:rPr>
          <w:rFonts w:eastAsia="Calibri"/>
          <w:lang w:val="en-GB" w:eastAsia="en-GB"/>
        </w:rPr>
        <w:t xml:space="preserve">Implementing </w:t>
      </w:r>
      <w:r w:rsidR="005552D8">
        <w:rPr>
          <w:rFonts w:eastAsia="Calibri"/>
          <w:lang w:val="en-GB" w:eastAsia="en-GB"/>
        </w:rPr>
        <w:t>Decision</w:t>
      </w:r>
      <w:r w:rsidR="00864BEB">
        <w:rPr>
          <w:rStyle w:val="EndnoteReference"/>
          <w:rFonts w:eastAsia="Calibri"/>
          <w:lang w:val="en-GB" w:eastAsia="en-GB"/>
        </w:rPr>
        <w:endnoteReference w:id="12"/>
      </w:r>
      <w:r w:rsidR="00864BEB">
        <w:rPr>
          <w:rFonts w:eastAsia="Calibri"/>
          <w:lang w:val="en-GB" w:eastAsia="en-GB"/>
        </w:rPr>
        <w:t xml:space="preserve"> </w:t>
      </w:r>
      <w:r w:rsidRPr="00056430">
        <w:rPr>
          <w:rFonts w:eastAsia="Calibri"/>
          <w:lang w:val="en-GB" w:eastAsia="en-GB"/>
        </w:rPr>
        <w:t xml:space="preserve">to </w:t>
      </w:r>
      <w:r w:rsidR="0019127F">
        <w:rPr>
          <w:rFonts w:eastAsia="Calibri"/>
          <w:lang w:val="en-GB" w:eastAsia="en-GB"/>
        </w:rPr>
        <w:t xml:space="preserve">allow an appropriate </w:t>
      </w:r>
      <w:r>
        <w:rPr>
          <w:lang w:val="en-GB"/>
        </w:rPr>
        <w:t>annual quota allocation to UK companies for accessing the EU27 market.</w:t>
      </w:r>
    </w:p>
    <w:p w:rsidR="0019127F" w:rsidRPr="0004431C" w:rsidRDefault="00E85B49" w:rsidP="0004431C">
      <w:pPr>
        <w:pStyle w:val="NormalWeb"/>
        <w:numPr>
          <w:ilvl w:val="0"/>
          <w:numId w:val="25"/>
        </w:numPr>
        <w:spacing w:before="120" w:after="120"/>
        <w:ind w:left="714" w:hanging="357"/>
        <w:jc w:val="both"/>
        <w:rPr>
          <w:lang w:val="en-GB"/>
        </w:rPr>
      </w:pPr>
      <w:r>
        <w:rPr>
          <w:lang w:val="en-GB"/>
        </w:rPr>
        <w:t>A</w:t>
      </w:r>
      <w:r w:rsidR="0019127F">
        <w:rPr>
          <w:lang w:val="en-GB"/>
        </w:rPr>
        <w:t>n</w:t>
      </w:r>
      <w:r>
        <w:rPr>
          <w:lang w:val="en-GB"/>
        </w:rPr>
        <w:t xml:space="preserve"> Implementing</w:t>
      </w:r>
      <w:r w:rsidR="00BD5E18">
        <w:rPr>
          <w:lang w:val="en-GB"/>
        </w:rPr>
        <w:t xml:space="preserve"> Regulation</w:t>
      </w:r>
      <w:r w:rsidR="00864BEB">
        <w:rPr>
          <w:rStyle w:val="EndnoteReference"/>
          <w:lang w:val="en-GB"/>
        </w:rPr>
        <w:endnoteReference w:id="13"/>
      </w:r>
      <w:r w:rsidR="00864BEB">
        <w:rPr>
          <w:lang w:val="en-GB"/>
        </w:rPr>
        <w:t xml:space="preserve"> </w:t>
      </w:r>
      <w:r w:rsidR="00BD5E18">
        <w:rPr>
          <w:lang w:val="en-GB"/>
        </w:rPr>
        <w:t xml:space="preserve">to </w:t>
      </w:r>
      <w:r w:rsidR="0019127F">
        <w:rPr>
          <w:lang w:val="en-GB"/>
        </w:rPr>
        <w:t>ensure that the reporting by companies differentiates between the EU market and the UK market to all</w:t>
      </w:r>
      <w:r w:rsidR="00940FEB">
        <w:rPr>
          <w:lang w:val="en-GB"/>
        </w:rPr>
        <w:t>ow a correct allocation of quota</w:t>
      </w:r>
      <w:r w:rsidR="0019127F">
        <w:rPr>
          <w:lang w:val="en-GB"/>
        </w:rPr>
        <w:t xml:space="preserve">s in the future. </w:t>
      </w:r>
    </w:p>
    <w:p w:rsidR="002F6324" w:rsidRDefault="002F6324" w:rsidP="0004431C">
      <w:pPr>
        <w:pStyle w:val="NormalWeb"/>
        <w:keepNext/>
        <w:spacing w:before="360" w:after="240"/>
        <w:jc w:val="both"/>
        <w:rPr>
          <w:b/>
          <w:i/>
          <w:lang w:val="en-GB"/>
        </w:rPr>
      </w:pPr>
      <w:r w:rsidRPr="00002C85">
        <w:rPr>
          <w:b/>
          <w:i/>
          <w:lang w:val="en-GB"/>
        </w:rPr>
        <w:t>Other sectors</w:t>
      </w:r>
    </w:p>
    <w:p w:rsidR="00663EBC" w:rsidRDefault="00FD2EAA" w:rsidP="009518EB">
      <w:pPr>
        <w:pStyle w:val="NormalWeb"/>
        <w:spacing w:after="240"/>
        <w:jc w:val="both"/>
        <w:rPr>
          <w:lang w:val="en-GB"/>
        </w:rPr>
      </w:pPr>
      <w:r w:rsidRPr="00002C85">
        <w:rPr>
          <w:lang w:val="en-GB"/>
        </w:rPr>
        <w:t xml:space="preserve">The Commission </w:t>
      </w:r>
      <w:r w:rsidR="006513FF">
        <w:rPr>
          <w:lang w:val="en-GB"/>
        </w:rPr>
        <w:t xml:space="preserve">reiterates </w:t>
      </w:r>
      <w:r w:rsidRPr="00002C85">
        <w:rPr>
          <w:lang w:val="en-GB"/>
        </w:rPr>
        <w:t>i</w:t>
      </w:r>
      <w:r w:rsidR="006513FF">
        <w:rPr>
          <w:lang w:val="en-GB"/>
        </w:rPr>
        <w:t>t</w:t>
      </w:r>
      <w:r w:rsidRPr="00002C85">
        <w:rPr>
          <w:lang w:val="en-GB"/>
        </w:rPr>
        <w:t xml:space="preserve">s </w:t>
      </w:r>
      <w:r w:rsidR="006513FF" w:rsidRPr="00002C85">
        <w:rPr>
          <w:lang w:val="en-GB"/>
        </w:rPr>
        <w:t>commit</w:t>
      </w:r>
      <w:r w:rsidR="006513FF">
        <w:rPr>
          <w:lang w:val="en-GB"/>
        </w:rPr>
        <w:t>ment</w:t>
      </w:r>
      <w:r w:rsidR="006513FF" w:rsidRPr="00002C85">
        <w:rPr>
          <w:lang w:val="en-GB"/>
        </w:rPr>
        <w:t xml:space="preserve"> </w:t>
      </w:r>
      <w:r w:rsidRPr="00002C85">
        <w:rPr>
          <w:lang w:val="en-GB"/>
        </w:rPr>
        <w:t xml:space="preserve">to ensuring </w:t>
      </w:r>
      <w:r w:rsidR="0049138D">
        <w:rPr>
          <w:lang w:val="en-GB"/>
        </w:rPr>
        <w:t xml:space="preserve">that </w:t>
      </w:r>
      <w:r w:rsidR="00663EBC" w:rsidRPr="00002C85">
        <w:rPr>
          <w:b/>
          <w:lang w:val="en-GB"/>
        </w:rPr>
        <w:t>the current programmes between the border counties of Ireland and Northern Ireland</w:t>
      </w:r>
      <w:r w:rsidR="0049138D">
        <w:rPr>
          <w:b/>
          <w:lang w:val="en-GB"/>
        </w:rPr>
        <w:t xml:space="preserve"> </w:t>
      </w:r>
      <w:r w:rsidR="0049138D">
        <w:rPr>
          <w:lang w:val="en-GB"/>
        </w:rPr>
        <w:t>continue</w:t>
      </w:r>
      <w:r w:rsidR="009E5135">
        <w:rPr>
          <w:lang w:val="en-GB"/>
        </w:rPr>
        <w:t xml:space="preserve"> in all scenarios</w:t>
      </w:r>
      <w:r w:rsidR="00227B55">
        <w:rPr>
          <w:lang w:val="en-GB"/>
        </w:rPr>
        <w:t xml:space="preserve">, in view of the </w:t>
      </w:r>
      <w:r w:rsidR="00102513">
        <w:rPr>
          <w:lang w:val="en-GB"/>
        </w:rPr>
        <w:t>particular importance of regional cooperation in the area</w:t>
      </w:r>
      <w:r w:rsidRPr="00785D3E">
        <w:rPr>
          <w:lang w:val="en-GB"/>
        </w:rPr>
        <w:t>.</w:t>
      </w:r>
      <w:r w:rsidRPr="00002C85">
        <w:rPr>
          <w:lang w:val="en-GB"/>
        </w:rPr>
        <w:t xml:space="preserve"> To that end</w:t>
      </w:r>
      <w:r w:rsidR="007F3B37" w:rsidRPr="00002C85">
        <w:rPr>
          <w:lang w:val="en-GB"/>
        </w:rPr>
        <w:t xml:space="preserve">, the </w:t>
      </w:r>
      <w:r w:rsidR="00663EBC" w:rsidRPr="00002C85">
        <w:rPr>
          <w:lang w:val="en-GB"/>
        </w:rPr>
        <w:t xml:space="preserve">Commission has </w:t>
      </w:r>
      <w:r w:rsidRPr="00002C85">
        <w:rPr>
          <w:lang w:val="en-GB"/>
        </w:rPr>
        <w:t xml:space="preserve">today </w:t>
      </w:r>
      <w:r w:rsidR="00663EBC" w:rsidRPr="00002C85">
        <w:rPr>
          <w:lang w:val="en-GB"/>
        </w:rPr>
        <w:t>adopted the following act:</w:t>
      </w:r>
    </w:p>
    <w:p w:rsidR="00ED4B17" w:rsidRDefault="00663EBC" w:rsidP="00ED4B17">
      <w:pPr>
        <w:pStyle w:val="NormalWeb"/>
        <w:numPr>
          <w:ilvl w:val="0"/>
          <w:numId w:val="37"/>
        </w:numPr>
        <w:jc w:val="both"/>
        <w:rPr>
          <w:lang w:val="en-GB"/>
        </w:rPr>
      </w:pPr>
      <w:r w:rsidRPr="00ED4B17">
        <w:rPr>
          <w:lang w:val="en-GB"/>
        </w:rPr>
        <w:t xml:space="preserve">A </w:t>
      </w:r>
      <w:r w:rsidR="00ED4B17" w:rsidRPr="00ED4B17">
        <w:rPr>
          <w:lang w:val="en-GB"/>
        </w:rPr>
        <w:t>proposal for a Regulation</w:t>
      </w:r>
      <w:r>
        <w:rPr>
          <w:rStyle w:val="EndnoteReference"/>
          <w:lang w:val="en-GB"/>
        </w:rPr>
        <w:endnoteReference w:id="14"/>
      </w:r>
      <w:r w:rsidR="00ED4B17" w:rsidRPr="00ED4B17">
        <w:rPr>
          <w:lang w:val="en-GB"/>
        </w:rPr>
        <w:t xml:space="preserve"> to ensure the continuation of the PEACE </w:t>
      </w:r>
      <w:r w:rsidR="00C13E9E">
        <w:rPr>
          <w:lang w:val="en-GB"/>
        </w:rPr>
        <w:t>IV (</w:t>
      </w:r>
      <w:r w:rsidR="00ED4B17" w:rsidRPr="00ED4B17">
        <w:rPr>
          <w:lang w:val="en-GB"/>
        </w:rPr>
        <w:t>Ireland-U</w:t>
      </w:r>
      <w:r w:rsidR="00C13E9E">
        <w:rPr>
          <w:lang w:val="en-GB"/>
        </w:rPr>
        <w:t xml:space="preserve">nited </w:t>
      </w:r>
      <w:r w:rsidR="00ED4B17" w:rsidRPr="00ED4B17">
        <w:rPr>
          <w:lang w:val="en-GB"/>
        </w:rPr>
        <w:t>K</w:t>
      </w:r>
      <w:r w:rsidR="00C13E9E">
        <w:rPr>
          <w:lang w:val="en-GB"/>
        </w:rPr>
        <w:t>ingdom)</w:t>
      </w:r>
      <w:r w:rsidR="00ED4B17" w:rsidRPr="00ED4B17">
        <w:rPr>
          <w:lang w:val="en-GB"/>
        </w:rPr>
        <w:t xml:space="preserve"> </w:t>
      </w:r>
      <w:r w:rsidR="00ED4B17">
        <w:rPr>
          <w:lang w:val="en-GB"/>
        </w:rPr>
        <w:t xml:space="preserve">and the </w:t>
      </w:r>
      <w:r w:rsidR="00C13E9E">
        <w:rPr>
          <w:lang w:val="en-GB"/>
        </w:rPr>
        <w:t>United Kingdom-</w:t>
      </w:r>
      <w:r w:rsidR="00ED4B17" w:rsidRPr="00ED4B17">
        <w:rPr>
          <w:lang w:val="en-GB"/>
        </w:rPr>
        <w:t>Ireland (</w:t>
      </w:r>
      <w:r w:rsidR="00C13E9E">
        <w:rPr>
          <w:lang w:val="en-GB"/>
        </w:rPr>
        <w:t>Ireland-</w:t>
      </w:r>
      <w:r w:rsidR="00ED4B17" w:rsidRPr="00ED4B17">
        <w:rPr>
          <w:lang w:val="en-GB"/>
        </w:rPr>
        <w:t>Northern Ireland</w:t>
      </w:r>
      <w:r w:rsidR="00C13E9E">
        <w:rPr>
          <w:lang w:val="en-GB"/>
        </w:rPr>
        <w:t>-</w:t>
      </w:r>
      <w:r w:rsidR="00ED4B17" w:rsidRPr="00ED4B17">
        <w:rPr>
          <w:lang w:val="en-GB"/>
        </w:rPr>
        <w:t xml:space="preserve"> Scotland)</w:t>
      </w:r>
      <w:r w:rsidR="00ED4B17">
        <w:rPr>
          <w:lang w:val="en-GB"/>
        </w:rPr>
        <w:t xml:space="preserve"> </w:t>
      </w:r>
      <w:r w:rsidR="00B91A15">
        <w:rPr>
          <w:lang w:val="en-GB"/>
        </w:rPr>
        <w:t xml:space="preserve">programmes </w:t>
      </w:r>
      <w:r w:rsidR="00ED4B17">
        <w:rPr>
          <w:lang w:val="en-GB"/>
        </w:rPr>
        <w:t>until the end of the 2020.</w:t>
      </w:r>
    </w:p>
    <w:p w:rsidR="00C113F3" w:rsidRPr="006C5508" w:rsidRDefault="00C113F3" w:rsidP="00864BEB">
      <w:pPr>
        <w:pStyle w:val="NormalWeb"/>
        <w:spacing w:before="240" w:after="240"/>
        <w:jc w:val="both"/>
        <w:rPr>
          <w:lang w:val="en-US"/>
        </w:rPr>
      </w:pPr>
      <w:r>
        <w:rPr>
          <w:lang w:val="en-GB"/>
        </w:rPr>
        <w:t xml:space="preserve">The Commission underlines the fact that for the next Multi-Annual Financial Framework it has proposed to continue and to strengthen cross-border support for peace and reconciliation in </w:t>
      </w:r>
      <w:r w:rsidRPr="006C5508">
        <w:rPr>
          <w:lang w:val="en-US"/>
        </w:rPr>
        <w:t>the border counties of Ireland and Northern Ireland</w:t>
      </w:r>
      <w:r w:rsidR="00310D0C">
        <w:rPr>
          <w:rStyle w:val="FootnoteReference"/>
          <w:lang w:val="en-US"/>
        </w:rPr>
        <w:footnoteReference w:id="21"/>
      </w:r>
      <w:r>
        <w:rPr>
          <w:lang w:val="en-US"/>
        </w:rPr>
        <w:t>.</w:t>
      </w:r>
    </w:p>
    <w:p w:rsidR="00ED4B17" w:rsidRDefault="00300B13" w:rsidP="00864BEB">
      <w:pPr>
        <w:pStyle w:val="NormalWeb"/>
        <w:spacing w:before="240" w:after="240"/>
        <w:jc w:val="both"/>
        <w:rPr>
          <w:lang w:val="en-GB"/>
        </w:rPr>
      </w:pPr>
      <w:r>
        <w:rPr>
          <w:lang w:val="en-GB"/>
        </w:rPr>
        <w:t>Finally</w:t>
      </w:r>
      <w:r w:rsidR="009E5135">
        <w:rPr>
          <w:lang w:val="en-GB"/>
        </w:rPr>
        <w:t>,</w:t>
      </w:r>
      <w:r>
        <w:rPr>
          <w:lang w:val="en-GB"/>
        </w:rPr>
        <w:t xml:space="preserve"> and a</w:t>
      </w:r>
      <w:r w:rsidR="00ED4B17" w:rsidRPr="00002C85">
        <w:rPr>
          <w:lang w:val="en-GB"/>
        </w:rPr>
        <w:t>s a consequence of the withdrawal of the United Kingdom, certain adaptations to the rules on</w:t>
      </w:r>
      <w:r w:rsidR="00ED4B17" w:rsidRPr="00002C85">
        <w:rPr>
          <w:b/>
          <w:lang w:val="en-GB"/>
        </w:rPr>
        <w:t xml:space="preserve"> statistics</w:t>
      </w:r>
      <w:r w:rsidR="00ED4B17" w:rsidRPr="00002C85">
        <w:rPr>
          <w:lang w:val="en-GB"/>
        </w:rPr>
        <w:t xml:space="preserve"> are required. In that regard, the Commission has today adopted the following act:</w:t>
      </w:r>
    </w:p>
    <w:p w:rsidR="00ED4B17" w:rsidRDefault="00ED4B17" w:rsidP="00ED4B17">
      <w:pPr>
        <w:pStyle w:val="NormalWeb"/>
        <w:numPr>
          <w:ilvl w:val="0"/>
          <w:numId w:val="37"/>
        </w:numPr>
        <w:jc w:val="both"/>
        <w:rPr>
          <w:lang w:val="en-GB"/>
        </w:rPr>
      </w:pPr>
      <w:r>
        <w:rPr>
          <w:lang w:val="en-GB"/>
        </w:rPr>
        <w:t>A Commission Delegated Regulation</w:t>
      </w:r>
      <w:r w:rsidR="00813907">
        <w:rPr>
          <w:rStyle w:val="EndnoteReference"/>
          <w:lang w:val="en-GB"/>
        </w:rPr>
        <w:endnoteReference w:id="15"/>
      </w:r>
      <w:r>
        <w:rPr>
          <w:lang w:val="en-GB"/>
        </w:rPr>
        <w:t xml:space="preserve"> </w:t>
      </w:r>
      <w:r w:rsidR="007F3B37">
        <w:rPr>
          <w:lang w:val="en-GB"/>
        </w:rPr>
        <w:t xml:space="preserve">on the listing of the United Kingdom in </w:t>
      </w:r>
      <w:r>
        <w:rPr>
          <w:lang w:val="en-GB"/>
        </w:rPr>
        <w:t>statistics on the balance of payments, international trade in services and foreign direct investment</w:t>
      </w:r>
      <w:r w:rsidR="00813907">
        <w:rPr>
          <w:lang w:val="en-GB"/>
        </w:rPr>
        <w:t>.</w:t>
      </w:r>
    </w:p>
    <w:p w:rsidR="00397B51" w:rsidRPr="00397B51" w:rsidRDefault="00397B51" w:rsidP="00940FEB">
      <w:pPr>
        <w:pStyle w:val="NormalWeb"/>
        <w:numPr>
          <w:ilvl w:val="0"/>
          <w:numId w:val="29"/>
        </w:numPr>
        <w:spacing w:before="480"/>
        <w:ind w:hanging="720"/>
        <w:jc w:val="both"/>
        <w:rPr>
          <w:b/>
          <w:lang w:val="en-GB"/>
        </w:rPr>
      </w:pPr>
      <w:r w:rsidRPr="00397B51">
        <w:rPr>
          <w:b/>
          <w:lang w:val="en-GB"/>
        </w:rPr>
        <w:t>Next steps on contingency</w:t>
      </w:r>
    </w:p>
    <w:p w:rsidR="00B703D8" w:rsidRDefault="00B703D8" w:rsidP="00B703D8">
      <w:pPr>
        <w:spacing w:before="120" w:after="200"/>
        <w:jc w:val="both"/>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The Commission will continue to implement its Contingency Action Plan in the weeks to come. </w:t>
      </w:r>
      <w:r w:rsidR="00D951A3">
        <w:rPr>
          <w:rFonts w:ascii="Times New Roman" w:eastAsia="Times New Roman" w:hAnsi="Times New Roman"/>
          <w:sz w:val="24"/>
          <w:szCs w:val="24"/>
          <w:lang w:val="en-GB"/>
        </w:rPr>
        <w:t>It will continue to monitor the need for additional action.</w:t>
      </w:r>
    </w:p>
    <w:p w:rsidR="00100F08" w:rsidRPr="00100F08" w:rsidRDefault="009E5135" w:rsidP="00B703D8">
      <w:pPr>
        <w:spacing w:before="120" w:after="200"/>
        <w:jc w:val="both"/>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The </w:t>
      </w:r>
      <w:r w:rsidR="007B5E9F">
        <w:rPr>
          <w:rFonts w:ascii="Times New Roman" w:eastAsia="Times New Roman" w:hAnsi="Times New Roman"/>
          <w:sz w:val="24"/>
          <w:szCs w:val="24"/>
          <w:lang w:val="en-GB"/>
        </w:rPr>
        <w:t xml:space="preserve">close </w:t>
      </w:r>
      <w:r w:rsidR="00100F08" w:rsidRPr="00100F08">
        <w:rPr>
          <w:rFonts w:ascii="Times New Roman" w:eastAsia="Times New Roman" w:hAnsi="Times New Roman"/>
          <w:sz w:val="24"/>
          <w:szCs w:val="24"/>
          <w:lang w:val="en-GB"/>
        </w:rPr>
        <w:t xml:space="preserve">coordination </w:t>
      </w:r>
      <w:r w:rsidR="00D951A3">
        <w:rPr>
          <w:rFonts w:ascii="Times New Roman" w:eastAsia="Times New Roman" w:hAnsi="Times New Roman"/>
          <w:sz w:val="24"/>
          <w:szCs w:val="24"/>
          <w:lang w:val="en-GB"/>
        </w:rPr>
        <w:t xml:space="preserve">with </w:t>
      </w:r>
      <w:r w:rsidR="00100F08" w:rsidRPr="00100F08">
        <w:rPr>
          <w:rFonts w:ascii="Times New Roman" w:eastAsia="Times New Roman" w:hAnsi="Times New Roman"/>
          <w:sz w:val="24"/>
          <w:szCs w:val="24"/>
          <w:lang w:val="en-GB"/>
        </w:rPr>
        <w:t>Member States</w:t>
      </w:r>
      <w:r>
        <w:rPr>
          <w:rFonts w:ascii="Times New Roman" w:eastAsia="Times New Roman" w:hAnsi="Times New Roman"/>
          <w:sz w:val="24"/>
          <w:szCs w:val="24"/>
          <w:lang w:val="en-GB"/>
        </w:rPr>
        <w:t xml:space="preserve"> will continue</w:t>
      </w:r>
      <w:r w:rsidR="00D951A3">
        <w:rPr>
          <w:rFonts w:ascii="Times New Roman" w:eastAsia="Times New Roman" w:hAnsi="Times New Roman"/>
          <w:sz w:val="24"/>
          <w:szCs w:val="24"/>
          <w:lang w:val="en-GB"/>
        </w:rPr>
        <w:t>, including in sectoral seminars in</w:t>
      </w:r>
      <w:r w:rsidR="00100F08" w:rsidRPr="00100F08">
        <w:rPr>
          <w:rFonts w:ascii="Times New Roman" w:eastAsia="Times New Roman" w:hAnsi="Times New Roman"/>
          <w:sz w:val="24"/>
          <w:szCs w:val="24"/>
          <w:lang w:val="en-GB"/>
        </w:rPr>
        <w:t xml:space="preserve"> the </w:t>
      </w:r>
      <w:r w:rsidR="00633E79">
        <w:rPr>
          <w:rFonts w:ascii="Times New Roman" w:eastAsia="Times New Roman" w:hAnsi="Times New Roman"/>
          <w:sz w:val="24"/>
          <w:szCs w:val="24"/>
          <w:lang w:val="en-GB"/>
        </w:rPr>
        <w:t>Council</w:t>
      </w:r>
      <w:r w:rsidR="00100F08" w:rsidRPr="00100F08">
        <w:rPr>
          <w:rFonts w:ascii="Times New Roman" w:eastAsia="Times New Roman" w:hAnsi="Times New Roman"/>
          <w:sz w:val="24"/>
          <w:szCs w:val="24"/>
          <w:lang w:val="en-GB"/>
        </w:rPr>
        <w:t xml:space="preserve"> </w:t>
      </w:r>
      <w:r w:rsidR="00275F72">
        <w:rPr>
          <w:rFonts w:ascii="Times New Roman" w:eastAsia="Times New Roman" w:hAnsi="Times New Roman"/>
          <w:sz w:val="24"/>
          <w:szCs w:val="24"/>
          <w:lang w:val="en-GB"/>
        </w:rPr>
        <w:t>Working Party (Article</w:t>
      </w:r>
      <w:r w:rsidR="00633E79" w:rsidRPr="00100F08">
        <w:rPr>
          <w:rFonts w:ascii="Times New Roman" w:eastAsia="Times New Roman" w:hAnsi="Times New Roman"/>
          <w:sz w:val="24"/>
          <w:szCs w:val="24"/>
          <w:lang w:val="en-GB"/>
        </w:rPr>
        <w:t xml:space="preserve"> 50)</w:t>
      </w:r>
      <w:r w:rsidR="00D951A3">
        <w:rPr>
          <w:rFonts w:ascii="Times New Roman" w:eastAsia="Times New Roman" w:hAnsi="Times New Roman"/>
          <w:sz w:val="24"/>
          <w:szCs w:val="24"/>
          <w:lang w:val="en-GB"/>
        </w:rPr>
        <w:t>.</w:t>
      </w:r>
      <w:r w:rsidR="00100F08" w:rsidRPr="00100F08">
        <w:rPr>
          <w:rFonts w:ascii="Times New Roman" w:eastAsia="Times New Roman" w:hAnsi="Times New Roman"/>
          <w:sz w:val="24"/>
          <w:szCs w:val="24"/>
          <w:lang w:val="en-GB"/>
        </w:rPr>
        <w:t xml:space="preserve"> The Commission </w:t>
      </w:r>
      <w:r w:rsidR="00DA46BE">
        <w:rPr>
          <w:rFonts w:ascii="Times New Roman" w:eastAsia="Times New Roman" w:hAnsi="Times New Roman"/>
          <w:sz w:val="24"/>
          <w:szCs w:val="24"/>
          <w:lang w:val="en-GB"/>
        </w:rPr>
        <w:t xml:space="preserve">will </w:t>
      </w:r>
      <w:r w:rsidR="00100F08" w:rsidRPr="00100F08">
        <w:rPr>
          <w:rFonts w:ascii="Times New Roman" w:eastAsia="Times New Roman" w:hAnsi="Times New Roman"/>
          <w:sz w:val="24"/>
          <w:szCs w:val="24"/>
          <w:lang w:val="en-GB"/>
        </w:rPr>
        <w:t xml:space="preserve">participate in European Parliament and Council meetings on preparedness </w:t>
      </w:r>
      <w:r w:rsidR="00D951A3">
        <w:rPr>
          <w:rFonts w:ascii="Times New Roman" w:eastAsia="Times New Roman" w:hAnsi="Times New Roman"/>
          <w:sz w:val="24"/>
          <w:szCs w:val="24"/>
          <w:lang w:val="en-GB"/>
        </w:rPr>
        <w:t xml:space="preserve">and contingency </w:t>
      </w:r>
      <w:r w:rsidR="00100F08" w:rsidRPr="00100F08">
        <w:rPr>
          <w:rFonts w:ascii="Times New Roman" w:eastAsia="Times New Roman" w:hAnsi="Times New Roman"/>
          <w:sz w:val="24"/>
          <w:szCs w:val="24"/>
          <w:lang w:val="en-GB"/>
        </w:rPr>
        <w:t xml:space="preserve">issues </w:t>
      </w:r>
      <w:r w:rsidR="009D0D8E">
        <w:rPr>
          <w:rFonts w:ascii="Times New Roman" w:eastAsia="Times New Roman" w:hAnsi="Times New Roman"/>
          <w:sz w:val="24"/>
          <w:szCs w:val="24"/>
          <w:lang w:val="en-GB"/>
        </w:rPr>
        <w:t>as often as</w:t>
      </w:r>
      <w:r w:rsidR="00100F08" w:rsidRPr="00100F08">
        <w:rPr>
          <w:rFonts w:ascii="Times New Roman" w:eastAsia="Times New Roman" w:hAnsi="Times New Roman"/>
          <w:sz w:val="24"/>
          <w:szCs w:val="24"/>
          <w:lang w:val="en-GB"/>
        </w:rPr>
        <w:t xml:space="preserve"> necessary. </w:t>
      </w:r>
    </w:p>
    <w:p w:rsidR="00B91A15" w:rsidRDefault="00B91A15">
      <w:pPr>
        <w:spacing w:before="240" w:after="200"/>
        <w:jc w:val="both"/>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The Commission calls on the co-legislators to </w:t>
      </w:r>
      <w:r w:rsidRPr="00002C85">
        <w:rPr>
          <w:rFonts w:ascii="Times New Roman" w:hAnsi="Times New Roman"/>
          <w:b/>
          <w:sz w:val="24"/>
          <w:lang w:val="en-GB"/>
        </w:rPr>
        <w:t>ensure the adoption of the proposed legislative acts</w:t>
      </w:r>
      <w:r w:rsidR="00102513">
        <w:rPr>
          <w:rFonts w:ascii="Times New Roman" w:eastAsia="Times New Roman" w:hAnsi="Times New Roman"/>
          <w:sz w:val="24"/>
          <w:szCs w:val="24"/>
          <w:lang w:val="en-GB"/>
        </w:rPr>
        <w:t xml:space="preserve"> so that they are in force by the date of the withdrawal of the United Kingdom</w:t>
      </w:r>
      <w:r>
        <w:rPr>
          <w:rFonts w:ascii="Times New Roman" w:eastAsia="Times New Roman" w:hAnsi="Times New Roman"/>
          <w:sz w:val="24"/>
          <w:szCs w:val="24"/>
          <w:lang w:val="en-GB"/>
        </w:rPr>
        <w:t>.</w:t>
      </w:r>
      <w:r w:rsidR="00B955EB">
        <w:rPr>
          <w:rFonts w:ascii="Times New Roman" w:eastAsia="Times New Roman" w:hAnsi="Times New Roman"/>
          <w:sz w:val="24"/>
          <w:szCs w:val="24"/>
          <w:lang w:val="en-GB"/>
        </w:rPr>
        <w:t xml:space="preserve"> The Commission also highlights to the European Parliament and to the Council that it is important </w:t>
      </w:r>
      <w:r w:rsidR="00C113F3">
        <w:rPr>
          <w:rFonts w:ascii="Times New Roman" w:eastAsia="Times New Roman" w:hAnsi="Times New Roman"/>
          <w:sz w:val="24"/>
          <w:szCs w:val="24"/>
          <w:lang w:val="en-GB"/>
        </w:rPr>
        <w:t xml:space="preserve">for </w:t>
      </w:r>
      <w:r w:rsidR="00B955EB">
        <w:rPr>
          <w:rFonts w:ascii="Times New Roman" w:eastAsia="Times New Roman" w:hAnsi="Times New Roman"/>
          <w:sz w:val="24"/>
          <w:szCs w:val="24"/>
          <w:lang w:val="en-GB"/>
        </w:rPr>
        <w:t xml:space="preserve">delegated acts </w:t>
      </w:r>
      <w:r w:rsidR="00C113F3">
        <w:rPr>
          <w:rFonts w:ascii="Times New Roman" w:eastAsia="Times New Roman" w:hAnsi="Times New Roman"/>
          <w:sz w:val="24"/>
          <w:szCs w:val="24"/>
          <w:lang w:val="en-GB"/>
        </w:rPr>
        <w:t xml:space="preserve">to </w:t>
      </w:r>
      <w:r w:rsidR="00B955EB">
        <w:rPr>
          <w:rFonts w:ascii="Times New Roman" w:eastAsia="Times New Roman" w:hAnsi="Times New Roman"/>
          <w:sz w:val="24"/>
          <w:szCs w:val="24"/>
          <w:lang w:val="en-GB"/>
        </w:rPr>
        <w:t xml:space="preserve">enter into force as rapidly as possible. </w:t>
      </w:r>
    </w:p>
    <w:p w:rsidR="003E3F27" w:rsidRPr="002326F6" w:rsidRDefault="00B91A15">
      <w:pPr>
        <w:spacing w:before="240" w:after="200"/>
        <w:jc w:val="both"/>
        <w:rPr>
          <w:rFonts w:ascii="Times New Roman" w:eastAsia="Times New Roman" w:hAnsi="Times New Roman"/>
          <w:sz w:val="24"/>
          <w:szCs w:val="24"/>
          <w:lang w:val="en-GB"/>
        </w:rPr>
      </w:pPr>
      <w:r>
        <w:rPr>
          <w:rFonts w:ascii="Times New Roman" w:eastAsia="Times New Roman" w:hAnsi="Times New Roman"/>
          <w:sz w:val="24"/>
          <w:szCs w:val="24"/>
          <w:lang w:val="en-GB"/>
        </w:rPr>
        <w:t>Finally, t</w:t>
      </w:r>
      <w:r w:rsidR="00C95C66" w:rsidRPr="002326F6">
        <w:rPr>
          <w:rFonts w:ascii="Times New Roman" w:eastAsia="Times New Roman" w:hAnsi="Times New Roman"/>
          <w:sz w:val="24"/>
          <w:szCs w:val="24"/>
          <w:lang w:val="en-GB"/>
        </w:rPr>
        <w:t xml:space="preserve">he Commission </w:t>
      </w:r>
      <w:r w:rsidR="00D951A3">
        <w:rPr>
          <w:rFonts w:ascii="Times New Roman" w:eastAsia="Times New Roman" w:hAnsi="Times New Roman"/>
          <w:sz w:val="24"/>
          <w:szCs w:val="24"/>
          <w:lang w:val="en-GB"/>
        </w:rPr>
        <w:t>reiterates it</w:t>
      </w:r>
      <w:r w:rsidR="00FE4D53">
        <w:rPr>
          <w:rFonts w:ascii="Times New Roman" w:eastAsia="Times New Roman" w:hAnsi="Times New Roman"/>
          <w:sz w:val="24"/>
          <w:szCs w:val="24"/>
          <w:lang w:val="en-GB"/>
        </w:rPr>
        <w:t>s</w:t>
      </w:r>
      <w:r w:rsidR="00D951A3">
        <w:rPr>
          <w:rFonts w:ascii="Times New Roman" w:eastAsia="Times New Roman" w:hAnsi="Times New Roman"/>
          <w:sz w:val="24"/>
          <w:szCs w:val="24"/>
          <w:lang w:val="en-GB"/>
        </w:rPr>
        <w:t xml:space="preserve"> </w:t>
      </w:r>
      <w:r w:rsidR="00C95C66" w:rsidRPr="002326F6">
        <w:rPr>
          <w:rFonts w:ascii="Times New Roman" w:eastAsia="Times New Roman" w:hAnsi="Times New Roman"/>
          <w:sz w:val="24"/>
          <w:szCs w:val="24"/>
          <w:lang w:val="en-GB"/>
        </w:rPr>
        <w:t xml:space="preserve">calls on Member States to </w:t>
      </w:r>
      <w:r w:rsidR="00C95C66" w:rsidRPr="00350CD3">
        <w:rPr>
          <w:rFonts w:ascii="Times New Roman" w:eastAsia="Times New Roman" w:hAnsi="Times New Roman"/>
          <w:b/>
          <w:sz w:val="24"/>
          <w:szCs w:val="24"/>
          <w:lang w:val="en-GB"/>
        </w:rPr>
        <w:t xml:space="preserve">remain united </w:t>
      </w:r>
      <w:r w:rsidR="00350CD3" w:rsidRPr="00350CD3">
        <w:rPr>
          <w:rFonts w:ascii="Times New Roman" w:eastAsia="Times New Roman" w:hAnsi="Times New Roman"/>
          <w:b/>
          <w:sz w:val="24"/>
          <w:szCs w:val="24"/>
          <w:lang w:val="en-GB"/>
        </w:rPr>
        <w:t>also as regards contingency action</w:t>
      </w:r>
      <w:r w:rsidR="009D0D8E">
        <w:rPr>
          <w:rFonts w:ascii="Times New Roman" w:eastAsia="Times New Roman" w:hAnsi="Times New Roman"/>
          <w:sz w:val="24"/>
          <w:szCs w:val="24"/>
          <w:lang w:val="en-GB"/>
        </w:rPr>
        <w:t>, refraining from</w:t>
      </w:r>
      <w:r w:rsidR="00C95C66" w:rsidRPr="002326F6">
        <w:rPr>
          <w:rFonts w:ascii="Times New Roman" w:eastAsia="Times New Roman" w:hAnsi="Times New Roman"/>
          <w:sz w:val="24"/>
          <w:szCs w:val="24"/>
          <w:lang w:val="en-GB"/>
        </w:rPr>
        <w:t xml:space="preserve"> bilateral </w:t>
      </w:r>
      <w:r w:rsidR="002C4548">
        <w:rPr>
          <w:rFonts w:ascii="Times New Roman" w:eastAsia="Times New Roman" w:hAnsi="Times New Roman"/>
          <w:sz w:val="24"/>
          <w:szCs w:val="24"/>
          <w:lang w:val="en-GB"/>
        </w:rPr>
        <w:t>arrangements that</w:t>
      </w:r>
      <w:r w:rsidR="009D0D8E">
        <w:rPr>
          <w:rFonts w:ascii="Times New Roman" w:eastAsia="Times New Roman" w:hAnsi="Times New Roman"/>
          <w:sz w:val="24"/>
          <w:szCs w:val="24"/>
          <w:lang w:val="en-GB"/>
        </w:rPr>
        <w:t xml:space="preserve"> </w:t>
      </w:r>
      <w:r w:rsidR="00C95C66" w:rsidRPr="002326F6">
        <w:rPr>
          <w:rFonts w:ascii="Times New Roman" w:eastAsia="Times New Roman" w:hAnsi="Times New Roman"/>
          <w:sz w:val="24"/>
          <w:szCs w:val="24"/>
          <w:lang w:val="en-GB"/>
        </w:rPr>
        <w:t xml:space="preserve">would </w:t>
      </w:r>
      <w:r w:rsidR="009D0D8E">
        <w:rPr>
          <w:rFonts w:ascii="Times New Roman" w:eastAsia="Times New Roman" w:hAnsi="Times New Roman"/>
          <w:sz w:val="24"/>
          <w:szCs w:val="24"/>
          <w:lang w:val="en-GB"/>
        </w:rPr>
        <w:t xml:space="preserve">be </w:t>
      </w:r>
      <w:r w:rsidR="00C95C66" w:rsidRPr="002326F6">
        <w:rPr>
          <w:rFonts w:ascii="Times New Roman" w:eastAsia="Times New Roman" w:hAnsi="Times New Roman"/>
          <w:sz w:val="24"/>
          <w:szCs w:val="24"/>
          <w:lang w:val="en-GB"/>
        </w:rPr>
        <w:t xml:space="preserve">incompatible with </w:t>
      </w:r>
      <w:r w:rsidR="00350CD3">
        <w:rPr>
          <w:rFonts w:ascii="Times New Roman" w:eastAsia="Times New Roman" w:hAnsi="Times New Roman"/>
          <w:sz w:val="24"/>
          <w:szCs w:val="24"/>
          <w:lang w:val="en-GB"/>
        </w:rPr>
        <w:t xml:space="preserve">EU law and </w:t>
      </w:r>
      <w:r w:rsidR="00C113F3">
        <w:rPr>
          <w:rFonts w:ascii="Times New Roman" w:eastAsia="Times New Roman" w:hAnsi="Times New Roman"/>
          <w:sz w:val="24"/>
          <w:szCs w:val="24"/>
          <w:lang w:val="en-GB"/>
        </w:rPr>
        <w:t>which can</w:t>
      </w:r>
      <w:r w:rsidR="00983558">
        <w:rPr>
          <w:rFonts w:ascii="Times New Roman" w:eastAsia="Times New Roman" w:hAnsi="Times New Roman"/>
          <w:sz w:val="24"/>
          <w:szCs w:val="24"/>
          <w:lang w:val="en-GB"/>
        </w:rPr>
        <w:t xml:space="preserve">not achieve the same results </w:t>
      </w:r>
      <w:r w:rsidR="00350CD3">
        <w:rPr>
          <w:rFonts w:ascii="Times New Roman" w:eastAsia="Times New Roman" w:hAnsi="Times New Roman"/>
          <w:sz w:val="24"/>
          <w:szCs w:val="24"/>
          <w:lang w:val="en-GB"/>
        </w:rPr>
        <w:t>as action</w:t>
      </w:r>
      <w:r w:rsidR="009E5135">
        <w:rPr>
          <w:rFonts w:ascii="Times New Roman" w:eastAsia="Times New Roman" w:hAnsi="Times New Roman"/>
          <w:sz w:val="24"/>
          <w:szCs w:val="24"/>
          <w:lang w:val="en-GB"/>
        </w:rPr>
        <w:t xml:space="preserve"> at the EU level</w:t>
      </w:r>
      <w:r w:rsidR="00350CD3">
        <w:rPr>
          <w:rFonts w:ascii="Times New Roman" w:eastAsia="Times New Roman" w:hAnsi="Times New Roman"/>
          <w:sz w:val="24"/>
          <w:szCs w:val="24"/>
          <w:lang w:val="en-GB"/>
        </w:rPr>
        <w:t xml:space="preserve">. Such arrangements </w:t>
      </w:r>
      <w:r w:rsidR="00833282">
        <w:rPr>
          <w:rFonts w:ascii="Times New Roman" w:eastAsia="Times New Roman" w:hAnsi="Times New Roman"/>
          <w:sz w:val="24"/>
          <w:szCs w:val="24"/>
          <w:lang w:val="en-GB"/>
        </w:rPr>
        <w:t>would also complicate the establishment of any future relationship between the EU and the United Kingdom</w:t>
      </w:r>
      <w:r w:rsidR="00C95C66" w:rsidRPr="002326F6">
        <w:rPr>
          <w:rFonts w:ascii="Times New Roman" w:eastAsia="Times New Roman" w:hAnsi="Times New Roman"/>
          <w:sz w:val="24"/>
          <w:szCs w:val="24"/>
          <w:lang w:val="en-GB"/>
        </w:rPr>
        <w:t xml:space="preserve">. </w:t>
      </w:r>
    </w:p>
    <w:p w:rsidR="003E3F27" w:rsidRPr="0092626A" w:rsidRDefault="00C95C66" w:rsidP="00742DF9">
      <w:pPr>
        <w:spacing w:after="200"/>
        <w:jc w:val="center"/>
        <w:rPr>
          <w:rFonts w:ascii="Times New Roman" w:hAnsi="Times New Roman"/>
          <w:b/>
          <w:lang w:val="en-GB"/>
        </w:rPr>
      </w:pPr>
      <w:r w:rsidRPr="002326F6">
        <w:rPr>
          <w:lang w:val="en-GB"/>
        </w:rPr>
        <w:br w:type="page"/>
      </w:r>
    </w:p>
    <w:p w:rsidR="00742DF9" w:rsidRPr="0092626A" w:rsidRDefault="00742DF9" w:rsidP="00002C85">
      <w:pPr>
        <w:spacing w:after="200"/>
        <w:jc w:val="center"/>
        <w:rPr>
          <w:rFonts w:ascii="Times New Roman" w:eastAsia="Times New Roman" w:hAnsi="Times New Roman"/>
          <w:b/>
          <w:sz w:val="24"/>
          <w:szCs w:val="24"/>
          <w:lang w:val="en-GB"/>
        </w:rPr>
      </w:pPr>
      <w:r w:rsidRPr="0092626A">
        <w:rPr>
          <w:rFonts w:ascii="Times New Roman" w:hAnsi="Times New Roman"/>
          <w:b/>
          <w:lang w:val="en-GB"/>
        </w:rPr>
        <w:t>List of legal acts adopted by the Commission</w:t>
      </w:r>
    </w:p>
    <w:sectPr w:rsidR="00742DF9" w:rsidRPr="0092626A">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BC0" w:rsidRDefault="008D2BC0">
      <w:r>
        <w:separator/>
      </w:r>
    </w:p>
  </w:endnote>
  <w:endnote w:type="continuationSeparator" w:id="0">
    <w:p w:rsidR="008D2BC0" w:rsidRDefault="008D2BC0">
      <w:r>
        <w:continuationSeparator/>
      </w:r>
    </w:p>
  </w:endnote>
  <w:endnote w:type="continuationNotice" w:id="1">
    <w:p w:rsidR="008D2BC0" w:rsidRDefault="008D2BC0"/>
  </w:endnote>
  <w:endnote w:id="2">
    <w:p w:rsidR="008F535F" w:rsidRPr="00726A0B" w:rsidRDefault="008F535F" w:rsidP="00742DF9">
      <w:pPr>
        <w:pStyle w:val="EndnoteText"/>
        <w:spacing w:before="120" w:after="120"/>
        <w:ind w:left="720" w:hanging="720"/>
        <w:jc w:val="both"/>
        <w:rPr>
          <w:lang w:val="en-GB"/>
        </w:rPr>
      </w:pPr>
      <w:r>
        <w:rPr>
          <w:rStyle w:val="EndnoteReference"/>
        </w:rPr>
        <w:endnoteRef/>
      </w:r>
      <w:r w:rsidRPr="00726A0B">
        <w:rPr>
          <w:lang w:val="en-GB"/>
        </w:rPr>
        <w:t xml:space="preserve"> </w:t>
      </w:r>
      <w:r>
        <w:rPr>
          <w:lang w:val="en-GB"/>
        </w:rPr>
        <w:tab/>
      </w:r>
      <w:r w:rsidR="00D57FBC">
        <w:rPr>
          <w:rFonts w:ascii="Times New Roman" w:hAnsi="Times New Roman"/>
          <w:lang w:val="en-GB"/>
        </w:rPr>
        <w:t>Commission I</w:t>
      </w:r>
      <w:r w:rsidRPr="00C35280">
        <w:rPr>
          <w:rFonts w:ascii="Times New Roman" w:hAnsi="Times New Roman"/>
          <w:lang w:val="en-GB"/>
        </w:rPr>
        <w:t xml:space="preserve">mplementing Decision (EU) </w:t>
      </w:r>
      <w:r w:rsidR="008F4EA5" w:rsidRPr="008F4EA5">
        <w:rPr>
          <w:rFonts w:ascii="Times New Roman" w:hAnsi="Times New Roman"/>
          <w:lang w:val="en-GB"/>
        </w:rPr>
        <w:t>determining, for a limited period of time, that the regulatory framework applicable to central counterparties in the United Kingdom of Great Britain and Northern Ireland is equivalent, in accordance with Regulation (EU) No 648/2012 of the European Parliament and of the Council</w:t>
      </w:r>
      <w:r w:rsidR="001F072D">
        <w:rPr>
          <w:rFonts w:ascii="Times New Roman" w:hAnsi="Times New Roman"/>
          <w:lang w:val="en-GB"/>
        </w:rPr>
        <w:t xml:space="preserve"> (C(2018)</w:t>
      </w:r>
      <w:r w:rsidR="001B7FD9">
        <w:rPr>
          <w:rFonts w:ascii="Times New Roman" w:hAnsi="Times New Roman"/>
          <w:lang w:val="en-GB"/>
        </w:rPr>
        <w:t> </w:t>
      </w:r>
      <w:r w:rsidR="001F072D">
        <w:rPr>
          <w:rFonts w:ascii="Times New Roman" w:hAnsi="Times New Roman"/>
          <w:lang w:val="en-GB"/>
        </w:rPr>
        <w:t>9139)</w:t>
      </w:r>
      <w:r>
        <w:rPr>
          <w:rFonts w:ascii="Times New Roman" w:hAnsi="Times New Roman"/>
          <w:lang w:val="en-GB"/>
        </w:rPr>
        <w:t>.</w:t>
      </w:r>
    </w:p>
  </w:endnote>
  <w:endnote w:id="3">
    <w:p w:rsidR="008F535F" w:rsidRPr="00726A0B" w:rsidRDefault="008F535F" w:rsidP="00742DF9">
      <w:pPr>
        <w:pStyle w:val="EndnoteText"/>
        <w:spacing w:before="120" w:after="120"/>
        <w:ind w:left="720" w:hanging="720"/>
        <w:jc w:val="both"/>
        <w:rPr>
          <w:lang w:val="en-GB"/>
        </w:rPr>
      </w:pPr>
      <w:r>
        <w:rPr>
          <w:rStyle w:val="EndnoteReference"/>
        </w:rPr>
        <w:endnoteRef/>
      </w:r>
      <w:r w:rsidRPr="00726A0B">
        <w:rPr>
          <w:lang w:val="en-GB"/>
        </w:rPr>
        <w:t xml:space="preserve"> </w:t>
      </w:r>
      <w:r w:rsidRPr="00726A0B">
        <w:rPr>
          <w:lang w:val="en-GB"/>
        </w:rPr>
        <w:tab/>
      </w:r>
      <w:r w:rsidRPr="00B155FB">
        <w:rPr>
          <w:rFonts w:ascii="Times New Roman" w:hAnsi="Times New Roman"/>
          <w:lang w:val="en-GB"/>
        </w:rPr>
        <w:t xml:space="preserve">Commission </w:t>
      </w:r>
      <w:r w:rsidR="00D57FBC">
        <w:rPr>
          <w:rFonts w:ascii="Times New Roman" w:hAnsi="Times New Roman"/>
          <w:lang w:val="en-GB"/>
        </w:rPr>
        <w:t>I</w:t>
      </w:r>
      <w:r w:rsidRPr="00B155FB">
        <w:rPr>
          <w:rFonts w:ascii="Times New Roman" w:hAnsi="Times New Roman"/>
          <w:lang w:val="en-GB"/>
        </w:rPr>
        <w:t xml:space="preserve">mplementing Decision (EU) </w:t>
      </w:r>
      <w:r w:rsidR="007A307A" w:rsidRPr="007A307A">
        <w:rPr>
          <w:rFonts w:ascii="Times New Roman" w:hAnsi="Times New Roman"/>
          <w:lang w:val="en-GB"/>
        </w:rPr>
        <w:t>determining, for a limited period of time, that the regulatory framework applicable to central securities depositories of the United Kingdom of Great Britain and Northern Ireland is equivalent in accordance with Regulation (EU) No 909/2014 of the European Parliament and of the Council</w:t>
      </w:r>
      <w:r w:rsidR="001F072D">
        <w:rPr>
          <w:rFonts w:ascii="Times New Roman" w:hAnsi="Times New Roman"/>
          <w:lang w:val="en-GB"/>
        </w:rPr>
        <w:t xml:space="preserve"> (C(2018)</w:t>
      </w:r>
      <w:r w:rsidR="001B7FD9">
        <w:rPr>
          <w:rFonts w:ascii="Times New Roman" w:hAnsi="Times New Roman"/>
          <w:lang w:val="en-GB"/>
        </w:rPr>
        <w:t> </w:t>
      </w:r>
      <w:r w:rsidR="001F072D">
        <w:rPr>
          <w:rFonts w:ascii="Times New Roman" w:hAnsi="Times New Roman"/>
          <w:lang w:val="en-GB"/>
        </w:rPr>
        <w:t>9138)</w:t>
      </w:r>
      <w:r w:rsidR="007A307A">
        <w:rPr>
          <w:rFonts w:ascii="Times New Roman" w:hAnsi="Times New Roman"/>
          <w:lang w:val="en-GB"/>
        </w:rPr>
        <w:t>.</w:t>
      </w:r>
    </w:p>
  </w:endnote>
  <w:endnote w:id="4">
    <w:p w:rsidR="008F535F" w:rsidRPr="00327A45" w:rsidRDefault="008F535F" w:rsidP="001255F6">
      <w:pPr>
        <w:pStyle w:val="EndnoteText"/>
        <w:spacing w:before="120" w:after="120"/>
        <w:ind w:left="720" w:hanging="720"/>
        <w:jc w:val="both"/>
        <w:rPr>
          <w:lang w:val="en-GB"/>
        </w:rPr>
      </w:pPr>
      <w:r>
        <w:rPr>
          <w:rStyle w:val="EndnoteReference"/>
        </w:rPr>
        <w:endnoteRef/>
      </w:r>
      <w:r w:rsidRPr="00327A45">
        <w:rPr>
          <w:lang w:val="en-GB"/>
        </w:rPr>
        <w:t xml:space="preserve"> </w:t>
      </w:r>
      <w:r w:rsidRPr="00327A45">
        <w:rPr>
          <w:lang w:val="en-GB"/>
        </w:rPr>
        <w:tab/>
      </w:r>
      <w:r w:rsidRPr="00400632">
        <w:rPr>
          <w:rFonts w:ascii="Times New Roman" w:hAnsi="Times New Roman"/>
          <w:lang w:val="en-GB"/>
        </w:rPr>
        <w:t xml:space="preserve">Commission Delegated Regulation (EU) amending </w:t>
      </w:r>
      <w:r w:rsidR="00105FCF">
        <w:rPr>
          <w:rFonts w:ascii="Times New Roman" w:hAnsi="Times New Roman"/>
          <w:lang w:val="en-GB"/>
        </w:rPr>
        <w:t xml:space="preserve">Commission </w:t>
      </w:r>
      <w:r w:rsidRPr="00400632">
        <w:rPr>
          <w:rFonts w:ascii="Times New Roman" w:hAnsi="Times New Roman"/>
          <w:lang w:val="en-GB"/>
        </w:rPr>
        <w:t xml:space="preserve">Delegated Regulation (EU) 2015/2205, </w:t>
      </w:r>
      <w:r w:rsidR="00105FCF">
        <w:rPr>
          <w:rFonts w:ascii="Times New Roman" w:hAnsi="Times New Roman"/>
          <w:lang w:val="en-GB"/>
        </w:rPr>
        <w:t xml:space="preserve">Commission </w:t>
      </w:r>
      <w:r w:rsidRPr="00400632">
        <w:rPr>
          <w:rFonts w:ascii="Times New Roman" w:hAnsi="Times New Roman"/>
          <w:lang w:val="en-GB"/>
        </w:rPr>
        <w:t xml:space="preserve">Delegated Regulation (EU) 2016/592 and </w:t>
      </w:r>
      <w:r w:rsidR="00105FCF">
        <w:rPr>
          <w:rFonts w:ascii="Times New Roman" w:hAnsi="Times New Roman"/>
          <w:lang w:val="en-GB"/>
        </w:rPr>
        <w:t xml:space="preserve">Commission </w:t>
      </w:r>
      <w:r w:rsidRPr="00400632">
        <w:rPr>
          <w:rFonts w:ascii="Times New Roman" w:hAnsi="Times New Roman"/>
          <w:lang w:val="en-GB"/>
        </w:rPr>
        <w:t xml:space="preserve">Delegated Regulation (EU) 2016/1178 supplementing Regulation (EU) No 648/2012 of the European Parliament and of the Council </w:t>
      </w:r>
      <w:r w:rsidR="00105FCF">
        <w:rPr>
          <w:rFonts w:ascii="Times New Roman" w:hAnsi="Times New Roman"/>
          <w:lang w:val="en-GB"/>
        </w:rPr>
        <w:t xml:space="preserve">as regards the date at which </w:t>
      </w:r>
      <w:r w:rsidRPr="00400632">
        <w:rPr>
          <w:rFonts w:ascii="Times New Roman" w:hAnsi="Times New Roman"/>
          <w:lang w:val="en-GB"/>
        </w:rPr>
        <w:t xml:space="preserve">the clearing obligation </w:t>
      </w:r>
      <w:r w:rsidR="00105FCF">
        <w:rPr>
          <w:rFonts w:ascii="Times New Roman" w:hAnsi="Times New Roman"/>
          <w:lang w:val="en-GB"/>
        </w:rPr>
        <w:t xml:space="preserve">takes effect for </w:t>
      </w:r>
      <w:r w:rsidRPr="00400632">
        <w:rPr>
          <w:rFonts w:ascii="Times New Roman" w:hAnsi="Times New Roman"/>
          <w:lang w:val="en-GB"/>
        </w:rPr>
        <w:t xml:space="preserve">certain </w:t>
      </w:r>
      <w:r w:rsidR="00310D0C">
        <w:rPr>
          <w:rFonts w:ascii="Times New Roman" w:hAnsi="Times New Roman"/>
          <w:lang w:val="en-GB"/>
        </w:rPr>
        <w:t>types</w:t>
      </w:r>
      <w:r w:rsidR="00FE4D53">
        <w:rPr>
          <w:rFonts w:ascii="Times New Roman" w:hAnsi="Times New Roman"/>
          <w:lang w:val="en-GB"/>
        </w:rPr>
        <w:t xml:space="preserve"> of</w:t>
      </w:r>
      <w:r w:rsidRPr="00400632">
        <w:rPr>
          <w:rFonts w:ascii="Times New Roman" w:hAnsi="Times New Roman"/>
          <w:lang w:val="en-GB"/>
        </w:rPr>
        <w:t xml:space="preserve"> contracts</w:t>
      </w:r>
      <w:r w:rsidR="001F072D">
        <w:rPr>
          <w:rFonts w:ascii="Times New Roman" w:hAnsi="Times New Roman"/>
          <w:lang w:val="en-GB"/>
        </w:rPr>
        <w:t xml:space="preserve">  (C(2018)</w:t>
      </w:r>
      <w:r w:rsidR="001B7FD9">
        <w:rPr>
          <w:rFonts w:ascii="Times New Roman" w:hAnsi="Times New Roman"/>
          <w:lang w:val="en-GB"/>
        </w:rPr>
        <w:t> </w:t>
      </w:r>
      <w:r w:rsidR="001F072D">
        <w:rPr>
          <w:rFonts w:ascii="Times New Roman" w:hAnsi="Times New Roman"/>
          <w:lang w:val="en-GB"/>
        </w:rPr>
        <w:t>9122)</w:t>
      </w:r>
      <w:r>
        <w:rPr>
          <w:rFonts w:ascii="Times New Roman" w:hAnsi="Times New Roman"/>
          <w:lang w:val="en-GB"/>
        </w:rPr>
        <w:t>.</w:t>
      </w:r>
    </w:p>
  </w:endnote>
  <w:endnote w:id="5">
    <w:p w:rsidR="008F535F" w:rsidRPr="00327A45" w:rsidRDefault="008F535F" w:rsidP="00742DF9">
      <w:pPr>
        <w:pStyle w:val="EndnoteText"/>
        <w:spacing w:before="120" w:after="120"/>
        <w:ind w:left="720" w:hanging="720"/>
        <w:jc w:val="both"/>
        <w:rPr>
          <w:lang w:val="en-GB"/>
        </w:rPr>
      </w:pPr>
      <w:r>
        <w:rPr>
          <w:rStyle w:val="EndnoteReference"/>
        </w:rPr>
        <w:endnoteRef/>
      </w:r>
      <w:r w:rsidRPr="00327A45">
        <w:rPr>
          <w:lang w:val="en-GB"/>
        </w:rPr>
        <w:t xml:space="preserve"> </w:t>
      </w:r>
      <w:r w:rsidRPr="00327A45">
        <w:rPr>
          <w:lang w:val="en-GB"/>
        </w:rPr>
        <w:tab/>
      </w:r>
      <w:r w:rsidRPr="00B155FB">
        <w:rPr>
          <w:rFonts w:ascii="Times New Roman" w:hAnsi="Times New Roman"/>
          <w:lang w:val="en-GB"/>
        </w:rPr>
        <w:t>Commission Delegated Regulation (EU) amending Delegated Regulation (EU) 2016/2251 supplementing Regulation (EU) No 648/2012 of the European Parliament and of the Council as regards the date until which counterparties may continue to apply their risk-management procedures for certain OTC derivative contracts not cleared by a CCP</w:t>
      </w:r>
      <w:r w:rsidR="001F072D">
        <w:rPr>
          <w:rFonts w:ascii="Times New Roman" w:hAnsi="Times New Roman"/>
          <w:lang w:val="en-GB"/>
        </w:rPr>
        <w:t xml:space="preserve"> (</w:t>
      </w:r>
      <w:r w:rsidR="001F072D" w:rsidRPr="001F072D">
        <w:rPr>
          <w:rFonts w:ascii="Times New Roman" w:hAnsi="Times New Roman"/>
          <w:lang w:val="en-GB"/>
        </w:rPr>
        <w:t>C(2018)</w:t>
      </w:r>
      <w:r w:rsidR="001B7FD9">
        <w:rPr>
          <w:rFonts w:ascii="Times New Roman" w:hAnsi="Times New Roman"/>
          <w:lang w:val="en-GB"/>
        </w:rPr>
        <w:t> </w:t>
      </w:r>
      <w:r w:rsidR="001F072D" w:rsidRPr="001F072D">
        <w:rPr>
          <w:rFonts w:ascii="Times New Roman" w:hAnsi="Times New Roman"/>
          <w:lang w:val="en-GB"/>
        </w:rPr>
        <w:t>9118</w:t>
      </w:r>
      <w:r w:rsidR="001F072D">
        <w:rPr>
          <w:rFonts w:ascii="Times New Roman" w:hAnsi="Times New Roman"/>
          <w:lang w:val="en-GB"/>
        </w:rPr>
        <w:t>)</w:t>
      </w:r>
      <w:r>
        <w:rPr>
          <w:rFonts w:ascii="Times New Roman" w:hAnsi="Times New Roman"/>
          <w:lang w:val="en-GB"/>
        </w:rPr>
        <w:t>.</w:t>
      </w:r>
    </w:p>
  </w:endnote>
  <w:endnote w:id="6">
    <w:p w:rsidR="008F535F" w:rsidRPr="00327A45" w:rsidRDefault="008F535F" w:rsidP="00742DF9">
      <w:pPr>
        <w:pStyle w:val="EndnoteText"/>
        <w:spacing w:before="120" w:after="120"/>
        <w:ind w:left="720" w:hanging="720"/>
        <w:jc w:val="both"/>
        <w:rPr>
          <w:lang w:val="en-GB"/>
        </w:rPr>
      </w:pPr>
      <w:r>
        <w:rPr>
          <w:rStyle w:val="EndnoteReference"/>
        </w:rPr>
        <w:endnoteRef/>
      </w:r>
      <w:r w:rsidRPr="00327A45">
        <w:rPr>
          <w:lang w:val="en-GB"/>
        </w:rPr>
        <w:t xml:space="preserve"> </w:t>
      </w:r>
      <w:r w:rsidRPr="00327A45">
        <w:rPr>
          <w:lang w:val="en-GB"/>
        </w:rPr>
        <w:tab/>
      </w:r>
      <w:r w:rsidRPr="002A2D8E">
        <w:rPr>
          <w:rFonts w:ascii="Times New Roman" w:hAnsi="Times New Roman"/>
          <w:lang w:val="en-GB"/>
        </w:rPr>
        <w:t>Commission proposal for a Regulation of the European Parliament and of the Council</w:t>
      </w:r>
      <w:r>
        <w:rPr>
          <w:rFonts w:ascii="Times New Roman" w:hAnsi="Times New Roman"/>
          <w:lang w:val="en-GB"/>
        </w:rPr>
        <w:t xml:space="preserve"> </w:t>
      </w:r>
      <w:r w:rsidRPr="002A2D8E">
        <w:rPr>
          <w:rFonts w:ascii="Times New Roman" w:hAnsi="Times New Roman"/>
          <w:lang w:val="en-GB"/>
        </w:rPr>
        <w:t xml:space="preserve">on common rules ensuring basic air connectivity with regard to the withdrawal of the United Kingdom of Great Britain and Northern Ireland from the </w:t>
      </w:r>
      <w:r w:rsidRPr="006C5508">
        <w:rPr>
          <w:rFonts w:ascii="Times New Roman" w:hAnsi="Times New Roman"/>
          <w:lang w:val="en-GB"/>
        </w:rPr>
        <w:t xml:space="preserve">Union </w:t>
      </w:r>
      <w:r w:rsidRPr="005552D8">
        <w:rPr>
          <w:rFonts w:ascii="Times New Roman" w:hAnsi="Times New Roman"/>
          <w:lang w:val="en-GB"/>
        </w:rPr>
        <w:t xml:space="preserve">(COM(2018) </w:t>
      </w:r>
      <w:r w:rsidR="006C5508" w:rsidRPr="005552D8">
        <w:rPr>
          <w:rFonts w:ascii="Times New Roman" w:hAnsi="Times New Roman"/>
          <w:lang w:val="en-GB"/>
        </w:rPr>
        <w:t xml:space="preserve">893 </w:t>
      </w:r>
      <w:r w:rsidRPr="005552D8">
        <w:rPr>
          <w:rFonts w:ascii="Times New Roman" w:hAnsi="Times New Roman"/>
          <w:lang w:val="en-GB"/>
        </w:rPr>
        <w:t>final)</w:t>
      </w:r>
      <w:r w:rsidRPr="00FF6747">
        <w:rPr>
          <w:rFonts w:ascii="Times New Roman" w:hAnsi="Times New Roman"/>
          <w:lang w:val="en-GB"/>
        </w:rPr>
        <w:t>.</w:t>
      </w:r>
    </w:p>
  </w:endnote>
  <w:endnote w:id="7">
    <w:p w:rsidR="008F535F" w:rsidRPr="00742DF9" w:rsidRDefault="008F535F" w:rsidP="0040125F">
      <w:pPr>
        <w:pStyle w:val="EndnoteText"/>
        <w:spacing w:before="120" w:after="120"/>
        <w:ind w:left="720" w:hanging="720"/>
        <w:jc w:val="both"/>
        <w:rPr>
          <w:lang w:val="en-GB"/>
        </w:rPr>
      </w:pPr>
      <w:r>
        <w:rPr>
          <w:rStyle w:val="EndnoteReference"/>
        </w:rPr>
        <w:endnoteRef/>
      </w:r>
      <w:r w:rsidRPr="00742DF9">
        <w:rPr>
          <w:lang w:val="en-GB"/>
        </w:rPr>
        <w:t xml:space="preserve"> </w:t>
      </w:r>
      <w:r w:rsidRPr="00742DF9">
        <w:rPr>
          <w:lang w:val="en-GB"/>
        </w:rPr>
        <w:tab/>
      </w:r>
      <w:r w:rsidR="00D57FBC" w:rsidRPr="00D57FBC">
        <w:rPr>
          <w:rFonts w:ascii="Times New Roman" w:hAnsi="Times New Roman"/>
          <w:lang w:val="en-GB"/>
        </w:rPr>
        <w:t xml:space="preserve">Commission </w:t>
      </w:r>
      <w:r w:rsidR="00D57FBC">
        <w:rPr>
          <w:rFonts w:ascii="Times New Roman" w:hAnsi="Times New Roman"/>
          <w:lang w:val="en-GB"/>
        </w:rPr>
        <w:t>p</w:t>
      </w:r>
      <w:r w:rsidRPr="002A2D8E">
        <w:rPr>
          <w:rFonts w:ascii="Times New Roman" w:hAnsi="Times New Roman"/>
          <w:lang w:val="en-GB"/>
        </w:rPr>
        <w:t xml:space="preserve">roposal for a Regulation of the European Parliament and of the Council on </w:t>
      </w:r>
      <w:r w:rsidR="001C3957">
        <w:rPr>
          <w:rFonts w:ascii="Times New Roman" w:hAnsi="Times New Roman"/>
          <w:lang w:val="en-GB"/>
        </w:rPr>
        <w:t xml:space="preserve">certain aspects of </w:t>
      </w:r>
      <w:r w:rsidRPr="002A2D8E">
        <w:rPr>
          <w:rFonts w:ascii="Times New Roman" w:hAnsi="Times New Roman"/>
          <w:lang w:val="en-GB"/>
        </w:rPr>
        <w:t xml:space="preserve">aviation safety with regard to the withdrawal of the United Kingdom of Great Britain and Northern Ireland from the </w:t>
      </w:r>
      <w:r w:rsidRPr="00FF6747">
        <w:rPr>
          <w:rFonts w:ascii="Times New Roman" w:hAnsi="Times New Roman"/>
          <w:lang w:val="en-GB"/>
        </w:rPr>
        <w:t xml:space="preserve">Union </w:t>
      </w:r>
      <w:r w:rsidRPr="005552D8">
        <w:rPr>
          <w:rFonts w:ascii="Times New Roman" w:hAnsi="Times New Roman"/>
          <w:lang w:val="en-GB"/>
        </w:rPr>
        <w:t>(COM</w:t>
      </w:r>
      <w:r w:rsidR="001B7FD9">
        <w:rPr>
          <w:rFonts w:ascii="Times New Roman" w:hAnsi="Times New Roman"/>
          <w:lang w:val="en-GB"/>
        </w:rPr>
        <w:t>(</w:t>
      </w:r>
      <w:r w:rsidRPr="005552D8">
        <w:rPr>
          <w:rFonts w:ascii="Times New Roman" w:hAnsi="Times New Roman"/>
          <w:lang w:val="en-GB"/>
        </w:rPr>
        <w:t xml:space="preserve">2018) </w:t>
      </w:r>
      <w:r w:rsidR="006C5508" w:rsidRPr="005552D8">
        <w:rPr>
          <w:rFonts w:ascii="Times New Roman" w:hAnsi="Times New Roman"/>
          <w:lang w:val="en-GB"/>
        </w:rPr>
        <w:t xml:space="preserve">894 </w:t>
      </w:r>
      <w:r w:rsidRPr="005552D8">
        <w:rPr>
          <w:rFonts w:ascii="Times New Roman" w:hAnsi="Times New Roman"/>
          <w:lang w:val="en-GB"/>
        </w:rPr>
        <w:t>final)</w:t>
      </w:r>
      <w:r w:rsidRPr="00FF6747">
        <w:rPr>
          <w:rFonts w:ascii="Times New Roman" w:hAnsi="Times New Roman"/>
          <w:lang w:val="en-GB"/>
        </w:rPr>
        <w:t>.</w:t>
      </w:r>
    </w:p>
  </w:endnote>
  <w:endnote w:id="8">
    <w:p w:rsidR="008F535F" w:rsidRPr="00742DF9" w:rsidRDefault="008F535F" w:rsidP="00E85B49">
      <w:pPr>
        <w:pStyle w:val="EndnoteText"/>
        <w:spacing w:before="120" w:after="120"/>
        <w:ind w:left="720" w:hanging="720"/>
        <w:jc w:val="both"/>
        <w:rPr>
          <w:lang w:val="en-GB"/>
        </w:rPr>
      </w:pPr>
      <w:r>
        <w:rPr>
          <w:rStyle w:val="EndnoteReference"/>
        </w:rPr>
        <w:endnoteRef/>
      </w:r>
      <w:r w:rsidRPr="00742DF9">
        <w:rPr>
          <w:lang w:val="en-GB"/>
        </w:rPr>
        <w:t xml:space="preserve"> </w:t>
      </w:r>
      <w:r w:rsidRPr="00742DF9">
        <w:rPr>
          <w:lang w:val="en-GB"/>
        </w:rPr>
        <w:tab/>
      </w:r>
      <w:r w:rsidRPr="006B0C6C">
        <w:rPr>
          <w:rFonts w:ascii="Times New Roman" w:hAnsi="Times New Roman"/>
          <w:lang w:val="en-GB"/>
        </w:rPr>
        <w:t xml:space="preserve">Commission proposal for a Regulation of the European Parliament and of the Council on common rules ensuring basic road freight connectivity with regard to the withdrawal of the United Kingdom of Great </w:t>
      </w:r>
      <w:r w:rsidRPr="00FF6747">
        <w:rPr>
          <w:rFonts w:ascii="Times New Roman" w:hAnsi="Times New Roman"/>
          <w:lang w:val="en-GB"/>
        </w:rPr>
        <w:t xml:space="preserve">Britain and Northern Ireland from the Union </w:t>
      </w:r>
      <w:r w:rsidRPr="005552D8">
        <w:rPr>
          <w:rFonts w:ascii="Times New Roman" w:hAnsi="Times New Roman"/>
          <w:lang w:val="en-GB"/>
        </w:rPr>
        <w:t>(COM</w:t>
      </w:r>
      <w:r w:rsidR="001B7FD9">
        <w:rPr>
          <w:rFonts w:ascii="Times New Roman" w:hAnsi="Times New Roman"/>
          <w:lang w:val="en-GB"/>
        </w:rPr>
        <w:t>(</w:t>
      </w:r>
      <w:r w:rsidRPr="005552D8">
        <w:rPr>
          <w:rFonts w:ascii="Times New Roman" w:hAnsi="Times New Roman"/>
          <w:lang w:val="en-GB"/>
        </w:rPr>
        <w:t xml:space="preserve">2018) </w:t>
      </w:r>
      <w:r w:rsidR="006C5508" w:rsidRPr="005552D8">
        <w:rPr>
          <w:rFonts w:ascii="Times New Roman" w:hAnsi="Times New Roman"/>
          <w:lang w:val="en-GB"/>
        </w:rPr>
        <w:t>895 final</w:t>
      </w:r>
      <w:r w:rsidRPr="005552D8">
        <w:rPr>
          <w:rFonts w:ascii="Times New Roman" w:hAnsi="Times New Roman"/>
          <w:lang w:val="en-GB"/>
        </w:rPr>
        <w:t>).</w:t>
      </w:r>
    </w:p>
  </w:endnote>
  <w:endnote w:id="9">
    <w:p w:rsidR="008F535F" w:rsidRPr="00360E29" w:rsidRDefault="008F535F" w:rsidP="00C02218">
      <w:pPr>
        <w:pStyle w:val="EndnoteText"/>
        <w:ind w:left="720" w:hanging="720"/>
        <w:jc w:val="both"/>
        <w:rPr>
          <w:lang w:val="en-GB"/>
        </w:rPr>
      </w:pPr>
      <w:r>
        <w:rPr>
          <w:rStyle w:val="EndnoteReference"/>
        </w:rPr>
        <w:endnoteRef/>
      </w:r>
      <w:r w:rsidRPr="00360E29">
        <w:rPr>
          <w:lang w:val="en-GB"/>
        </w:rPr>
        <w:t xml:space="preserve"> </w:t>
      </w:r>
      <w:r>
        <w:rPr>
          <w:lang w:val="en-GB"/>
        </w:rPr>
        <w:tab/>
      </w:r>
      <w:r w:rsidRPr="00C02218">
        <w:rPr>
          <w:rFonts w:ascii="Times New Roman" w:hAnsi="Times New Roman"/>
          <w:lang w:val="en-GB"/>
        </w:rPr>
        <w:t xml:space="preserve">Commission Delegated Regulation amending Delegated Regulation (EU) 2015/2446 </w:t>
      </w:r>
      <w:r w:rsidR="00BB0BA8">
        <w:rPr>
          <w:rFonts w:ascii="Times New Roman" w:hAnsi="Times New Roman"/>
          <w:lang w:val="en-GB"/>
        </w:rPr>
        <w:t>as regards the time-limits for lodging entry summary declarations and pre-departure declarations in case of transport by sea from and to the United Kingdom of Great Britain and Northern Ireland, the Channel Islands and the Isle of Man</w:t>
      </w:r>
      <w:r w:rsidR="001F072D">
        <w:rPr>
          <w:rFonts w:ascii="Times New Roman" w:hAnsi="Times New Roman"/>
          <w:lang w:val="en-GB"/>
        </w:rPr>
        <w:t xml:space="preserve"> (C(2018)</w:t>
      </w:r>
      <w:r w:rsidR="001B7FD9">
        <w:rPr>
          <w:rFonts w:ascii="Times New Roman" w:hAnsi="Times New Roman"/>
          <w:lang w:val="en-GB"/>
        </w:rPr>
        <w:t> </w:t>
      </w:r>
      <w:r w:rsidR="001F072D">
        <w:rPr>
          <w:rFonts w:ascii="Times New Roman" w:hAnsi="Times New Roman"/>
          <w:lang w:val="en-GB"/>
        </w:rPr>
        <w:t>9094)</w:t>
      </w:r>
      <w:r w:rsidR="009D5600">
        <w:rPr>
          <w:rFonts w:ascii="Times New Roman" w:hAnsi="Times New Roman"/>
          <w:lang w:val="en-GB"/>
        </w:rPr>
        <w:t>.</w:t>
      </w:r>
    </w:p>
  </w:endnote>
  <w:endnote w:id="10">
    <w:p w:rsidR="008F535F" w:rsidRPr="00350CD3" w:rsidRDefault="008F535F" w:rsidP="00586589">
      <w:pPr>
        <w:pStyle w:val="EndnoteText"/>
        <w:spacing w:before="120" w:after="120"/>
        <w:ind w:left="720" w:hanging="720"/>
        <w:jc w:val="both"/>
        <w:rPr>
          <w:lang w:val="en-GB"/>
        </w:rPr>
      </w:pPr>
      <w:r>
        <w:rPr>
          <w:rStyle w:val="EndnoteReference"/>
        </w:rPr>
        <w:endnoteRef/>
      </w:r>
      <w:r w:rsidRPr="00350CD3">
        <w:rPr>
          <w:lang w:val="en-GB"/>
        </w:rPr>
        <w:t xml:space="preserve"> </w:t>
      </w:r>
      <w:r>
        <w:rPr>
          <w:lang w:val="en-GB"/>
        </w:rPr>
        <w:tab/>
      </w:r>
      <w:r w:rsidR="00D57FBC" w:rsidRPr="00D57FBC">
        <w:rPr>
          <w:rFonts w:ascii="Times New Roman" w:hAnsi="Times New Roman"/>
          <w:lang w:val="en-GB"/>
        </w:rPr>
        <w:t xml:space="preserve">Commission </w:t>
      </w:r>
      <w:r w:rsidR="00D57FBC">
        <w:rPr>
          <w:rFonts w:ascii="Times New Roman" w:hAnsi="Times New Roman"/>
          <w:lang w:val="en-GB"/>
        </w:rPr>
        <w:t>p</w:t>
      </w:r>
      <w:r w:rsidRPr="00DF070B">
        <w:rPr>
          <w:rFonts w:ascii="Times New Roman" w:hAnsi="Times New Roman"/>
          <w:lang w:val="en-GB"/>
        </w:rPr>
        <w:t xml:space="preserve">roposal for a Regulation of the European Parliament and of the Council </w:t>
      </w:r>
      <w:r w:rsidR="0040125F">
        <w:rPr>
          <w:rFonts w:ascii="Times New Roman" w:hAnsi="Times New Roman"/>
          <w:lang w:val="en-GB"/>
        </w:rPr>
        <w:t xml:space="preserve">amending Council Regulation (EC) No 428/2009 by granting a Union General Export Authorisation for the export of certain dual-use items from the Union to the United Kingdom of Great Britain and Northern Ireland </w:t>
      </w:r>
      <w:r w:rsidR="006B0C6C" w:rsidRPr="005552D8">
        <w:rPr>
          <w:rFonts w:ascii="Times New Roman" w:hAnsi="Times New Roman"/>
          <w:lang w:val="en-GB"/>
        </w:rPr>
        <w:t xml:space="preserve">(COM(2018) </w:t>
      </w:r>
      <w:r w:rsidR="006C5508" w:rsidRPr="005552D8">
        <w:rPr>
          <w:rFonts w:ascii="Times New Roman" w:hAnsi="Times New Roman"/>
          <w:lang w:val="en-GB"/>
        </w:rPr>
        <w:t xml:space="preserve">891 </w:t>
      </w:r>
      <w:r w:rsidR="006B0C6C" w:rsidRPr="005552D8">
        <w:rPr>
          <w:rFonts w:ascii="Times New Roman" w:hAnsi="Times New Roman"/>
          <w:lang w:val="en-GB"/>
        </w:rPr>
        <w:t>final).</w:t>
      </w:r>
    </w:p>
  </w:endnote>
  <w:endnote w:id="11">
    <w:p w:rsidR="00CB16BB" w:rsidRPr="00614D83" w:rsidRDefault="00CB16BB" w:rsidP="00CB16BB">
      <w:pPr>
        <w:pStyle w:val="EndnoteText"/>
        <w:spacing w:before="120" w:after="120"/>
        <w:ind w:left="720" w:hanging="720"/>
        <w:jc w:val="both"/>
        <w:rPr>
          <w:lang w:val="en-GB"/>
        </w:rPr>
      </w:pPr>
      <w:r>
        <w:rPr>
          <w:rStyle w:val="EndnoteReference"/>
        </w:rPr>
        <w:endnoteRef/>
      </w:r>
      <w:r w:rsidRPr="00614D83">
        <w:rPr>
          <w:lang w:val="en-GB"/>
        </w:rPr>
        <w:t xml:space="preserve"> </w:t>
      </w:r>
      <w:r w:rsidRPr="00614D83">
        <w:rPr>
          <w:lang w:val="en-GB"/>
        </w:rPr>
        <w:tab/>
      </w:r>
      <w:r w:rsidRPr="00614D83">
        <w:rPr>
          <w:rFonts w:ascii="Times New Roman" w:hAnsi="Times New Roman"/>
          <w:lang w:val="en-GB"/>
        </w:rPr>
        <w:t xml:space="preserve">Commission Decision </w:t>
      </w:r>
      <w:r w:rsidR="00860C32" w:rsidRPr="005552D8">
        <w:rPr>
          <w:rFonts w:ascii="Times New Roman" w:hAnsi="Times New Roman"/>
          <w:lang w:val="en-GB"/>
        </w:rPr>
        <w:t>of 17 December 2018</w:t>
      </w:r>
      <w:r w:rsidR="00860C32">
        <w:rPr>
          <w:rFonts w:ascii="Times New Roman" w:hAnsi="Times New Roman"/>
          <w:lang w:val="en-GB"/>
        </w:rPr>
        <w:t xml:space="preserve"> o</w:t>
      </w:r>
      <w:r w:rsidR="00D51254" w:rsidRPr="00D51254">
        <w:rPr>
          <w:rFonts w:ascii="Times New Roman" w:hAnsi="Times New Roman"/>
          <w:lang w:val="en-GB"/>
        </w:rPr>
        <w:t>n instructing the central administrator to temporarily suspend the acceptance by the European Union Transaction Log of relevant processes for the United Kingdom relating to free allocation, auctioning and the exchange of international credits</w:t>
      </w:r>
      <w:r w:rsidR="005E579D">
        <w:rPr>
          <w:rFonts w:ascii="Times New Roman" w:hAnsi="Times New Roman"/>
          <w:lang w:val="en-GB"/>
        </w:rPr>
        <w:t xml:space="preserve"> (C(2018)</w:t>
      </w:r>
      <w:r w:rsidR="005E579D" w:rsidRPr="005552D8">
        <w:rPr>
          <w:lang w:val="en-GB"/>
        </w:rPr>
        <w:t> </w:t>
      </w:r>
      <w:r w:rsidR="005E579D">
        <w:rPr>
          <w:rFonts w:ascii="Times New Roman" w:hAnsi="Times New Roman"/>
          <w:lang w:val="en-GB"/>
        </w:rPr>
        <w:t>8707)</w:t>
      </w:r>
      <w:r>
        <w:rPr>
          <w:rFonts w:ascii="Times New Roman" w:hAnsi="Times New Roman"/>
          <w:lang w:val="en-GB"/>
        </w:rPr>
        <w:t>.</w:t>
      </w:r>
    </w:p>
  </w:endnote>
  <w:endnote w:id="12">
    <w:p w:rsidR="00864BEB" w:rsidRPr="002F6324" w:rsidRDefault="00864BEB" w:rsidP="00581440">
      <w:pPr>
        <w:pStyle w:val="EndnoteText"/>
        <w:spacing w:after="120"/>
        <w:ind w:left="720" w:hanging="720"/>
        <w:jc w:val="both"/>
        <w:rPr>
          <w:lang w:val="en-GB"/>
        </w:rPr>
      </w:pPr>
      <w:r>
        <w:rPr>
          <w:rStyle w:val="EndnoteReference"/>
        </w:rPr>
        <w:endnoteRef/>
      </w:r>
      <w:r w:rsidRPr="002F6324">
        <w:rPr>
          <w:lang w:val="en-GB"/>
        </w:rPr>
        <w:t xml:space="preserve"> </w:t>
      </w:r>
      <w:r w:rsidRPr="002F6324">
        <w:rPr>
          <w:lang w:val="en-GB"/>
        </w:rPr>
        <w:tab/>
      </w:r>
      <w:r w:rsidR="00581440">
        <w:rPr>
          <w:rFonts w:ascii="Times New Roman" w:hAnsi="Times New Roman"/>
          <w:lang w:val="en-GB"/>
        </w:rPr>
        <w:t>Commission I</w:t>
      </w:r>
      <w:r w:rsidRPr="002F6324">
        <w:rPr>
          <w:rFonts w:ascii="Times New Roman" w:hAnsi="Times New Roman"/>
          <w:lang w:val="en-GB"/>
        </w:rPr>
        <w:t xml:space="preserve">mplementing </w:t>
      </w:r>
      <w:r w:rsidRPr="00FF6747">
        <w:rPr>
          <w:rFonts w:ascii="Times New Roman" w:hAnsi="Times New Roman"/>
          <w:lang w:val="en-GB"/>
        </w:rPr>
        <w:t xml:space="preserve">Decision </w:t>
      </w:r>
      <w:r w:rsidR="00581440" w:rsidRPr="005552D8">
        <w:rPr>
          <w:rFonts w:ascii="Times New Roman" w:hAnsi="Times New Roman"/>
          <w:lang w:val="en-GB"/>
        </w:rPr>
        <w:t>of 17 December 2018</w:t>
      </w:r>
      <w:r w:rsidRPr="00975579">
        <w:rPr>
          <w:rFonts w:ascii="Times New Roman" w:hAnsi="Times New Roman"/>
          <w:lang w:val="en-GB"/>
        </w:rPr>
        <w:t xml:space="preserve"> </w:t>
      </w:r>
      <w:r w:rsidR="00581440" w:rsidRPr="00581440">
        <w:rPr>
          <w:rFonts w:ascii="Times New Roman" w:hAnsi="Times New Roman"/>
          <w:lang w:val="en-GB"/>
        </w:rPr>
        <w:t>on amending Commission Implementing Decision (EU) 2017/1984 determining, pursuant to Regulation (EU) No 517/2014 of the European Parliament and of the Council on fluorinated greenhouse gases, reference values as regards reference values for the period from 30 March 2019 to 31 December 2020 for producers or importers established within the United Kingdom, which have lawfully placed on the market hydrofluorocarbons from 1 January 2015, as reported under that Regulation</w:t>
      </w:r>
      <w:r w:rsidR="005E579D">
        <w:rPr>
          <w:rFonts w:ascii="Times New Roman" w:hAnsi="Times New Roman"/>
          <w:lang w:val="en-GB"/>
        </w:rPr>
        <w:t xml:space="preserve"> (C(2018</w:t>
      </w:r>
      <w:r w:rsidR="0044383F">
        <w:rPr>
          <w:rFonts w:ascii="Times New Roman" w:hAnsi="Times New Roman"/>
          <w:lang w:val="en-GB"/>
        </w:rPr>
        <w:t>) </w:t>
      </w:r>
      <w:r w:rsidR="005E579D">
        <w:rPr>
          <w:rFonts w:ascii="Times New Roman" w:hAnsi="Times New Roman"/>
          <w:lang w:val="en-GB"/>
        </w:rPr>
        <w:t>8801)</w:t>
      </w:r>
      <w:r w:rsidR="00581440">
        <w:rPr>
          <w:rFonts w:ascii="Times New Roman" w:hAnsi="Times New Roman"/>
          <w:lang w:val="en-GB"/>
        </w:rPr>
        <w:t>.</w:t>
      </w:r>
    </w:p>
  </w:endnote>
  <w:endnote w:id="13">
    <w:p w:rsidR="00864BEB" w:rsidRPr="00E85B49" w:rsidRDefault="00864BEB" w:rsidP="00ED4B17">
      <w:pPr>
        <w:pStyle w:val="EndnoteText"/>
        <w:ind w:left="720" w:hanging="720"/>
        <w:jc w:val="both"/>
        <w:rPr>
          <w:lang w:val="en-GB"/>
        </w:rPr>
      </w:pPr>
      <w:r>
        <w:rPr>
          <w:rStyle w:val="EndnoteReference"/>
        </w:rPr>
        <w:endnoteRef/>
      </w:r>
      <w:r w:rsidRPr="00E85B49">
        <w:rPr>
          <w:lang w:val="en-GB"/>
        </w:rPr>
        <w:t xml:space="preserve"> </w:t>
      </w:r>
      <w:r w:rsidRPr="00E85B49">
        <w:rPr>
          <w:lang w:val="en-GB"/>
        </w:rPr>
        <w:tab/>
      </w:r>
      <w:r w:rsidRPr="00E85B49">
        <w:rPr>
          <w:rFonts w:ascii="Times New Roman" w:hAnsi="Times New Roman"/>
          <w:lang w:val="en-GB"/>
        </w:rPr>
        <w:t xml:space="preserve">Commission Implementing Regulation </w:t>
      </w:r>
      <w:r w:rsidRPr="005552D8">
        <w:rPr>
          <w:rFonts w:ascii="Times New Roman" w:hAnsi="Times New Roman"/>
          <w:lang w:val="en-GB"/>
        </w:rPr>
        <w:t>of 14 December 2018</w:t>
      </w:r>
      <w:r w:rsidRPr="00E85B49">
        <w:rPr>
          <w:rFonts w:ascii="Times New Roman" w:hAnsi="Times New Roman"/>
          <w:lang w:val="en-GB"/>
        </w:rPr>
        <w:t xml:space="preserve"> </w:t>
      </w:r>
      <w:r w:rsidR="00581440" w:rsidRPr="00581440">
        <w:rPr>
          <w:rFonts w:ascii="Times New Roman" w:hAnsi="Times New Roman"/>
          <w:lang w:val="en-GB"/>
        </w:rPr>
        <w:t>amending Implementing Regulation (EU) No 1191/2014 as regards the reporting of data referred to in Article 19 of Regulation (EU) No 517/2014 in respect of hydrofluorocarbons placed on the market in the United Kingdom and in the Union of 27 Member States</w:t>
      </w:r>
      <w:r w:rsidR="005E579D">
        <w:rPr>
          <w:rFonts w:ascii="Times New Roman" w:hAnsi="Times New Roman"/>
          <w:lang w:val="en-GB"/>
        </w:rPr>
        <w:t xml:space="preserve"> (C(2018)</w:t>
      </w:r>
      <w:r w:rsidR="0044383F">
        <w:rPr>
          <w:rFonts w:ascii="Times New Roman" w:hAnsi="Times New Roman"/>
          <w:lang w:val="en-GB"/>
        </w:rPr>
        <w:t> </w:t>
      </w:r>
      <w:r w:rsidR="005E579D">
        <w:rPr>
          <w:rFonts w:ascii="Times New Roman" w:hAnsi="Times New Roman"/>
          <w:lang w:val="en-GB"/>
        </w:rPr>
        <w:t>8575)</w:t>
      </w:r>
      <w:r>
        <w:rPr>
          <w:rFonts w:ascii="Times New Roman" w:hAnsi="Times New Roman"/>
          <w:lang w:val="en-GB"/>
        </w:rPr>
        <w:t>.</w:t>
      </w:r>
    </w:p>
  </w:endnote>
  <w:endnote w:id="14">
    <w:p w:rsidR="008F535F" w:rsidRPr="00663EBC" w:rsidRDefault="008F535F" w:rsidP="00663EBC">
      <w:pPr>
        <w:pStyle w:val="EndnoteText"/>
        <w:spacing w:before="120" w:after="120"/>
        <w:ind w:left="720" w:hanging="720"/>
        <w:jc w:val="both"/>
        <w:rPr>
          <w:rFonts w:ascii="Times New Roman" w:hAnsi="Times New Roman"/>
          <w:lang w:val="en-GB"/>
        </w:rPr>
      </w:pPr>
      <w:r>
        <w:rPr>
          <w:rStyle w:val="EndnoteReference"/>
        </w:rPr>
        <w:endnoteRef/>
      </w:r>
      <w:r w:rsidRPr="00663EBC">
        <w:rPr>
          <w:lang w:val="en-GB"/>
        </w:rPr>
        <w:t xml:space="preserve"> </w:t>
      </w:r>
      <w:r w:rsidRPr="00663EBC">
        <w:rPr>
          <w:lang w:val="en-GB"/>
        </w:rPr>
        <w:tab/>
      </w:r>
      <w:r w:rsidRPr="00663EBC">
        <w:rPr>
          <w:rFonts w:ascii="Times New Roman" w:hAnsi="Times New Roman"/>
          <w:lang w:val="en-GB"/>
        </w:rPr>
        <w:t xml:space="preserve">Commission proposal for a Regulation of the European Parliament and of the Council </w:t>
      </w:r>
      <w:r w:rsidR="007C4DFB">
        <w:rPr>
          <w:rFonts w:ascii="Times New Roman" w:hAnsi="Times New Roman"/>
          <w:lang w:val="en-GB"/>
        </w:rPr>
        <w:t xml:space="preserve">in order to allow  for the continuation of the </w:t>
      </w:r>
      <w:r w:rsidRPr="00663EBC">
        <w:rPr>
          <w:rFonts w:ascii="Times New Roman" w:hAnsi="Times New Roman"/>
          <w:lang w:val="en-GB"/>
        </w:rPr>
        <w:t xml:space="preserve">territorial cooperation programmes </w:t>
      </w:r>
      <w:r w:rsidR="007C4DFB">
        <w:rPr>
          <w:rFonts w:ascii="Times New Roman" w:hAnsi="Times New Roman"/>
          <w:lang w:val="en-GB"/>
        </w:rPr>
        <w:t xml:space="preserve">PEACE </w:t>
      </w:r>
      <w:r w:rsidR="00052150">
        <w:rPr>
          <w:rFonts w:ascii="Times New Roman" w:hAnsi="Times New Roman"/>
          <w:lang w:val="en-GB"/>
        </w:rPr>
        <w:t>IV (</w:t>
      </w:r>
      <w:r w:rsidR="007C4DFB">
        <w:rPr>
          <w:rFonts w:ascii="Times New Roman" w:hAnsi="Times New Roman"/>
          <w:lang w:val="en-GB"/>
        </w:rPr>
        <w:t>Ireland-U</w:t>
      </w:r>
      <w:r w:rsidR="00FE4D53">
        <w:rPr>
          <w:rFonts w:ascii="Times New Roman" w:hAnsi="Times New Roman"/>
          <w:lang w:val="en-GB"/>
        </w:rPr>
        <w:t xml:space="preserve">nited </w:t>
      </w:r>
      <w:r w:rsidR="007C4DFB">
        <w:rPr>
          <w:rFonts w:ascii="Times New Roman" w:hAnsi="Times New Roman"/>
          <w:lang w:val="en-GB"/>
        </w:rPr>
        <w:t>K</w:t>
      </w:r>
      <w:r w:rsidR="00FE4D53">
        <w:rPr>
          <w:rFonts w:ascii="Times New Roman" w:hAnsi="Times New Roman"/>
          <w:lang w:val="en-GB"/>
        </w:rPr>
        <w:t>ingdom</w:t>
      </w:r>
      <w:r w:rsidR="00052150">
        <w:rPr>
          <w:rFonts w:ascii="Times New Roman" w:hAnsi="Times New Roman"/>
          <w:lang w:val="en-GB"/>
        </w:rPr>
        <w:t>)</w:t>
      </w:r>
      <w:r w:rsidR="007C4DFB">
        <w:rPr>
          <w:rFonts w:ascii="Times New Roman" w:hAnsi="Times New Roman"/>
          <w:lang w:val="en-GB"/>
        </w:rPr>
        <w:t xml:space="preserve"> and </w:t>
      </w:r>
      <w:r w:rsidR="00FE4D53">
        <w:rPr>
          <w:rFonts w:ascii="Times New Roman" w:hAnsi="Times New Roman"/>
          <w:lang w:val="en-GB"/>
        </w:rPr>
        <w:t>United Kingdom-</w:t>
      </w:r>
      <w:r w:rsidR="007C4DFB">
        <w:rPr>
          <w:rFonts w:ascii="Times New Roman" w:hAnsi="Times New Roman"/>
          <w:lang w:val="en-GB"/>
        </w:rPr>
        <w:t>Ireland (</w:t>
      </w:r>
      <w:r w:rsidR="00FE4D53">
        <w:rPr>
          <w:rFonts w:ascii="Times New Roman" w:hAnsi="Times New Roman"/>
          <w:lang w:val="en-GB"/>
        </w:rPr>
        <w:t>Ireland-</w:t>
      </w:r>
      <w:r w:rsidR="007C4DFB">
        <w:rPr>
          <w:rFonts w:ascii="Times New Roman" w:hAnsi="Times New Roman"/>
          <w:lang w:val="en-GB"/>
        </w:rPr>
        <w:t>Northern Ireland</w:t>
      </w:r>
      <w:r w:rsidR="00FE4D53">
        <w:rPr>
          <w:rFonts w:ascii="Times New Roman" w:hAnsi="Times New Roman"/>
          <w:lang w:val="en-GB"/>
        </w:rPr>
        <w:t>-</w:t>
      </w:r>
      <w:r w:rsidR="007C4DFB">
        <w:rPr>
          <w:rFonts w:ascii="Times New Roman" w:hAnsi="Times New Roman"/>
          <w:lang w:val="en-GB"/>
        </w:rPr>
        <w:t xml:space="preserve"> Scotland) </w:t>
      </w:r>
      <w:r w:rsidRPr="00663EBC">
        <w:rPr>
          <w:rFonts w:ascii="Times New Roman" w:hAnsi="Times New Roman"/>
          <w:lang w:val="en-GB"/>
        </w:rPr>
        <w:t xml:space="preserve">in the context of the withdrawal of the United Kingdom from the </w:t>
      </w:r>
      <w:r w:rsidRPr="006C5508">
        <w:rPr>
          <w:rFonts w:ascii="Times New Roman" w:hAnsi="Times New Roman"/>
          <w:lang w:val="en-GB"/>
        </w:rPr>
        <w:t xml:space="preserve">Union </w:t>
      </w:r>
      <w:r w:rsidRPr="005552D8">
        <w:rPr>
          <w:rFonts w:ascii="Times New Roman" w:hAnsi="Times New Roman"/>
          <w:lang w:val="en-GB"/>
        </w:rPr>
        <w:t xml:space="preserve">(COM(2018) </w:t>
      </w:r>
      <w:r w:rsidR="006C5508" w:rsidRPr="005552D8">
        <w:rPr>
          <w:rFonts w:ascii="Times New Roman" w:hAnsi="Times New Roman"/>
          <w:lang w:val="en-GB"/>
        </w:rPr>
        <w:t xml:space="preserve">892 </w:t>
      </w:r>
      <w:r w:rsidRPr="005552D8">
        <w:rPr>
          <w:rFonts w:ascii="Times New Roman" w:hAnsi="Times New Roman"/>
          <w:lang w:val="en-GB"/>
        </w:rPr>
        <w:t>final)</w:t>
      </w:r>
      <w:r w:rsidR="00E025F4" w:rsidRPr="00FF6747">
        <w:rPr>
          <w:rFonts w:ascii="Times New Roman" w:hAnsi="Times New Roman"/>
          <w:lang w:val="en-GB"/>
        </w:rPr>
        <w:t>.</w:t>
      </w:r>
    </w:p>
  </w:endnote>
  <w:endnote w:id="15">
    <w:p w:rsidR="008F535F" w:rsidRPr="00813907" w:rsidRDefault="008F535F" w:rsidP="0081438C">
      <w:pPr>
        <w:pStyle w:val="EndnoteText"/>
        <w:ind w:left="720" w:hanging="720"/>
        <w:jc w:val="both"/>
        <w:rPr>
          <w:rFonts w:ascii="Times New Roman" w:hAnsi="Times New Roman"/>
          <w:lang w:val="en-GB"/>
        </w:rPr>
      </w:pPr>
      <w:r>
        <w:rPr>
          <w:rStyle w:val="EndnoteReference"/>
        </w:rPr>
        <w:endnoteRef/>
      </w:r>
      <w:r w:rsidRPr="00813907">
        <w:rPr>
          <w:lang w:val="en-GB"/>
        </w:rPr>
        <w:t xml:space="preserve"> </w:t>
      </w:r>
      <w:r w:rsidRPr="00813907">
        <w:rPr>
          <w:lang w:val="en-GB"/>
        </w:rPr>
        <w:tab/>
      </w:r>
      <w:r w:rsidRPr="00813907">
        <w:rPr>
          <w:rFonts w:ascii="Times New Roman" w:hAnsi="Times New Roman"/>
          <w:lang w:val="en-GB"/>
        </w:rPr>
        <w:t xml:space="preserve">Commission Delegated Regulation (EU) </w:t>
      </w:r>
      <w:r w:rsidR="0044383F" w:rsidRPr="00FF6747">
        <w:rPr>
          <w:rFonts w:ascii="Times New Roman" w:hAnsi="Times New Roman"/>
          <w:lang w:val="en-GB"/>
        </w:rPr>
        <w:t>of</w:t>
      </w:r>
      <w:r w:rsidR="0044383F">
        <w:rPr>
          <w:rFonts w:ascii="Times New Roman" w:hAnsi="Times New Roman"/>
          <w:lang w:val="en-GB"/>
        </w:rPr>
        <w:t xml:space="preserve"> 19 December 2018</w:t>
      </w:r>
      <w:r w:rsidRPr="00813907">
        <w:rPr>
          <w:rFonts w:ascii="Times New Roman" w:hAnsi="Times New Roman"/>
          <w:lang w:val="en-GB"/>
        </w:rPr>
        <w:t xml:space="preserve"> amending Annex I to Regulation (EC) 184/2005 of the European Parliament and of the Council, as regards the geographical breakdown levels</w:t>
      </w:r>
      <w:r w:rsidR="0044383F">
        <w:rPr>
          <w:rFonts w:ascii="Times New Roman" w:hAnsi="Times New Roman"/>
          <w:lang w:val="en-GB"/>
        </w:rPr>
        <w:t xml:space="preserve"> (C(2018) 8872)</w:t>
      </w:r>
      <w:r w:rsidR="00E025F4">
        <w:rPr>
          <w:rFonts w:ascii="Times New Roman" w:hAnsi="Times New Roman"/>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Tahom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379" w:rsidRPr="00796379" w:rsidRDefault="00796379" w:rsidP="00796379">
    <w:pPr>
      <w:pStyle w:val="FooterCoverPage"/>
      <w:rPr>
        <w:rFonts w:ascii="Arial" w:hAnsi="Arial" w:cs="Arial"/>
        <w:b/>
        <w:sz w:val="48"/>
      </w:rPr>
    </w:pPr>
    <w:r w:rsidRPr="00796379">
      <w:rPr>
        <w:rFonts w:ascii="Arial" w:hAnsi="Arial" w:cs="Arial"/>
        <w:b/>
        <w:sz w:val="48"/>
      </w:rPr>
      <w:t>EN</w:t>
    </w:r>
    <w:r w:rsidRPr="00796379">
      <w:rPr>
        <w:rFonts w:ascii="Arial" w:hAnsi="Arial" w:cs="Arial"/>
        <w:b/>
        <w:sz w:val="48"/>
      </w:rPr>
      <w:tab/>
    </w:r>
    <w:r w:rsidRPr="00796379">
      <w:rPr>
        <w:rFonts w:ascii="Arial" w:hAnsi="Arial" w:cs="Arial"/>
        <w:b/>
        <w:sz w:val="48"/>
      </w:rPr>
      <w:tab/>
    </w:r>
    <w:r w:rsidRPr="00796379">
      <w:tab/>
    </w:r>
    <w:r w:rsidRPr="00796379">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35F" w:rsidRDefault="008F53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639287"/>
      <w:docPartObj>
        <w:docPartGallery w:val="Page Numbers (Bottom of Page)"/>
        <w:docPartUnique/>
      </w:docPartObj>
    </w:sdtPr>
    <w:sdtEndPr>
      <w:rPr>
        <w:rFonts w:ascii="Times New Roman" w:hAnsi="Times New Roman"/>
        <w:noProof/>
      </w:rPr>
    </w:sdtEndPr>
    <w:sdtContent>
      <w:p w:rsidR="008F535F" w:rsidRPr="000A7891" w:rsidRDefault="008F535F">
        <w:pPr>
          <w:pStyle w:val="Footer"/>
          <w:jc w:val="right"/>
          <w:rPr>
            <w:rFonts w:ascii="Times New Roman" w:hAnsi="Times New Roman"/>
          </w:rPr>
        </w:pPr>
        <w:r w:rsidRPr="000A7891">
          <w:rPr>
            <w:rFonts w:ascii="Times New Roman" w:hAnsi="Times New Roman"/>
          </w:rPr>
          <w:fldChar w:fldCharType="begin"/>
        </w:r>
        <w:r w:rsidRPr="000A7891">
          <w:rPr>
            <w:rFonts w:ascii="Times New Roman" w:hAnsi="Times New Roman"/>
          </w:rPr>
          <w:instrText xml:space="preserve"> PAGE   \* MERGEFORMAT </w:instrText>
        </w:r>
        <w:r w:rsidRPr="000A7891">
          <w:rPr>
            <w:rFonts w:ascii="Times New Roman" w:hAnsi="Times New Roman"/>
          </w:rPr>
          <w:fldChar w:fldCharType="separate"/>
        </w:r>
        <w:r w:rsidR="00180184">
          <w:rPr>
            <w:rFonts w:ascii="Times New Roman" w:hAnsi="Times New Roman"/>
            <w:noProof/>
          </w:rPr>
          <w:t>11</w:t>
        </w:r>
        <w:r w:rsidRPr="000A7891">
          <w:rPr>
            <w:rFonts w:ascii="Times New Roman" w:hAnsi="Times New Roman"/>
            <w:noProof/>
          </w:rPr>
          <w:fldChar w:fldCharType="end"/>
        </w:r>
      </w:p>
    </w:sdtContent>
  </w:sdt>
  <w:p w:rsidR="008F535F" w:rsidRDefault="008F53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35F" w:rsidRDefault="008F5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BC0" w:rsidRDefault="008D2BC0">
      <w:r>
        <w:separator/>
      </w:r>
    </w:p>
  </w:footnote>
  <w:footnote w:type="continuationSeparator" w:id="0">
    <w:p w:rsidR="008D2BC0" w:rsidRDefault="008D2BC0">
      <w:r>
        <w:continuationSeparator/>
      </w:r>
    </w:p>
  </w:footnote>
  <w:footnote w:type="continuationNotice" w:id="1">
    <w:p w:rsidR="008D2BC0" w:rsidRDefault="008D2BC0"/>
  </w:footnote>
  <w:footnote w:id="2">
    <w:p w:rsidR="00D2024D" w:rsidRPr="00FD6486" w:rsidRDefault="00D2024D" w:rsidP="00270B32">
      <w:pPr>
        <w:pStyle w:val="FootnoteText"/>
        <w:jc w:val="both"/>
        <w:rPr>
          <w:rFonts w:ascii="Times New Roman" w:eastAsia="Times New Roman" w:hAnsi="Times New Roman"/>
          <w:lang w:val="en-GB"/>
        </w:rPr>
      </w:pPr>
      <w:r>
        <w:rPr>
          <w:rStyle w:val="FootnoteReference"/>
          <w:rFonts w:ascii="Times New Roman" w:eastAsia="Times New Roman" w:hAnsi="Times New Roman"/>
        </w:rPr>
        <w:footnoteRef/>
      </w:r>
      <w:r w:rsidRPr="002326F6">
        <w:rPr>
          <w:rFonts w:ascii="Times New Roman" w:eastAsia="Times New Roman" w:hAnsi="Times New Roman"/>
          <w:lang w:val="en-GB"/>
        </w:rPr>
        <w:tab/>
      </w:r>
      <w:hyperlink r:id="rId1" w:history="1">
        <w:r w:rsidR="00270B32" w:rsidRPr="00733DBE">
          <w:rPr>
            <w:rStyle w:val="Hyperlink"/>
            <w:rFonts w:ascii="Times New Roman" w:eastAsia="Times New Roman" w:hAnsi="Times New Roman"/>
            <w:lang w:val="en-GB"/>
          </w:rPr>
          <w:t>https://www.consilium.europa.eu/media/37508/13-euco-art-50-conclusions-en.pdf</w:t>
        </w:r>
      </w:hyperlink>
      <w:r w:rsidR="00270B32">
        <w:rPr>
          <w:rStyle w:val="Hyperlink"/>
          <w:rFonts w:ascii="Times New Roman" w:eastAsia="Times New Roman" w:hAnsi="Times New Roman"/>
          <w:lang w:val="en-GB"/>
        </w:rPr>
        <w:t xml:space="preserve"> </w:t>
      </w:r>
    </w:p>
  </w:footnote>
  <w:footnote w:id="3">
    <w:p w:rsidR="00352BBA" w:rsidRPr="00B21F0F" w:rsidRDefault="00352BBA" w:rsidP="00270B32">
      <w:pPr>
        <w:pStyle w:val="FootnoteText"/>
        <w:ind w:left="720" w:hanging="720"/>
        <w:jc w:val="both"/>
        <w:rPr>
          <w:lang w:val="en-GB"/>
        </w:rPr>
      </w:pPr>
      <w:r w:rsidRPr="00B21F0F">
        <w:rPr>
          <w:rStyle w:val="FootnoteReference"/>
          <w:rFonts w:ascii="Times New Roman" w:hAnsi="Times New Roman"/>
        </w:rPr>
        <w:footnoteRef/>
      </w:r>
      <w:r w:rsidRPr="00B21F0F">
        <w:rPr>
          <w:rFonts w:ascii="Times New Roman" w:hAnsi="Times New Roman"/>
          <w:lang w:val="en-GB"/>
        </w:rPr>
        <w:t xml:space="preserve"> </w:t>
      </w:r>
      <w:r w:rsidR="00853BF8">
        <w:rPr>
          <w:rFonts w:ascii="Times New Roman" w:hAnsi="Times New Roman"/>
          <w:lang w:val="en-GB"/>
        </w:rPr>
        <w:tab/>
      </w:r>
      <w:r w:rsidRPr="00B21F0F">
        <w:rPr>
          <w:rFonts w:ascii="Times New Roman" w:hAnsi="Times New Roman"/>
          <w:lang w:val="en-GB"/>
        </w:rPr>
        <w:t xml:space="preserve">The United Kingdom </w:t>
      </w:r>
      <w:r w:rsidR="005552D8">
        <w:rPr>
          <w:rFonts w:ascii="Times New Roman" w:hAnsi="Times New Roman"/>
          <w:lang w:val="en-GB"/>
        </w:rPr>
        <w:t xml:space="preserve">may </w:t>
      </w:r>
      <w:r w:rsidRPr="00B21F0F">
        <w:rPr>
          <w:rFonts w:ascii="Times New Roman" w:hAnsi="Times New Roman"/>
          <w:lang w:val="en-GB"/>
        </w:rPr>
        <w:t>revoke unilaterally</w:t>
      </w:r>
      <w:r w:rsidR="005552D8">
        <w:rPr>
          <w:rFonts w:ascii="Times New Roman" w:hAnsi="Times New Roman"/>
          <w:lang w:val="en-GB"/>
        </w:rPr>
        <w:t>, in an unequivocal and unconditional manner,</w:t>
      </w:r>
      <w:r w:rsidRPr="00B21F0F">
        <w:rPr>
          <w:rFonts w:ascii="Times New Roman" w:hAnsi="Times New Roman"/>
          <w:lang w:val="en-GB"/>
        </w:rPr>
        <w:t xml:space="preserve"> the notification of its intention to withdraw from the EU, Case C-621/18 Wightman and Others v Secretary of State</w:t>
      </w:r>
      <w:r w:rsidR="00270B32">
        <w:rPr>
          <w:rFonts w:ascii="Times New Roman" w:hAnsi="Times New Roman"/>
          <w:lang w:val="en-GB"/>
        </w:rPr>
        <w:t xml:space="preserve"> for Exiting the European Union.</w:t>
      </w:r>
    </w:p>
  </w:footnote>
  <w:footnote w:id="4">
    <w:p w:rsidR="008F535F" w:rsidRPr="00A438F2" w:rsidRDefault="008F535F" w:rsidP="00270B32">
      <w:pPr>
        <w:pStyle w:val="FootnoteText"/>
        <w:ind w:left="720" w:hanging="720"/>
        <w:jc w:val="both"/>
        <w:rPr>
          <w:rFonts w:ascii="Times New Roman" w:hAnsi="Times New Roman"/>
          <w:lang w:val="en-GB"/>
        </w:rPr>
      </w:pPr>
      <w:r w:rsidRPr="00A438F2">
        <w:rPr>
          <w:rStyle w:val="FootnoteReference"/>
          <w:rFonts w:ascii="Times New Roman" w:hAnsi="Times New Roman"/>
        </w:rPr>
        <w:footnoteRef/>
      </w:r>
      <w:r w:rsidRPr="00A438F2">
        <w:rPr>
          <w:rFonts w:ascii="Times New Roman" w:hAnsi="Times New Roman"/>
          <w:lang w:val="en-GB"/>
        </w:rPr>
        <w:t xml:space="preserve"> </w:t>
      </w:r>
      <w:r w:rsidRPr="00A438F2">
        <w:rPr>
          <w:rFonts w:ascii="Times New Roman" w:hAnsi="Times New Roman"/>
          <w:lang w:val="en-GB"/>
        </w:rPr>
        <w:tab/>
      </w:r>
      <w:hyperlink r:id="rId2" w:history="1">
        <w:r w:rsidRPr="0085531D">
          <w:rPr>
            <w:rStyle w:val="Hyperlink"/>
            <w:rFonts w:ascii="Times New Roman" w:hAnsi="Times New Roman"/>
            <w:lang w:val="en-GB"/>
          </w:rPr>
          <w:t>https://ec.europa.eu/info/publications/preparing-withdrawal-united-kingdom-european-union-30-march-2019_en</w:t>
        </w:r>
      </w:hyperlink>
    </w:p>
  </w:footnote>
  <w:footnote w:id="5">
    <w:p w:rsidR="008F535F" w:rsidRPr="007175A1" w:rsidRDefault="008F535F" w:rsidP="00270B32">
      <w:pPr>
        <w:pStyle w:val="FootnoteText"/>
        <w:ind w:left="720" w:hanging="720"/>
        <w:jc w:val="both"/>
        <w:rPr>
          <w:rFonts w:ascii="Times New Roman" w:hAnsi="Times New Roman"/>
          <w:lang w:val="en-GB"/>
        </w:rPr>
      </w:pPr>
      <w:r w:rsidRPr="007175A1">
        <w:rPr>
          <w:rStyle w:val="FootnoteReference"/>
          <w:rFonts w:ascii="Times New Roman" w:hAnsi="Times New Roman"/>
        </w:rPr>
        <w:footnoteRef/>
      </w:r>
      <w:r w:rsidRPr="007175A1">
        <w:rPr>
          <w:rFonts w:ascii="Times New Roman" w:hAnsi="Times New Roman"/>
          <w:lang w:val="en-GB"/>
        </w:rPr>
        <w:t xml:space="preserve"> </w:t>
      </w:r>
      <w:r w:rsidRPr="007175A1">
        <w:rPr>
          <w:rFonts w:ascii="Times New Roman" w:hAnsi="Times New Roman"/>
          <w:lang w:val="en-GB"/>
        </w:rPr>
        <w:tab/>
      </w:r>
      <w:hyperlink r:id="rId3" w:history="1">
        <w:r w:rsidR="00931C72" w:rsidRPr="0056486C">
          <w:rPr>
            <w:rStyle w:val="Hyperlink"/>
            <w:rFonts w:ascii="Times New Roman" w:hAnsi="Times New Roman"/>
            <w:lang w:val="en-GB"/>
          </w:rPr>
          <w:t>https://ec.europa.eu/info/publications/communication-preparing-withdrawal-united-kingdom-european-union-30-march-2019-contingency-action-plan-13-11-2018_en</w:t>
        </w:r>
      </w:hyperlink>
      <w:r w:rsidR="00931C72">
        <w:rPr>
          <w:rFonts w:ascii="Times New Roman" w:hAnsi="Times New Roman"/>
          <w:lang w:val="en-GB"/>
        </w:rPr>
        <w:t xml:space="preserve"> </w:t>
      </w:r>
    </w:p>
  </w:footnote>
  <w:footnote w:id="6">
    <w:p w:rsidR="008F535F" w:rsidRPr="00A95E05" w:rsidRDefault="008F535F" w:rsidP="00A95E05">
      <w:pPr>
        <w:pStyle w:val="FootnoteText"/>
        <w:ind w:left="720" w:hanging="720"/>
        <w:rPr>
          <w:rFonts w:ascii="Times New Roman" w:hAnsi="Times New Roman"/>
          <w:lang w:val="en-GB"/>
        </w:rPr>
      </w:pPr>
      <w:r w:rsidRPr="00FD6486">
        <w:rPr>
          <w:rStyle w:val="FootnoteReference"/>
          <w:rFonts w:ascii="Times New Roman" w:hAnsi="Times New Roman"/>
        </w:rPr>
        <w:footnoteRef/>
      </w:r>
      <w:r w:rsidRPr="00FD6486">
        <w:rPr>
          <w:rFonts w:ascii="Times New Roman" w:hAnsi="Times New Roman"/>
          <w:lang w:val="en-GB"/>
        </w:rPr>
        <w:t xml:space="preserve"> </w:t>
      </w:r>
      <w:r w:rsidRPr="00FD6486">
        <w:rPr>
          <w:rFonts w:ascii="Times New Roman" w:hAnsi="Times New Roman"/>
          <w:lang w:val="en-GB"/>
        </w:rPr>
        <w:tab/>
      </w:r>
      <w:hyperlink r:id="rId4" w:history="1">
        <w:r w:rsidRPr="00FD6486">
          <w:rPr>
            <w:rStyle w:val="Hyperlink"/>
            <w:rFonts w:ascii="Times New Roman" w:hAnsi="Times New Roman"/>
            <w:lang w:val="en-GB"/>
          </w:rPr>
          <w:t>https://ec.europa.eu/commission/sites/beta-political/files/joint_report_0.pdf</w:t>
        </w:r>
      </w:hyperlink>
      <w:r w:rsidR="00A95E05">
        <w:rPr>
          <w:rStyle w:val="Hyperlink"/>
          <w:rFonts w:ascii="Times New Roman" w:hAnsi="Times New Roman"/>
          <w:u w:val="none"/>
          <w:lang w:val="en-GB"/>
        </w:rPr>
        <w:t xml:space="preserve">; </w:t>
      </w:r>
      <w:hyperlink r:id="rId5" w:history="1">
        <w:r w:rsidR="00A95E05" w:rsidRPr="00733DBE">
          <w:rPr>
            <w:rStyle w:val="Hyperlink"/>
            <w:rFonts w:ascii="Times New Roman" w:hAnsi="Times New Roman"/>
            <w:lang w:val="en-GB"/>
          </w:rPr>
          <w:t>https://ec.europa.eu/commission/sites/beta-political/files/draft_withdrawal_agreement_0.pdf</w:t>
        </w:r>
      </w:hyperlink>
      <w:r w:rsidR="00A95E05">
        <w:rPr>
          <w:rStyle w:val="Hyperlink"/>
          <w:rFonts w:ascii="Times New Roman" w:hAnsi="Times New Roman"/>
          <w:color w:val="auto"/>
          <w:u w:val="none"/>
          <w:lang w:val="en-GB"/>
        </w:rPr>
        <w:t xml:space="preserve"> </w:t>
      </w:r>
    </w:p>
  </w:footnote>
  <w:footnote w:id="7">
    <w:p w:rsidR="00F15A82" w:rsidRPr="00223FCD" w:rsidRDefault="00F15A82" w:rsidP="00F15A82">
      <w:pPr>
        <w:pStyle w:val="FootnoteText"/>
        <w:rPr>
          <w:rFonts w:ascii="Times New Roman" w:hAnsi="Times New Roman"/>
          <w:lang w:val="en-GB"/>
        </w:rPr>
      </w:pPr>
      <w:r w:rsidRPr="00223FCD">
        <w:rPr>
          <w:rStyle w:val="FootnoteReference"/>
          <w:rFonts w:ascii="Times New Roman" w:hAnsi="Times New Roman"/>
        </w:rPr>
        <w:footnoteRef/>
      </w:r>
      <w:r w:rsidRPr="00223FCD">
        <w:rPr>
          <w:rFonts w:ascii="Times New Roman" w:hAnsi="Times New Roman"/>
          <w:lang w:val="en-GB"/>
        </w:rPr>
        <w:t xml:space="preserve"> </w:t>
      </w:r>
      <w:r>
        <w:rPr>
          <w:lang w:val="en-GB"/>
        </w:rPr>
        <w:tab/>
      </w:r>
      <w:r w:rsidRPr="00223FCD">
        <w:rPr>
          <w:rFonts w:ascii="Times New Roman" w:hAnsi="Times New Roman"/>
          <w:lang w:val="en-GB"/>
        </w:rPr>
        <w:t>Communication to the Commission,</w:t>
      </w:r>
      <w:r w:rsidR="005552D8">
        <w:rPr>
          <w:rFonts w:ascii="Times New Roman" w:hAnsi="Times New Roman"/>
          <w:lang w:val="en-GB"/>
        </w:rPr>
        <w:t xml:space="preserve"> endorsed </w:t>
      </w:r>
      <w:r w:rsidRPr="00223FCD">
        <w:rPr>
          <w:rFonts w:ascii="Times New Roman" w:hAnsi="Times New Roman"/>
          <w:lang w:val="en-GB"/>
        </w:rPr>
        <w:t>on 22 November 2018</w:t>
      </w:r>
      <w:r>
        <w:rPr>
          <w:rFonts w:ascii="Times New Roman" w:hAnsi="Times New Roman"/>
          <w:lang w:val="en-GB"/>
        </w:rPr>
        <w:t>, C(2018)9001.</w:t>
      </w:r>
    </w:p>
  </w:footnote>
  <w:footnote w:id="8">
    <w:p w:rsidR="008F535F" w:rsidRPr="00FD6486" w:rsidRDefault="008F535F" w:rsidP="00270B32">
      <w:pPr>
        <w:pStyle w:val="FootnoteText"/>
        <w:jc w:val="both"/>
        <w:rPr>
          <w:rFonts w:ascii="Times New Roman" w:hAnsi="Times New Roman"/>
          <w:lang w:val="en-GB"/>
        </w:rPr>
      </w:pPr>
      <w:r w:rsidRPr="00FD6486">
        <w:rPr>
          <w:rStyle w:val="FootnoteReference"/>
          <w:rFonts w:ascii="Times New Roman" w:hAnsi="Times New Roman"/>
        </w:rPr>
        <w:footnoteRef/>
      </w:r>
      <w:r w:rsidRPr="00FD6486">
        <w:rPr>
          <w:rFonts w:ascii="Times New Roman" w:hAnsi="Times New Roman"/>
          <w:lang w:val="en-GB"/>
        </w:rPr>
        <w:t xml:space="preserve"> </w:t>
      </w:r>
      <w:r w:rsidRPr="00FD6486">
        <w:rPr>
          <w:rFonts w:ascii="Times New Roman" w:hAnsi="Times New Roman"/>
          <w:lang w:val="en-GB"/>
        </w:rPr>
        <w:tab/>
      </w:r>
      <w:hyperlink r:id="rId6" w:history="1">
        <w:r w:rsidRPr="00FD6486">
          <w:rPr>
            <w:rStyle w:val="Hyperlink"/>
            <w:rFonts w:ascii="Times New Roman" w:hAnsi="Times New Roman"/>
            <w:lang w:val="en-GB"/>
          </w:rPr>
          <w:t>https://www.consilium.europa.eu/media/37103/25-special-euco-final-conclusions-en.pdf</w:t>
        </w:r>
      </w:hyperlink>
      <w:r w:rsidRPr="00FD6486">
        <w:rPr>
          <w:rFonts w:ascii="Times New Roman" w:hAnsi="Times New Roman"/>
          <w:lang w:val="en-GB"/>
        </w:rPr>
        <w:t xml:space="preserve"> </w:t>
      </w:r>
    </w:p>
  </w:footnote>
  <w:footnote w:id="9">
    <w:p w:rsidR="008F535F" w:rsidRPr="00204A45" w:rsidRDefault="008F535F" w:rsidP="00DE3490">
      <w:pPr>
        <w:pStyle w:val="FootnoteText"/>
        <w:jc w:val="both"/>
        <w:rPr>
          <w:rFonts w:ascii="Times New Roman" w:hAnsi="Times New Roman"/>
          <w:lang w:val="en-GB"/>
        </w:rPr>
      </w:pPr>
      <w:r w:rsidRPr="00204A45">
        <w:rPr>
          <w:rStyle w:val="FootnoteReference"/>
          <w:rFonts w:ascii="Times New Roman" w:hAnsi="Times New Roman"/>
        </w:rPr>
        <w:footnoteRef/>
      </w:r>
      <w:r w:rsidRPr="00204A45">
        <w:rPr>
          <w:rFonts w:ascii="Times New Roman" w:hAnsi="Times New Roman"/>
          <w:lang w:val="en-GB"/>
        </w:rPr>
        <w:t xml:space="preserve"> </w:t>
      </w:r>
      <w:r w:rsidRPr="00204A45">
        <w:rPr>
          <w:rFonts w:ascii="Times New Roman" w:hAnsi="Times New Roman"/>
          <w:lang w:val="en-GB"/>
        </w:rPr>
        <w:tab/>
        <w:t xml:space="preserve">See Annexes I and II of the </w:t>
      </w:r>
      <w:r>
        <w:rPr>
          <w:rFonts w:ascii="Times New Roman" w:hAnsi="Times New Roman"/>
          <w:lang w:val="en-GB"/>
        </w:rPr>
        <w:t xml:space="preserve">second Brexit preparedness </w:t>
      </w:r>
      <w:r w:rsidRPr="00204A45">
        <w:rPr>
          <w:rFonts w:ascii="Times New Roman" w:hAnsi="Times New Roman"/>
          <w:lang w:val="en-GB"/>
        </w:rPr>
        <w:t>Communication.</w:t>
      </w:r>
    </w:p>
  </w:footnote>
  <w:footnote w:id="10">
    <w:p w:rsidR="008F535F" w:rsidRPr="0051398A" w:rsidRDefault="008F535F" w:rsidP="00DE3490">
      <w:pPr>
        <w:pStyle w:val="FootnoteText"/>
        <w:ind w:left="720" w:hanging="720"/>
        <w:jc w:val="both"/>
        <w:rPr>
          <w:rFonts w:ascii="Times New Roman" w:hAnsi="Times New Roman"/>
          <w:lang w:val="en-GB"/>
        </w:rPr>
      </w:pPr>
      <w:r w:rsidRPr="0051398A">
        <w:rPr>
          <w:rStyle w:val="FootnoteReference"/>
          <w:rFonts w:ascii="Times New Roman" w:hAnsi="Times New Roman"/>
        </w:rPr>
        <w:footnoteRef/>
      </w:r>
      <w:r w:rsidRPr="0051398A">
        <w:rPr>
          <w:rFonts w:ascii="Times New Roman" w:hAnsi="Times New Roman"/>
          <w:lang w:val="en-GB"/>
        </w:rPr>
        <w:t xml:space="preserve"> </w:t>
      </w:r>
      <w:r w:rsidRPr="00E54BC8">
        <w:rPr>
          <w:rFonts w:ascii="Times New Roman" w:hAnsi="Times New Roman"/>
          <w:lang w:val="en-GB"/>
        </w:rPr>
        <w:tab/>
        <w:t xml:space="preserve">A number of sectorial preparedness seminars were held with Member States </w:t>
      </w:r>
      <w:r w:rsidR="0081230B">
        <w:rPr>
          <w:rFonts w:ascii="Times New Roman" w:hAnsi="Times New Roman"/>
          <w:lang w:val="en-GB"/>
        </w:rPr>
        <w:t xml:space="preserve">(EU27) </w:t>
      </w:r>
      <w:r w:rsidRPr="00E54BC8">
        <w:rPr>
          <w:rFonts w:ascii="Times New Roman" w:hAnsi="Times New Roman"/>
          <w:lang w:val="en-GB"/>
        </w:rPr>
        <w:t>and are listed in Annex 6 of the second Brexit preparedness Communication.</w:t>
      </w:r>
    </w:p>
  </w:footnote>
  <w:footnote w:id="11">
    <w:p w:rsidR="00310D0C" w:rsidRPr="006C5508" w:rsidRDefault="00310D0C" w:rsidP="006C5508">
      <w:pPr>
        <w:pStyle w:val="FootnoteText"/>
        <w:ind w:left="720" w:hanging="720"/>
        <w:jc w:val="both"/>
        <w:rPr>
          <w:rFonts w:ascii="Times New Roman" w:hAnsi="Times New Roman"/>
          <w:lang w:val="en-GB"/>
        </w:rPr>
      </w:pPr>
      <w:r w:rsidRPr="006C5508">
        <w:rPr>
          <w:rStyle w:val="FootnoteReference"/>
          <w:rFonts w:ascii="Times New Roman" w:hAnsi="Times New Roman"/>
        </w:rPr>
        <w:footnoteRef/>
      </w:r>
      <w:r w:rsidRPr="006C5508">
        <w:rPr>
          <w:rFonts w:ascii="Times New Roman" w:hAnsi="Times New Roman"/>
          <w:lang w:val="en-GB"/>
        </w:rPr>
        <w:t xml:space="preserve"> </w:t>
      </w:r>
      <w:r w:rsidRPr="006C5508">
        <w:rPr>
          <w:rFonts w:ascii="Times New Roman" w:hAnsi="Times New Roman"/>
          <w:lang w:val="en-GB"/>
        </w:rPr>
        <w:tab/>
        <w:t>The list of action</w:t>
      </w:r>
      <w:r w:rsidR="00E025F4">
        <w:rPr>
          <w:rFonts w:ascii="Times New Roman" w:hAnsi="Times New Roman"/>
          <w:lang w:val="en-GB"/>
        </w:rPr>
        <w:t>s</w:t>
      </w:r>
      <w:r w:rsidRPr="006C5508">
        <w:rPr>
          <w:rFonts w:ascii="Times New Roman" w:hAnsi="Times New Roman"/>
          <w:lang w:val="en-GB"/>
        </w:rPr>
        <w:t xml:space="preserve"> is without prejudice to additional action that could appear to be necessary at a later stage.</w:t>
      </w:r>
    </w:p>
  </w:footnote>
  <w:footnote w:id="12">
    <w:p w:rsidR="00A3020E" w:rsidRPr="006B5C5E" w:rsidRDefault="00A3020E" w:rsidP="00004210">
      <w:pPr>
        <w:pStyle w:val="FootnoteText"/>
        <w:ind w:left="720" w:hanging="720"/>
        <w:jc w:val="both"/>
        <w:rPr>
          <w:lang w:val="en-GB"/>
        </w:rPr>
      </w:pPr>
      <w:r w:rsidRPr="006B5C5E">
        <w:rPr>
          <w:rStyle w:val="FootnoteReference"/>
          <w:rFonts w:ascii="Times New Roman" w:hAnsi="Times New Roman"/>
        </w:rPr>
        <w:footnoteRef/>
      </w:r>
      <w:r w:rsidRPr="006B5C5E">
        <w:rPr>
          <w:rFonts w:ascii="Times New Roman" w:hAnsi="Times New Roman"/>
          <w:lang w:val="en-GB"/>
        </w:rPr>
        <w:t xml:space="preserve"> </w:t>
      </w:r>
      <w:r w:rsidRPr="006B5C5E">
        <w:rPr>
          <w:rFonts w:ascii="Times New Roman" w:hAnsi="Times New Roman"/>
          <w:lang w:val="en-GB"/>
        </w:rPr>
        <w:tab/>
        <w:t xml:space="preserve">The term </w:t>
      </w:r>
      <w:r w:rsidR="00DE3490">
        <w:rPr>
          <w:rFonts w:ascii="Times New Roman" w:hAnsi="Times New Roman"/>
          <w:lang w:val="en-GB"/>
        </w:rPr>
        <w:t>‘</w:t>
      </w:r>
      <w:r w:rsidRPr="006B5C5E">
        <w:rPr>
          <w:rFonts w:ascii="Times New Roman" w:hAnsi="Times New Roman"/>
          <w:lang w:val="en-GB"/>
        </w:rPr>
        <w:t>UK nationals’ used in this Communication should be understood as covering also their third country family members already resident in the respective host State at the time of withdrawal</w:t>
      </w:r>
      <w:r w:rsidRPr="006B5C5E">
        <w:rPr>
          <w:lang w:val="en-GB"/>
        </w:rPr>
        <w:t>.</w:t>
      </w:r>
    </w:p>
  </w:footnote>
  <w:footnote w:id="13">
    <w:p w:rsidR="00CD452B" w:rsidRDefault="00CD452B" w:rsidP="00CD452B">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w:t>
      </w:r>
      <w:r>
        <w:rPr>
          <w:rFonts w:ascii="Times New Roman" w:hAnsi="Times New Roman"/>
          <w:lang w:val="en-GB"/>
        </w:rPr>
        <w:tab/>
        <w:t>https://www.gov.uk/government/news/pm-brexit-negotiations-statement-21-september-2018.</w:t>
      </w:r>
    </w:p>
  </w:footnote>
  <w:footnote w:id="14">
    <w:p w:rsidR="008F535F" w:rsidRPr="00312780" w:rsidRDefault="008F535F" w:rsidP="00312780">
      <w:pPr>
        <w:pStyle w:val="FootnoteText"/>
        <w:rPr>
          <w:rFonts w:ascii="Times New Roman" w:hAnsi="Times New Roman"/>
          <w:lang w:val="en-GB"/>
        </w:rPr>
      </w:pPr>
      <w:r w:rsidRPr="00312780">
        <w:rPr>
          <w:rStyle w:val="FootnoteReference"/>
          <w:rFonts w:ascii="Times New Roman" w:hAnsi="Times New Roman"/>
        </w:rPr>
        <w:footnoteRef/>
      </w:r>
      <w:r w:rsidRPr="00312780">
        <w:rPr>
          <w:rFonts w:ascii="Times New Roman" w:hAnsi="Times New Roman"/>
          <w:lang w:val="en-GB"/>
        </w:rPr>
        <w:t xml:space="preserve"> </w:t>
      </w:r>
      <w:r w:rsidRPr="00312780">
        <w:rPr>
          <w:rFonts w:ascii="Times New Roman" w:hAnsi="Times New Roman"/>
          <w:lang w:val="en-GB"/>
        </w:rPr>
        <w:tab/>
        <w:t>COM(2018) 745 final.</w:t>
      </w:r>
    </w:p>
  </w:footnote>
  <w:footnote w:id="15">
    <w:p w:rsidR="00693858" w:rsidRPr="002326F6" w:rsidRDefault="00693858" w:rsidP="00463704">
      <w:pPr>
        <w:pStyle w:val="FootnoteText"/>
        <w:ind w:left="720" w:hanging="720"/>
        <w:jc w:val="both"/>
        <w:rPr>
          <w:rFonts w:ascii="Times New Roman" w:eastAsia="Times New Roman" w:hAnsi="Times New Roman"/>
          <w:lang w:val="en-GB"/>
        </w:rPr>
      </w:pPr>
      <w:r>
        <w:rPr>
          <w:rStyle w:val="FootnoteReference"/>
          <w:rFonts w:ascii="Times New Roman" w:eastAsia="Times New Roman" w:hAnsi="Times New Roman"/>
        </w:rPr>
        <w:footnoteRef/>
      </w:r>
      <w:r w:rsidRPr="002326F6">
        <w:rPr>
          <w:rFonts w:ascii="Times New Roman" w:eastAsia="Times New Roman" w:hAnsi="Times New Roman"/>
          <w:lang w:val="en-GB"/>
        </w:rPr>
        <w:t xml:space="preserve"> </w:t>
      </w:r>
      <w:r w:rsidRPr="002326F6">
        <w:rPr>
          <w:rFonts w:ascii="Times New Roman" w:eastAsia="Times New Roman" w:hAnsi="Times New Roman"/>
          <w:lang w:val="en-GB"/>
        </w:rPr>
        <w:tab/>
        <w:t xml:space="preserve">In order to continue residing and work in an EU Member State, </w:t>
      </w:r>
      <w:r>
        <w:rPr>
          <w:rFonts w:ascii="Times New Roman" w:eastAsia="Times New Roman" w:hAnsi="Times New Roman"/>
          <w:lang w:val="en-GB"/>
        </w:rPr>
        <w:t xml:space="preserve">UK </w:t>
      </w:r>
      <w:r w:rsidR="0081230B">
        <w:rPr>
          <w:rFonts w:ascii="Times New Roman" w:eastAsia="Times New Roman" w:hAnsi="Times New Roman"/>
          <w:lang w:val="en-GB"/>
        </w:rPr>
        <w:t>nationals</w:t>
      </w:r>
      <w:r>
        <w:rPr>
          <w:rFonts w:ascii="Times New Roman" w:eastAsia="Times New Roman" w:hAnsi="Times New Roman"/>
          <w:lang w:val="en-GB"/>
        </w:rPr>
        <w:t xml:space="preserve"> residing in the Member State at the moment of the withdrawal </w:t>
      </w:r>
      <w:r w:rsidRPr="002326F6">
        <w:rPr>
          <w:rFonts w:ascii="Times New Roman" w:eastAsia="Times New Roman" w:hAnsi="Times New Roman"/>
          <w:lang w:val="en-GB"/>
        </w:rPr>
        <w:t>will need to hold a residence permit</w:t>
      </w:r>
      <w:r>
        <w:rPr>
          <w:rFonts w:ascii="Times New Roman" w:eastAsia="Times New Roman" w:hAnsi="Times New Roman"/>
          <w:lang w:val="en-GB"/>
        </w:rPr>
        <w:t xml:space="preserve"> appropriate to third country nationals</w:t>
      </w:r>
      <w:r w:rsidRPr="002326F6">
        <w:rPr>
          <w:rFonts w:ascii="Times New Roman" w:eastAsia="Times New Roman" w:hAnsi="Times New Roman"/>
          <w:lang w:val="en-GB"/>
        </w:rPr>
        <w:t xml:space="preserve">, issued by the </w:t>
      </w:r>
      <w:r>
        <w:rPr>
          <w:rFonts w:ascii="Times New Roman" w:eastAsia="Times New Roman" w:hAnsi="Times New Roman"/>
          <w:lang w:val="en-GB"/>
        </w:rPr>
        <w:t>national migration authorities.</w:t>
      </w:r>
    </w:p>
  </w:footnote>
  <w:footnote w:id="16">
    <w:p w:rsidR="008F535F" w:rsidRPr="00992C22" w:rsidRDefault="008F535F" w:rsidP="00463704">
      <w:pPr>
        <w:pStyle w:val="FootnoteText"/>
        <w:ind w:left="720" w:hanging="720"/>
        <w:jc w:val="both"/>
        <w:rPr>
          <w:lang w:val="en-GB"/>
        </w:rPr>
      </w:pPr>
      <w:r w:rsidRPr="00DE3490">
        <w:rPr>
          <w:rStyle w:val="FootnoteReference"/>
          <w:rFonts w:ascii="Times New Roman" w:hAnsi="Times New Roman"/>
        </w:rPr>
        <w:footnoteRef/>
      </w:r>
      <w:r w:rsidRPr="00DE3490">
        <w:rPr>
          <w:rFonts w:ascii="Times New Roman" w:hAnsi="Times New Roman"/>
          <w:lang w:val="en-GB"/>
        </w:rPr>
        <w:t xml:space="preserve"> </w:t>
      </w:r>
      <w:r>
        <w:rPr>
          <w:lang w:val="en-GB"/>
        </w:rPr>
        <w:tab/>
      </w:r>
      <w:r w:rsidRPr="00992C22">
        <w:rPr>
          <w:rFonts w:ascii="Times New Roman" w:hAnsi="Times New Roman"/>
          <w:lang w:val="en-GB"/>
        </w:rPr>
        <w:t xml:space="preserve">As foreseen in </w:t>
      </w:r>
      <w:r>
        <w:rPr>
          <w:rFonts w:ascii="Times New Roman" w:hAnsi="Times New Roman"/>
          <w:lang w:val="en-GB"/>
        </w:rPr>
        <w:t xml:space="preserve">Council </w:t>
      </w:r>
      <w:r w:rsidRPr="00992C22">
        <w:rPr>
          <w:rFonts w:ascii="Times New Roman" w:hAnsi="Times New Roman"/>
          <w:lang w:val="en-GB"/>
        </w:rPr>
        <w:t>Regulation (EC)</w:t>
      </w:r>
      <w:r w:rsidR="005552D8">
        <w:rPr>
          <w:rFonts w:ascii="Times New Roman" w:hAnsi="Times New Roman"/>
          <w:lang w:val="en-GB"/>
        </w:rPr>
        <w:t xml:space="preserve"> </w:t>
      </w:r>
      <w:r w:rsidRPr="00992C22">
        <w:rPr>
          <w:rFonts w:ascii="Times New Roman" w:hAnsi="Times New Roman"/>
          <w:lang w:val="en-GB"/>
        </w:rPr>
        <w:t>1030/2002</w:t>
      </w:r>
      <w:r>
        <w:rPr>
          <w:rFonts w:ascii="Times New Roman" w:hAnsi="Times New Roman"/>
          <w:lang w:val="en-GB"/>
        </w:rPr>
        <w:t xml:space="preserve"> of 13 June 2002 laying down a uniform format for residence permits for third-country nationals (OJ L 157, 15.6.2002, p.1)</w:t>
      </w:r>
      <w:r>
        <w:rPr>
          <w:lang w:val="en-GB"/>
        </w:rPr>
        <w:t>.</w:t>
      </w:r>
    </w:p>
  </w:footnote>
  <w:footnote w:id="17">
    <w:p w:rsidR="008F535F" w:rsidRPr="00E501A7" w:rsidRDefault="008F535F" w:rsidP="00463704">
      <w:pPr>
        <w:pStyle w:val="FootnoteText"/>
        <w:ind w:left="720" w:hanging="720"/>
        <w:jc w:val="both"/>
        <w:rPr>
          <w:rFonts w:ascii="Times New Roman" w:hAnsi="Times New Roman"/>
          <w:lang w:val="en-GB"/>
        </w:rPr>
      </w:pPr>
      <w:r w:rsidRPr="00E501A7">
        <w:rPr>
          <w:rStyle w:val="FootnoteReference"/>
          <w:rFonts w:ascii="Times New Roman" w:hAnsi="Times New Roman"/>
        </w:rPr>
        <w:footnoteRef/>
      </w:r>
      <w:r w:rsidRPr="00E501A7">
        <w:rPr>
          <w:rFonts w:ascii="Times New Roman" w:hAnsi="Times New Roman"/>
          <w:lang w:val="en-GB"/>
        </w:rPr>
        <w:t xml:space="preserve"> </w:t>
      </w:r>
      <w:r w:rsidRPr="00E501A7">
        <w:rPr>
          <w:rFonts w:ascii="Times New Roman" w:hAnsi="Times New Roman"/>
          <w:lang w:val="en-GB"/>
        </w:rPr>
        <w:tab/>
        <w:t>Regulation (EC)</w:t>
      </w:r>
      <w:r>
        <w:rPr>
          <w:rFonts w:ascii="Times New Roman" w:hAnsi="Times New Roman"/>
          <w:lang w:val="en-GB"/>
        </w:rPr>
        <w:t xml:space="preserve"> </w:t>
      </w:r>
      <w:r w:rsidRPr="00E501A7">
        <w:rPr>
          <w:rFonts w:ascii="Times New Roman" w:hAnsi="Times New Roman"/>
          <w:lang w:val="en-GB"/>
        </w:rPr>
        <w:t xml:space="preserve">883/2004 </w:t>
      </w:r>
      <w:r w:rsidRPr="00D75768">
        <w:rPr>
          <w:rFonts w:ascii="Times New Roman" w:hAnsi="Times New Roman"/>
          <w:lang w:val="en-GB"/>
        </w:rPr>
        <w:t>of the European Parliament and of the Council of 29 April 2004 on the coordination of social security systems (OJ L 166, 30.4.2004, p.1)</w:t>
      </w:r>
      <w:r>
        <w:rPr>
          <w:rFonts w:ascii="Times New Roman" w:hAnsi="Times New Roman"/>
          <w:lang w:val="en-GB"/>
        </w:rPr>
        <w:t xml:space="preserve"> </w:t>
      </w:r>
      <w:r w:rsidRPr="00E501A7">
        <w:rPr>
          <w:rFonts w:ascii="Times New Roman" w:hAnsi="Times New Roman"/>
          <w:lang w:val="en-GB"/>
        </w:rPr>
        <w:t xml:space="preserve">and </w:t>
      </w:r>
      <w:r>
        <w:rPr>
          <w:rFonts w:ascii="Times New Roman" w:hAnsi="Times New Roman"/>
          <w:lang w:val="en-GB"/>
        </w:rPr>
        <w:t xml:space="preserve">Regulation </w:t>
      </w:r>
      <w:r w:rsidR="005552D8">
        <w:rPr>
          <w:rFonts w:ascii="Times New Roman" w:hAnsi="Times New Roman"/>
          <w:lang w:val="en-GB"/>
        </w:rPr>
        <w:t xml:space="preserve">(EC) </w:t>
      </w:r>
      <w:r w:rsidRPr="00E501A7">
        <w:rPr>
          <w:rFonts w:ascii="Times New Roman" w:hAnsi="Times New Roman"/>
          <w:lang w:val="en-GB"/>
        </w:rPr>
        <w:t>987/2009</w:t>
      </w:r>
      <w:r>
        <w:rPr>
          <w:rFonts w:ascii="Times New Roman" w:hAnsi="Times New Roman"/>
          <w:lang w:val="en-GB"/>
        </w:rPr>
        <w:t xml:space="preserve"> </w:t>
      </w:r>
      <w:r w:rsidRPr="00D75768">
        <w:rPr>
          <w:rFonts w:ascii="Times New Roman" w:hAnsi="Times New Roman"/>
          <w:lang w:val="en-GB"/>
        </w:rPr>
        <w:t>of the European Parliament and of the Council of 16 September 2009 laying down the procedure for implementing Regulation (EC) No 883/2004 on the coordination of social security systems (OJ L 284, 30.10.2009, p. 1)</w:t>
      </w:r>
      <w:r w:rsidRPr="00E501A7">
        <w:rPr>
          <w:rFonts w:ascii="Times New Roman" w:hAnsi="Times New Roman"/>
          <w:lang w:val="en-GB"/>
        </w:rPr>
        <w:t>.</w:t>
      </w:r>
    </w:p>
  </w:footnote>
  <w:footnote w:id="18">
    <w:p w:rsidR="008F535F" w:rsidRPr="001B52F9" w:rsidRDefault="008F535F" w:rsidP="001B52F9">
      <w:pPr>
        <w:ind w:left="720" w:hanging="720"/>
        <w:rPr>
          <w:rFonts w:ascii="Times New Roman" w:hAnsi="Times New Roman"/>
          <w:lang w:val="en-GB"/>
        </w:rPr>
      </w:pPr>
      <w:r w:rsidRPr="001B52F9">
        <w:rPr>
          <w:rStyle w:val="FootnoteReference"/>
          <w:rFonts w:ascii="Times New Roman" w:hAnsi="Times New Roman"/>
        </w:rPr>
        <w:footnoteRef/>
      </w:r>
      <w:r w:rsidRPr="001B52F9">
        <w:rPr>
          <w:rFonts w:ascii="Times New Roman" w:hAnsi="Times New Roman"/>
          <w:lang w:val="en-GB" w:eastAsia="en-GB"/>
        </w:rPr>
        <w:t xml:space="preserve"> </w:t>
      </w:r>
      <w:r>
        <w:rPr>
          <w:rFonts w:ascii="Times New Roman" w:hAnsi="Times New Roman"/>
          <w:lang w:val="en-GB" w:eastAsia="en-GB"/>
        </w:rPr>
        <w:tab/>
      </w:r>
      <w:hyperlink r:id="rId7" w:anchor="fisma" w:history="1">
        <w:r w:rsidRPr="001B52F9">
          <w:rPr>
            <w:rStyle w:val="Hyperlink"/>
            <w:rFonts w:ascii="Times New Roman" w:hAnsi="Times New Roman"/>
            <w:lang w:val="en-GB" w:eastAsia="en-GB"/>
          </w:rPr>
          <w:t>https://ec.europa.eu/info/brexit/brexit-preparedness/preparedness-notices_en#fisma</w:t>
        </w:r>
      </w:hyperlink>
      <w:r w:rsidRPr="001B52F9">
        <w:rPr>
          <w:rFonts w:ascii="Times New Roman" w:hAnsi="Times New Roman"/>
          <w:lang w:val="en-GB" w:eastAsia="en-GB"/>
        </w:rPr>
        <w:t xml:space="preserve"> </w:t>
      </w:r>
    </w:p>
  </w:footnote>
  <w:footnote w:id="19">
    <w:p w:rsidR="008F535F" w:rsidRPr="007C0568" w:rsidRDefault="008F535F" w:rsidP="007C0568">
      <w:pPr>
        <w:pStyle w:val="FootnoteText"/>
        <w:ind w:left="720" w:hanging="720"/>
        <w:jc w:val="both"/>
        <w:rPr>
          <w:rFonts w:ascii="Times New Roman" w:hAnsi="Times New Roman"/>
          <w:lang w:val="en-GB"/>
        </w:rPr>
      </w:pPr>
      <w:r w:rsidRPr="00DE3490">
        <w:rPr>
          <w:rStyle w:val="FootnoteReference"/>
          <w:rFonts w:ascii="Times New Roman" w:hAnsi="Times New Roman"/>
        </w:rPr>
        <w:footnoteRef/>
      </w:r>
      <w:r w:rsidRPr="00DE3490">
        <w:rPr>
          <w:rFonts w:ascii="Times New Roman" w:hAnsi="Times New Roman"/>
          <w:lang w:val="en-GB"/>
        </w:rPr>
        <w:t xml:space="preserve"> </w:t>
      </w:r>
      <w:r>
        <w:rPr>
          <w:lang w:val="en-GB"/>
        </w:rPr>
        <w:tab/>
      </w:r>
      <w:r w:rsidRPr="007C0568">
        <w:rPr>
          <w:rFonts w:ascii="Times New Roman" w:hAnsi="Times New Roman"/>
          <w:lang w:val="en-GB"/>
        </w:rPr>
        <w:t xml:space="preserve">As regards stakeholders, the Commission </w:t>
      </w:r>
      <w:r w:rsidR="00C40050">
        <w:rPr>
          <w:rFonts w:ascii="Times New Roman" w:hAnsi="Times New Roman"/>
          <w:lang w:val="en-GB"/>
        </w:rPr>
        <w:t xml:space="preserve">has </w:t>
      </w:r>
      <w:r w:rsidRPr="007C0568">
        <w:rPr>
          <w:rFonts w:ascii="Times New Roman" w:hAnsi="Times New Roman"/>
          <w:lang w:val="en-GB"/>
        </w:rPr>
        <w:t>emphasised the need for air carriers</w:t>
      </w:r>
      <w:r w:rsidR="00094A7E">
        <w:rPr>
          <w:rFonts w:ascii="Times New Roman" w:hAnsi="Times New Roman"/>
          <w:lang w:val="en-GB"/>
        </w:rPr>
        <w:t>, manufacturing and maintenance organisations as well as licensed personnel,</w:t>
      </w:r>
      <w:r w:rsidRPr="007C0568">
        <w:rPr>
          <w:rFonts w:ascii="Times New Roman" w:hAnsi="Times New Roman"/>
          <w:lang w:val="en-GB"/>
        </w:rPr>
        <w:t xml:space="preserve"> to seek the necessary licences, certificates and approvals as early as possible. The Commission also reiterates the need for companies that wish to be recognised as EU air carriers to take all the necessary measures to ensure that they meet this requirement on 30 March 2019.</w:t>
      </w:r>
    </w:p>
  </w:footnote>
  <w:footnote w:id="20">
    <w:p w:rsidR="008F535F" w:rsidRPr="00E501A7" w:rsidRDefault="008F535F" w:rsidP="00E501A7">
      <w:pPr>
        <w:pStyle w:val="FootnoteText"/>
        <w:ind w:left="720" w:hanging="720"/>
        <w:rPr>
          <w:rFonts w:ascii="Times New Roman" w:hAnsi="Times New Roman"/>
          <w:lang w:val="en-GB"/>
        </w:rPr>
      </w:pPr>
      <w:r w:rsidRPr="00E501A7">
        <w:rPr>
          <w:rStyle w:val="FootnoteReference"/>
          <w:rFonts w:ascii="Times New Roman" w:hAnsi="Times New Roman"/>
        </w:rPr>
        <w:footnoteRef/>
      </w:r>
      <w:r w:rsidRPr="00E501A7">
        <w:rPr>
          <w:rFonts w:ascii="Times New Roman" w:hAnsi="Times New Roman"/>
          <w:lang w:val="en-GB"/>
        </w:rPr>
        <w:t xml:space="preserve"> </w:t>
      </w:r>
      <w:r>
        <w:rPr>
          <w:rFonts w:ascii="Times New Roman" w:hAnsi="Times New Roman"/>
          <w:lang w:val="en-GB"/>
        </w:rPr>
        <w:tab/>
      </w:r>
      <w:r w:rsidRPr="00E501A7">
        <w:rPr>
          <w:rFonts w:ascii="Times New Roman" w:hAnsi="Times New Roman"/>
          <w:lang w:val="en-GB"/>
        </w:rPr>
        <w:t>Exports to Australia, Canada, Japan, New Zealand, Norway, Switzerland, Liechtenstein, and the United States of America benefit from a Union General Export Authorisation</w:t>
      </w:r>
      <w:r>
        <w:rPr>
          <w:rFonts w:ascii="Times New Roman" w:hAnsi="Times New Roman"/>
          <w:lang w:val="en-GB"/>
        </w:rPr>
        <w:t>.</w:t>
      </w:r>
    </w:p>
  </w:footnote>
  <w:footnote w:id="21">
    <w:p w:rsidR="00310D0C" w:rsidRPr="005552D8" w:rsidRDefault="00310D0C">
      <w:pPr>
        <w:pStyle w:val="FootnoteText"/>
        <w:rPr>
          <w:rFonts w:ascii="Times New Roman" w:hAnsi="Times New Roman"/>
          <w:lang w:val="da-DK"/>
        </w:rPr>
      </w:pPr>
      <w:r w:rsidRPr="006C5508">
        <w:rPr>
          <w:rStyle w:val="FootnoteReference"/>
          <w:rFonts w:ascii="Times New Roman" w:hAnsi="Times New Roman"/>
        </w:rPr>
        <w:footnoteRef/>
      </w:r>
      <w:r w:rsidRPr="006C5508">
        <w:rPr>
          <w:rFonts w:ascii="Times New Roman" w:hAnsi="Times New Roman"/>
        </w:rPr>
        <w:t xml:space="preserve"> </w:t>
      </w:r>
      <w:r w:rsidRPr="006C5508">
        <w:rPr>
          <w:rFonts w:ascii="Times New Roman" w:hAnsi="Times New Roman"/>
          <w:lang w:val="da-DK"/>
        </w:rPr>
        <w:tab/>
        <w:t>COM(2018) 374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35F" w:rsidRDefault="008F535F">
    <w:pPr>
      <w:pStyle w:val="Header"/>
    </w:pPr>
    <w:r>
      <w:rPr>
        <w:noProof/>
        <w:sz w:val="20"/>
        <w:lang w:eastAsia="fr-BE"/>
      </w:rPr>
      <mc:AlternateContent>
        <mc:Choice Requires="wps">
          <w:drawing>
            <wp:anchor distT="0" distB="0" distL="114300" distR="114300" simplePos="0" relativeHeight="251655168" behindDoc="0" locked="0" layoutInCell="1" allowOverlap="1" wp14:anchorId="0DD447D5" wp14:editId="23D47E16">
              <wp:simplePos x="0" y="0"/>
              <wp:positionH relativeFrom="column">
                <wp:posOffset>0</wp:posOffset>
              </wp:positionH>
              <wp:positionV relativeFrom="paragraph">
                <wp:posOffset>0</wp:posOffset>
              </wp:positionV>
              <wp:extent cx="635000" cy="635000"/>
              <wp:effectExtent l="0" t="0" r="3175" b="3175"/>
              <wp:wrapNone/>
              <wp:docPr id="4" name="WordArt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a:extLst>
                        <a:ext uri="{91240B29-F687-4F45-9708-019B960494DF}">
                          <a14:hiddenLine xmlns:a14="http://schemas.microsoft.com/office/drawing/2010/main" w="9525">
                            <a:solidFill>
                              <a:srgbClr val="000000"/>
                            </a:solidFill>
                            <a:round/>
                            <a:headEnd/>
                            <a:tailEnd/>
                          </a14:hiddenLine>
                        </a:ext>
                      </a:extLst>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A1DA11" id="_x0000_t202" coordsize="21600,21600" o:spt="202" path="m,l,21600r21600,l21600,xe">
              <v:stroke joinstyle="miter"/>
              <v:path gradientshapeok="t" o:connecttype="rect"/>
            </v:shapetype>
            <v:shape id="WordArt 7" o:spid="_x0000_s1026" type="#_x0000_t202"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" filled="f" stroked="f">
              <v:stroke joinstyle="round"/>
              <o:lock v:ext="edit" selection="t" text="t" shapetype="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35F" w:rsidRDefault="008F535F">
    <w:pPr>
      <w:pStyle w:val="Header"/>
    </w:pPr>
    <w:r>
      <w:rPr>
        <w:noProof/>
        <w:sz w:val="20"/>
        <w:lang w:eastAsia="fr-BE"/>
      </w:rPr>
      <mc:AlternateContent>
        <mc:Choice Requires="wps">
          <w:drawing>
            <wp:anchor distT="0" distB="0" distL="114300" distR="114300" simplePos="0" relativeHeight="251656192" behindDoc="0" locked="0" layoutInCell="1" allowOverlap="1" wp14:anchorId="596B074D" wp14:editId="7A03FB9F">
              <wp:simplePos x="0" y="0"/>
              <wp:positionH relativeFrom="column">
                <wp:posOffset>0</wp:posOffset>
              </wp:positionH>
              <wp:positionV relativeFrom="paragraph">
                <wp:posOffset>0</wp:posOffset>
              </wp:positionV>
              <wp:extent cx="635000" cy="635000"/>
              <wp:effectExtent l="0" t="0" r="3175" b="3175"/>
              <wp:wrapNone/>
              <wp:docPr id="3" name="WordArt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a:extLst>
                        <a:ext uri="{91240B29-F687-4F45-9708-019B960494DF}">
                          <a14:hiddenLine xmlns:a14="http://schemas.microsoft.com/office/drawing/2010/main" w="9525">
                            <a:solidFill>
                              <a:srgbClr val="000000"/>
                            </a:solidFill>
                            <a:round/>
                            <a:headEnd/>
                            <a:tailEnd/>
                          </a14:hiddenLine>
                        </a:ext>
                      </a:extLst>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AA65AF" id="_x0000_t202" coordsize="21600,21600" o:spt="202" path="m,l,21600r21600,l21600,xe">
              <v:stroke joinstyle="miter"/>
              <v:path gradientshapeok="t" o:connecttype="rect"/>
            </v:shapetype>
            <v:shape id="WordArt 6"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" filled="f" stroked="f">
              <v:stroke joinstyle="round"/>
              <o:lock v:ext="edit" selection="t" text="t" shapetype="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35F" w:rsidRDefault="008F535F">
    <w:pPr>
      <w:pStyle w:val="Header"/>
    </w:pPr>
    <w:r>
      <w:rPr>
        <w:noProof/>
        <w:sz w:val="20"/>
        <w:lang w:eastAsia="fr-BE"/>
      </w:rPr>
      <mc:AlternateContent>
        <mc:Choice Requires="wps">
          <w:drawing>
            <wp:anchor distT="0" distB="0" distL="114300" distR="114300" simplePos="0" relativeHeight="251657216" behindDoc="0" locked="0" layoutInCell="1" allowOverlap="1" wp14:anchorId="70735990" wp14:editId="143FD836">
              <wp:simplePos x="0" y="0"/>
              <wp:positionH relativeFrom="column">
                <wp:posOffset>0</wp:posOffset>
              </wp:positionH>
              <wp:positionV relativeFrom="paragraph">
                <wp:posOffset>0</wp:posOffset>
              </wp:positionV>
              <wp:extent cx="635000" cy="635000"/>
              <wp:effectExtent l="0" t="0" r="3175" b="3175"/>
              <wp:wrapNone/>
              <wp:docPr id="1" name="WordArt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a:extLst>
                        <a:ext uri="{91240B29-F687-4F45-9708-019B960494DF}">
                          <a14:hiddenLine xmlns:a14="http://schemas.microsoft.com/office/drawing/2010/main" w="9525">
                            <a:solidFill>
                              <a:srgbClr val="000000"/>
                            </a:solidFill>
                            <a:round/>
                            <a:headEnd/>
                            <a:tailEnd/>
                          </a14:hiddenLine>
                        </a:ext>
                      </a:extLst>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C6EC3C" id="_x0000_t202" coordsize="21600,21600" o:spt="202" path="m,l,21600r21600,l21600,xe">
              <v:stroke joinstyle="miter"/>
              <v:path gradientshapeok="t" o:connecttype="rect"/>
            </v:shapetype>
            <v:shape id="WordArt 5"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" filled="f" stroked="f">
              <v:stroke joinstyle="round"/>
              <o:lock v:ext="edit" selection="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1E8A"/>
    <w:multiLevelType w:val="hybridMultilevel"/>
    <w:tmpl w:val="7EDEAB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C4E93"/>
    <w:multiLevelType w:val="hybridMultilevel"/>
    <w:tmpl w:val="ED7C5248"/>
    <w:lvl w:ilvl="0" w:tplc="415CB20E">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B20707"/>
    <w:multiLevelType w:val="hybridMultilevel"/>
    <w:tmpl w:val="A4EC8AD2"/>
    <w:lvl w:ilvl="0" w:tplc="3E3AA8C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74002"/>
    <w:multiLevelType w:val="hybridMultilevel"/>
    <w:tmpl w:val="77AA11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AB7CB5"/>
    <w:multiLevelType w:val="hybridMultilevel"/>
    <w:tmpl w:val="0DA8653A"/>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A126792"/>
    <w:multiLevelType w:val="hybridMultilevel"/>
    <w:tmpl w:val="28C0D6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210F9B"/>
    <w:multiLevelType w:val="hybridMultilevel"/>
    <w:tmpl w:val="7AA4440C"/>
    <w:lvl w:ilvl="0" w:tplc="0406000D">
      <w:start w:val="1"/>
      <w:numFmt w:val="bullet"/>
      <w:lvlText w:val=""/>
      <w:lvlJc w:val="left"/>
      <w:pPr>
        <w:ind w:left="720" w:hanging="360"/>
      </w:pPr>
      <w:rPr>
        <w:rFonts w:ascii="Wingdings" w:hAnsi="Wingdings" w:hint="default"/>
        <w:w w:val="100"/>
        <w:sz w:val="20"/>
        <w:szCs w:val="20"/>
        <w:shd w:val="clear" w:color="auto" w:fil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93A37"/>
    <w:multiLevelType w:val="hybridMultilevel"/>
    <w:tmpl w:val="FB7204CE"/>
    <w:lvl w:ilvl="0" w:tplc="91B65EB6">
      <w:start w:val="1"/>
      <w:numFmt w:val="bullet"/>
      <w:lvlText w:val=""/>
      <w:lvlJc w:val="left"/>
      <w:pPr>
        <w:ind w:left="837" w:hanging="360"/>
      </w:pPr>
      <w:rPr>
        <w:rFonts w:ascii="Symbol" w:eastAsia="Symbol" w:hAnsi="Symbol" w:hint="default"/>
        <w:sz w:val="20"/>
        <w:szCs w:val="20"/>
      </w:rPr>
    </w:lvl>
    <w:lvl w:ilvl="1" w:tplc="0B1200E4">
      <w:start w:val="1"/>
      <w:numFmt w:val="bullet"/>
      <w:lvlText w:val="•"/>
      <w:lvlJc w:val="left"/>
      <w:pPr>
        <w:ind w:left="1328" w:hanging="360"/>
      </w:pPr>
      <w:rPr>
        <w:rFonts w:hint="default"/>
      </w:rPr>
    </w:lvl>
    <w:lvl w:ilvl="2" w:tplc="67940BF6">
      <w:start w:val="1"/>
      <w:numFmt w:val="bullet"/>
      <w:lvlText w:val="•"/>
      <w:lvlJc w:val="left"/>
      <w:pPr>
        <w:ind w:left="1819" w:hanging="360"/>
      </w:pPr>
      <w:rPr>
        <w:rFonts w:hint="default"/>
      </w:rPr>
    </w:lvl>
    <w:lvl w:ilvl="3" w:tplc="4F30418C">
      <w:start w:val="1"/>
      <w:numFmt w:val="bullet"/>
      <w:lvlText w:val="•"/>
      <w:lvlJc w:val="left"/>
      <w:pPr>
        <w:ind w:left="2311" w:hanging="360"/>
      </w:pPr>
      <w:rPr>
        <w:rFonts w:hint="default"/>
      </w:rPr>
    </w:lvl>
    <w:lvl w:ilvl="4" w:tplc="0684663E">
      <w:start w:val="1"/>
      <w:numFmt w:val="bullet"/>
      <w:lvlText w:val="•"/>
      <w:lvlJc w:val="left"/>
      <w:pPr>
        <w:ind w:left="2802" w:hanging="360"/>
      </w:pPr>
      <w:rPr>
        <w:rFonts w:hint="default"/>
      </w:rPr>
    </w:lvl>
    <w:lvl w:ilvl="5" w:tplc="B5D8A86A">
      <w:start w:val="1"/>
      <w:numFmt w:val="bullet"/>
      <w:lvlText w:val="•"/>
      <w:lvlJc w:val="left"/>
      <w:pPr>
        <w:ind w:left="3293" w:hanging="360"/>
      </w:pPr>
      <w:rPr>
        <w:rFonts w:hint="default"/>
      </w:rPr>
    </w:lvl>
    <w:lvl w:ilvl="6" w:tplc="82CEB95A">
      <w:start w:val="1"/>
      <w:numFmt w:val="bullet"/>
      <w:lvlText w:val="•"/>
      <w:lvlJc w:val="left"/>
      <w:pPr>
        <w:ind w:left="3784" w:hanging="360"/>
      </w:pPr>
      <w:rPr>
        <w:rFonts w:hint="default"/>
      </w:rPr>
    </w:lvl>
    <w:lvl w:ilvl="7" w:tplc="2F703F5C">
      <w:start w:val="1"/>
      <w:numFmt w:val="bullet"/>
      <w:lvlText w:val="•"/>
      <w:lvlJc w:val="left"/>
      <w:pPr>
        <w:ind w:left="4275" w:hanging="360"/>
      </w:pPr>
      <w:rPr>
        <w:rFonts w:hint="default"/>
      </w:rPr>
    </w:lvl>
    <w:lvl w:ilvl="8" w:tplc="190A06A2">
      <w:start w:val="1"/>
      <w:numFmt w:val="bullet"/>
      <w:lvlText w:val="•"/>
      <w:lvlJc w:val="left"/>
      <w:pPr>
        <w:ind w:left="4766" w:hanging="360"/>
      </w:pPr>
      <w:rPr>
        <w:rFonts w:hint="default"/>
      </w:rPr>
    </w:lvl>
  </w:abstractNum>
  <w:abstractNum w:abstractNumId="8" w15:restartNumberingAfterBreak="0">
    <w:nsid w:val="23DE2C08"/>
    <w:multiLevelType w:val="hybridMultilevel"/>
    <w:tmpl w:val="F8C2EB56"/>
    <w:lvl w:ilvl="0" w:tplc="D57453C6">
      <w:start w:val="5"/>
      <w:numFmt w:val="decimal"/>
      <w:lvlText w:val="%1."/>
      <w:lvlJc w:val="left"/>
      <w:pPr>
        <w:ind w:left="786"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B143BC"/>
    <w:multiLevelType w:val="hybridMultilevel"/>
    <w:tmpl w:val="1F5A45A2"/>
    <w:lvl w:ilvl="0" w:tplc="0809000D">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25B7098B"/>
    <w:multiLevelType w:val="hybridMultilevel"/>
    <w:tmpl w:val="70C6FF5C"/>
    <w:lvl w:ilvl="0" w:tplc="0406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59300CEE">
      <w:numFmt w:val="bullet"/>
      <w:lvlText w:val="-"/>
      <w:lvlJc w:val="left"/>
      <w:pPr>
        <w:ind w:left="2160" w:hanging="36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442773"/>
    <w:multiLevelType w:val="hybridMultilevel"/>
    <w:tmpl w:val="D4FC441E"/>
    <w:lvl w:ilvl="0" w:tplc="0406000D">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6CA3D9A"/>
    <w:multiLevelType w:val="hybridMultilevel"/>
    <w:tmpl w:val="FC62E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E76CB3"/>
    <w:multiLevelType w:val="hybridMultilevel"/>
    <w:tmpl w:val="A81CC340"/>
    <w:lvl w:ilvl="0" w:tplc="007A9126">
      <w:start w:val="1"/>
      <w:numFmt w:val="bullet"/>
      <w:lvlText w:val=""/>
      <w:lvlJc w:val="left"/>
      <w:pPr>
        <w:ind w:left="822" w:hanging="360"/>
      </w:pPr>
      <w:rPr>
        <w:rFonts w:ascii="Symbol" w:eastAsia="Symbol" w:hAnsi="Symbol" w:hint="default"/>
        <w:sz w:val="20"/>
        <w:szCs w:val="20"/>
      </w:rPr>
    </w:lvl>
    <w:lvl w:ilvl="1" w:tplc="FEC0A35A">
      <w:start w:val="1"/>
      <w:numFmt w:val="bullet"/>
      <w:lvlText w:val="•"/>
      <w:lvlJc w:val="left"/>
      <w:pPr>
        <w:ind w:left="1314" w:hanging="360"/>
      </w:pPr>
      <w:rPr>
        <w:rFonts w:hint="default"/>
      </w:rPr>
    </w:lvl>
    <w:lvl w:ilvl="2" w:tplc="61F2DC82">
      <w:start w:val="1"/>
      <w:numFmt w:val="bullet"/>
      <w:lvlText w:val="•"/>
      <w:lvlJc w:val="left"/>
      <w:pPr>
        <w:ind w:left="1807" w:hanging="360"/>
      </w:pPr>
      <w:rPr>
        <w:rFonts w:hint="default"/>
      </w:rPr>
    </w:lvl>
    <w:lvl w:ilvl="3" w:tplc="F86AAE34">
      <w:start w:val="1"/>
      <w:numFmt w:val="bullet"/>
      <w:lvlText w:val="•"/>
      <w:lvlJc w:val="left"/>
      <w:pPr>
        <w:ind w:left="2300" w:hanging="360"/>
      </w:pPr>
      <w:rPr>
        <w:rFonts w:hint="default"/>
      </w:rPr>
    </w:lvl>
    <w:lvl w:ilvl="4" w:tplc="B636D728">
      <w:start w:val="1"/>
      <w:numFmt w:val="bullet"/>
      <w:lvlText w:val="•"/>
      <w:lvlJc w:val="left"/>
      <w:pPr>
        <w:ind w:left="2792" w:hanging="360"/>
      </w:pPr>
      <w:rPr>
        <w:rFonts w:hint="default"/>
      </w:rPr>
    </w:lvl>
    <w:lvl w:ilvl="5" w:tplc="B64ACE04">
      <w:start w:val="1"/>
      <w:numFmt w:val="bullet"/>
      <w:lvlText w:val="•"/>
      <w:lvlJc w:val="left"/>
      <w:pPr>
        <w:ind w:left="3285" w:hanging="360"/>
      </w:pPr>
      <w:rPr>
        <w:rFonts w:hint="default"/>
      </w:rPr>
    </w:lvl>
    <w:lvl w:ilvl="6" w:tplc="E3745C3E">
      <w:start w:val="1"/>
      <w:numFmt w:val="bullet"/>
      <w:lvlText w:val="•"/>
      <w:lvlJc w:val="left"/>
      <w:pPr>
        <w:ind w:left="3777" w:hanging="360"/>
      </w:pPr>
      <w:rPr>
        <w:rFonts w:hint="default"/>
      </w:rPr>
    </w:lvl>
    <w:lvl w:ilvl="7" w:tplc="351A9BAC">
      <w:start w:val="1"/>
      <w:numFmt w:val="bullet"/>
      <w:lvlText w:val="•"/>
      <w:lvlJc w:val="left"/>
      <w:pPr>
        <w:ind w:left="4270" w:hanging="360"/>
      </w:pPr>
      <w:rPr>
        <w:rFonts w:hint="default"/>
      </w:rPr>
    </w:lvl>
    <w:lvl w:ilvl="8" w:tplc="8F6A7888">
      <w:start w:val="1"/>
      <w:numFmt w:val="bullet"/>
      <w:lvlText w:val="•"/>
      <w:lvlJc w:val="left"/>
      <w:pPr>
        <w:ind w:left="4763" w:hanging="360"/>
      </w:pPr>
      <w:rPr>
        <w:rFonts w:hint="default"/>
      </w:rPr>
    </w:lvl>
  </w:abstractNum>
  <w:abstractNum w:abstractNumId="14" w15:restartNumberingAfterBreak="0">
    <w:nsid w:val="2DAA114E"/>
    <w:multiLevelType w:val="hybridMultilevel"/>
    <w:tmpl w:val="FCE68DB4"/>
    <w:lvl w:ilvl="0" w:tplc="B3789BEE">
      <w:start w:val="1"/>
      <w:numFmt w:val="bullet"/>
      <w:lvlText w:val=""/>
      <w:lvlJc w:val="left"/>
      <w:pPr>
        <w:ind w:left="822" w:hanging="360"/>
      </w:pPr>
      <w:rPr>
        <w:rFonts w:ascii="Symbol" w:eastAsia="Symbol" w:hAnsi="Symbol" w:hint="default"/>
        <w:sz w:val="20"/>
        <w:szCs w:val="20"/>
      </w:rPr>
    </w:lvl>
    <w:lvl w:ilvl="1" w:tplc="695C7888">
      <w:start w:val="1"/>
      <w:numFmt w:val="bullet"/>
      <w:lvlText w:val="•"/>
      <w:lvlJc w:val="left"/>
      <w:pPr>
        <w:ind w:left="1314" w:hanging="360"/>
      </w:pPr>
      <w:rPr>
        <w:rFonts w:hint="default"/>
      </w:rPr>
    </w:lvl>
    <w:lvl w:ilvl="2" w:tplc="93FA5522">
      <w:start w:val="1"/>
      <w:numFmt w:val="bullet"/>
      <w:lvlText w:val="•"/>
      <w:lvlJc w:val="left"/>
      <w:pPr>
        <w:ind w:left="1807" w:hanging="360"/>
      </w:pPr>
      <w:rPr>
        <w:rFonts w:hint="default"/>
      </w:rPr>
    </w:lvl>
    <w:lvl w:ilvl="3" w:tplc="838AB1F4">
      <w:start w:val="1"/>
      <w:numFmt w:val="bullet"/>
      <w:lvlText w:val="•"/>
      <w:lvlJc w:val="left"/>
      <w:pPr>
        <w:ind w:left="2300" w:hanging="360"/>
      </w:pPr>
      <w:rPr>
        <w:rFonts w:hint="default"/>
      </w:rPr>
    </w:lvl>
    <w:lvl w:ilvl="4" w:tplc="8660836A">
      <w:start w:val="1"/>
      <w:numFmt w:val="bullet"/>
      <w:lvlText w:val="•"/>
      <w:lvlJc w:val="left"/>
      <w:pPr>
        <w:ind w:left="2792" w:hanging="360"/>
      </w:pPr>
      <w:rPr>
        <w:rFonts w:hint="default"/>
      </w:rPr>
    </w:lvl>
    <w:lvl w:ilvl="5" w:tplc="20B0411C">
      <w:start w:val="1"/>
      <w:numFmt w:val="bullet"/>
      <w:lvlText w:val="•"/>
      <w:lvlJc w:val="left"/>
      <w:pPr>
        <w:ind w:left="3285" w:hanging="360"/>
      </w:pPr>
      <w:rPr>
        <w:rFonts w:hint="default"/>
      </w:rPr>
    </w:lvl>
    <w:lvl w:ilvl="6" w:tplc="433A6CE0">
      <w:start w:val="1"/>
      <w:numFmt w:val="bullet"/>
      <w:lvlText w:val="•"/>
      <w:lvlJc w:val="left"/>
      <w:pPr>
        <w:ind w:left="3777" w:hanging="360"/>
      </w:pPr>
      <w:rPr>
        <w:rFonts w:hint="default"/>
      </w:rPr>
    </w:lvl>
    <w:lvl w:ilvl="7" w:tplc="36D4B2A2">
      <w:start w:val="1"/>
      <w:numFmt w:val="bullet"/>
      <w:lvlText w:val="•"/>
      <w:lvlJc w:val="left"/>
      <w:pPr>
        <w:ind w:left="4270" w:hanging="360"/>
      </w:pPr>
      <w:rPr>
        <w:rFonts w:hint="default"/>
      </w:rPr>
    </w:lvl>
    <w:lvl w:ilvl="8" w:tplc="79288C6E">
      <w:start w:val="1"/>
      <w:numFmt w:val="bullet"/>
      <w:lvlText w:val="•"/>
      <w:lvlJc w:val="left"/>
      <w:pPr>
        <w:ind w:left="4763" w:hanging="360"/>
      </w:pPr>
      <w:rPr>
        <w:rFonts w:hint="default"/>
      </w:rPr>
    </w:lvl>
  </w:abstractNum>
  <w:abstractNum w:abstractNumId="15" w15:restartNumberingAfterBreak="0">
    <w:nsid w:val="2F00000B"/>
    <w:multiLevelType w:val="hybridMultilevel"/>
    <w:tmpl w:val="1116FB26"/>
    <w:lvl w:ilvl="0" w:tplc="0406000D">
      <w:start w:val="1"/>
      <w:numFmt w:val="bullet"/>
      <w:lvlText w:val=""/>
      <w:lvlJc w:val="left"/>
      <w:pPr>
        <w:ind w:left="720" w:hanging="360"/>
        <w:jc w:val="both"/>
      </w:pPr>
      <w:rPr>
        <w:rFonts w:ascii="Wingdings" w:hAnsi="Wingdings" w:hint="default"/>
        <w:w w:val="100"/>
        <w:sz w:val="20"/>
        <w:szCs w:val="20"/>
        <w:shd w:val="clear" w:color="auto" w:fill="auto"/>
      </w:rPr>
    </w:lvl>
    <w:lvl w:ilvl="1" w:tplc="779E6894">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72328924">
      <w:start w:val="1"/>
      <w:numFmt w:val="bullet"/>
      <w:lvlText w:val="§"/>
      <w:lvlJc w:val="left"/>
      <w:pPr>
        <w:ind w:left="2160" w:hanging="360"/>
        <w:jc w:val="both"/>
      </w:pPr>
      <w:rPr>
        <w:rFonts w:ascii="Wingdings" w:eastAsia="Wingdings" w:hAnsi="Wingdings"/>
        <w:w w:val="100"/>
        <w:sz w:val="20"/>
        <w:szCs w:val="20"/>
        <w:shd w:val="clear" w:color="auto" w:fill="auto"/>
      </w:rPr>
    </w:lvl>
    <w:lvl w:ilvl="3" w:tplc="93DE21BE">
      <w:start w:val="1"/>
      <w:numFmt w:val="bullet"/>
      <w:lvlText w:val="·"/>
      <w:lvlJc w:val="left"/>
      <w:pPr>
        <w:ind w:left="2880" w:hanging="360"/>
        <w:jc w:val="both"/>
      </w:pPr>
      <w:rPr>
        <w:rFonts w:ascii="Symbol" w:eastAsia="Symbol" w:hAnsi="Symbol"/>
        <w:w w:val="100"/>
        <w:sz w:val="20"/>
        <w:szCs w:val="20"/>
        <w:shd w:val="clear" w:color="auto" w:fill="auto"/>
      </w:rPr>
    </w:lvl>
    <w:lvl w:ilvl="4" w:tplc="DB2A9102">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730860D6">
      <w:start w:val="1"/>
      <w:numFmt w:val="bullet"/>
      <w:lvlText w:val="§"/>
      <w:lvlJc w:val="left"/>
      <w:pPr>
        <w:ind w:left="4320" w:hanging="360"/>
        <w:jc w:val="both"/>
      </w:pPr>
      <w:rPr>
        <w:rFonts w:ascii="Wingdings" w:eastAsia="Wingdings" w:hAnsi="Wingdings"/>
        <w:w w:val="100"/>
        <w:sz w:val="20"/>
        <w:szCs w:val="20"/>
        <w:shd w:val="clear" w:color="auto" w:fill="auto"/>
      </w:rPr>
    </w:lvl>
    <w:lvl w:ilvl="6" w:tplc="4E6866E4">
      <w:start w:val="1"/>
      <w:numFmt w:val="bullet"/>
      <w:lvlText w:val="·"/>
      <w:lvlJc w:val="left"/>
      <w:pPr>
        <w:ind w:left="5040" w:hanging="360"/>
        <w:jc w:val="both"/>
      </w:pPr>
      <w:rPr>
        <w:rFonts w:ascii="Symbol" w:eastAsia="Symbol" w:hAnsi="Symbol"/>
        <w:w w:val="100"/>
        <w:sz w:val="20"/>
        <w:szCs w:val="20"/>
        <w:shd w:val="clear" w:color="auto" w:fill="auto"/>
      </w:rPr>
    </w:lvl>
    <w:lvl w:ilvl="7" w:tplc="D278CADC">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FD625644">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16" w15:restartNumberingAfterBreak="0">
    <w:nsid w:val="2F000012"/>
    <w:multiLevelType w:val="hybridMultilevel"/>
    <w:tmpl w:val="3795C8F2"/>
    <w:lvl w:ilvl="0" w:tplc="6FBA9A0A">
      <w:start w:val="1"/>
      <w:numFmt w:val="decimal"/>
      <w:lvlText w:val="%1."/>
      <w:lvlJc w:val="left"/>
      <w:pPr>
        <w:ind w:left="360" w:hanging="360"/>
        <w:jc w:val="both"/>
      </w:pPr>
    </w:lvl>
    <w:lvl w:ilvl="1" w:tplc="0BF415D4">
      <w:start w:val="1"/>
      <w:numFmt w:val="lowerLetter"/>
      <w:lvlText w:val="%2."/>
      <w:lvlJc w:val="left"/>
      <w:pPr>
        <w:ind w:left="1080" w:hanging="360"/>
        <w:jc w:val="both"/>
      </w:pPr>
    </w:lvl>
    <w:lvl w:ilvl="2" w:tplc="CB8C58E6">
      <w:start w:val="1"/>
      <w:numFmt w:val="lowerRoman"/>
      <w:lvlText w:val="%3."/>
      <w:lvlJc w:val="right"/>
      <w:pPr>
        <w:ind w:left="1800" w:hanging="180"/>
        <w:jc w:val="both"/>
      </w:pPr>
    </w:lvl>
    <w:lvl w:ilvl="3" w:tplc="C13EF79E">
      <w:start w:val="1"/>
      <w:numFmt w:val="decimal"/>
      <w:lvlText w:val="%4."/>
      <w:lvlJc w:val="left"/>
      <w:pPr>
        <w:ind w:left="2520" w:hanging="360"/>
        <w:jc w:val="both"/>
      </w:pPr>
    </w:lvl>
    <w:lvl w:ilvl="4" w:tplc="0F92C9C0">
      <w:start w:val="1"/>
      <w:numFmt w:val="lowerLetter"/>
      <w:lvlText w:val="%5."/>
      <w:lvlJc w:val="left"/>
      <w:pPr>
        <w:ind w:left="3240" w:hanging="360"/>
        <w:jc w:val="both"/>
      </w:pPr>
    </w:lvl>
    <w:lvl w:ilvl="5" w:tplc="4BD23052">
      <w:start w:val="1"/>
      <w:numFmt w:val="lowerRoman"/>
      <w:lvlText w:val="%6."/>
      <w:lvlJc w:val="right"/>
      <w:pPr>
        <w:ind w:left="3960" w:hanging="180"/>
        <w:jc w:val="both"/>
      </w:pPr>
    </w:lvl>
    <w:lvl w:ilvl="6" w:tplc="42D439CC">
      <w:start w:val="1"/>
      <w:numFmt w:val="decimal"/>
      <w:lvlText w:val="%7."/>
      <w:lvlJc w:val="left"/>
      <w:pPr>
        <w:ind w:left="4680" w:hanging="360"/>
        <w:jc w:val="both"/>
      </w:pPr>
    </w:lvl>
    <w:lvl w:ilvl="7" w:tplc="926CDB90">
      <w:start w:val="1"/>
      <w:numFmt w:val="lowerLetter"/>
      <w:lvlText w:val="%8."/>
      <w:lvlJc w:val="left"/>
      <w:pPr>
        <w:ind w:left="5400" w:hanging="360"/>
        <w:jc w:val="both"/>
      </w:pPr>
    </w:lvl>
    <w:lvl w:ilvl="8" w:tplc="B77488F0">
      <w:start w:val="1"/>
      <w:numFmt w:val="lowerRoman"/>
      <w:lvlText w:val="%9."/>
      <w:lvlJc w:val="right"/>
      <w:pPr>
        <w:ind w:left="6120" w:hanging="180"/>
        <w:jc w:val="both"/>
      </w:pPr>
    </w:lvl>
  </w:abstractNum>
  <w:abstractNum w:abstractNumId="17" w15:restartNumberingAfterBreak="0">
    <w:nsid w:val="2F000022"/>
    <w:multiLevelType w:val="hybridMultilevel"/>
    <w:tmpl w:val="4D6D2672"/>
    <w:lvl w:ilvl="0" w:tplc="48869F76">
      <w:start w:val="1"/>
      <w:numFmt w:val="bullet"/>
      <w:lvlText w:val="·"/>
      <w:lvlJc w:val="left"/>
      <w:pPr>
        <w:ind w:left="720" w:hanging="360"/>
        <w:jc w:val="both"/>
      </w:pPr>
      <w:rPr>
        <w:rFonts w:ascii="Symbol" w:eastAsia="Symbol" w:hAnsi="Symbol"/>
        <w:w w:val="100"/>
        <w:sz w:val="20"/>
        <w:szCs w:val="20"/>
        <w:shd w:val="clear" w:color="auto" w:fill="auto"/>
      </w:rPr>
    </w:lvl>
    <w:lvl w:ilvl="1" w:tplc="13B8DDB8">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6A9A2344">
      <w:start w:val="1"/>
      <w:numFmt w:val="bullet"/>
      <w:lvlText w:val="§"/>
      <w:lvlJc w:val="left"/>
      <w:pPr>
        <w:ind w:left="2160" w:hanging="360"/>
        <w:jc w:val="both"/>
      </w:pPr>
      <w:rPr>
        <w:rFonts w:ascii="Wingdings" w:eastAsia="Wingdings" w:hAnsi="Wingdings"/>
        <w:w w:val="100"/>
        <w:sz w:val="20"/>
        <w:szCs w:val="20"/>
        <w:shd w:val="clear" w:color="auto" w:fill="auto"/>
      </w:rPr>
    </w:lvl>
    <w:lvl w:ilvl="3" w:tplc="354C19D2">
      <w:start w:val="1"/>
      <w:numFmt w:val="bullet"/>
      <w:lvlText w:val="·"/>
      <w:lvlJc w:val="left"/>
      <w:pPr>
        <w:ind w:left="2880" w:hanging="360"/>
        <w:jc w:val="both"/>
      </w:pPr>
      <w:rPr>
        <w:rFonts w:ascii="Symbol" w:eastAsia="Symbol" w:hAnsi="Symbol"/>
        <w:w w:val="100"/>
        <w:sz w:val="20"/>
        <w:szCs w:val="20"/>
        <w:shd w:val="clear" w:color="auto" w:fill="auto"/>
      </w:rPr>
    </w:lvl>
    <w:lvl w:ilvl="4" w:tplc="E9C26CE4">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C41E4222">
      <w:start w:val="1"/>
      <w:numFmt w:val="bullet"/>
      <w:lvlText w:val="§"/>
      <w:lvlJc w:val="left"/>
      <w:pPr>
        <w:ind w:left="4320" w:hanging="360"/>
        <w:jc w:val="both"/>
      </w:pPr>
      <w:rPr>
        <w:rFonts w:ascii="Wingdings" w:eastAsia="Wingdings" w:hAnsi="Wingdings"/>
        <w:w w:val="100"/>
        <w:sz w:val="20"/>
        <w:szCs w:val="20"/>
        <w:shd w:val="clear" w:color="auto" w:fill="auto"/>
      </w:rPr>
    </w:lvl>
    <w:lvl w:ilvl="6" w:tplc="832807FC">
      <w:start w:val="1"/>
      <w:numFmt w:val="bullet"/>
      <w:lvlText w:val="·"/>
      <w:lvlJc w:val="left"/>
      <w:pPr>
        <w:ind w:left="5040" w:hanging="360"/>
        <w:jc w:val="both"/>
      </w:pPr>
      <w:rPr>
        <w:rFonts w:ascii="Symbol" w:eastAsia="Symbol" w:hAnsi="Symbol"/>
        <w:w w:val="100"/>
        <w:sz w:val="20"/>
        <w:szCs w:val="20"/>
        <w:shd w:val="clear" w:color="auto" w:fill="auto"/>
      </w:rPr>
    </w:lvl>
    <w:lvl w:ilvl="7" w:tplc="B4B2ADCC">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21A03A7C">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18" w15:restartNumberingAfterBreak="0">
    <w:nsid w:val="2F000024"/>
    <w:multiLevelType w:val="hybridMultilevel"/>
    <w:tmpl w:val="57DE5DFD"/>
    <w:lvl w:ilvl="0" w:tplc="4ECA2BC2">
      <w:start w:val="1"/>
      <w:numFmt w:val="bullet"/>
      <w:lvlText w:val="·"/>
      <w:lvlJc w:val="left"/>
      <w:pPr>
        <w:ind w:left="780" w:hanging="360"/>
        <w:jc w:val="both"/>
      </w:pPr>
      <w:rPr>
        <w:rFonts w:ascii="Symbol" w:eastAsia="Symbol" w:hAnsi="Symbol"/>
        <w:w w:val="100"/>
        <w:sz w:val="20"/>
        <w:szCs w:val="20"/>
        <w:shd w:val="clear" w:color="auto" w:fill="auto"/>
      </w:rPr>
    </w:lvl>
    <w:lvl w:ilvl="1" w:tplc="32705334">
      <w:start w:val="1"/>
      <w:numFmt w:val="bullet"/>
      <w:lvlText w:val="o"/>
      <w:lvlJc w:val="left"/>
      <w:pPr>
        <w:ind w:left="1500" w:hanging="360"/>
        <w:jc w:val="both"/>
      </w:pPr>
      <w:rPr>
        <w:rFonts w:ascii="Courier New" w:eastAsia="Courier New" w:hAnsi="Courier New"/>
        <w:w w:val="100"/>
        <w:sz w:val="20"/>
        <w:szCs w:val="20"/>
        <w:shd w:val="clear" w:color="auto" w:fill="auto"/>
      </w:rPr>
    </w:lvl>
    <w:lvl w:ilvl="2" w:tplc="8B74730E">
      <w:start w:val="1"/>
      <w:numFmt w:val="bullet"/>
      <w:lvlText w:val="§"/>
      <w:lvlJc w:val="left"/>
      <w:pPr>
        <w:ind w:left="2220" w:hanging="360"/>
        <w:jc w:val="both"/>
      </w:pPr>
      <w:rPr>
        <w:rFonts w:ascii="Wingdings" w:eastAsia="Wingdings" w:hAnsi="Wingdings"/>
        <w:w w:val="100"/>
        <w:sz w:val="20"/>
        <w:szCs w:val="20"/>
        <w:shd w:val="clear" w:color="auto" w:fill="auto"/>
      </w:rPr>
    </w:lvl>
    <w:lvl w:ilvl="3" w:tplc="51BA9F8E">
      <w:start w:val="1"/>
      <w:numFmt w:val="bullet"/>
      <w:lvlText w:val="·"/>
      <w:lvlJc w:val="left"/>
      <w:pPr>
        <w:ind w:left="2940" w:hanging="360"/>
        <w:jc w:val="both"/>
      </w:pPr>
      <w:rPr>
        <w:rFonts w:ascii="Symbol" w:eastAsia="Symbol" w:hAnsi="Symbol"/>
        <w:w w:val="100"/>
        <w:sz w:val="20"/>
        <w:szCs w:val="20"/>
        <w:shd w:val="clear" w:color="auto" w:fill="auto"/>
      </w:rPr>
    </w:lvl>
    <w:lvl w:ilvl="4" w:tplc="7C5A0CBC">
      <w:start w:val="1"/>
      <w:numFmt w:val="bullet"/>
      <w:lvlText w:val="o"/>
      <w:lvlJc w:val="left"/>
      <w:pPr>
        <w:ind w:left="3660" w:hanging="360"/>
        <w:jc w:val="both"/>
      </w:pPr>
      <w:rPr>
        <w:rFonts w:ascii="Courier New" w:eastAsia="Courier New" w:hAnsi="Courier New"/>
        <w:w w:val="100"/>
        <w:sz w:val="20"/>
        <w:szCs w:val="20"/>
        <w:shd w:val="clear" w:color="auto" w:fill="auto"/>
      </w:rPr>
    </w:lvl>
    <w:lvl w:ilvl="5" w:tplc="FC68B310">
      <w:start w:val="1"/>
      <w:numFmt w:val="bullet"/>
      <w:lvlText w:val="§"/>
      <w:lvlJc w:val="left"/>
      <w:pPr>
        <w:ind w:left="4380" w:hanging="360"/>
        <w:jc w:val="both"/>
      </w:pPr>
      <w:rPr>
        <w:rFonts w:ascii="Wingdings" w:eastAsia="Wingdings" w:hAnsi="Wingdings"/>
        <w:w w:val="100"/>
        <w:sz w:val="20"/>
        <w:szCs w:val="20"/>
        <w:shd w:val="clear" w:color="auto" w:fill="auto"/>
      </w:rPr>
    </w:lvl>
    <w:lvl w:ilvl="6" w:tplc="13109602">
      <w:start w:val="1"/>
      <w:numFmt w:val="bullet"/>
      <w:lvlText w:val="·"/>
      <w:lvlJc w:val="left"/>
      <w:pPr>
        <w:ind w:left="5100" w:hanging="360"/>
        <w:jc w:val="both"/>
      </w:pPr>
      <w:rPr>
        <w:rFonts w:ascii="Symbol" w:eastAsia="Symbol" w:hAnsi="Symbol"/>
        <w:w w:val="100"/>
        <w:sz w:val="20"/>
        <w:szCs w:val="20"/>
        <w:shd w:val="clear" w:color="auto" w:fill="auto"/>
      </w:rPr>
    </w:lvl>
    <w:lvl w:ilvl="7" w:tplc="624C5734">
      <w:start w:val="1"/>
      <w:numFmt w:val="bullet"/>
      <w:lvlText w:val="o"/>
      <w:lvlJc w:val="left"/>
      <w:pPr>
        <w:ind w:left="5820" w:hanging="360"/>
        <w:jc w:val="both"/>
      </w:pPr>
      <w:rPr>
        <w:rFonts w:ascii="Courier New" w:eastAsia="Courier New" w:hAnsi="Courier New"/>
        <w:w w:val="100"/>
        <w:sz w:val="20"/>
        <w:szCs w:val="20"/>
        <w:shd w:val="clear" w:color="auto" w:fill="auto"/>
      </w:rPr>
    </w:lvl>
    <w:lvl w:ilvl="8" w:tplc="D91EE372">
      <w:start w:val="1"/>
      <w:numFmt w:val="bullet"/>
      <w:lvlText w:val="§"/>
      <w:lvlJc w:val="left"/>
      <w:pPr>
        <w:ind w:left="6540" w:hanging="360"/>
        <w:jc w:val="both"/>
      </w:pPr>
      <w:rPr>
        <w:rFonts w:ascii="Wingdings" w:eastAsia="Wingdings" w:hAnsi="Wingdings"/>
        <w:w w:val="100"/>
        <w:sz w:val="20"/>
        <w:szCs w:val="20"/>
        <w:shd w:val="clear" w:color="auto" w:fill="auto"/>
      </w:rPr>
    </w:lvl>
  </w:abstractNum>
  <w:abstractNum w:abstractNumId="19" w15:restartNumberingAfterBreak="0">
    <w:nsid w:val="2F00002F"/>
    <w:multiLevelType w:val="hybridMultilevel"/>
    <w:tmpl w:val="41633036"/>
    <w:lvl w:ilvl="0" w:tplc="32D6B342">
      <w:start w:val="1"/>
      <w:numFmt w:val="bullet"/>
      <w:lvlText w:val="Ø"/>
      <w:lvlJc w:val="left"/>
      <w:pPr>
        <w:ind w:left="720" w:hanging="360"/>
        <w:jc w:val="both"/>
      </w:pPr>
      <w:rPr>
        <w:rFonts w:ascii="Wingdings" w:eastAsia="Wingdings" w:hAnsi="Wingdings"/>
        <w:w w:val="100"/>
        <w:sz w:val="20"/>
        <w:szCs w:val="20"/>
        <w:shd w:val="clear" w:color="auto" w:fill="auto"/>
      </w:rPr>
    </w:lvl>
    <w:lvl w:ilvl="1" w:tplc="58F29FD4">
      <w:start w:val="1"/>
      <w:numFmt w:val="lowerLetter"/>
      <w:lvlText w:val="%2."/>
      <w:lvlJc w:val="left"/>
      <w:pPr>
        <w:ind w:left="1440" w:hanging="360"/>
        <w:jc w:val="both"/>
      </w:pPr>
    </w:lvl>
    <w:lvl w:ilvl="2" w:tplc="39FE156E">
      <w:start w:val="1"/>
      <w:numFmt w:val="lowerRoman"/>
      <w:lvlText w:val="%3."/>
      <w:lvlJc w:val="right"/>
      <w:pPr>
        <w:ind w:left="2160" w:hanging="180"/>
        <w:jc w:val="both"/>
      </w:pPr>
    </w:lvl>
    <w:lvl w:ilvl="3" w:tplc="A14EBC4C">
      <w:start w:val="1"/>
      <w:numFmt w:val="decimal"/>
      <w:lvlText w:val="%4."/>
      <w:lvlJc w:val="left"/>
      <w:pPr>
        <w:ind w:left="2880" w:hanging="360"/>
        <w:jc w:val="both"/>
      </w:pPr>
    </w:lvl>
    <w:lvl w:ilvl="4" w:tplc="2A6E34FA">
      <w:start w:val="1"/>
      <w:numFmt w:val="lowerLetter"/>
      <w:lvlText w:val="%5."/>
      <w:lvlJc w:val="left"/>
      <w:pPr>
        <w:ind w:left="3600" w:hanging="360"/>
        <w:jc w:val="both"/>
      </w:pPr>
    </w:lvl>
    <w:lvl w:ilvl="5" w:tplc="EAE27978">
      <w:start w:val="1"/>
      <w:numFmt w:val="lowerRoman"/>
      <w:lvlText w:val="%6."/>
      <w:lvlJc w:val="right"/>
      <w:pPr>
        <w:ind w:left="4320" w:hanging="180"/>
        <w:jc w:val="both"/>
      </w:pPr>
    </w:lvl>
    <w:lvl w:ilvl="6" w:tplc="805A73FC">
      <w:start w:val="1"/>
      <w:numFmt w:val="decimal"/>
      <w:lvlText w:val="%7."/>
      <w:lvlJc w:val="left"/>
      <w:pPr>
        <w:ind w:left="5040" w:hanging="360"/>
        <w:jc w:val="both"/>
      </w:pPr>
    </w:lvl>
    <w:lvl w:ilvl="7" w:tplc="03B6A842">
      <w:start w:val="1"/>
      <w:numFmt w:val="lowerLetter"/>
      <w:lvlText w:val="%8."/>
      <w:lvlJc w:val="left"/>
      <w:pPr>
        <w:ind w:left="5760" w:hanging="360"/>
        <w:jc w:val="both"/>
      </w:pPr>
    </w:lvl>
    <w:lvl w:ilvl="8" w:tplc="7DCECFF0">
      <w:start w:val="1"/>
      <w:numFmt w:val="lowerRoman"/>
      <w:lvlText w:val="%9."/>
      <w:lvlJc w:val="right"/>
      <w:pPr>
        <w:ind w:left="6480" w:hanging="180"/>
        <w:jc w:val="both"/>
      </w:pPr>
    </w:lvl>
  </w:abstractNum>
  <w:abstractNum w:abstractNumId="20" w15:restartNumberingAfterBreak="0">
    <w:nsid w:val="405362A1"/>
    <w:multiLevelType w:val="hybridMultilevel"/>
    <w:tmpl w:val="189A4D3C"/>
    <w:lvl w:ilvl="0" w:tplc="753E6B9A">
      <w:start w:val="1"/>
      <w:numFmt w:val="bullet"/>
      <w:lvlText w:val=""/>
      <w:lvlJc w:val="left"/>
      <w:pPr>
        <w:ind w:left="822" w:hanging="360"/>
      </w:pPr>
      <w:rPr>
        <w:rFonts w:ascii="Symbol" w:eastAsia="Symbol" w:hAnsi="Symbol" w:hint="default"/>
        <w:sz w:val="20"/>
        <w:szCs w:val="20"/>
      </w:rPr>
    </w:lvl>
    <w:lvl w:ilvl="1" w:tplc="76B20318">
      <w:start w:val="1"/>
      <w:numFmt w:val="bullet"/>
      <w:lvlText w:val="•"/>
      <w:lvlJc w:val="left"/>
      <w:pPr>
        <w:ind w:left="1314" w:hanging="360"/>
      </w:pPr>
      <w:rPr>
        <w:rFonts w:hint="default"/>
      </w:rPr>
    </w:lvl>
    <w:lvl w:ilvl="2" w:tplc="1BC6DD0E">
      <w:start w:val="1"/>
      <w:numFmt w:val="bullet"/>
      <w:lvlText w:val="•"/>
      <w:lvlJc w:val="left"/>
      <w:pPr>
        <w:ind w:left="1807" w:hanging="360"/>
      </w:pPr>
      <w:rPr>
        <w:rFonts w:hint="default"/>
      </w:rPr>
    </w:lvl>
    <w:lvl w:ilvl="3" w:tplc="DD221D90">
      <w:start w:val="1"/>
      <w:numFmt w:val="bullet"/>
      <w:lvlText w:val="•"/>
      <w:lvlJc w:val="left"/>
      <w:pPr>
        <w:ind w:left="2300" w:hanging="360"/>
      </w:pPr>
      <w:rPr>
        <w:rFonts w:hint="default"/>
      </w:rPr>
    </w:lvl>
    <w:lvl w:ilvl="4" w:tplc="8CECB3A2">
      <w:start w:val="1"/>
      <w:numFmt w:val="bullet"/>
      <w:lvlText w:val="•"/>
      <w:lvlJc w:val="left"/>
      <w:pPr>
        <w:ind w:left="2792" w:hanging="360"/>
      </w:pPr>
      <w:rPr>
        <w:rFonts w:hint="default"/>
      </w:rPr>
    </w:lvl>
    <w:lvl w:ilvl="5" w:tplc="F9CA8236">
      <w:start w:val="1"/>
      <w:numFmt w:val="bullet"/>
      <w:lvlText w:val="•"/>
      <w:lvlJc w:val="left"/>
      <w:pPr>
        <w:ind w:left="3285" w:hanging="360"/>
      </w:pPr>
      <w:rPr>
        <w:rFonts w:hint="default"/>
      </w:rPr>
    </w:lvl>
    <w:lvl w:ilvl="6" w:tplc="F2E837B0">
      <w:start w:val="1"/>
      <w:numFmt w:val="bullet"/>
      <w:lvlText w:val="•"/>
      <w:lvlJc w:val="left"/>
      <w:pPr>
        <w:ind w:left="3777" w:hanging="360"/>
      </w:pPr>
      <w:rPr>
        <w:rFonts w:hint="default"/>
      </w:rPr>
    </w:lvl>
    <w:lvl w:ilvl="7" w:tplc="E42028A2">
      <w:start w:val="1"/>
      <w:numFmt w:val="bullet"/>
      <w:lvlText w:val="•"/>
      <w:lvlJc w:val="left"/>
      <w:pPr>
        <w:ind w:left="4270" w:hanging="360"/>
      </w:pPr>
      <w:rPr>
        <w:rFonts w:hint="default"/>
      </w:rPr>
    </w:lvl>
    <w:lvl w:ilvl="8" w:tplc="2E32A776">
      <w:start w:val="1"/>
      <w:numFmt w:val="bullet"/>
      <w:lvlText w:val="•"/>
      <w:lvlJc w:val="left"/>
      <w:pPr>
        <w:ind w:left="4763" w:hanging="360"/>
      </w:pPr>
      <w:rPr>
        <w:rFonts w:hint="default"/>
      </w:rPr>
    </w:lvl>
  </w:abstractNum>
  <w:abstractNum w:abstractNumId="21" w15:restartNumberingAfterBreak="0">
    <w:nsid w:val="40814570"/>
    <w:multiLevelType w:val="hybridMultilevel"/>
    <w:tmpl w:val="1B3ADCA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B2E2219E">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A32A4B"/>
    <w:multiLevelType w:val="hybridMultilevel"/>
    <w:tmpl w:val="4594D5AC"/>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9FE68B4"/>
    <w:multiLevelType w:val="hybridMultilevel"/>
    <w:tmpl w:val="15248EDE"/>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0A0589E"/>
    <w:multiLevelType w:val="hybridMultilevel"/>
    <w:tmpl w:val="D4EABB88"/>
    <w:lvl w:ilvl="0" w:tplc="E4E011CC">
      <w:start w:val="1"/>
      <w:numFmt w:val="bullet"/>
      <w:lvlText w:val=""/>
      <w:lvlJc w:val="left"/>
      <w:pPr>
        <w:ind w:left="837" w:hanging="360"/>
      </w:pPr>
      <w:rPr>
        <w:rFonts w:ascii="Symbol" w:eastAsia="Symbol" w:hAnsi="Symbol" w:hint="default"/>
        <w:sz w:val="20"/>
        <w:szCs w:val="20"/>
      </w:rPr>
    </w:lvl>
    <w:lvl w:ilvl="1" w:tplc="3A8A2E2C">
      <w:start w:val="1"/>
      <w:numFmt w:val="bullet"/>
      <w:lvlText w:val="•"/>
      <w:lvlJc w:val="left"/>
      <w:pPr>
        <w:ind w:left="1328" w:hanging="360"/>
      </w:pPr>
      <w:rPr>
        <w:rFonts w:hint="default"/>
      </w:rPr>
    </w:lvl>
    <w:lvl w:ilvl="2" w:tplc="C6FA162C">
      <w:start w:val="1"/>
      <w:numFmt w:val="bullet"/>
      <w:lvlText w:val="•"/>
      <w:lvlJc w:val="left"/>
      <w:pPr>
        <w:ind w:left="1819" w:hanging="360"/>
      </w:pPr>
      <w:rPr>
        <w:rFonts w:hint="default"/>
      </w:rPr>
    </w:lvl>
    <w:lvl w:ilvl="3" w:tplc="FB84A93C">
      <w:start w:val="1"/>
      <w:numFmt w:val="bullet"/>
      <w:lvlText w:val="•"/>
      <w:lvlJc w:val="left"/>
      <w:pPr>
        <w:ind w:left="2311" w:hanging="360"/>
      </w:pPr>
      <w:rPr>
        <w:rFonts w:hint="default"/>
      </w:rPr>
    </w:lvl>
    <w:lvl w:ilvl="4" w:tplc="D666BC68">
      <w:start w:val="1"/>
      <w:numFmt w:val="bullet"/>
      <w:lvlText w:val="•"/>
      <w:lvlJc w:val="left"/>
      <w:pPr>
        <w:ind w:left="2802" w:hanging="360"/>
      </w:pPr>
      <w:rPr>
        <w:rFonts w:hint="default"/>
      </w:rPr>
    </w:lvl>
    <w:lvl w:ilvl="5" w:tplc="61EC0F04">
      <w:start w:val="1"/>
      <w:numFmt w:val="bullet"/>
      <w:lvlText w:val="•"/>
      <w:lvlJc w:val="left"/>
      <w:pPr>
        <w:ind w:left="3293" w:hanging="360"/>
      </w:pPr>
      <w:rPr>
        <w:rFonts w:hint="default"/>
      </w:rPr>
    </w:lvl>
    <w:lvl w:ilvl="6" w:tplc="8BEC7D84">
      <w:start w:val="1"/>
      <w:numFmt w:val="bullet"/>
      <w:lvlText w:val="•"/>
      <w:lvlJc w:val="left"/>
      <w:pPr>
        <w:ind w:left="3784" w:hanging="360"/>
      </w:pPr>
      <w:rPr>
        <w:rFonts w:hint="default"/>
      </w:rPr>
    </w:lvl>
    <w:lvl w:ilvl="7" w:tplc="BE94E0FE">
      <w:start w:val="1"/>
      <w:numFmt w:val="bullet"/>
      <w:lvlText w:val="•"/>
      <w:lvlJc w:val="left"/>
      <w:pPr>
        <w:ind w:left="4275" w:hanging="360"/>
      </w:pPr>
      <w:rPr>
        <w:rFonts w:hint="default"/>
      </w:rPr>
    </w:lvl>
    <w:lvl w:ilvl="8" w:tplc="FB54898C">
      <w:start w:val="1"/>
      <w:numFmt w:val="bullet"/>
      <w:lvlText w:val="•"/>
      <w:lvlJc w:val="left"/>
      <w:pPr>
        <w:ind w:left="4766" w:hanging="360"/>
      </w:pPr>
      <w:rPr>
        <w:rFonts w:hint="default"/>
      </w:rPr>
    </w:lvl>
  </w:abstractNum>
  <w:abstractNum w:abstractNumId="25" w15:restartNumberingAfterBreak="0">
    <w:nsid w:val="51892F82"/>
    <w:multiLevelType w:val="multilevel"/>
    <w:tmpl w:val="AE8CA1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9666EDD"/>
    <w:multiLevelType w:val="hybridMultilevel"/>
    <w:tmpl w:val="C2E2D7EC"/>
    <w:lvl w:ilvl="0" w:tplc="FA9615A8">
      <w:start w:val="1"/>
      <w:numFmt w:val="bullet"/>
      <w:lvlText w:val=""/>
      <w:lvlJc w:val="left"/>
      <w:pPr>
        <w:ind w:left="822" w:hanging="360"/>
      </w:pPr>
      <w:rPr>
        <w:rFonts w:ascii="Symbol" w:eastAsia="Symbol" w:hAnsi="Symbol" w:hint="default"/>
        <w:sz w:val="20"/>
        <w:szCs w:val="20"/>
      </w:rPr>
    </w:lvl>
    <w:lvl w:ilvl="1" w:tplc="11DEC7D6">
      <w:start w:val="1"/>
      <w:numFmt w:val="bullet"/>
      <w:lvlText w:val="•"/>
      <w:lvlJc w:val="left"/>
      <w:pPr>
        <w:ind w:left="1314" w:hanging="360"/>
      </w:pPr>
      <w:rPr>
        <w:rFonts w:hint="default"/>
      </w:rPr>
    </w:lvl>
    <w:lvl w:ilvl="2" w:tplc="F9BC24EA">
      <w:start w:val="1"/>
      <w:numFmt w:val="bullet"/>
      <w:lvlText w:val="•"/>
      <w:lvlJc w:val="left"/>
      <w:pPr>
        <w:ind w:left="1807" w:hanging="360"/>
      </w:pPr>
      <w:rPr>
        <w:rFonts w:hint="default"/>
      </w:rPr>
    </w:lvl>
    <w:lvl w:ilvl="3" w:tplc="A8A651A6">
      <w:start w:val="1"/>
      <w:numFmt w:val="bullet"/>
      <w:lvlText w:val="•"/>
      <w:lvlJc w:val="left"/>
      <w:pPr>
        <w:ind w:left="2300" w:hanging="360"/>
      </w:pPr>
      <w:rPr>
        <w:rFonts w:hint="default"/>
      </w:rPr>
    </w:lvl>
    <w:lvl w:ilvl="4" w:tplc="DFF69166">
      <w:start w:val="1"/>
      <w:numFmt w:val="bullet"/>
      <w:lvlText w:val="•"/>
      <w:lvlJc w:val="left"/>
      <w:pPr>
        <w:ind w:left="2792" w:hanging="360"/>
      </w:pPr>
      <w:rPr>
        <w:rFonts w:hint="default"/>
      </w:rPr>
    </w:lvl>
    <w:lvl w:ilvl="5" w:tplc="77685444">
      <w:start w:val="1"/>
      <w:numFmt w:val="bullet"/>
      <w:lvlText w:val="•"/>
      <w:lvlJc w:val="left"/>
      <w:pPr>
        <w:ind w:left="3285" w:hanging="360"/>
      </w:pPr>
      <w:rPr>
        <w:rFonts w:hint="default"/>
      </w:rPr>
    </w:lvl>
    <w:lvl w:ilvl="6" w:tplc="2AE034AA">
      <w:start w:val="1"/>
      <w:numFmt w:val="bullet"/>
      <w:lvlText w:val="•"/>
      <w:lvlJc w:val="left"/>
      <w:pPr>
        <w:ind w:left="3777" w:hanging="360"/>
      </w:pPr>
      <w:rPr>
        <w:rFonts w:hint="default"/>
      </w:rPr>
    </w:lvl>
    <w:lvl w:ilvl="7" w:tplc="A7527772">
      <w:start w:val="1"/>
      <w:numFmt w:val="bullet"/>
      <w:lvlText w:val="•"/>
      <w:lvlJc w:val="left"/>
      <w:pPr>
        <w:ind w:left="4270" w:hanging="360"/>
      </w:pPr>
      <w:rPr>
        <w:rFonts w:hint="default"/>
      </w:rPr>
    </w:lvl>
    <w:lvl w:ilvl="8" w:tplc="BB2AD232">
      <w:start w:val="1"/>
      <w:numFmt w:val="bullet"/>
      <w:lvlText w:val="•"/>
      <w:lvlJc w:val="left"/>
      <w:pPr>
        <w:ind w:left="4763" w:hanging="360"/>
      </w:pPr>
      <w:rPr>
        <w:rFonts w:hint="default"/>
      </w:rPr>
    </w:lvl>
  </w:abstractNum>
  <w:abstractNum w:abstractNumId="27" w15:restartNumberingAfterBreak="0">
    <w:nsid w:val="5BD36A94"/>
    <w:multiLevelType w:val="hybridMultilevel"/>
    <w:tmpl w:val="8228DD16"/>
    <w:lvl w:ilvl="0" w:tplc="57D04E1A">
      <w:start w:val="3"/>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22" w:hanging="360"/>
      </w:pPr>
    </w:lvl>
    <w:lvl w:ilvl="2" w:tplc="0809001B" w:tentative="1">
      <w:start w:val="1"/>
      <w:numFmt w:val="lowerRoman"/>
      <w:lvlText w:val="%3."/>
      <w:lvlJc w:val="right"/>
      <w:pPr>
        <w:ind w:left="742" w:hanging="180"/>
      </w:pPr>
    </w:lvl>
    <w:lvl w:ilvl="3" w:tplc="0809000F" w:tentative="1">
      <w:start w:val="1"/>
      <w:numFmt w:val="decimal"/>
      <w:lvlText w:val="%4."/>
      <w:lvlJc w:val="left"/>
      <w:pPr>
        <w:ind w:left="1462" w:hanging="360"/>
      </w:pPr>
    </w:lvl>
    <w:lvl w:ilvl="4" w:tplc="08090019" w:tentative="1">
      <w:start w:val="1"/>
      <w:numFmt w:val="lowerLetter"/>
      <w:lvlText w:val="%5."/>
      <w:lvlJc w:val="left"/>
      <w:pPr>
        <w:ind w:left="2182" w:hanging="360"/>
      </w:pPr>
    </w:lvl>
    <w:lvl w:ilvl="5" w:tplc="0809001B" w:tentative="1">
      <w:start w:val="1"/>
      <w:numFmt w:val="lowerRoman"/>
      <w:lvlText w:val="%6."/>
      <w:lvlJc w:val="right"/>
      <w:pPr>
        <w:ind w:left="2902" w:hanging="180"/>
      </w:pPr>
    </w:lvl>
    <w:lvl w:ilvl="6" w:tplc="0809000F" w:tentative="1">
      <w:start w:val="1"/>
      <w:numFmt w:val="decimal"/>
      <w:lvlText w:val="%7."/>
      <w:lvlJc w:val="left"/>
      <w:pPr>
        <w:ind w:left="3622" w:hanging="360"/>
      </w:pPr>
    </w:lvl>
    <w:lvl w:ilvl="7" w:tplc="08090019" w:tentative="1">
      <w:start w:val="1"/>
      <w:numFmt w:val="lowerLetter"/>
      <w:lvlText w:val="%8."/>
      <w:lvlJc w:val="left"/>
      <w:pPr>
        <w:ind w:left="4342" w:hanging="360"/>
      </w:pPr>
    </w:lvl>
    <w:lvl w:ilvl="8" w:tplc="0809001B" w:tentative="1">
      <w:start w:val="1"/>
      <w:numFmt w:val="lowerRoman"/>
      <w:lvlText w:val="%9."/>
      <w:lvlJc w:val="right"/>
      <w:pPr>
        <w:ind w:left="5062" w:hanging="180"/>
      </w:pPr>
    </w:lvl>
  </w:abstractNum>
  <w:abstractNum w:abstractNumId="28" w15:restartNumberingAfterBreak="0">
    <w:nsid w:val="64027D2E"/>
    <w:multiLevelType w:val="hybridMultilevel"/>
    <w:tmpl w:val="3336E41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96C2463"/>
    <w:multiLevelType w:val="hybridMultilevel"/>
    <w:tmpl w:val="20689D4A"/>
    <w:lvl w:ilvl="0" w:tplc="85FED7B2">
      <w:start w:val="1"/>
      <w:numFmt w:val="bullet"/>
      <w:lvlText w:val=""/>
      <w:lvlJc w:val="left"/>
      <w:pPr>
        <w:ind w:left="837" w:hanging="360"/>
      </w:pPr>
      <w:rPr>
        <w:rFonts w:ascii="Symbol" w:eastAsia="Symbol" w:hAnsi="Symbol" w:hint="default"/>
        <w:sz w:val="20"/>
        <w:szCs w:val="20"/>
      </w:rPr>
    </w:lvl>
    <w:lvl w:ilvl="1" w:tplc="4E4AEA7A">
      <w:start w:val="1"/>
      <w:numFmt w:val="bullet"/>
      <w:lvlText w:val="•"/>
      <w:lvlJc w:val="left"/>
      <w:pPr>
        <w:ind w:left="1328" w:hanging="360"/>
      </w:pPr>
      <w:rPr>
        <w:rFonts w:hint="default"/>
      </w:rPr>
    </w:lvl>
    <w:lvl w:ilvl="2" w:tplc="D0A60460">
      <w:start w:val="1"/>
      <w:numFmt w:val="bullet"/>
      <w:lvlText w:val="•"/>
      <w:lvlJc w:val="left"/>
      <w:pPr>
        <w:ind w:left="1819" w:hanging="360"/>
      </w:pPr>
      <w:rPr>
        <w:rFonts w:hint="default"/>
      </w:rPr>
    </w:lvl>
    <w:lvl w:ilvl="3" w:tplc="50565586">
      <w:start w:val="1"/>
      <w:numFmt w:val="bullet"/>
      <w:lvlText w:val="•"/>
      <w:lvlJc w:val="left"/>
      <w:pPr>
        <w:ind w:left="2311" w:hanging="360"/>
      </w:pPr>
      <w:rPr>
        <w:rFonts w:hint="default"/>
      </w:rPr>
    </w:lvl>
    <w:lvl w:ilvl="4" w:tplc="4F40C57E">
      <w:start w:val="1"/>
      <w:numFmt w:val="bullet"/>
      <w:lvlText w:val="•"/>
      <w:lvlJc w:val="left"/>
      <w:pPr>
        <w:ind w:left="2802" w:hanging="360"/>
      </w:pPr>
      <w:rPr>
        <w:rFonts w:hint="default"/>
      </w:rPr>
    </w:lvl>
    <w:lvl w:ilvl="5" w:tplc="E560424A">
      <w:start w:val="1"/>
      <w:numFmt w:val="bullet"/>
      <w:lvlText w:val="•"/>
      <w:lvlJc w:val="left"/>
      <w:pPr>
        <w:ind w:left="3293" w:hanging="360"/>
      </w:pPr>
      <w:rPr>
        <w:rFonts w:hint="default"/>
      </w:rPr>
    </w:lvl>
    <w:lvl w:ilvl="6" w:tplc="5DE46E90">
      <w:start w:val="1"/>
      <w:numFmt w:val="bullet"/>
      <w:lvlText w:val="•"/>
      <w:lvlJc w:val="left"/>
      <w:pPr>
        <w:ind w:left="3784" w:hanging="360"/>
      </w:pPr>
      <w:rPr>
        <w:rFonts w:hint="default"/>
      </w:rPr>
    </w:lvl>
    <w:lvl w:ilvl="7" w:tplc="F628FECC">
      <w:start w:val="1"/>
      <w:numFmt w:val="bullet"/>
      <w:lvlText w:val="•"/>
      <w:lvlJc w:val="left"/>
      <w:pPr>
        <w:ind w:left="4275" w:hanging="360"/>
      </w:pPr>
      <w:rPr>
        <w:rFonts w:hint="default"/>
      </w:rPr>
    </w:lvl>
    <w:lvl w:ilvl="8" w:tplc="5F5CCFC8">
      <w:start w:val="1"/>
      <w:numFmt w:val="bullet"/>
      <w:lvlText w:val="•"/>
      <w:lvlJc w:val="left"/>
      <w:pPr>
        <w:ind w:left="4766" w:hanging="360"/>
      </w:pPr>
      <w:rPr>
        <w:rFonts w:hint="default"/>
      </w:rPr>
    </w:lvl>
  </w:abstractNum>
  <w:abstractNum w:abstractNumId="30" w15:restartNumberingAfterBreak="0">
    <w:nsid w:val="6C233DA2"/>
    <w:multiLevelType w:val="hybridMultilevel"/>
    <w:tmpl w:val="5186F232"/>
    <w:lvl w:ilvl="0" w:tplc="01462338">
      <w:start w:val="1"/>
      <w:numFmt w:val="bullet"/>
      <w:lvlText w:val=""/>
      <w:lvlJc w:val="left"/>
      <w:pPr>
        <w:ind w:left="837" w:hanging="360"/>
      </w:pPr>
      <w:rPr>
        <w:rFonts w:ascii="Symbol" w:eastAsia="Symbol" w:hAnsi="Symbol" w:hint="default"/>
        <w:sz w:val="20"/>
        <w:szCs w:val="20"/>
      </w:rPr>
    </w:lvl>
    <w:lvl w:ilvl="1" w:tplc="96CCA3F2">
      <w:start w:val="1"/>
      <w:numFmt w:val="bullet"/>
      <w:lvlText w:val="•"/>
      <w:lvlJc w:val="left"/>
      <w:pPr>
        <w:ind w:left="1328" w:hanging="360"/>
      </w:pPr>
      <w:rPr>
        <w:rFonts w:hint="default"/>
      </w:rPr>
    </w:lvl>
    <w:lvl w:ilvl="2" w:tplc="11F67A38">
      <w:start w:val="1"/>
      <w:numFmt w:val="bullet"/>
      <w:lvlText w:val="•"/>
      <w:lvlJc w:val="left"/>
      <w:pPr>
        <w:ind w:left="1819" w:hanging="360"/>
      </w:pPr>
      <w:rPr>
        <w:rFonts w:hint="default"/>
      </w:rPr>
    </w:lvl>
    <w:lvl w:ilvl="3" w:tplc="3DFA2070">
      <w:start w:val="1"/>
      <w:numFmt w:val="bullet"/>
      <w:lvlText w:val="•"/>
      <w:lvlJc w:val="left"/>
      <w:pPr>
        <w:ind w:left="2311" w:hanging="360"/>
      </w:pPr>
      <w:rPr>
        <w:rFonts w:hint="default"/>
      </w:rPr>
    </w:lvl>
    <w:lvl w:ilvl="4" w:tplc="DE0866FC">
      <w:start w:val="1"/>
      <w:numFmt w:val="bullet"/>
      <w:lvlText w:val="•"/>
      <w:lvlJc w:val="left"/>
      <w:pPr>
        <w:ind w:left="2802" w:hanging="360"/>
      </w:pPr>
      <w:rPr>
        <w:rFonts w:hint="default"/>
      </w:rPr>
    </w:lvl>
    <w:lvl w:ilvl="5" w:tplc="4710B3E2">
      <w:start w:val="1"/>
      <w:numFmt w:val="bullet"/>
      <w:lvlText w:val="•"/>
      <w:lvlJc w:val="left"/>
      <w:pPr>
        <w:ind w:left="3293" w:hanging="360"/>
      </w:pPr>
      <w:rPr>
        <w:rFonts w:hint="default"/>
      </w:rPr>
    </w:lvl>
    <w:lvl w:ilvl="6" w:tplc="5300BB36">
      <w:start w:val="1"/>
      <w:numFmt w:val="bullet"/>
      <w:lvlText w:val="•"/>
      <w:lvlJc w:val="left"/>
      <w:pPr>
        <w:ind w:left="3784" w:hanging="360"/>
      </w:pPr>
      <w:rPr>
        <w:rFonts w:hint="default"/>
      </w:rPr>
    </w:lvl>
    <w:lvl w:ilvl="7" w:tplc="849E1368">
      <w:start w:val="1"/>
      <w:numFmt w:val="bullet"/>
      <w:lvlText w:val="•"/>
      <w:lvlJc w:val="left"/>
      <w:pPr>
        <w:ind w:left="4275" w:hanging="360"/>
      </w:pPr>
      <w:rPr>
        <w:rFonts w:hint="default"/>
      </w:rPr>
    </w:lvl>
    <w:lvl w:ilvl="8" w:tplc="C0B69BB2">
      <w:start w:val="1"/>
      <w:numFmt w:val="bullet"/>
      <w:lvlText w:val="•"/>
      <w:lvlJc w:val="left"/>
      <w:pPr>
        <w:ind w:left="4766" w:hanging="360"/>
      </w:pPr>
      <w:rPr>
        <w:rFonts w:hint="default"/>
      </w:rPr>
    </w:lvl>
  </w:abstractNum>
  <w:abstractNum w:abstractNumId="31" w15:restartNumberingAfterBreak="0">
    <w:nsid w:val="6CE843B2"/>
    <w:multiLevelType w:val="hybridMultilevel"/>
    <w:tmpl w:val="1F6CDDDC"/>
    <w:lvl w:ilvl="0" w:tplc="CFCA365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7A1D7B"/>
    <w:multiLevelType w:val="hybridMultilevel"/>
    <w:tmpl w:val="8326EC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F7F3B74"/>
    <w:multiLevelType w:val="hybridMultilevel"/>
    <w:tmpl w:val="16644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8947EF"/>
    <w:multiLevelType w:val="hybridMultilevel"/>
    <w:tmpl w:val="D166AFFE"/>
    <w:lvl w:ilvl="0" w:tplc="4DB6D934">
      <w:start w:val="1"/>
      <w:numFmt w:val="bullet"/>
      <w:lvlText w:val=""/>
      <w:lvlJc w:val="left"/>
      <w:pPr>
        <w:ind w:left="822" w:hanging="360"/>
      </w:pPr>
      <w:rPr>
        <w:rFonts w:ascii="Symbol" w:eastAsia="Symbol" w:hAnsi="Symbol" w:hint="default"/>
        <w:sz w:val="20"/>
        <w:szCs w:val="20"/>
      </w:rPr>
    </w:lvl>
    <w:lvl w:ilvl="1" w:tplc="61685A7A">
      <w:start w:val="1"/>
      <w:numFmt w:val="bullet"/>
      <w:lvlText w:val="•"/>
      <w:lvlJc w:val="left"/>
      <w:pPr>
        <w:ind w:left="1314" w:hanging="360"/>
      </w:pPr>
      <w:rPr>
        <w:rFonts w:hint="default"/>
      </w:rPr>
    </w:lvl>
    <w:lvl w:ilvl="2" w:tplc="4E6E5FB8">
      <w:start w:val="1"/>
      <w:numFmt w:val="bullet"/>
      <w:lvlText w:val="•"/>
      <w:lvlJc w:val="left"/>
      <w:pPr>
        <w:ind w:left="1807" w:hanging="360"/>
      </w:pPr>
      <w:rPr>
        <w:rFonts w:hint="default"/>
      </w:rPr>
    </w:lvl>
    <w:lvl w:ilvl="3" w:tplc="A96051E0">
      <w:start w:val="1"/>
      <w:numFmt w:val="bullet"/>
      <w:lvlText w:val="•"/>
      <w:lvlJc w:val="left"/>
      <w:pPr>
        <w:ind w:left="2300" w:hanging="360"/>
      </w:pPr>
      <w:rPr>
        <w:rFonts w:hint="default"/>
      </w:rPr>
    </w:lvl>
    <w:lvl w:ilvl="4" w:tplc="54E40526">
      <w:start w:val="1"/>
      <w:numFmt w:val="bullet"/>
      <w:lvlText w:val="•"/>
      <w:lvlJc w:val="left"/>
      <w:pPr>
        <w:ind w:left="2792" w:hanging="360"/>
      </w:pPr>
      <w:rPr>
        <w:rFonts w:hint="default"/>
      </w:rPr>
    </w:lvl>
    <w:lvl w:ilvl="5" w:tplc="D466089E">
      <w:start w:val="1"/>
      <w:numFmt w:val="bullet"/>
      <w:lvlText w:val="•"/>
      <w:lvlJc w:val="left"/>
      <w:pPr>
        <w:ind w:left="3285" w:hanging="360"/>
      </w:pPr>
      <w:rPr>
        <w:rFonts w:hint="default"/>
      </w:rPr>
    </w:lvl>
    <w:lvl w:ilvl="6" w:tplc="DB74A708">
      <w:start w:val="1"/>
      <w:numFmt w:val="bullet"/>
      <w:lvlText w:val="•"/>
      <w:lvlJc w:val="left"/>
      <w:pPr>
        <w:ind w:left="3777" w:hanging="360"/>
      </w:pPr>
      <w:rPr>
        <w:rFonts w:hint="default"/>
      </w:rPr>
    </w:lvl>
    <w:lvl w:ilvl="7" w:tplc="6128C99E">
      <w:start w:val="1"/>
      <w:numFmt w:val="bullet"/>
      <w:lvlText w:val="•"/>
      <w:lvlJc w:val="left"/>
      <w:pPr>
        <w:ind w:left="4270" w:hanging="360"/>
      </w:pPr>
      <w:rPr>
        <w:rFonts w:hint="default"/>
      </w:rPr>
    </w:lvl>
    <w:lvl w:ilvl="8" w:tplc="2FD458D6">
      <w:start w:val="1"/>
      <w:numFmt w:val="bullet"/>
      <w:lvlText w:val="•"/>
      <w:lvlJc w:val="left"/>
      <w:pPr>
        <w:ind w:left="4763" w:hanging="360"/>
      </w:pPr>
      <w:rPr>
        <w:rFonts w:hint="default"/>
      </w:rPr>
    </w:lvl>
  </w:abstractNum>
  <w:abstractNum w:abstractNumId="35" w15:restartNumberingAfterBreak="0">
    <w:nsid w:val="728F350E"/>
    <w:multiLevelType w:val="hybridMultilevel"/>
    <w:tmpl w:val="E4D42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BC6CC7"/>
    <w:multiLevelType w:val="hybridMultilevel"/>
    <w:tmpl w:val="C3BEFDF8"/>
    <w:lvl w:ilvl="0" w:tplc="AC12CDC4">
      <w:start w:val="1"/>
      <w:numFmt w:val="bullet"/>
      <w:lvlText w:val=""/>
      <w:lvlJc w:val="left"/>
      <w:pPr>
        <w:ind w:left="837" w:hanging="360"/>
      </w:pPr>
      <w:rPr>
        <w:rFonts w:ascii="Symbol" w:eastAsia="Symbol" w:hAnsi="Symbol" w:hint="default"/>
        <w:sz w:val="20"/>
        <w:szCs w:val="20"/>
      </w:rPr>
    </w:lvl>
    <w:lvl w:ilvl="1" w:tplc="7BB8AA76">
      <w:start w:val="1"/>
      <w:numFmt w:val="bullet"/>
      <w:lvlText w:val="•"/>
      <w:lvlJc w:val="left"/>
      <w:pPr>
        <w:ind w:left="1328" w:hanging="360"/>
      </w:pPr>
      <w:rPr>
        <w:rFonts w:hint="default"/>
      </w:rPr>
    </w:lvl>
    <w:lvl w:ilvl="2" w:tplc="F684E530">
      <w:start w:val="1"/>
      <w:numFmt w:val="bullet"/>
      <w:lvlText w:val="•"/>
      <w:lvlJc w:val="left"/>
      <w:pPr>
        <w:ind w:left="1819" w:hanging="360"/>
      </w:pPr>
      <w:rPr>
        <w:rFonts w:hint="default"/>
      </w:rPr>
    </w:lvl>
    <w:lvl w:ilvl="3" w:tplc="FDB01404">
      <w:start w:val="1"/>
      <w:numFmt w:val="bullet"/>
      <w:lvlText w:val="•"/>
      <w:lvlJc w:val="left"/>
      <w:pPr>
        <w:ind w:left="2311" w:hanging="360"/>
      </w:pPr>
      <w:rPr>
        <w:rFonts w:hint="default"/>
      </w:rPr>
    </w:lvl>
    <w:lvl w:ilvl="4" w:tplc="2A9ADFA8">
      <w:start w:val="1"/>
      <w:numFmt w:val="bullet"/>
      <w:lvlText w:val="•"/>
      <w:lvlJc w:val="left"/>
      <w:pPr>
        <w:ind w:left="2802" w:hanging="360"/>
      </w:pPr>
      <w:rPr>
        <w:rFonts w:hint="default"/>
      </w:rPr>
    </w:lvl>
    <w:lvl w:ilvl="5" w:tplc="DCB6D8DE">
      <w:start w:val="1"/>
      <w:numFmt w:val="bullet"/>
      <w:lvlText w:val="•"/>
      <w:lvlJc w:val="left"/>
      <w:pPr>
        <w:ind w:left="3293" w:hanging="360"/>
      </w:pPr>
      <w:rPr>
        <w:rFonts w:hint="default"/>
      </w:rPr>
    </w:lvl>
    <w:lvl w:ilvl="6" w:tplc="4CAAA8FC">
      <w:start w:val="1"/>
      <w:numFmt w:val="bullet"/>
      <w:lvlText w:val="•"/>
      <w:lvlJc w:val="left"/>
      <w:pPr>
        <w:ind w:left="3784" w:hanging="360"/>
      </w:pPr>
      <w:rPr>
        <w:rFonts w:hint="default"/>
      </w:rPr>
    </w:lvl>
    <w:lvl w:ilvl="7" w:tplc="64769AD6">
      <w:start w:val="1"/>
      <w:numFmt w:val="bullet"/>
      <w:lvlText w:val="•"/>
      <w:lvlJc w:val="left"/>
      <w:pPr>
        <w:ind w:left="4275" w:hanging="360"/>
      </w:pPr>
      <w:rPr>
        <w:rFonts w:hint="default"/>
      </w:rPr>
    </w:lvl>
    <w:lvl w:ilvl="8" w:tplc="A50C4C4A">
      <w:start w:val="1"/>
      <w:numFmt w:val="bullet"/>
      <w:lvlText w:val="•"/>
      <w:lvlJc w:val="left"/>
      <w:pPr>
        <w:ind w:left="4766" w:hanging="360"/>
      </w:pPr>
      <w:rPr>
        <w:rFonts w:hint="default"/>
      </w:rPr>
    </w:lvl>
  </w:abstractNum>
  <w:abstractNum w:abstractNumId="37" w15:restartNumberingAfterBreak="0">
    <w:nsid w:val="764740A8"/>
    <w:multiLevelType w:val="hybridMultilevel"/>
    <w:tmpl w:val="81C85900"/>
    <w:lvl w:ilvl="0" w:tplc="C2BE7B3E">
      <w:start w:val="1"/>
      <w:numFmt w:val="bullet"/>
      <w:lvlText w:val=""/>
      <w:lvlJc w:val="left"/>
      <w:pPr>
        <w:ind w:left="837" w:hanging="360"/>
      </w:pPr>
      <w:rPr>
        <w:rFonts w:ascii="Symbol" w:eastAsia="Symbol" w:hAnsi="Symbol" w:hint="default"/>
        <w:sz w:val="20"/>
        <w:szCs w:val="20"/>
      </w:rPr>
    </w:lvl>
    <w:lvl w:ilvl="1" w:tplc="7A908526">
      <w:start w:val="1"/>
      <w:numFmt w:val="bullet"/>
      <w:lvlText w:val="•"/>
      <w:lvlJc w:val="left"/>
      <w:pPr>
        <w:ind w:left="1328" w:hanging="360"/>
      </w:pPr>
      <w:rPr>
        <w:rFonts w:hint="default"/>
      </w:rPr>
    </w:lvl>
    <w:lvl w:ilvl="2" w:tplc="865C116E">
      <w:start w:val="1"/>
      <w:numFmt w:val="bullet"/>
      <w:lvlText w:val="•"/>
      <w:lvlJc w:val="left"/>
      <w:pPr>
        <w:ind w:left="1819" w:hanging="360"/>
      </w:pPr>
      <w:rPr>
        <w:rFonts w:hint="default"/>
      </w:rPr>
    </w:lvl>
    <w:lvl w:ilvl="3" w:tplc="E690BB72">
      <w:start w:val="1"/>
      <w:numFmt w:val="bullet"/>
      <w:lvlText w:val="•"/>
      <w:lvlJc w:val="left"/>
      <w:pPr>
        <w:ind w:left="2311" w:hanging="360"/>
      </w:pPr>
      <w:rPr>
        <w:rFonts w:hint="default"/>
      </w:rPr>
    </w:lvl>
    <w:lvl w:ilvl="4" w:tplc="A82E73B0">
      <w:start w:val="1"/>
      <w:numFmt w:val="bullet"/>
      <w:lvlText w:val="•"/>
      <w:lvlJc w:val="left"/>
      <w:pPr>
        <w:ind w:left="2802" w:hanging="360"/>
      </w:pPr>
      <w:rPr>
        <w:rFonts w:hint="default"/>
      </w:rPr>
    </w:lvl>
    <w:lvl w:ilvl="5" w:tplc="965CD92E">
      <w:start w:val="1"/>
      <w:numFmt w:val="bullet"/>
      <w:lvlText w:val="•"/>
      <w:lvlJc w:val="left"/>
      <w:pPr>
        <w:ind w:left="3293" w:hanging="360"/>
      </w:pPr>
      <w:rPr>
        <w:rFonts w:hint="default"/>
      </w:rPr>
    </w:lvl>
    <w:lvl w:ilvl="6" w:tplc="5D00447E">
      <w:start w:val="1"/>
      <w:numFmt w:val="bullet"/>
      <w:lvlText w:val="•"/>
      <w:lvlJc w:val="left"/>
      <w:pPr>
        <w:ind w:left="3784" w:hanging="360"/>
      </w:pPr>
      <w:rPr>
        <w:rFonts w:hint="default"/>
      </w:rPr>
    </w:lvl>
    <w:lvl w:ilvl="7" w:tplc="089A683C">
      <w:start w:val="1"/>
      <w:numFmt w:val="bullet"/>
      <w:lvlText w:val="•"/>
      <w:lvlJc w:val="left"/>
      <w:pPr>
        <w:ind w:left="4275" w:hanging="360"/>
      </w:pPr>
      <w:rPr>
        <w:rFonts w:hint="default"/>
      </w:rPr>
    </w:lvl>
    <w:lvl w:ilvl="8" w:tplc="2A7C3836">
      <w:start w:val="1"/>
      <w:numFmt w:val="bullet"/>
      <w:lvlText w:val="•"/>
      <w:lvlJc w:val="left"/>
      <w:pPr>
        <w:ind w:left="4766" w:hanging="360"/>
      </w:pPr>
      <w:rPr>
        <w:rFonts w:hint="default"/>
      </w:rPr>
    </w:lvl>
  </w:abstractNum>
  <w:abstractNum w:abstractNumId="38" w15:restartNumberingAfterBreak="0">
    <w:nsid w:val="7D213592"/>
    <w:multiLevelType w:val="hybridMultilevel"/>
    <w:tmpl w:val="A852F52E"/>
    <w:lvl w:ilvl="0" w:tplc="760647C4">
      <w:start w:val="1"/>
      <w:numFmt w:val="bullet"/>
      <w:lvlText w:val=""/>
      <w:lvlJc w:val="left"/>
      <w:pPr>
        <w:ind w:left="822" w:hanging="360"/>
      </w:pPr>
      <w:rPr>
        <w:rFonts w:ascii="Symbol" w:eastAsia="Symbol" w:hAnsi="Symbol" w:hint="default"/>
        <w:sz w:val="20"/>
        <w:szCs w:val="20"/>
      </w:rPr>
    </w:lvl>
    <w:lvl w:ilvl="1" w:tplc="777C3988">
      <w:start w:val="1"/>
      <w:numFmt w:val="bullet"/>
      <w:lvlText w:val="•"/>
      <w:lvlJc w:val="left"/>
      <w:pPr>
        <w:ind w:left="1314" w:hanging="360"/>
      </w:pPr>
      <w:rPr>
        <w:rFonts w:hint="default"/>
      </w:rPr>
    </w:lvl>
    <w:lvl w:ilvl="2" w:tplc="9D5AEF6C">
      <w:start w:val="1"/>
      <w:numFmt w:val="bullet"/>
      <w:lvlText w:val="•"/>
      <w:lvlJc w:val="left"/>
      <w:pPr>
        <w:ind w:left="1807" w:hanging="360"/>
      </w:pPr>
      <w:rPr>
        <w:rFonts w:hint="default"/>
      </w:rPr>
    </w:lvl>
    <w:lvl w:ilvl="3" w:tplc="96769268">
      <w:start w:val="1"/>
      <w:numFmt w:val="bullet"/>
      <w:lvlText w:val="•"/>
      <w:lvlJc w:val="left"/>
      <w:pPr>
        <w:ind w:left="2300" w:hanging="360"/>
      </w:pPr>
      <w:rPr>
        <w:rFonts w:hint="default"/>
      </w:rPr>
    </w:lvl>
    <w:lvl w:ilvl="4" w:tplc="1954E970">
      <w:start w:val="1"/>
      <w:numFmt w:val="bullet"/>
      <w:lvlText w:val="•"/>
      <w:lvlJc w:val="left"/>
      <w:pPr>
        <w:ind w:left="2792" w:hanging="360"/>
      </w:pPr>
      <w:rPr>
        <w:rFonts w:hint="default"/>
      </w:rPr>
    </w:lvl>
    <w:lvl w:ilvl="5" w:tplc="2D7094C6">
      <w:start w:val="1"/>
      <w:numFmt w:val="bullet"/>
      <w:lvlText w:val="•"/>
      <w:lvlJc w:val="left"/>
      <w:pPr>
        <w:ind w:left="3285" w:hanging="360"/>
      </w:pPr>
      <w:rPr>
        <w:rFonts w:hint="default"/>
      </w:rPr>
    </w:lvl>
    <w:lvl w:ilvl="6" w:tplc="1D48B446">
      <w:start w:val="1"/>
      <w:numFmt w:val="bullet"/>
      <w:lvlText w:val="•"/>
      <w:lvlJc w:val="left"/>
      <w:pPr>
        <w:ind w:left="3777" w:hanging="360"/>
      </w:pPr>
      <w:rPr>
        <w:rFonts w:hint="default"/>
      </w:rPr>
    </w:lvl>
    <w:lvl w:ilvl="7" w:tplc="850CB8A4">
      <w:start w:val="1"/>
      <w:numFmt w:val="bullet"/>
      <w:lvlText w:val="•"/>
      <w:lvlJc w:val="left"/>
      <w:pPr>
        <w:ind w:left="4270" w:hanging="360"/>
      </w:pPr>
      <w:rPr>
        <w:rFonts w:hint="default"/>
      </w:rPr>
    </w:lvl>
    <w:lvl w:ilvl="8" w:tplc="11A2F50E">
      <w:start w:val="1"/>
      <w:numFmt w:val="bullet"/>
      <w:lvlText w:val="•"/>
      <w:lvlJc w:val="left"/>
      <w:pPr>
        <w:ind w:left="4763" w:hanging="360"/>
      </w:pPr>
      <w:rPr>
        <w:rFonts w:hint="default"/>
      </w:rPr>
    </w:lvl>
  </w:abstractNum>
  <w:num w:numId="1">
    <w:abstractNumId w:val="16"/>
  </w:num>
  <w:num w:numId="2">
    <w:abstractNumId w:val="17"/>
  </w:num>
  <w:num w:numId="3">
    <w:abstractNumId w:val="19"/>
  </w:num>
  <w:num w:numId="4">
    <w:abstractNumId w:val="15"/>
  </w:num>
  <w:num w:numId="5">
    <w:abstractNumId w:val="18"/>
  </w:num>
  <w:num w:numId="6">
    <w:abstractNumId w:val="25"/>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8"/>
  </w:num>
  <w:num w:numId="13">
    <w:abstractNumId w:val="38"/>
  </w:num>
  <w:num w:numId="14">
    <w:abstractNumId w:val="26"/>
  </w:num>
  <w:num w:numId="15">
    <w:abstractNumId w:val="7"/>
  </w:num>
  <w:num w:numId="16">
    <w:abstractNumId w:val="29"/>
  </w:num>
  <w:num w:numId="17">
    <w:abstractNumId w:val="34"/>
  </w:num>
  <w:num w:numId="18">
    <w:abstractNumId w:val="20"/>
  </w:num>
  <w:num w:numId="19">
    <w:abstractNumId w:val="37"/>
  </w:num>
  <w:num w:numId="20">
    <w:abstractNumId w:val="30"/>
  </w:num>
  <w:num w:numId="21">
    <w:abstractNumId w:val="24"/>
  </w:num>
  <w:num w:numId="22">
    <w:abstractNumId w:val="13"/>
  </w:num>
  <w:num w:numId="23">
    <w:abstractNumId w:val="14"/>
  </w:num>
  <w:num w:numId="24">
    <w:abstractNumId w:val="36"/>
  </w:num>
  <w:num w:numId="25">
    <w:abstractNumId w:val="10"/>
  </w:num>
  <w:num w:numId="26">
    <w:abstractNumId w:val="5"/>
  </w:num>
  <w:num w:numId="27">
    <w:abstractNumId w:val="1"/>
  </w:num>
  <w:num w:numId="28">
    <w:abstractNumId w:val="2"/>
  </w:num>
  <w:num w:numId="29">
    <w:abstractNumId w:val="31"/>
  </w:num>
  <w:num w:numId="30">
    <w:abstractNumId w:val="28"/>
  </w:num>
  <w:num w:numId="31">
    <w:abstractNumId w:val="33"/>
  </w:num>
  <w:num w:numId="32">
    <w:abstractNumId w:val="21"/>
  </w:num>
  <w:num w:numId="33">
    <w:abstractNumId w:val="6"/>
  </w:num>
  <w:num w:numId="34">
    <w:abstractNumId w:val="11"/>
  </w:num>
  <w:num w:numId="35">
    <w:abstractNumId w:val="4"/>
  </w:num>
  <w:num w:numId="36">
    <w:abstractNumId w:val="23"/>
  </w:num>
  <w:num w:numId="37">
    <w:abstractNumId w:val="22"/>
  </w:num>
  <w:num w:numId="38">
    <w:abstractNumId w:val="32"/>
  </w:num>
  <w:num w:numId="39">
    <w:abstractNumId w:val="3"/>
  </w:num>
  <w:num w:numId="40">
    <w:abstractNumId w:val="35"/>
  </w:num>
  <w:num w:numId="41">
    <w:abstractNumId w:val="12"/>
  </w:num>
  <w:num w:numId="42">
    <w:abstractNumId w:val="9"/>
  </w:num>
  <w:num w:numId="4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a-DK" w:vendorID="64" w:dllVersion="131078" w:nlCheck="1" w:checkStyle="0"/>
  <w:defaultTabStop w:val="720"/>
  <w:hyphenationZone w:val="425"/>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8D15904-7874-4834-A32F-0CB3B92D1B8F"/>
    <w:docVar w:name="LW_COVERPAGE_TYPE" w:val="1"/>
    <w:docVar w:name="LW_CROSSREFERENCE" w:val="&lt;UNUSED&gt;"/>
    <w:docVar w:name="LW_DocType" w:val="NORMAL"/>
    <w:docVar w:name="LW_EMISSION" w:val="19.12.2018"/>
    <w:docVar w:name="LW_EMISSION_ISODATE" w:val="2018-12-19"/>
    <w:docVar w:name="LW_EMISSION_LOCATION" w:val="BRX"/>
    <w:docVar w:name="LW_EMISSION_PREFIX" w:val="Brussels, "/>
    <w:docVar w:name="LW_EMISSION_SUFFIX" w:val=" "/>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lt;EMPTY&gt;"/>
    <w:docVar w:name="LW_REF.INST.NEW_TEXT" w:val="(2018) 890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Preparing for the withdrawal of the United Kingdom from the European Union on 30 March 2019: Implementing the Commission\u8217?s Contingency Action Plan"/>
    <w:docVar w:name="LW_TYPE.DOC.CP" w:val="COMMUNICATION FROM THE COMMISSION"/>
    <w:docVar w:name="LW_TYPE.DOC.CP.USERTEXT" w:val="TO THE EUROPEAN PARLIAMENT, THE EUROPEAN COUNCIL, THE COUNCIL, THE EUROPEAN CENTRAL BANK, THE EUROPEAN ECONOMIC AND SOCIAL COMMITTEE, THE COMMITTEE OF THE REGIONS AND THE EUROPEAN INVESTMENT BANK_x000b_"/>
  </w:docVars>
  <w:rsids>
    <w:rsidRoot w:val="003E3F27"/>
    <w:rsid w:val="00001034"/>
    <w:rsid w:val="00002C85"/>
    <w:rsid w:val="00004210"/>
    <w:rsid w:val="00005B5C"/>
    <w:rsid w:val="000073A2"/>
    <w:rsid w:val="00010DA0"/>
    <w:rsid w:val="00022063"/>
    <w:rsid w:val="00026EBF"/>
    <w:rsid w:val="00033A94"/>
    <w:rsid w:val="00036DEB"/>
    <w:rsid w:val="000372AE"/>
    <w:rsid w:val="000439E1"/>
    <w:rsid w:val="000440D5"/>
    <w:rsid w:val="0004431C"/>
    <w:rsid w:val="00044E68"/>
    <w:rsid w:val="0004678E"/>
    <w:rsid w:val="00047318"/>
    <w:rsid w:val="000478E8"/>
    <w:rsid w:val="0005018C"/>
    <w:rsid w:val="00052150"/>
    <w:rsid w:val="00055741"/>
    <w:rsid w:val="00056430"/>
    <w:rsid w:val="0006273B"/>
    <w:rsid w:val="00063E20"/>
    <w:rsid w:val="000641A0"/>
    <w:rsid w:val="00066DE4"/>
    <w:rsid w:val="00067822"/>
    <w:rsid w:val="0007225A"/>
    <w:rsid w:val="000820F5"/>
    <w:rsid w:val="00083DB1"/>
    <w:rsid w:val="00094A7E"/>
    <w:rsid w:val="00096192"/>
    <w:rsid w:val="000A7891"/>
    <w:rsid w:val="000B5F7D"/>
    <w:rsid w:val="000C2834"/>
    <w:rsid w:val="000C2D9A"/>
    <w:rsid w:val="000D037A"/>
    <w:rsid w:val="000D0BA5"/>
    <w:rsid w:val="000D24C3"/>
    <w:rsid w:val="000D277C"/>
    <w:rsid w:val="000D36EB"/>
    <w:rsid w:val="000D3749"/>
    <w:rsid w:val="000E46FD"/>
    <w:rsid w:val="000E7B1A"/>
    <w:rsid w:val="000F0621"/>
    <w:rsid w:val="000F2C2A"/>
    <w:rsid w:val="000F396D"/>
    <w:rsid w:val="00100F08"/>
    <w:rsid w:val="00102513"/>
    <w:rsid w:val="00102757"/>
    <w:rsid w:val="0010279B"/>
    <w:rsid w:val="00105FCF"/>
    <w:rsid w:val="001070FB"/>
    <w:rsid w:val="00117DF8"/>
    <w:rsid w:val="001255F6"/>
    <w:rsid w:val="00142094"/>
    <w:rsid w:val="00143BB2"/>
    <w:rsid w:val="0014634B"/>
    <w:rsid w:val="00150820"/>
    <w:rsid w:val="001606F1"/>
    <w:rsid w:val="001615A2"/>
    <w:rsid w:val="00162F5F"/>
    <w:rsid w:val="00164D0C"/>
    <w:rsid w:val="001678A8"/>
    <w:rsid w:val="0017040C"/>
    <w:rsid w:val="00171819"/>
    <w:rsid w:val="001730B4"/>
    <w:rsid w:val="00176BC9"/>
    <w:rsid w:val="00180184"/>
    <w:rsid w:val="0018525C"/>
    <w:rsid w:val="001879C6"/>
    <w:rsid w:val="0019127F"/>
    <w:rsid w:val="00192629"/>
    <w:rsid w:val="0019291C"/>
    <w:rsid w:val="0019402A"/>
    <w:rsid w:val="0019788C"/>
    <w:rsid w:val="001A402D"/>
    <w:rsid w:val="001B52F9"/>
    <w:rsid w:val="001B70E3"/>
    <w:rsid w:val="001B7FD9"/>
    <w:rsid w:val="001C01D4"/>
    <w:rsid w:val="001C3957"/>
    <w:rsid w:val="001C52F2"/>
    <w:rsid w:val="001C5B2D"/>
    <w:rsid w:val="001C68BD"/>
    <w:rsid w:val="001C6974"/>
    <w:rsid w:val="001D4DE3"/>
    <w:rsid w:val="001D648A"/>
    <w:rsid w:val="001F072D"/>
    <w:rsid w:val="001F6A02"/>
    <w:rsid w:val="00203E5A"/>
    <w:rsid w:val="00204A45"/>
    <w:rsid w:val="00205FAF"/>
    <w:rsid w:val="002071DE"/>
    <w:rsid w:val="002073B9"/>
    <w:rsid w:val="002102FD"/>
    <w:rsid w:val="00214C24"/>
    <w:rsid w:val="002167E3"/>
    <w:rsid w:val="0022292D"/>
    <w:rsid w:val="00227B55"/>
    <w:rsid w:val="002326E2"/>
    <w:rsid w:val="002326F6"/>
    <w:rsid w:val="00237E38"/>
    <w:rsid w:val="00237EF8"/>
    <w:rsid w:val="0024534B"/>
    <w:rsid w:val="00247578"/>
    <w:rsid w:val="00250864"/>
    <w:rsid w:val="00252558"/>
    <w:rsid w:val="00257CEA"/>
    <w:rsid w:val="00261CF6"/>
    <w:rsid w:val="0026638B"/>
    <w:rsid w:val="00270B32"/>
    <w:rsid w:val="00272407"/>
    <w:rsid w:val="00275F72"/>
    <w:rsid w:val="002766A3"/>
    <w:rsid w:val="00281CA3"/>
    <w:rsid w:val="002837F2"/>
    <w:rsid w:val="00286DED"/>
    <w:rsid w:val="002910F8"/>
    <w:rsid w:val="002915F1"/>
    <w:rsid w:val="00297A7E"/>
    <w:rsid w:val="002A184D"/>
    <w:rsid w:val="002A2D8E"/>
    <w:rsid w:val="002A7E1C"/>
    <w:rsid w:val="002B20A7"/>
    <w:rsid w:val="002B539D"/>
    <w:rsid w:val="002C2CC5"/>
    <w:rsid w:val="002C4548"/>
    <w:rsid w:val="002C5025"/>
    <w:rsid w:val="002E175D"/>
    <w:rsid w:val="002E302B"/>
    <w:rsid w:val="002E6334"/>
    <w:rsid w:val="002F0B4C"/>
    <w:rsid w:val="002F6324"/>
    <w:rsid w:val="002F7C95"/>
    <w:rsid w:val="00300B13"/>
    <w:rsid w:val="00303215"/>
    <w:rsid w:val="00304B5F"/>
    <w:rsid w:val="0030708C"/>
    <w:rsid w:val="00310D0C"/>
    <w:rsid w:val="00312780"/>
    <w:rsid w:val="00313122"/>
    <w:rsid w:val="003170C0"/>
    <w:rsid w:val="003224F2"/>
    <w:rsid w:val="003256A4"/>
    <w:rsid w:val="00327A45"/>
    <w:rsid w:val="00331A9E"/>
    <w:rsid w:val="00332868"/>
    <w:rsid w:val="00341267"/>
    <w:rsid w:val="00350CD3"/>
    <w:rsid w:val="00352BBA"/>
    <w:rsid w:val="003534A8"/>
    <w:rsid w:val="00360260"/>
    <w:rsid w:val="00360E29"/>
    <w:rsid w:val="00361F2A"/>
    <w:rsid w:val="003632DD"/>
    <w:rsid w:val="0036454C"/>
    <w:rsid w:val="00365507"/>
    <w:rsid w:val="00367534"/>
    <w:rsid w:val="003709FB"/>
    <w:rsid w:val="00394CC8"/>
    <w:rsid w:val="00397B51"/>
    <w:rsid w:val="003A03CC"/>
    <w:rsid w:val="003A0696"/>
    <w:rsid w:val="003B2096"/>
    <w:rsid w:val="003B23C4"/>
    <w:rsid w:val="003B3DC3"/>
    <w:rsid w:val="003B47FD"/>
    <w:rsid w:val="003B6BE2"/>
    <w:rsid w:val="003C1748"/>
    <w:rsid w:val="003C2B04"/>
    <w:rsid w:val="003C2C56"/>
    <w:rsid w:val="003C2CB7"/>
    <w:rsid w:val="003D0707"/>
    <w:rsid w:val="003D377A"/>
    <w:rsid w:val="003D6BA4"/>
    <w:rsid w:val="003E3F27"/>
    <w:rsid w:val="003E7E0D"/>
    <w:rsid w:val="003F024A"/>
    <w:rsid w:val="003F10D6"/>
    <w:rsid w:val="003F6FB3"/>
    <w:rsid w:val="00400632"/>
    <w:rsid w:val="0040125F"/>
    <w:rsid w:val="00405AC7"/>
    <w:rsid w:val="004074C7"/>
    <w:rsid w:val="0040768C"/>
    <w:rsid w:val="00413F0D"/>
    <w:rsid w:val="00421FB6"/>
    <w:rsid w:val="00424BB3"/>
    <w:rsid w:val="00430677"/>
    <w:rsid w:val="0043155F"/>
    <w:rsid w:val="00434433"/>
    <w:rsid w:val="004352A8"/>
    <w:rsid w:val="00436509"/>
    <w:rsid w:val="00437655"/>
    <w:rsid w:val="00440AE9"/>
    <w:rsid w:val="004437DB"/>
    <w:rsid w:val="0044383F"/>
    <w:rsid w:val="00451409"/>
    <w:rsid w:val="00463704"/>
    <w:rsid w:val="00463EED"/>
    <w:rsid w:val="004660C6"/>
    <w:rsid w:val="00466376"/>
    <w:rsid w:val="00470411"/>
    <w:rsid w:val="0047199F"/>
    <w:rsid w:val="00473493"/>
    <w:rsid w:val="004752DD"/>
    <w:rsid w:val="004866E8"/>
    <w:rsid w:val="00487532"/>
    <w:rsid w:val="004906FC"/>
    <w:rsid w:val="0049138D"/>
    <w:rsid w:val="00493102"/>
    <w:rsid w:val="004A0583"/>
    <w:rsid w:val="004A0B12"/>
    <w:rsid w:val="004A7FC9"/>
    <w:rsid w:val="004B0546"/>
    <w:rsid w:val="004B1106"/>
    <w:rsid w:val="004B2DDD"/>
    <w:rsid w:val="004B4B12"/>
    <w:rsid w:val="004B5C27"/>
    <w:rsid w:val="004B6491"/>
    <w:rsid w:val="004B6A5A"/>
    <w:rsid w:val="004C6BF7"/>
    <w:rsid w:val="004D0937"/>
    <w:rsid w:val="004D1803"/>
    <w:rsid w:val="004D245A"/>
    <w:rsid w:val="004D2CAC"/>
    <w:rsid w:val="004E675E"/>
    <w:rsid w:val="004E6C15"/>
    <w:rsid w:val="004F3125"/>
    <w:rsid w:val="004F51E4"/>
    <w:rsid w:val="00502A6F"/>
    <w:rsid w:val="00506264"/>
    <w:rsid w:val="00507794"/>
    <w:rsid w:val="00510727"/>
    <w:rsid w:val="005112A2"/>
    <w:rsid w:val="00512EF0"/>
    <w:rsid w:val="0051398A"/>
    <w:rsid w:val="00523CE7"/>
    <w:rsid w:val="00525C54"/>
    <w:rsid w:val="00530E60"/>
    <w:rsid w:val="00531B17"/>
    <w:rsid w:val="00535D0B"/>
    <w:rsid w:val="005373EE"/>
    <w:rsid w:val="005447C1"/>
    <w:rsid w:val="00544B04"/>
    <w:rsid w:val="00551D6D"/>
    <w:rsid w:val="005552D8"/>
    <w:rsid w:val="00555D9A"/>
    <w:rsid w:val="00560BD2"/>
    <w:rsid w:val="00563881"/>
    <w:rsid w:val="005651A7"/>
    <w:rsid w:val="005660F6"/>
    <w:rsid w:val="0057752F"/>
    <w:rsid w:val="00581440"/>
    <w:rsid w:val="00584ECD"/>
    <w:rsid w:val="00586589"/>
    <w:rsid w:val="00587395"/>
    <w:rsid w:val="0059058B"/>
    <w:rsid w:val="005A2D3A"/>
    <w:rsid w:val="005B4D20"/>
    <w:rsid w:val="005B64DC"/>
    <w:rsid w:val="005E19E3"/>
    <w:rsid w:val="005E1CF8"/>
    <w:rsid w:val="005E2410"/>
    <w:rsid w:val="005E2563"/>
    <w:rsid w:val="005E5240"/>
    <w:rsid w:val="005E579D"/>
    <w:rsid w:val="005E5EC6"/>
    <w:rsid w:val="005E6D7D"/>
    <w:rsid w:val="005F4C7E"/>
    <w:rsid w:val="005F7670"/>
    <w:rsid w:val="00605994"/>
    <w:rsid w:val="00610DC8"/>
    <w:rsid w:val="00613F24"/>
    <w:rsid w:val="00614D83"/>
    <w:rsid w:val="00615329"/>
    <w:rsid w:val="00617578"/>
    <w:rsid w:val="006232DE"/>
    <w:rsid w:val="00625DBA"/>
    <w:rsid w:val="00627E72"/>
    <w:rsid w:val="00630CE0"/>
    <w:rsid w:val="00633E79"/>
    <w:rsid w:val="0063464C"/>
    <w:rsid w:val="00636B1F"/>
    <w:rsid w:val="00637A07"/>
    <w:rsid w:val="00644695"/>
    <w:rsid w:val="006513FF"/>
    <w:rsid w:val="00660788"/>
    <w:rsid w:val="006608B5"/>
    <w:rsid w:val="00661AC1"/>
    <w:rsid w:val="00663EBC"/>
    <w:rsid w:val="00681176"/>
    <w:rsid w:val="00686AB6"/>
    <w:rsid w:val="006931C7"/>
    <w:rsid w:val="00693858"/>
    <w:rsid w:val="00696A7A"/>
    <w:rsid w:val="00697431"/>
    <w:rsid w:val="006A5643"/>
    <w:rsid w:val="006B0C6C"/>
    <w:rsid w:val="006B1202"/>
    <w:rsid w:val="006B5C5E"/>
    <w:rsid w:val="006C316C"/>
    <w:rsid w:val="006C4B4E"/>
    <w:rsid w:val="006C5508"/>
    <w:rsid w:val="006D4E0B"/>
    <w:rsid w:val="006E0465"/>
    <w:rsid w:val="006E7934"/>
    <w:rsid w:val="006E7D77"/>
    <w:rsid w:val="006F3365"/>
    <w:rsid w:val="006F6874"/>
    <w:rsid w:val="006F7B6E"/>
    <w:rsid w:val="00701375"/>
    <w:rsid w:val="007042A8"/>
    <w:rsid w:val="00712D7F"/>
    <w:rsid w:val="0071435E"/>
    <w:rsid w:val="007175A1"/>
    <w:rsid w:val="00720B4F"/>
    <w:rsid w:val="007213F4"/>
    <w:rsid w:val="00726431"/>
    <w:rsid w:val="00726A0B"/>
    <w:rsid w:val="0072766D"/>
    <w:rsid w:val="00731B35"/>
    <w:rsid w:val="00736AC1"/>
    <w:rsid w:val="00741D98"/>
    <w:rsid w:val="00742DF9"/>
    <w:rsid w:val="00743AAD"/>
    <w:rsid w:val="007440F5"/>
    <w:rsid w:val="00744BFE"/>
    <w:rsid w:val="007462CA"/>
    <w:rsid w:val="00746D89"/>
    <w:rsid w:val="00750334"/>
    <w:rsid w:val="00753CA5"/>
    <w:rsid w:val="00757121"/>
    <w:rsid w:val="00764C96"/>
    <w:rsid w:val="00766CF0"/>
    <w:rsid w:val="007714EA"/>
    <w:rsid w:val="00771B77"/>
    <w:rsid w:val="0078360A"/>
    <w:rsid w:val="00785D3E"/>
    <w:rsid w:val="0079174D"/>
    <w:rsid w:val="00793F7C"/>
    <w:rsid w:val="0079568A"/>
    <w:rsid w:val="00796379"/>
    <w:rsid w:val="007A307A"/>
    <w:rsid w:val="007A68F7"/>
    <w:rsid w:val="007A738F"/>
    <w:rsid w:val="007B1BEC"/>
    <w:rsid w:val="007B1C81"/>
    <w:rsid w:val="007B2D8F"/>
    <w:rsid w:val="007B4FF4"/>
    <w:rsid w:val="007B5E9F"/>
    <w:rsid w:val="007B768A"/>
    <w:rsid w:val="007C0535"/>
    <w:rsid w:val="007C0568"/>
    <w:rsid w:val="007C1A69"/>
    <w:rsid w:val="007C4DFB"/>
    <w:rsid w:val="007C5F74"/>
    <w:rsid w:val="007C7341"/>
    <w:rsid w:val="007D43F5"/>
    <w:rsid w:val="007D52E0"/>
    <w:rsid w:val="007D6DD6"/>
    <w:rsid w:val="007D7A51"/>
    <w:rsid w:val="007E3264"/>
    <w:rsid w:val="007E7CC9"/>
    <w:rsid w:val="007F3B37"/>
    <w:rsid w:val="007F4E3C"/>
    <w:rsid w:val="007F7629"/>
    <w:rsid w:val="008002A3"/>
    <w:rsid w:val="00800F85"/>
    <w:rsid w:val="00801026"/>
    <w:rsid w:val="0081230B"/>
    <w:rsid w:val="00813907"/>
    <w:rsid w:val="00813FD3"/>
    <w:rsid w:val="0081438C"/>
    <w:rsid w:val="008221C6"/>
    <w:rsid w:val="0082368E"/>
    <w:rsid w:val="00833282"/>
    <w:rsid w:val="00835D75"/>
    <w:rsid w:val="008419B0"/>
    <w:rsid w:val="008437E0"/>
    <w:rsid w:val="00853BF8"/>
    <w:rsid w:val="008546E3"/>
    <w:rsid w:val="00860C32"/>
    <w:rsid w:val="00864BEB"/>
    <w:rsid w:val="00871320"/>
    <w:rsid w:val="00871FC9"/>
    <w:rsid w:val="00872556"/>
    <w:rsid w:val="00872D79"/>
    <w:rsid w:val="0087460E"/>
    <w:rsid w:val="0088222E"/>
    <w:rsid w:val="00882FF0"/>
    <w:rsid w:val="008836E8"/>
    <w:rsid w:val="0088393E"/>
    <w:rsid w:val="008842A1"/>
    <w:rsid w:val="00887FD1"/>
    <w:rsid w:val="00892583"/>
    <w:rsid w:val="00894A56"/>
    <w:rsid w:val="0089562F"/>
    <w:rsid w:val="008A094B"/>
    <w:rsid w:val="008A1114"/>
    <w:rsid w:val="008A18D8"/>
    <w:rsid w:val="008B139C"/>
    <w:rsid w:val="008B3DDB"/>
    <w:rsid w:val="008C39D9"/>
    <w:rsid w:val="008C42DC"/>
    <w:rsid w:val="008D2BC0"/>
    <w:rsid w:val="008D4CC1"/>
    <w:rsid w:val="008E299C"/>
    <w:rsid w:val="008E29B2"/>
    <w:rsid w:val="008E4A03"/>
    <w:rsid w:val="008F1849"/>
    <w:rsid w:val="008F4431"/>
    <w:rsid w:val="008F4EA5"/>
    <w:rsid w:val="008F535F"/>
    <w:rsid w:val="008F7F10"/>
    <w:rsid w:val="00903F4C"/>
    <w:rsid w:val="0090462C"/>
    <w:rsid w:val="00905704"/>
    <w:rsid w:val="00905F1D"/>
    <w:rsid w:val="00906960"/>
    <w:rsid w:val="00912A77"/>
    <w:rsid w:val="00912FE1"/>
    <w:rsid w:val="00916724"/>
    <w:rsid w:val="009175CF"/>
    <w:rsid w:val="009252EE"/>
    <w:rsid w:val="0092626A"/>
    <w:rsid w:val="00926FC4"/>
    <w:rsid w:val="00930384"/>
    <w:rsid w:val="00931C72"/>
    <w:rsid w:val="009343A5"/>
    <w:rsid w:val="009408C9"/>
    <w:rsid w:val="00940FEB"/>
    <w:rsid w:val="00944029"/>
    <w:rsid w:val="00946210"/>
    <w:rsid w:val="00946907"/>
    <w:rsid w:val="009518EB"/>
    <w:rsid w:val="00951C88"/>
    <w:rsid w:val="00962964"/>
    <w:rsid w:val="0096741F"/>
    <w:rsid w:val="009730DB"/>
    <w:rsid w:val="00975331"/>
    <w:rsid w:val="00975579"/>
    <w:rsid w:val="009769AC"/>
    <w:rsid w:val="00983558"/>
    <w:rsid w:val="00990027"/>
    <w:rsid w:val="00992C22"/>
    <w:rsid w:val="009A1913"/>
    <w:rsid w:val="009A607B"/>
    <w:rsid w:val="009A69DD"/>
    <w:rsid w:val="009A744A"/>
    <w:rsid w:val="009B2713"/>
    <w:rsid w:val="009C10BA"/>
    <w:rsid w:val="009C4811"/>
    <w:rsid w:val="009C5573"/>
    <w:rsid w:val="009C6074"/>
    <w:rsid w:val="009D0D8E"/>
    <w:rsid w:val="009D5600"/>
    <w:rsid w:val="009E46EF"/>
    <w:rsid w:val="009E5135"/>
    <w:rsid w:val="009E7713"/>
    <w:rsid w:val="009E7C4D"/>
    <w:rsid w:val="009F25E8"/>
    <w:rsid w:val="009F40E1"/>
    <w:rsid w:val="009F48BD"/>
    <w:rsid w:val="009F5C85"/>
    <w:rsid w:val="00A002E5"/>
    <w:rsid w:val="00A022ED"/>
    <w:rsid w:val="00A0241A"/>
    <w:rsid w:val="00A024A5"/>
    <w:rsid w:val="00A1170B"/>
    <w:rsid w:val="00A25298"/>
    <w:rsid w:val="00A26AC9"/>
    <w:rsid w:val="00A3020E"/>
    <w:rsid w:val="00A345DA"/>
    <w:rsid w:val="00A40F41"/>
    <w:rsid w:val="00A438F2"/>
    <w:rsid w:val="00A4493A"/>
    <w:rsid w:val="00A459B2"/>
    <w:rsid w:val="00A476A8"/>
    <w:rsid w:val="00A5058C"/>
    <w:rsid w:val="00A53534"/>
    <w:rsid w:val="00A61F51"/>
    <w:rsid w:val="00A66AA0"/>
    <w:rsid w:val="00A71D4B"/>
    <w:rsid w:val="00A72795"/>
    <w:rsid w:val="00A7707D"/>
    <w:rsid w:val="00A81050"/>
    <w:rsid w:val="00A81342"/>
    <w:rsid w:val="00A93D8A"/>
    <w:rsid w:val="00A94C00"/>
    <w:rsid w:val="00A95E05"/>
    <w:rsid w:val="00AA1D2F"/>
    <w:rsid w:val="00AB078E"/>
    <w:rsid w:val="00AB0F57"/>
    <w:rsid w:val="00AB29E5"/>
    <w:rsid w:val="00AB33A6"/>
    <w:rsid w:val="00AC0312"/>
    <w:rsid w:val="00AC3512"/>
    <w:rsid w:val="00AC3EA0"/>
    <w:rsid w:val="00AC53D3"/>
    <w:rsid w:val="00AC668B"/>
    <w:rsid w:val="00AD29A9"/>
    <w:rsid w:val="00AD5E70"/>
    <w:rsid w:val="00AD6941"/>
    <w:rsid w:val="00AE3620"/>
    <w:rsid w:val="00AE5081"/>
    <w:rsid w:val="00AE5DDA"/>
    <w:rsid w:val="00AE6FC5"/>
    <w:rsid w:val="00AF045B"/>
    <w:rsid w:val="00AF42D5"/>
    <w:rsid w:val="00AF6053"/>
    <w:rsid w:val="00B0231B"/>
    <w:rsid w:val="00B06D92"/>
    <w:rsid w:val="00B07A00"/>
    <w:rsid w:val="00B124A7"/>
    <w:rsid w:val="00B155FB"/>
    <w:rsid w:val="00B206C2"/>
    <w:rsid w:val="00B21F0F"/>
    <w:rsid w:val="00B2238B"/>
    <w:rsid w:val="00B275EE"/>
    <w:rsid w:val="00B30C83"/>
    <w:rsid w:val="00B31019"/>
    <w:rsid w:val="00B3182B"/>
    <w:rsid w:val="00B32EED"/>
    <w:rsid w:val="00B33B47"/>
    <w:rsid w:val="00B42DED"/>
    <w:rsid w:val="00B45A98"/>
    <w:rsid w:val="00B47018"/>
    <w:rsid w:val="00B475D2"/>
    <w:rsid w:val="00B50C53"/>
    <w:rsid w:val="00B51825"/>
    <w:rsid w:val="00B52B33"/>
    <w:rsid w:val="00B65E87"/>
    <w:rsid w:val="00B66107"/>
    <w:rsid w:val="00B703D8"/>
    <w:rsid w:val="00B729DC"/>
    <w:rsid w:val="00B75721"/>
    <w:rsid w:val="00B82760"/>
    <w:rsid w:val="00B8454E"/>
    <w:rsid w:val="00B91A15"/>
    <w:rsid w:val="00B94471"/>
    <w:rsid w:val="00B9475A"/>
    <w:rsid w:val="00B948F2"/>
    <w:rsid w:val="00B955EB"/>
    <w:rsid w:val="00B974B6"/>
    <w:rsid w:val="00BA1F87"/>
    <w:rsid w:val="00BA2514"/>
    <w:rsid w:val="00BA7584"/>
    <w:rsid w:val="00BB0BA8"/>
    <w:rsid w:val="00BB12A0"/>
    <w:rsid w:val="00BC12D1"/>
    <w:rsid w:val="00BC2C7B"/>
    <w:rsid w:val="00BC4659"/>
    <w:rsid w:val="00BD20C2"/>
    <w:rsid w:val="00BD456A"/>
    <w:rsid w:val="00BD5E18"/>
    <w:rsid w:val="00BE0861"/>
    <w:rsid w:val="00BE160D"/>
    <w:rsid w:val="00BF7376"/>
    <w:rsid w:val="00C00A6F"/>
    <w:rsid w:val="00C02218"/>
    <w:rsid w:val="00C039DD"/>
    <w:rsid w:val="00C07070"/>
    <w:rsid w:val="00C10D76"/>
    <w:rsid w:val="00C113F3"/>
    <w:rsid w:val="00C136D3"/>
    <w:rsid w:val="00C13E9E"/>
    <w:rsid w:val="00C2372F"/>
    <w:rsid w:val="00C24353"/>
    <w:rsid w:val="00C252CD"/>
    <w:rsid w:val="00C26E08"/>
    <w:rsid w:val="00C3061B"/>
    <w:rsid w:val="00C344BB"/>
    <w:rsid w:val="00C35280"/>
    <w:rsid w:val="00C40050"/>
    <w:rsid w:val="00C46075"/>
    <w:rsid w:val="00C46770"/>
    <w:rsid w:val="00C50476"/>
    <w:rsid w:val="00C52453"/>
    <w:rsid w:val="00C528B9"/>
    <w:rsid w:val="00C547D3"/>
    <w:rsid w:val="00C55815"/>
    <w:rsid w:val="00C607AA"/>
    <w:rsid w:val="00C666A9"/>
    <w:rsid w:val="00C719BB"/>
    <w:rsid w:val="00C76201"/>
    <w:rsid w:val="00C81BB9"/>
    <w:rsid w:val="00C81F13"/>
    <w:rsid w:val="00C84AB5"/>
    <w:rsid w:val="00C91B86"/>
    <w:rsid w:val="00C94BD9"/>
    <w:rsid w:val="00C95C66"/>
    <w:rsid w:val="00CA0ED1"/>
    <w:rsid w:val="00CA5AC4"/>
    <w:rsid w:val="00CB16BB"/>
    <w:rsid w:val="00CC249A"/>
    <w:rsid w:val="00CD2CCD"/>
    <w:rsid w:val="00CD452B"/>
    <w:rsid w:val="00CD647E"/>
    <w:rsid w:val="00CE20F7"/>
    <w:rsid w:val="00CE654A"/>
    <w:rsid w:val="00CF5957"/>
    <w:rsid w:val="00CF5D6D"/>
    <w:rsid w:val="00D032D8"/>
    <w:rsid w:val="00D03D8F"/>
    <w:rsid w:val="00D06C6A"/>
    <w:rsid w:val="00D0740C"/>
    <w:rsid w:val="00D100B4"/>
    <w:rsid w:val="00D10D38"/>
    <w:rsid w:val="00D1276D"/>
    <w:rsid w:val="00D155CF"/>
    <w:rsid w:val="00D171C0"/>
    <w:rsid w:val="00D2024D"/>
    <w:rsid w:val="00D20BA1"/>
    <w:rsid w:val="00D30CE8"/>
    <w:rsid w:val="00D326DC"/>
    <w:rsid w:val="00D34191"/>
    <w:rsid w:val="00D348AD"/>
    <w:rsid w:val="00D35277"/>
    <w:rsid w:val="00D37054"/>
    <w:rsid w:val="00D4213B"/>
    <w:rsid w:val="00D42617"/>
    <w:rsid w:val="00D51254"/>
    <w:rsid w:val="00D52614"/>
    <w:rsid w:val="00D52C3F"/>
    <w:rsid w:val="00D53AAC"/>
    <w:rsid w:val="00D54035"/>
    <w:rsid w:val="00D57710"/>
    <w:rsid w:val="00D57FBC"/>
    <w:rsid w:val="00D64174"/>
    <w:rsid w:val="00D65D8E"/>
    <w:rsid w:val="00D66164"/>
    <w:rsid w:val="00D75768"/>
    <w:rsid w:val="00D7625F"/>
    <w:rsid w:val="00D77B5B"/>
    <w:rsid w:val="00D90B47"/>
    <w:rsid w:val="00D921D8"/>
    <w:rsid w:val="00D951A3"/>
    <w:rsid w:val="00D97BA6"/>
    <w:rsid w:val="00DA2FE9"/>
    <w:rsid w:val="00DA46BE"/>
    <w:rsid w:val="00DA4C0F"/>
    <w:rsid w:val="00DA5339"/>
    <w:rsid w:val="00DA54D0"/>
    <w:rsid w:val="00DB3680"/>
    <w:rsid w:val="00DC74D0"/>
    <w:rsid w:val="00DD149B"/>
    <w:rsid w:val="00DD2593"/>
    <w:rsid w:val="00DD3EE9"/>
    <w:rsid w:val="00DE1580"/>
    <w:rsid w:val="00DE3490"/>
    <w:rsid w:val="00DE66E2"/>
    <w:rsid w:val="00DE6B4A"/>
    <w:rsid w:val="00DF070B"/>
    <w:rsid w:val="00DF1B00"/>
    <w:rsid w:val="00DF1D4D"/>
    <w:rsid w:val="00DF35F4"/>
    <w:rsid w:val="00DF43A1"/>
    <w:rsid w:val="00E02467"/>
    <w:rsid w:val="00E025F4"/>
    <w:rsid w:val="00E02CB5"/>
    <w:rsid w:val="00E06A70"/>
    <w:rsid w:val="00E14C4D"/>
    <w:rsid w:val="00E2352C"/>
    <w:rsid w:val="00E31511"/>
    <w:rsid w:val="00E33AF3"/>
    <w:rsid w:val="00E35B31"/>
    <w:rsid w:val="00E374B7"/>
    <w:rsid w:val="00E40408"/>
    <w:rsid w:val="00E45D0A"/>
    <w:rsid w:val="00E4769D"/>
    <w:rsid w:val="00E501A7"/>
    <w:rsid w:val="00E54BC8"/>
    <w:rsid w:val="00E5575D"/>
    <w:rsid w:val="00E56D8D"/>
    <w:rsid w:val="00E634DA"/>
    <w:rsid w:val="00E700BD"/>
    <w:rsid w:val="00E71255"/>
    <w:rsid w:val="00E75D16"/>
    <w:rsid w:val="00E76288"/>
    <w:rsid w:val="00E85B49"/>
    <w:rsid w:val="00E90525"/>
    <w:rsid w:val="00E9122C"/>
    <w:rsid w:val="00E938EA"/>
    <w:rsid w:val="00E97AEB"/>
    <w:rsid w:val="00EA45FB"/>
    <w:rsid w:val="00EA49BB"/>
    <w:rsid w:val="00EA664D"/>
    <w:rsid w:val="00EB1406"/>
    <w:rsid w:val="00EB6336"/>
    <w:rsid w:val="00EC202F"/>
    <w:rsid w:val="00EC6294"/>
    <w:rsid w:val="00EC6ECC"/>
    <w:rsid w:val="00ED03F1"/>
    <w:rsid w:val="00ED0CE1"/>
    <w:rsid w:val="00ED3665"/>
    <w:rsid w:val="00ED374B"/>
    <w:rsid w:val="00ED4B17"/>
    <w:rsid w:val="00EE0BDF"/>
    <w:rsid w:val="00EE1AE5"/>
    <w:rsid w:val="00EE531F"/>
    <w:rsid w:val="00EE623F"/>
    <w:rsid w:val="00EF2F88"/>
    <w:rsid w:val="00EF3F03"/>
    <w:rsid w:val="00EF6A2E"/>
    <w:rsid w:val="00EF7FC5"/>
    <w:rsid w:val="00F02B13"/>
    <w:rsid w:val="00F02EBB"/>
    <w:rsid w:val="00F05999"/>
    <w:rsid w:val="00F1489A"/>
    <w:rsid w:val="00F14D67"/>
    <w:rsid w:val="00F15A82"/>
    <w:rsid w:val="00F1791E"/>
    <w:rsid w:val="00F17AA4"/>
    <w:rsid w:val="00F207F1"/>
    <w:rsid w:val="00F25EF3"/>
    <w:rsid w:val="00F27723"/>
    <w:rsid w:val="00F3010D"/>
    <w:rsid w:val="00F311B4"/>
    <w:rsid w:val="00F36811"/>
    <w:rsid w:val="00F40E03"/>
    <w:rsid w:val="00F4100A"/>
    <w:rsid w:val="00F41C02"/>
    <w:rsid w:val="00F51757"/>
    <w:rsid w:val="00F52094"/>
    <w:rsid w:val="00F53881"/>
    <w:rsid w:val="00F56CBC"/>
    <w:rsid w:val="00F61382"/>
    <w:rsid w:val="00F64F60"/>
    <w:rsid w:val="00F66B12"/>
    <w:rsid w:val="00F75109"/>
    <w:rsid w:val="00F832A0"/>
    <w:rsid w:val="00F85248"/>
    <w:rsid w:val="00F90812"/>
    <w:rsid w:val="00F926B4"/>
    <w:rsid w:val="00FA32C3"/>
    <w:rsid w:val="00FA6464"/>
    <w:rsid w:val="00FA795E"/>
    <w:rsid w:val="00FB2109"/>
    <w:rsid w:val="00FB26AB"/>
    <w:rsid w:val="00FB3514"/>
    <w:rsid w:val="00FB3797"/>
    <w:rsid w:val="00FB5575"/>
    <w:rsid w:val="00FB7CAB"/>
    <w:rsid w:val="00FC1C2D"/>
    <w:rsid w:val="00FC2E4D"/>
    <w:rsid w:val="00FC377C"/>
    <w:rsid w:val="00FD1420"/>
    <w:rsid w:val="00FD2EAA"/>
    <w:rsid w:val="00FD5422"/>
    <w:rsid w:val="00FD5749"/>
    <w:rsid w:val="00FD6486"/>
    <w:rsid w:val="00FE1F9C"/>
    <w:rsid w:val="00FE3D04"/>
    <w:rsid w:val="00FE4D53"/>
    <w:rsid w:val="00FE6E6B"/>
    <w:rsid w:val="00FF11C2"/>
    <w:rsid w:val="00FF27B9"/>
    <w:rsid w:val="00FF2A81"/>
    <w:rsid w:val="00FF6747"/>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0008AC17-61D6-4806-B9DC-7AE46C005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BE" w:eastAsia="fr-FR" w:bidi="ar-SA"/>
      </w:rPr>
    </w:rPrDefault>
    <w:pPrDefault/>
  </w:docDefaults>
  <w:latentStyles w:defLockedState="0" w:defUIPriority="99" w:defSemiHidden="0" w:defUnhideWhenUsed="0" w:defQFormat="0" w:count="371">
    <w:lsdException w:name="Normal" w:uiPriority="1"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8"/>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7"/>
    <w:qFormat/>
    <w:pPr>
      <w:ind w:left="99"/>
      <w:outlineLvl w:val="0"/>
    </w:pPr>
    <w:rPr>
      <w:rFonts w:ascii="Times New Roman" w:eastAsia="Times New Roman" w:hAnsi="Times New Roman"/>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w w:val="100"/>
      <w:sz w:val="20"/>
      <w:szCs w:val="20"/>
      <w:shd w:val="clear" w:color="auto" w:fill="auto"/>
    </w:rPr>
  </w:style>
  <w:style w:type="paragraph" w:styleId="ListParagraph">
    <w:name w:val="List Paragraph"/>
    <w:aliases w:val="OBC Bullet,Normal 1,Task Body,Viñetas (Inicio Parrafo),Paragrafo elenco,3 Txt tabla,Zerrenda-paragrafoa,Fiche List Paragraph,Dot pt,F5 List Paragraph,List Paragraph1,No Spacing1,List Paragraph Char Char Char,Indicator Text"/>
    <w:basedOn w:val="Normal"/>
    <w:link w:val="ListParagraphChar"/>
    <w:uiPriority w:val="34"/>
    <w:qFormat/>
    <w:pPr>
      <w:ind w:left="720"/>
    </w:pPr>
  </w:style>
  <w:style w:type="table" w:styleId="TableGrid">
    <w:name w:val="Table Grid"/>
    <w:basedOn w:val="TableNormal"/>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w w:val="100"/>
      <w:sz w:val="20"/>
      <w:szCs w:val="20"/>
      <w:shd w:val="clear" w:color="000000" w:fill="auto"/>
    </w:rPr>
  </w:style>
  <w:style w:type="paragraph" w:customStyle="1" w:styleId="Pagedecouverture">
    <w:name w:val="Page de couverture"/>
    <w:basedOn w:val="Normal"/>
    <w:next w:val="Normal"/>
    <w:pPr>
      <w:jc w:val="both"/>
    </w:pPr>
    <w:rPr>
      <w:rFonts w:ascii="Times New Roman" w:eastAsia="Times New Roman" w:hAnsi="Times New Roman"/>
      <w:sz w:val="24"/>
      <w:szCs w:val="24"/>
    </w:rPr>
  </w:style>
  <w:style w:type="paragraph" w:styleId="Header">
    <w:name w:val="header"/>
    <w:basedOn w:val="Normal"/>
    <w:link w:val="HeaderChar"/>
    <w:unhideWhenUsed/>
    <w:pPr>
      <w:tabs>
        <w:tab w:val="center" w:pos="4536"/>
        <w:tab w:val="right" w:pos="9072"/>
      </w:tabs>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jc w:val="center"/>
    </w:pPr>
    <w:rPr>
      <w:rFonts w:ascii="Times New Roman" w:eastAsia="Times New Roman" w:hAnsi="Times New Roman"/>
      <w:b/>
      <w:sz w:val="24"/>
      <w:szCs w:val="24"/>
    </w:rPr>
  </w:style>
  <w:style w:type="paragraph" w:customStyle="1" w:styleId="Titreobjet">
    <w:name w:val="Titre objet"/>
    <w:basedOn w:val="Normal"/>
    <w:next w:val="Normal"/>
    <w:pPr>
      <w:jc w:val="center"/>
    </w:pPr>
    <w:rPr>
      <w:rFonts w:ascii="Times New Roman" w:eastAsia="Times New Roman" w:hAnsi="Times New Roman"/>
      <w:b/>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rPr>
  </w:style>
  <w:style w:type="character" w:customStyle="1" w:styleId="TypedudocumentChar">
    <w:name w:val="Type du document Char"/>
    <w:basedOn w:val="DefaultParagraphFont"/>
    <w:link w:val="Typedudocument"/>
    <w:rPr>
      <w:rFonts w:ascii="Times New Roman" w:eastAsia="Times New Roman" w:hAnsi="Times New Roman"/>
      <w:b/>
      <w:w w:val="100"/>
      <w:sz w:val="24"/>
      <w:szCs w:val="24"/>
      <w:shd w:val="clear" w:color="auto" w:fill="auto"/>
    </w:rPr>
  </w:style>
  <w:style w:type="character" w:customStyle="1" w:styleId="FooterCoverPageChar">
    <w:name w:val="Footer Cover Page Char"/>
    <w:basedOn w:val="TypedudocumentChar"/>
    <w:link w:val="FooterCoverPage"/>
    <w:rPr>
      <w:rFonts w:ascii="Times New Roman" w:eastAsia="Times New Roman" w:hAnsi="Times New Roman"/>
      <w:b w:val="0"/>
      <w:w w:val="100"/>
      <w:sz w:val="24"/>
      <w:szCs w:val="24"/>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TypedudocumentChar"/>
    <w:link w:val="FooterSensitivity"/>
    <w:rPr>
      <w:rFonts w:ascii="Times New Roman" w:eastAsia="Times New Roman" w:hAnsi="Times New Roman"/>
      <w:b/>
      <w:w w:val="100"/>
      <w:sz w:val="32"/>
      <w:szCs w:val="24"/>
      <w:shd w:val="clear" w:color="auto" w:fill="auto"/>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TypedudocumentChar"/>
    <w:link w:val="HeaderCoverPage"/>
    <w:rPr>
      <w:rFonts w:ascii="Times New Roman" w:eastAsia="Times New Roman" w:hAnsi="Times New Roman"/>
      <w:b w:val="0"/>
      <w:w w:val="100"/>
      <w:sz w:val="24"/>
      <w:szCs w:val="24"/>
      <w:shd w:val="clear" w:color="auto" w:fill="auto"/>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TypedudocumentChar"/>
    <w:link w:val="HeaderSensitivity"/>
    <w:rPr>
      <w:rFonts w:ascii="Times New Roman" w:eastAsia="Times New Roman" w:hAnsi="Times New Roman"/>
      <w:b/>
      <w:w w:val="100"/>
      <w:sz w:val="32"/>
      <w:szCs w:val="24"/>
      <w:shd w:val="clear" w:color="auto" w:fill="auto"/>
    </w:rPr>
  </w:style>
  <w:style w:type="paragraph" w:styleId="NormalWeb">
    <w:name w:val="Normal (Web)"/>
    <w:basedOn w:val="Normal"/>
    <w:uiPriority w:val="99"/>
    <w:unhideWhenUsed/>
    <w:rPr>
      <w:rFonts w:ascii="Times New Roman" w:eastAsia="Times New Roman" w:hAnsi="Times New Roman"/>
      <w:sz w:val="24"/>
      <w:szCs w:val="24"/>
    </w:rPr>
  </w:style>
  <w:style w:type="paragraph" w:styleId="FootnoteText">
    <w:name w:val="footnote text"/>
    <w:basedOn w:val="Normal"/>
    <w:link w:val="FootnoteTextChar"/>
    <w:unhideWhenUsed/>
    <w:rPr>
      <w:sz w:val="20"/>
      <w:szCs w:val="20"/>
    </w:rPr>
  </w:style>
  <w:style w:type="character" w:customStyle="1" w:styleId="FootnoteTextChar">
    <w:name w:val="Footnote Text Char"/>
    <w:basedOn w:val="DefaultParagraphFont"/>
    <w:link w:val="FootnoteText"/>
    <w:rPr>
      <w:w w:val="100"/>
      <w:sz w:val="20"/>
      <w:szCs w:val="20"/>
      <w:shd w:val="clear" w:color="auto" w:fill="auto"/>
    </w:rPr>
  </w:style>
  <w:style w:type="character" w:styleId="FootnoteReference">
    <w:name w:val="footnote reference"/>
    <w:basedOn w:val="DefaultParagraphFont"/>
    <w:unhideWhenUsed/>
    <w:rPr>
      <w:w w:val="100"/>
      <w:sz w:val="20"/>
      <w:szCs w:val="20"/>
      <w:shd w:val="clear" w:color="auto" w:fill="auto"/>
      <w:vertAlign w:val="superscript"/>
    </w:rPr>
  </w:style>
  <w:style w:type="character" w:styleId="Hyperlink">
    <w:name w:val="Hyperlink"/>
    <w:basedOn w:val="DefaultParagraphFont"/>
    <w:unhideWhenUsed/>
    <w:rPr>
      <w:color w:val="0000FF" w:themeColor="hyperlink"/>
      <w:w w:val="100"/>
      <w:sz w:val="20"/>
      <w:szCs w:val="20"/>
      <w:u w:val="single"/>
      <w:shd w:val="clear" w:color="auto" w:fill="auto"/>
    </w:rPr>
  </w:style>
  <w:style w:type="character" w:customStyle="1" w:styleId="ListParagraphChar">
    <w:name w:val="List Paragraph Char"/>
    <w:aliases w:val="OBC Bullet Char,Normal 1 Char,Task Body Char,Viñetas (Inicio Parrafo) Char,Paragrafo elenco Char,3 Txt tabla Char,Zerrenda-paragrafoa Char,Fiche List Paragraph Char,Dot pt Char,F5 List Paragraph Char,List Paragraph1 Char"/>
    <w:link w:val="ListParagraph"/>
    <w:uiPriority w:val="34"/>
    <w:qFormat/>
  </w:style>
  <w:style w:type="paragraph" w:customStyle="1" w:styleId="Briefingtext">
    <w:name w:val="Briefing text"/>
    <w:basedOn w:val="Normal"/>
    <w:link w:val="BriefingtextChar"/>
    <w:pPr>
      <w:jc w:val="both"/>
    </w:pPr>
    <w:rPr>
      <w:rFonts w:ascii="Arial" w:eastAsia="Arial" w:hAnsi="Arial"/>
      <w:sz w:val="20"/>
      <w:szCs w:val="20"/>
    </w:rPr>
  </w:style>
  <w:style w:type="character" w:customStyle="1" w:styleId="BriefingtextChar">
    <w:name w:val="Briefing text Char"/>
    <w:link w:val="Briefingtext"/>
    <w:rPr>
      <w:rFonts w:ascii="Arial" w:eastAsia="Arial" w:hAnsi="Arial"/>
      <w:w w:val="100"/>
      <w:sz w:val="20"/>
      <w:szCs w:val="20"/>
      <w:shd w:val="clear" w:color="auto" w:fill="auto"/>
    </w:rPr>
  </w:style>
  <w:style w:type="paragraph" w:customStyle="1" w:styleId="Default">
    <w:name w:val="Default"/>
    <w:pPr>
      <w:autoSpaceDE w:val="0"/>
      <w:autoSpaceDN w:val="0"/>
    </w:pPr>
    <w:rPr>
      <w:rFonts w:ascii="Times New Roman" w:eastAsia="Times New Roman" w:hAnsi="Times New Roman"/>
      <w:color w:val="000000"/>
      <w:sz w:val="24"/>
      <w:szCs w:val="24"/>
    </w:r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auto" w:fill="auto"/>
    </w:rPr>
  </w:style>
  <w:style w:type="paragraph" w:customStyle="1" w:styleId="statut">
    <w:name w:val="statut"/>
    <w:basedOn w:val="Normal"/>
    <w:rPr>
      <w:rFonts w:ascii="Times New Roman" w:eastAsia="Times New Roman" w:hAnsi="Times New Roman"/>
      <w:sz w:val="24"/>
      <w:szCs w:val="24"/>
    </w:rPr>
  </w:style>
  <w:style w:type="character" w:customStyle="1" w:styleId="truncate">
    <w:name w:val="truncate"/>
    <w:basedOn w:val="DefaultParagraphFont"/>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Pr>
      <w:w w:val="100"/>
      <w:sz w:val="16"/>
      <w:szCs w:val="16"/>
      <w:shd w:val="clear" w:color="auto" w:fill="auto"/>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w w:val="100"/>
      <w:sz w:val="20"/>
      <w:szCs w:val="20"/>
      <w:shd w:val="clear" w:color="auto" w:fill="auto"/>
    </w:rPr>
  </w:style>
  <w:style w:type="paragraph" w:styleId="CommentSubject">
    <w:name w:val="annotation subject"/>
    <w:basedOn w:val="CommentText"/>
    <w:next w:val="CommentText"/>
    <w:link w:val="CommentSubjectChar"/>
    <w:semiHidden/>
    <w:unhideWhenUsed/>
    <w:rPr>
      <w:b/>
    </w:rPr>
  </w:style>
  <w:style w:type="character" w:customStyle="1" w:styleId="CommentSubjectChar">
    <w:name w:val="Comment Subject Char"/>
    <w:basedOn w:val="CommentTextChar"/>
    <w:link w:val="CommentSubject"/>
    <w:semiHidden/>
    <w:rPr>
      <w:b/>
      <w:w w:val="100"/>
      <w:sz w:val="20"/>
      <w:szCs w:val="20"/>
      <w:shd w:val="clear" w:color="auto" w:fill="auto"/>
    </w:rPr>
  </w:style>
  <w:style w:type="character" w:styleId="FollowedHyperlink">
    <w:name w:val="FollowedHyperlink"/>
    <w:basedOn w:val="DefaultParagraphFont"/>
    <w:semiHidden/>
    <w:unhideWhenUsed/>
    <w:rPr>
      <w:color w:val="800080" w:themeColor="followedHyperlink"/>
      <w:w w:val="100"/>
      <w:sz w:val="20"/>
      <w:szCs w:val="20"/>
      <w:u w:val="single"/>
      <w:shd w:val="clear" w:color="auto" w:fill="auto"/>
    </w:rPr>
  </w:style>
  <w:style w:type="character" w:customStyle="1" w:styleId="UnresolvedMention">
    <w:name w:val="Unresolved Mention"/>
    <w:basedOn w:val="DefaultParagraphFont"/>
    <w:semiHidden/>
    <w:unhideWhenUsed/>
    <w:rPr>
      <w:color w:val="605E5C"/>
      <w:w w:val="100"/>
      <w:sz w:val="20"/>
      <w:szCs w:val="20"/>
      <w:shd w:val="clear" w:color="000000" w:fill="E1DFDD"/>
    </w:rPr>
  </w:style>
  <w:style w:type="paragraph" w:styleId="Revision">
    <w:name w:val="Revision"/>
    <w:semiHidden/>
  </w:style>
  <w:style w:type="character" w:customStyle="1" w:styleId="Heading1Char">
    <w:name w:val="Heading 1 Char"/>
    <w:basedOn w:val="DefaultParagraphFont"/>
    <w:link w:val="Heading1"/>
    <w:rPr>
      <w:rFonts w:ascii="Times New Roman" w:eastAsia="Times New Roman" w:hAnsi="Times New Roman"/>
      <w:w w:val="100"/>
      <w:sz w:val="24"/>
      <w:szCs w:val="24"/>
      <w:u w:val="single"/>
      <w:shd w:val="clear" w:color="auto" w:fill="auto"/>
    </w:rPr>
  </w:style>
  <w:style w:type="paragraph" w:customStyle="1" w:styleId="TableParagraph">
    <w:name w:val="Table Paragraph"/>
    <w:basedOn w:val="Normal"/>
    <w:uiPriority w:val="1"/>
    <w:qFormat/>
    <w:rPr>
      <w:sz w:val="20"/>
      <w:szCs w:val="20"/>
    </w:rPr>
  </w:style>
  <w:style w:type="paragraph" w:styleId="EndnoteText">
    <w:name w:val="endnote text"/>
    <w:basedOn w:val="Normal"/>
    <w:link w:val="EndnoteTextChar"/>
    <w:uiPriority w:val="99"/>
    <w:semiHidden/>
    <w:unhideWhenUsed/>
    <w:rsid w:val="00726A0B"/>
    <w:rPr>
      <w:sz w:val="20"/>
      <w:szCs w:val="20"/>
    </w:rPr>
  </w:style>
  <w:style w:type="character" w:customStyle="1" w:styleId="EndnoteTextChar">
    <w:name w:val="Endnote Text Char"/>
    <w:basedOn w:val="DefaultParagraphFont"/>
    <w:link w:val="EndnoteText"/>
    <w:uiPriority w:val="99"/>
    <w:semiHidden/>
    <w:rsid w:val="00726A0B"/>
    <w:rPr>
      <w:sz w:val="20"/>
      <w:szCs w:val="20"/>
    </w:rPr>
  </w:style>
  <w:style w:type="character" w:styleId="EndnoteReference">
    <w:name w:val="endnote reference"/>
    <w:basedOn w:val="DefaultParagraphFont"/>
    <w:uiPriority w:val="99"/>
    <w:semiHidden/>
    <w:unhideWhenUsed/>
    <w:rsid w:val="00726A0B"/>
    <w:rPr>
      <w:vertAlign w:val="superscript"/>
    </w:rPr>
  </w:style>
  <w:style w:type="character" w:styleId="Emphasis">
    <w:name w:val="Emphasis"/>
    <w:basedOn w:val="DefaultParagraphFont"/>
    <w:uiPriority w:val="20"/>
    <w:qFormat/>
    <w:rsid w:val="00421F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36">
      <w:bodyDiv w:val="1"/>
      <w:marLeft w:val="0"/>
      <w:marRight w:val="0"/>
      <w:marTop w:val="0"/>
      <w:marBottom w:val="0"/>
      <w:divBdr>
        <w:top w:val="none" w:sz="0" w:space="0" w:color="auto"/>
        <w:left w:val="none" w:sz="0" w:space="0" w:color="auto"/>
        <w:bottom w:val="none" w:sz="0" w:space="0" w:color="auto"/>
        <w:right w:val="none" w:sz="0" w:space="0" w:color="auto"/>
      </w:divBdr>
    </w:div>
    <w:div w:id="178323959">
      <w:bodyDiv w:val="1"/>
      <w:marLeft w:val="0"/>
      <w:marRight w:val="0"/>
      <w:marTop w:val="0"/>
      <w:marBottom w:val="0"/>
      <w:divBdr>
        <w:top w:val="none" w:sz="0" w:space="0" w:color="auto"/>
        <w:left w:val="none" w:sz="0" w:space="0" w:color="auto"/>
        <w:bottom w:val="none" w:sz="0" w:space="0" w:color="auto"/>
        <w:right w:val="none" w:sz="0" w:space="0" w:color="auto"/>
      </w:divBdr>
    </w:div>
    <w:div w:id="516967949">
      <w:bodyDiv w:val="1"/>
      <w:marLeft w:val="0"/>
      <w:marRight w:val="0"/>
      <w:marTop w:val="0"/>
      <w:marBottom w:val="0"/>
      <w:divBdr>
        <w:top w:val="none" w:sz="0" w:space="0" w:color="auto"/>
        <w:left w:val="none" w:sz="0" w:space="0" w:color="auto"/>
        <w:bottom w:val="none" w:sz="0" w:space="0" w:color="auto"/>
        <w:right w:val="none" w:sz="0" w:space="0" w:color="auto"/>
      </w:divBdr>
      <w:divsChild>
        <w:div w:id="1567766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567244">
              <w:marLeft w:val="0"/>
              <w:marRight w:val="0"/>
              <w:marTop w:val="0"/>
              <w:marBottom w:val="0"/>
              <w:divBdr>
                <w:top w:val="none" w:sz="0" w:space="0" w:color="auto"/>
                <w:left w:val="none" w:sz="0" w:space="0" w:color="auto"/>
                <w:bottom w:val="none" w:sz="0" w:space="0" w:color="auto"/>
                <w:right w:val="none" w:sz="0" w:space="0" w:color="auto"/>
              </w:divBdr>
              <w:divsChild>
                <w:div w:id="839388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72459">
                      <w:marLeft w:val="0"/>
                      <w:marRight w:val="0"/>
                      <w:marTop w:val="0"/>
                      <w:marBottom w:val="0"/>
                      <w:divBdr>
                        <w:top w:val="none" w:sz="0" w:space="0" w:color="auto"/>
                        <w:left w:val="none" w:sz="0" w:space="0" w:color="auto"/>
                        <w:bottom w:val="none" w:sz="0" w:space="0" w:color="auto"/>
                        <w:right w:val="none" w:sz="0" w:space="0" w:color="auto"/>
                      </w:divBdr>
                      <w:divsChild>
                        <w:div w:id="1268122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2512390">
                              <w:marLeft w:val="0"/>
                              <w:marRight w:val="0"/>
                              <w:marTop w:val="0"/>
                              <w:marBottom w:val="0"/>
                              <w:divBdr>
                                <w:top w:val="none" w:sz="0" w:space="0" w:color="auto"/>
                                <w:left w:val="none" w:sz="0" w:space="0" w:color="auto"/>
                                <w:bottom w:val="none" w:sz="0" w:space="0" w:color="auto"/>
                                <w:right w:val="none" w:sz="0" w:space="0" w:color="auto"/>
                              </w:divBdr>
                              <w:divsChild>
                                <w:div w:id="120538025">
                                  <w:marLeft w:val="0"/>
                                  <w:marRight w:val="0"/>
                                  <w:marTop w:val="0"/>
                                  <w:marBottom w:val="0"/>
                                  <w:divBdr>
                                    <w:top w:val="none" w:sz="0" w:space="0" w:color="auto"/>
                                    <w:left w:val="none" w:sz="0" w:space="0" w:color="auto"/>
                                    <w:bottom w:val="none" w:sz="0" w:space="0" w:color="auto"/>
                                    <w:right w:val="none" w:sz="0" w:space="0" w:color="auto"/>
                                  </w:divBdr>
                                  <w:divsChild>
                                    <w:div w:id="124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8212181">
                                          <w:marLeft w:val="0"/>
                                          <w:marRight w:val="0"/>
                                          <w:marTop w:val="0"/>
                                          <w:marBottom w:val="0"/>
                                          <w:divBdr>
                                            <w:top w:val="none" w:sz="0" w:space="0" w:color="auto"/>
                                            <w:left w:val="none" w:sz="0" w:space="0" w:color="auto"/>
                                            <w:bottom w:val="none" w:sz="0" w:space="0" w:color="auto"/>
                                            <w:right w:val="none" w:sz="0" w:space="0" w:color="auto"/>
                                          </w:divBdr>
                                          <w:divsChild>
                                            <w:div w:id="65613696">
                                              <w:marLeft w:val="0"/>
                                              <w:marRight w:val="0"/>
                                              <w:marTop w:val="0"/>
                                              <w:marBottom w:val="0"/>
                                              <w:divBdr>
                                                <w:top w:val="none" w:sz="0" w:space="0" w:color="auto"/>
                                                <w:left w:val="none" w:sz="0" w:space="0" w:color="auto"/>
                                                <w:bottom w:val="none" w:sz="0" w:space="0" w:color="auto"/>
                                                <w:right w:val="none" w:sz="0" w:space="0" w:color="auto"/>
                                              </w:divBdr>
                                              <w:divsChild>
                                                <w:div w:id="1093280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415155">
                                                      <w:marLeft w:val="0"/>
                                                      <w:marRight w:val="0"/>
                                                      <w:marTop w:val="0"/>
                                                      <w:marBottom w:val="0"/>
                                                      <w:divBdr>
                                                        <w:top w:val="none" w:sz="0" w:space="0" w:color="auto"/>
                                                        <w:left w:val="none" w:sz="0" w:space="0" w:color="auto"/>
                                                        <w:bottom w:val="none" w:sz="0" w:space="0" w:color="auto"/>
                                                        <w:right w:val="none" w:sz="0" w:space="0" w:color="auto"/>
                                                      </w:divBdr>
                                                      <w:divsChild>
                                                        <w:div w:id="810243861">
                                                          <w:marLeft w:val="0"/>
                                                          <w:marRight w:val="0"/>
                                                          <w:marTop w:val="0"/>
                                                          <w:marBottom w:val="0"/>
                                                          <w:divBdr>
                                                            <w:top w:val="none" w:sz="0" w:space="0" w:color="auto"/>
                                                            <w:left w:val="none" w:sz="0" w:space="0" w:color="auto"/>
                                                            <w:bottom w:val="none" w:sz="0" w:space="0" w:color="auto"/>
                                                            <w:right w:val="none" w:sz="0" w:space="0" w:color="auto"/>
                                                          </w:divBdr>
                                                          <w:divsChild>
                                                            <w:div w:id="144399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343722">
                                                                  <w:marLeft w:val="0"/>
                                                                  <w:marRight w:val="0"/>
                                                                  <w:marTop w:val="0"/>
                                                                  <w:marBottom w:val="0"/>
                                                                  <w:divBdr>
                                                                    <w:top w:val="none" w:sz="0" w:space="0" w:color="auto"/>
                                                                    <w:left w:val="none" w:sz="0" w:space="0" w:color="auto"/>
                                                                    <w:bottom w:val="none" w:sz="0" w:space="0" w:color="auto"/>
                                                                    <w:right w:val="none" w:sz="0" w:space="0" w:color="auto"/>
                                                                  </w:divBdr>
                                                                  <w:divsChild>
                                                                    <w:div w:id="3401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461813">
                                                                          <w:marLeft w:val="0"/>
                                                                          <w:marRight w:val="0"/>
                                                                          <w:marTop w:val="0"/>
                                                                          <w:marBottom w:val="0"/>
                                                                          <w:divBdr>
                                                                            <w:top w:val="none" w:sz="0" w:space="0" w:color="auto"/>
                                                                            <w:left w:val="none" w:sz="0" w:space="0" w:color="auto"/>
                                                                            <w:bottom w:val="none" w:sz="0" w:space="0" w:color="auto"/>
                                                                            <w:right w:val="none" w:sz="0" w:space="0" w:color="auto"/>
                                                                          </w:divBdr>
                                                                          <w:divsChild>
                                                                            <w:div w:id="1928684355">
                                                                              <w:marLeft w:val="0"/>
                                                                              <w:marRight w:val="0"/>
                                                                              <w:marTop w:val="0"/>
                                                                              <w:marBottom w:val="0"/>
                                                                              <w:divBdr>
                                                                                <w:top w:val="none" w:sz="0" w:space="0" w:color="auto"/>
                                                                                <w:left w:val="none" w:sz="0" w:space="0" w:color="auto"/>
                                                                                <w:bottom w:val="none" w:sz="0" w:space="0" w:color="auto"/>
                                                                                <w:right w:val="none" w:sz="0" w:space="0" w:color="auto"/>
                                                                              </w:divBdr>
                                                                              <w:divsChild>
                                                                                <w:div w:id="920675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6709973">
                                                                                      <w:marLeft w:val="0"/>
                                                                                      <w:marRight w:val="0"/>
                                                                                      <w:marTop w:val="0"/>
                                                                                      <w:marBottom w:val="0"/>
                                                                                      <w:divBdr>
                                                                                        <w:top w:val="none" w:sz="0" w:space="0" w:color="auto"/>
                                                                                        <w:left w:val="none" w:sz="0" w:space="0" w:color="auto"/>
                                                                                        <w:bottom w:val="none" w:sz="0" w:space="0" w:color="auto"/>
                                                                                        <w:right w:val="none" w:sz="0" w:space="0" w:color="auto"/>
                                                                                      </w:divBdr>
                                                                                      <w:divsChild>
                                                                                        <w:div w:id="7935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4724852">
      <w:bodyDiv w:val="1"/>
      <w:marLeft w:val="0"/>
      <w:marRight w:val="0"/>
      <w:marTop w:val="0"/>
      <w:marBottom w:val="0"/>
      <w:divBdr>
        <w:top w:val="none" w:sz="0" w:space="0" w:color="auto"/>
        <w:left w:val="none" w:sz="0" w:space="0" w:color="auto"/>
        <w:bottom w:val="none" w:sz="0" w:space="0" w:color="auto"/>
        <w:right w:val="none" w:sz="0" w:space="0" w:color="auto"/>
      </w:divBdr>
    </w:div>
    <w:div w:id="733236319">
      <w:bodyDiv w:val="1"/>
      <w:marLeft w:val="0"/>
      <w:marRight w:val="0"/>
      <w:marTop w:val="0"/>
      <w:marBottom w:val="0"/>
      <w:divBdr>
        <w:top w:val="none" w:sz="0" w:space="0" w:color="auto"/>
        <w:left w:val="none" w:sz="0" w:space="0" w:color="auto"/>
        <w:bottom w:val="none" w:sz="0" w:space="0" w:color="auto"/>
        <w:right w:val="none" w:sz="0" w:space="0" w:color="auto"/>
      </w:divBdr>
    </w:div>
    <w:div w:id="742603878">
      <w:bodyDiv w:val="1"/>
      <w:marLeft w:val="0"/>
      <w:marRight w:val="0"/>
      <w:marTop w:val="0"/>
      <w:marBottom w:val="0"/>
      <w:divBdr>
        <w:top w:val="none" w:sz="0" w:space="0" w:color="auto"/>
        <w:left w:val="none" w:sz="0" w:space="0" w:color="auto"/>
        <w:bottom w:val="none" w:sz="0" w:space="0" w:color="auto"/>
        <w:right w:val="none" w:sz="0" w:space="0" w:color="auto"/>
      </w:divBdr>
      <w:divsChild>
        <w:div w:id="502667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055596">
              <w:marLeft w:val="0"/>
              <w:marRight w:val="0"/>
              <w:marTop w:val="0"/>
              <w:marBottom w:val="0"/>
              <w:divBdr>
                <w:top w:val="none" w:sz="0" w:space="0" w:color="auto"/>
                <w:left w:val="none" w:sz="0" w:space="0" w:color="auto"/>
                <w:bottom w:val="none" w:sz="0" w:space="0" w:color="auto"/>
                <w:right w:val="none" w:sz="0" w:space="0" w:color="auto"/>
              </w:divBdr>
              <w:divsChild>
                <w:div w:id="908033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528374">
                      <w:marLeft w:val="0"/>
                      <w:marRight w:val="0"/>
                      <w:marTop w:val="0"/>
                      <w:marBottom w:val="0"/>
                      <w:divBdr>
                        <w:top w:val="none" w:sz="0" w:space="0" w:color="auto"/>
                        <w:left w:val="none" w:sz="0" w:space="0" w:color="auto"/>
                        <w:bottom w:val="none" w:sz="0" w:space="0" w:color="auto"/>
                        <w:right w:val="none" w:sz="0" w:space="0" w:color="auto"/>
                      </w:divBdr>
                      <w:divsChild>
                        <w:div w:id="105345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885458">
                              <w:marLeft w:val="0"/>
                              <w:marRight w:val="0"/>
                              <w:marTop w:val="0"/>
                              <w:marBottom w:val="0"/>
                              <w:divBdr>
                                <w:top w:val="none" w:sz="0" w:space="0" w:color="auto"/>
                                <w:left w:val="none" w:sz="0" w:space="0" w:color="auto"/>
                                <w:bottom w:val="none" w:sz="0" w:space="0" w:color="auto"/>
                                <w:right w:val="none" w:sz="0" w:space="0" w:color="auto"/>
                              </w:divBdr>
                              <w:divsChild>
                                <w:div w:id="1419714326">
                                  <w:marLeft w:val="0"/>
                                  <w:marRight w:val="0"/>
                                  <w:marTop w:val="0"/>
                                  <w:marBottom w:val="0"/>
                                  <w:divBdr>
                                    <w:top w:val="none" w:sz="0" w:space="0" w:color="auto"/>
                                    <w:left w:val="none" w:sz="0" w:space="0" w:color="auto"/>
                                    <w:bottom w:val="none" w:sz="0" w:space="0" w:color="auto"/>
                                    <w:right w:val="none" w:sz="0" w:space="0" w:color="auto"/>
                                  </w:divBdr>
                                  <w:divsChild>
                                    <w:div w:id="56980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278739">
                                          <w:marLeft w:val="0"/>
                                          <w:marRight w:val="0"/>
                                          <w:marTop w:val="0"/>
                                          <w:marBottom w:val="0"/>
                                          <w:divBdr>
                                            <w:top w:val="none" w:sz="0" w:space="0" w:color="auto"/>
                                            <w:left w:val="none" w:sz="0" w:space="0" w:color="auto"/>
                                            <w:bottom w:val="none" w:sz="0" w:space="0" w:color="auto"/>
                                            <w:right w:val="none" w:sz="0" w:space="0" w:color="auto"/>
                                          </w:divBdr>
                                          <w:divsChild>
                                            <w:div w:id="1706520875">
                                              <w:marLeft w:val="0"/>
                                              <w:marRight w:val="0"/>
                                              <w:marTop w:val="0"/>
                                              <w:marBottom w:val="0"/>
                                              <w:divBdr>
                                                <w:top w:val="none" w:sz="0" w:space="0" w:color="auto"/>
                                                <w:left w:val="none" w:sz="0" w:space="0" w:color="auto"/>
                                                <w:bottom w:val="none" w:sz="0" w:space="0" w:color="auto"/>
                                                <w:right w:val="none" w:sz="0" w:space="0" w:color="auto"/>
                                              </w:divBdr>
                                              <w:divsChild>
                                                <w:div w:id="131363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98993">
                                                      <w:marLeft w:val="0"/>
                                                      <w:marRight w:val="0"/>
                                                      <w:marTop w:val="0"/>
                                                      <w:marBottom w:val="0"/>
                                                      <w:divBdr>
                                                        <w:top w:val="none" w:sz="0" w:space="0" w:color="auto"/>
                                                        <w:left w:val="none" w:sz="0" w:space="0" w:color="auto"/>
                                                        <w:bottom w:val="none" w:sz="0" w:space="0" w:color="auto"/>
                                                        <w:right w:val="none" w:sz="0" w:space="0" w:color="auto"/>
                                                      </w:divBdr>
                                                      <w:divsChild>
                                                        <w:div w:id="917061915">
                                                          <w:marLeft w:val="0"/>
                                                          <w:marRight w:val="0"/>
                                                          <w:marTop w:val="0"/>
                                                          <w:marBottom w:val="0"/>
                                                          <w:divBdr>
                                                            <w:top w:val="none" w:sz="0" w:space="0" w:color="auto"/>
                                                            <w:left w:val="none" w:sz="0" w:space="0" w:color="auto"/>
                                                            <w:bottom w:val="none" w:sz="0" w:space="0" w:color="auto"/>
                                                            <w:right w:val="none" w:sz="0" w:space="0" w:color="auto"/>
                                                          </w:divBdr>
                                                          <w:divsChild>
                                                            <w:div w:id="1849712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511098">
                                                                  <w:marLeft w:val="0"/>
                                                                  <w:marRight w:val="0"/>
                                                                  <w:marTop w:val="0"/>
                                                                  <w:marBottom w:val="0"/>
                                                                  <w:divBdr>
                                                                    <w:top w:val="none" w:sz="0" w:space="0" w:color="auto"/>
                                                                    <w:left w:val="none" w:sz="0" w:space="0" w:color="auto"/>
                                                                    <w:bottom w:val="none" w:sz="0" w:space="0" w:color="auto"/>
                                                                    <w:right w:val="none" w:sz="0" w:space="0" w:color="auto"/>
                                                                  </w:divBdr>
                                                                  <w:divsChild>
                                                                    <w:div w:id="9475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6862076">
      <w:bodyDiv w:val="1"/>
      <w:marLeft w:val="0"/>
      <w:marRight w:val="0"/>
      <w:marTop w:val="0"/>
      <w:marBottom w:val="0"/>
      <w:divBdr>
        <w:top w:val="none" w:sz="0" w:space="0" w:color="auto"/>
        <w:left w:val="none" w:sz="0" w:space="0" w:color="auto"/>
        <w:bottom w:val="none" w:sz="0" w:space="0" w:color="auto"/>
        <w:right w:val="none" w:sz="0" w:space="0" w:color="auto"/>
      </w:divBdr>
    </w:div>
    <w:div w:id="952395444">
      <w:bodyDiv w:val="1"/>
      <w:marLeft w:val="0"/>
      <w:marRight w:val="0"/>
      <w:marTop w:val="0"/>
      <w:marBottom w:val="0"/>
      <w:divBdr>
        <w:top w:val="none" w:sz="0" w:space="0" w:color="auto"/>
        <w:left w:val="none" w:sz="0" w:space="0" w:color="auto"/>
        <w:bottom w:val="none" w:sz="0" w:space="0" w:color="auto"/>
        <w:right w:val="none" w:sz="0" w:space="0" w:color="auto"/>
      </w:divBdr>
    </w:div>
    <w:div w:id="1024215242">
      <w:bodyDiv w:val="1"/>
      <w:marLeft w:val="0"/>
      <w:marRight w:val="0"/>
      <w:marTop w:val="0"/>
      <w:marBottom w:val="0"/>
      <w:divBdr>
        <w:top w:val="none" w:sz="0" w:space="0" w:color="auto"/>
        <w:left w:val="none" w:sz="0" w:space="0" w:color="auto"/>
        <w:bottom w:val="none" w:sz="0" w:space="0" w:color="auto"/>
        <w:right w:val="none" w:sz="0" w:space="0" w:color="auto"/>
      </w:divBdr>
    </w:div>
    <w:div w:id="1286741045">
      <w:bodyDiv w:val="1"/>
      <w:marLeft w:val="0"/>
      <w:marRight w:val="0"/>
      <w:marTop w:val="0"/>
      <w:marBottom w:val="0"/>
      <w:divBdr>
        <w:top w:val="none" w:sz="0" w:space="0" w:color="auto"/>
        <w:left w:val="none" w:sz="0" w:space="0" w:color="auto"/>
        <w:bottom w:val="none" w:sz="0" w:space="0" w:color="auto"/>
        <w:right w:val="none" w:sz="0" w:space="0" w:color="auto"/>
      </w:divBdr>
    </w:div>
    <w:div w:id="1456101522">
      <w:bodyDiv w:val="1"/>
      <w:marLeft w:val="0"/>
      <w:marRight w:val="0"/>
      <w:marTop w:val="0"/>
      <w:marBottom w:val="0"/>
      <w:divBdr>
        <w:top w:val="none" w:sz="0" w:space="0" w:color="auto"/>
        <w:left w:val="none" w:sz="0" w:space="0" w:color="auto"/>
        <w:bottom w:val="none" w:sz="0" w:space="0" w:color="auto"/>
        <w:right w:val="none" w:sz="0" w:space="0" w:color="auto"/>
      </w:divBdr>
    </w:div>
    <w:div w:id="1461528814">
      <w:bodyDiv w:val="1"/>
      <w:marLeft w:val="0"/>
      <w:marRight w:val="0"/>
      <w:marTop w:val="0"/>
      <w:marBottom w:val="0"/>
      <w:divBdr>
        <w:top w:val="none" w:sz="0" w:space="0" w:color="auto"/>
        <w:left w:val="none" w:sz="0" w:space="0" w:color="auto"/>
        <w:bottom w:val="none" w:sz="0" w:space="0" w:color="auto"/>
        <w:right w:val="none" w:sz="0" w:space="0" w:color="auto"/>
      </w:divBdr>
    </w:div>
    <w:div w:id="1500734004">
      <w:bodyDiv w:val="1"/>
      <w:marLeft w:val="0"/>
      <w:marRight w:val="0"/>
      <w:marTop w:val="0"/>
      <w:marBottom w:val="0"/>
      <w:divBdr>
        <w:top w:val="none" w:sz="0" w:space="0" w:color="auto"/>
        <w:left w:val="none" w:sz="0" w:space="0" w:color="auto"/>
        <w:bottom w:val="none" w:sz="0" w:space="0" w:color="auto"/>
        <w:right w:val="none" w:sz="0" w:space="0" w:color="auto"/>
      </w:divBdr>
    </w:div>
    <w:div w:id="1772965609">
      <w:bodyDiv w:val="1"/>
      <w:marLeft w:val="0"/>
      <w:marRight w:val="0"/>
      <w:marTop w:val="0"/>
      <w:marBottom w:val="0"/>
      <w:divBdr>
        <w:top w:val="none" w:sz="0" w:space="0" w:color="auto"/>
        <w:left w:val="none" w:sz="0" w:space="0" w:color="auto"/>
        <w:bottom w:val="none" w:sz="0" w:space="0" w:color="auto"/>
        <w:right w:val="none" w:sz="0" w:space="0" w:color="auto"/>
      </w:divBdr>
    </w:div>
    <w:div w:id="1778795366">
      <w:bodyDiv w:val="1"/>
      <w:marLeft w:val="0"/>
      <w:marRight w:val="0"/>
      <w:marTop w:val="0"/>
      <w:marBottom w:val="0"/>
      <w:divBdr>
        <w:top w:val="none" w:sz="0" w:space="0" w:color="auto"/>
        <w:left w:val="none" w:sz="0" w:space="0" w:color="auto"/>
        <w:bottom w:val="none" w:sz="0" w:space="0" w:color="auto"/>
        <w:right w:val="none" w:sz="0" w:space="0" w:color="auto"/>
      </w:divBdr>
      <w:divsChild>
        <w:div w:id="1644654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912859">
              <w:marLeft w:val="0"/>
              <w:marRight w:val="0"/>
              <w:marTop w:val="0"/>
              <w:marBottom w:val="0"/>
              <w:divBdr>
                <w:top w:val="none" w:sz="0" w:space="0" w:color="auto"/>
                <w:left w:val="none" w:sz="0" w:space="0" w:color="auto"/>
                <w:bottom w:val="none" w:sz="0" w:space="0" w:color="auto"/>
                <w:right w:val="none" w:sz="0" w:space="0" w:color="auto"/>
              </w:divBdr>
              <w:divsChild>
                <w:div w:id="1699818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3199373">
                      <w:marLeft w:val="0"/>
                      <w:marRight w:val="0"/>
                      <w:marTop w:val="0"/>
                      <w:marBottom w:val="0"/>
                      <w:divBdr>
                        <w:top w:val="none" w:sz="0" w:space="0" w:color="auto"/>
                        <w:left w:val="none" w:sz="0" w:space="0" w:color="auto"/>
                        <w:bottom w:val="none" w:sz="0" w:space="0" w:color="auto"/>
                        <w:right w:val="none" w:sz="0" w:space="0" w:color="auto"/>
                      </w:divBdr>
                      <w:divsChild>
                        <w:div w:id="121368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95958">
                              <w:marLeft w:val="0"/>
                              <w:marRight w:val="0"/>
                              <w:marTop w:val="0"/>
                              <w:marBottom w:val="0"/>
                              <w:divBdr>
                                <w:top w:val="none" w:sz="0" w:space="0" w:color="auto"/>
                                <w:left w:val="none" w:sz="0" w:space="0" w:color="auto"/>
                                <w:bottom w:val="none" w:sz="0" w:space="0" w:color="auto"/>
                                <w:right w:val="none" w:sz="0" w:space="0" w:color="auto"/>
                              </w:divBdr>
                              <w:divsChild>
                                <w:div w:id="959917612">
                                  <w:marLeft w:val="0"/>
                                  <w:marRight w:val="0"/>
                                  <w:marTop w:val="0"/>
                                  <w:marBottom w:val="0"/>
                                  <w:divBdr>
                                    <w:top w:val="none" w:sz="0" w:space="0" w:color="auto"/>
                                    <w:left w:val="none" w:sz="0" w:space="0" w:color="auto"/>
                                    <w:bottom w:val="none" w:sz="0" w:space="0" w:color="auto"/>
                                    <w:right w:val="none" w:sz="0" w:space="0" w:color="auto"/>
                                  </w:divBdr>
                                  <w:divsChild>
                                    <w:div w:id="450048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658381">
                                          <w:marLeft w:val="0"/>
                                          <w:marRight w:val="0"/>
                                          <w:marTop w:val="0"/>
                                          <w:marBottom w:val="0"/>
                                          <w:divBdr>
                                            <w:top w:val="none" w:sz="0" w:space="0" w:color="auto"/>
                                            <w:left w:val="none" w:sz="0" w:space="0" w:color="auto"/>
                                            <w:bottom w:val="none" w:sz="0" w:space="0" w:color="auto"/>
                                            <w:right w:val="none" w:sz="0" w:space="0" w:color="auto"/>
                                          </w:divBdr>
                                          <w:divsChild>
                                            <w:div w:id="141551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9973658">
      <w:bodyDiv w:val="1"/>
      <w:marLeft w:val="0"/>
      <w:marRight w:val="0"/>
      <w:marTop w:val="0"/>
      <w:marBottom w:val="0"/>
      <w:divBdr>
        <w:top w:val="none" w:sz="0" w:space="0" w:color="auto"/>
        <w:left w:val="none" w:sz="0" w:space="0" w:color="auto"/>
        <w:bottom w:val="none" w:sz="0" w:space="0" w:color="auto"/>
        <w:right w:val="none" w:sz="0" w:space="0" w:color="auto"/>
      </w:divBdr>
    </w:div>
    <w:div w:id="204062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publications/communication-preparing-withdrawal-united-kingdom-european-union-30-march-2019-contingency-action-plan-13-11-2018_en" TargetMode="External"/><Relationship Id="rId7" Type="http://schemas.openxmlformats.org/officeDocument/2006/relationships/hyperlink" Target="https://ec.europa.eu/info/brexit/brexit-preparedness/preparedness-notices_en" TargetMode="External"/><Relationship Id="rId2" Type="http://schemas.openxmlformats.org/officeDocument/2006/relationships/hyperlink" Target="https://ec.europa.eu/info/publications/preparing-withdrawal-united-kingdom-european-union-30-march-2019_en" TargetMode="External"/><Relationship Id="rId1" Type="http://schemas.openxmlformats.org/officeDocument/2006/relationships/hyperlink" Target="https://www.consilium.europa.eu/media/37508/13-euco-art-50-conclusions-en.pdf" TargetMode="External"/><Relationship Id="rId6" Type="http://schemas.openxmlformats.org/officeDocument/2006/relationships/hyperlink" Target="https://www.consilium.europa.eu/media/37103/25-special-euco-final-conclusions-en.pdf" TargetMode="External"/><Relationship Id="rId5" Type="http://schemas.openxmlformats.org/officeDocument/2006/relationships/hyperlink" Target="https://ec.europa.eu/commission/sites/beta-political/files/draft_withdrawal_agreement_0.pdf" TargetMode="External"/><Relationship Id="rId4" Type="http://schemas.openxmlformats.org/officeDocument/2006/relationships/hyperlink" Target="https://ec.europa.eu/commission/sites/beta-political/files/joint_report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25173920-bf43-43cc-9123-1897e847dfc2" xsi:nil="true"/>
    <_Status xmlns="http://schemas.microsoft.com/sharepoint/v3/fields">Not Started</_Status>
    <EC_Collab_Status xmlns="25173920-bf43-43cc-9123-1897e847dfc2">Not Started</EC_Collab_Status>
    <DG xmlns="25173920-bf43-43cc-9123-1897e847dfc2"/>
    <EC_Collab_DocumentLanguage xmlns="25173920-bf43-43cc-9123-1897e847dfc2">EN</EC_Collab_DocumentLanguage>
    <RelatedItem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33D44CF0C8FEB45875F235DEEF2E1B9" ma:contentTypeVersion="7" ma:contentTypeDescription="Create a new document in this library." ma:contentTypeScope="" ma:versionID="0cb51d011d44aaa2f2f2559eb8aaf023">
  <xsd:schema xmlns:xsd="http://www.w3.org/2001/XMLSchema" xmlns:xs="http://www.w3.org/2001/XMLSchema" xmlns:p="http://schemas.microsoft.com/office/2006/metadata/properties" xmlns:ns1="http://schemas.microsoft.com/sharepoint/v3" xmlns:ns2="http://schemas.microsoft.com/sharepoint/v3/fields" xmlns:ns3="25173920-bf43-43cc-9123-1897e847dfc2" targetNamespace="http://schemas.microsoft.com/office/2006/metadata/properties" ma:root="true" ma:fieldsID="a931e117a4c2a292401c17c6d61581df" ns1:_="" ns2:_="" ns3:_="">
    <xsd:import namespace="http://schemas.microsoft.com/sharepoint/v3"/>
    <xsd:import namespace="http://schemas.microsoft.com/sharepoint/v3/fields"/>
    <xsd:import namespace="25173920-bf43-43cc-9123-1897e847dfc2"/>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1:RelatedItems" minOccurs="0"/>
                <xsd:element ref="ns3:DG"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16" nillable="true" ma:displayName="Related Items" ma:internalName="RelatedItems" ma:readOnly="false">
      <xsd:simpleType>
        <xsd:restriction base="dms:Note"/>
      </xsd:simpleType>
    </xsd:element>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5173920-bf43-43cc-9123-1897e847dfc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G" ma:index="17" nillable="true" ma:displayName="DG" ma:description="Associated DG(s)" ma:list="{a436e1b9-89ab-4a0f-bf89-77e0c01004af}" ma:internalName="DG"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EC Document</p:Name>
  <p:Description/>
  <p:Statement/>
  <p:PolicyItems>
    <p:PolicyItem featureId="Microsoft.Office.RecordsManagement.PolicyFeatures.PolicyAudit" staticId="0x010100258AA79CEB83498886A3A0868112325000D33D44CF0C8FEB45875F235DEEF2E1B9|8138272" UniqueId="82ebddaa-263f-44a4-b383-ae40ea096670">
      <p:Name>Auditing</p:Name>
      <p:Description>Audits user actions on documents and list items to the Audit Log.</p:Description>
      <p:CustomData>
        <Audit>
          <Update/>
          <View/>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F9C86-11F2-4776-80E9-AEDB4511FF2A}">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5173920-bf43-43cc-9123-1897e847dfc2"/>
    <ds:schemaRef ds:uri="http://purl.org/dc/elements/1.1/"/>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59EABB90-9A49-4981-9081-644CE982C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25173920-bf43-43cc-9123-1897e847d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FF4756-F373-4525-B8C5-B7802769AC1A}">
  <ds:schemaRefs>
    <ds:schemaRef ds:uri="office.server.policy"/>
  </ds:schemaRefs>
</ds:datastoreItem>
</file>

<file path=customXml/itemProps4.xml><?xml version="1.0" encoding="utf-8"?>
<ds:datastoreItem xmlns:ds="http://schemas.openxmlformats.org/officeDocument/2006/customXml" ds:itemID="{43C32B4E-5ABC-4CC4-9047-E1986C371722}">
  <ds:schemaRefs>
    <ds:schemaRef ds:uri="http://schemas.microsoft.com/sharepoint/v3/contenttype/forms"/>
  </ds:schemaRefs>
</ds:datastoreItem>
</file>

<file path=customXml/itemProps5.xml><?xml version="1.0" encoding="utf-8"?>
<ds:datastoreItem xmlns:ds="http://schemas.openxmlformats.org/officeDocument/2006/customXml" ds:itemID="{776DE6C9-B50D-4F58-BF07-9BF7040B6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3910</Words>
  <Characters>21003</Characters>
  <Application>Microsoft Office Word</Application>
  <DocSecurity>0</DocSecurity>
  <Lines>333</Lines>
  <Paragraphs>100</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European Commission</Company>
  <LinksUpToDate>false</LinksUpToDate>
  <CharactersWithSpaces>24813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CHRISTENSEN Dorthe (SG)</dc:creator>
  <cp:lastModifiedBy>HEILEMANN Stefanie (SG)</cp:lastModifiedBy>
  <cp:revision>2</cp:revision>
  <cp:lastPrinted>2018-12-17T18:24:00Z</cp:lastPrinted>
  <dcterms:created xsi:type="dcterms:W3CDTF">2018-12-19T11:11:00Z</dcterms:created>
  <dcterms:modified xsi:type="dcterms:W3CDTF">2018-12-19T11:11:00Z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ContentTypeId">
    <vt:lpwstr>0x010100258AA79CEB83498886A3A0868112325000D33D44CF0C8FEB45875F235DEEF2E1B9</vt:lpwstr>
  </property>
  <property fmtid="{D5CDD505-2E9C-101B-9397-08002B2CF9AE}" pid="6" name="Last edited using">
    <vt:lpwstr>LW 6.0.1, Build 20180503</vt:lpwstr>
  </property>
  <property fmtid="{D5CDD505-2E9C-101B-9397-08002B2CF9AE}" pid="7" name="Created using">
    <vt:lpwstr>LW 6.0.1, Build 20180503</vt:lpwstr>
  </property>
  <property fmtid="{D5CDD505-2E9C-101B-9397-08002B2CF9AE}" pid="8" name="DocStatus">
    <vt:lpwstr>Green</vt:lpwstr>
  </property>
</Properties>
</file>