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EE" w:rsidRDefault="0067348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269CC7B-2504-43B2-9690-F600E2F9680F" style="width:451pt;height:379pt">
            <v:imagedata r:id="rId12" o:title=""/>
          </v:shape>
        </w:pict>
      </w:r>
    </w:p>
    <w:p w:rsidR="00C25AEE" w:rsidRDefault="00C25AEE">
      <w:pPr>
        <w:rPr>
          <w:noProof/>
        </w:rPr>
        <w:sectPr w:rsidR="00C25AEE">
          <w:footerReference w:type="default" r:id="rId13"/>
          <w:pgSz w:w="11907" w:h="16839"/>
          <w:pgMar w:top="1134" w:right="1417" w:bottom="1134" w:left="1417" w:header="709" w:footer="709" w:gutter="0"/>
          <w:pgNumType w:start="0"/>
          <w:cols w:space="720"/>
          <w:docGrid w:linePitch="360"/>
        </w:sectPr>
      </w:pPr>
    </w:p>
    <w:p w:rsidR="00C25AEE" w:rsidRDefault="00673487">
      <w:pPr>
        <w:pStyle w:val="Exposdesmotifstitre"/>
        <w:rPr>
          <w:noProof/>
        </w:rPr>
      </w:pPr>
      <w:r>
        <w:rPr>
          <w:noProof/>
        </w:rPr>
        <w:lastRenderedPageBreak/>
        <w:t>ОБЯСНИТЕЛЕН МЕМОРАНДУМ</w:t>
      </w:r>
    </w:p>
    <w:p w:rsidR="00C25AEE" w:rsidRDefault="00673487">
      <w:pPr>
        <w:pStyle w:val="ManualHeading1"/>
        <w:rPr>
          <w:noProof/>
        </w:rPr>
      </w:pPr>
      <w:r>
        <w:rPr>
          <w:noProof/>
        </w:rPr>
        <w:t>1.</w:t>
      </w:r>
      <w:r>
        <w:rPr>
          <w:noProof/>
        </w:rPr>
        <w:tab/>
        <w:t>КОНТЕКСТ НА ПРЕДЛОЖЕНИЕТО</w:t>
      </w:r>
    </w:p>
    <w:p w:rsidR="00C25AEE" w:rsidRDefault="00673487">
      <w:pPr>
        <w:pStyle w:val="ManualHeading2"/>
        <w:rPr>
          <w:rFonts w:eastAsia="Arial Unicode MS"/>
          <w:noProof/>
        </w:rPr>
      </w:pPr>
      <w:r>
        <w:rPr>
          <w:noProof/>
          <w:color w:val="000000"/>
          <w:u w:color="000000"/>
          <w:bdr w:val="nil"/>
        </w:rPr>
        <w:t>•</w:t>
      </w:r>
      <w:r>
        <w:rPr>
          <w:noProof/>
        </w:rPr>
        <w:tab/>
        <w:t>Основания и цели на предложението</w:t>
      </w:r>
    </w:p>
    <w:p w:rsidR="00C25AEE" w:rsidRDefault="00673487">
      <w:pPr>
        <w:pBdr>
          <w:top w:val="nil"/>
          <w:left w:val="nil"/>
          <w:bottom w:val="nil"/>
          <w:right w:val="nil"/>
          <w:between w:val="nil"/>
          <w:bar w:val="nil"/>
        </w:pBdr>
        <w:spacing w:before="0" w:after="240"/>
        <w:rPr>
          <w:noProof/>
        </w:rPr>
      </w:pPr>
      <w:r>
        <w:rPr>
          <w:noProof/>
        </w:rPr>
        <w:t xml:space="preserve">На 29 март 2017 г. Обединеното кралство подаде уведомление </w:t>
      </w:r>
      <w:r>
        <w:rPr>
          <w:noProof/>
        </w:rPr>
        <w:t>за намерението си да се оттегли от Съюза в съответствие с член 50 от Договора за Европейския съюз. Това означава, че ако Споразумението за оттегляне</w:t>
      </w:r>
      <w:r>
        <w:rPr>
          <w:rStyle w:val="FootnoteReference"/>
          <w:noProof/>
        </w:rPr>
        <w:footnoteReference w:id="1"/>
      </w:r>
      <w:r>
        <w:rPr>
          <w:noProof/>
        </w:rPr>
        <w:t xml:space="preserve"> не бъде ратифицирано, от 30 март 2019 г. (наричана по-долу „датата на оттегляне“) първичното и вторичното </w:t>
      </w:r>
      <w:r>
        <w:rPr>
          <w:noProof/>
        </w:rPr>
        <w:t>право на Съюза ще престанат да се прилагат за Обединеното кралство. Тогава Обединеното кралство ще стане „трета държава“.</w:t>
      </w:r>
    </w:p>
    <w:p w:rsidR="00C25AEE" w:rsidRDefault="00673487">
      <w:pPr>
        <w:pBdr>
          <w:top w:val="nil"/>
          <w:left w:val="nil"/>
          <w:bottom w:val="nil"/>
          <w:right w:val="nil"/>
          <w:between w:val="nil"/>
          <w:bar w:val="nil"/>
        </w:pBdr>
        <w:spacing w:before="0" w:after="240"/>
        <w:rPr>
          <w:noProof/>
        </w:rPr>
      </w:pPr>
      <w:r>
        <w:rPr>
          <w:noProof/>
        </w:rPr>
        <w:t xml:space="preserve">В съобщението на Комисията „Готовност за оттеглянето на Обединеното кралство от Европейския съюз на 30 март 2019 г.: план за </w:t>
      </w:r>
      <w:r>
        <w:rPr>
          <w:noProof/>
        </w:rPr>
        <w:t>извънредни действия“</w:t>
      </w:r>
      <w:r>
        <w:rPr>
          <w:rStyle w:val="FootnoteReference"/>
          <w:noProof/>
        </w:rPr>
        <w:footnoteReference w:id="2"/>
      </w:r>
      <w:r>
        <w:rPr>
          <w:noProof/>
        </w:rPr>
        <w:t xml:space="preserve"> се посочва, че „Комисията също така е ангажирана с продължаването на настоящите програми PEACE и INTERREG между пограничните графства на Ирландия и Северна Ирландия, по които Обединеното кралство е партньор.“</w:t>
      </w:r>
    </w:p>
    <w:p w:rsidR="00C25AEE" w:rsidRDefault="00673487">
      <w:pPr>
        <w:pBdr>
          <w:top w:val="nil"/>
          <w:left w:val="nil"/>
          <w:bottom w:val="nil"/>
          <w:right w:val="nil"/>
          <w:between w:val="nil"/>
          <w:bar w:val="nil"/>
        </w:pBdr>
        <w:spacing w:before="0" w:after="240"/>
        <w:rPr>
          <w:noProof/>
        </w:rPr>
      </w:pPr>
      <w:r>
        <w:rPr>
          <w:noProof/>
        </w:rPr>
        <w:t>На 13 декември 2018 г. Ев</w:t>
      </w:r>
      <w:r>
        <w:rPr>
          <w:noProof/>
        </w:rPr>
        <w:t>ропейският съвет (член 50) отново призова за удвояване на усилията на всички равнища за постигане на готовност за посрещане на последиците от оттеглянето на Обединеното кралство от ЕС при всеки един възможен сценарий. Настоящият акт е част от пакет от мерк</w:t>
      </w:r>
      <w:r>
        <w:rPr>
          <w:noProof/>
        </w:rPr>
        <w:t>и, които в отговор на този призив Комисията понастоящем приема.</w:t>
      </w:r>
    </w:p>
    <w:p w:rsidR="00C25AEE" w:rsidRDefault="00673487">
      <w:pPr>
        <w:pBdr>
          <w:top w:val="nil"/>
          <w:left w:val="nil"/>
          <w:bottom w:val="nil"/>
          <w:right w:val="nil"/>
          <w:between w:val="nil"/>
          <w:bar w:val="nil"/>
        </w:pBdr>
        <w:spacing w:before="0" w:after="240"/>
        <w:rPr>
          <w:noProof/>
        </w:rPr>
      </w:pPr>
      <w:r>
        <w:rPr>
          <w:noProof/>
        </w:rPr>
        <w:t>С настоящото предложение се цели да се осигури продължаването на две двустранни програми за сътрудничество с участието на Ирландия — програмата PEACE IV (между Ирландия и Обединеното кралство)</w:t>
      </w:r>
      <w:r>
        <w:rPr>
          <w:noProof/>
        </w:rPr>
        <w:t xml:space="preserve"> и програмата „Обединено кралство—Ирландия“ (Ирландия–Северна Ирландия–Шотландия).</w:t>
      </w:r>
    </w:p>
    <w:p w:rsidR="00C25AEE" w:rsidRDefault="00673487">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w:t>
      </w:r>
    </w:p>
    <w:p w:rsidR="00C25AEE" w:rsidRDefault="00673487">
      <w:pPr>
        <w:pBdr>
          <w:top w:val="nil"/>
          <w:left w:val="nil"/>
          <w:bottom w:val="nil"/>
          <w:right w:val="nil"/>
          <w:between w:val="nil"/>
          <w:bar w:val="nil"/>
        </w:pBdr>
        <w:spacing w:before="0" w:after="240"/>
        <w:rPr>
          <w:noProof/>
        </w:rPr>
      </w:pPr>
      <w:r>
        <w:rPr>
          <w:noProof/>
        </w:rPr>
        <w:t>Целта на настоящото предложение е продължаването на съществуващите програми.</w:t>
      </w:r>
    </w:p>
    <w:p w:rsidR="00C25AEE" w:rsidRDefault="00673487">
      <w:pPr>
        <w:pStyle w:val="ManualHeading2"/>
        <w:rPr>
          <w:rFonts w:eastAsia="Arial Unicode MS"/>
          <w:noProof/>
        </w:rPr>
      </w:pPr>
      <w:r>
        <w:rPr>
          <w:noProof/>
          <w:color w:val="000000"/>
          <w:u w:color="000000"/>
          <w:bdr w:val="nil"/>
        </w:rPr>
        <w:t>•</w:t>
      </w:r>
      <w:r>
        <w:rPr>
          <w:noProof/>
        </w:rPr>
        <w:tab/>
        <w:t>Съгласуваност с другит</w:t>
      </w:r>
      <w:r>
        <w:rPr>
          <w:noProof/>
        </w:rPr>
        <w:t>е политики на Съюза</w:t>
      </w:r>
    </w:p>
    <w:p w:rsidR="00C25AEE" w:rsidRDefault="00673487">
      <w:pPr>
        <w:pBdr>
          <w:top w:val="nil"/>
          <w:left w:val="nil"/>
          <w:bottom w:val="nil"/>
          <w:right w:val="nil"/>
          <w:between w:val="nil"/>
          <w:bar w:val="nil"/>
        </w:pBdr>
        <w:spacing w:before="0" w:after="240"/>
        <w:rPr>
          <w:rFonts w:eastAsia="Arial Unicode MS"/>
          <w:noProof/>
        </w:rPr>
      </w:pPr>
      <w:r>
        <w:rPr>
          <w:noProof/>
        </w:rPr>
        <w:t>Настоящото предложение е изцяло съобразено с мандата на Съвета за преговори с Обединеното кралство с оглед на оттеглянето му от Съюза</w:t>
      </w:r>
      <w:r>
        <w:rPr>
          <w:rStyle w:val="FootnoteReference"/>
          <w:noProof/>
        </w:rPr>
        <w:footnoteReference w:id="3"/>
      </w:r>
      <w:r>
        <w:rPr>
          <w:noProof/>
        </w:rPr>
        <w:t>.</w:t>
      </w:r>
      <w:r>
        <w:rPr>
          <w:rStyle w:val="CommentReference"/>
          <w:rFonts w:asciiTheme="minorHAnsi" w:hAnsiTheme="minorHAnsi" w:cstheme="minorBidi"/>
          <w:noProof/>
        </w:rPr>
        <w:t xml:space="preserve"> </w:t>
      </w:r>
    </w:p>
    <w:p w:rsidR="00C25AEE" w:rsidRDefault="00673487">
      <w:pPr>
        <w:pStyle w:val="ManualHeading1"/>
        <w:rPr>
          <w:noProof/>
        </w:rPr>
      </w:pPr>
      <w:r>
        <w:rPr>
          <w:noProof/>
        </w:rPr>
        <w:t>2.</w:t>
      </w:r>
      <w:r>
        <w:rPr>
          <w:noProof/>
        </w:rPr>
        <w:tab/>
        <w:t>ПРАВНО ОСНОВАНИЕ, СУБСИДИАРНОСТ И ПРОПОРЦИОНАЛНОСТ</w:t>
      </w:r>
    </w:p>
    <w:p w:rsidR="00C25AEE" w:rsidRDefault="00673487">
      <w:pPr>
        <w:pStyle w:val="ManualHeading2"/>
        <w:rPr>
          <w:rFonts w:eastAsia="Arial Unicode MS"/>
          <w:noProof/>
          <w:u w:color="000000"/>
          <w:bdr w:val="nil"/>
        </w:rPr>
      </w:pPr>
      <w:r>
        <w:rPr>
          <w:noProof/>
        </w:rPr>
        <w:t>•</w:t>
      </w:r>
      <w:r>
        <w:rPr>
          <w:noProof/>
        </w:rPr>
        <w:tab/>
        <w:t>Правно основание</w:t>
      </w:r>
    </w:p>
    <w:p w:rsidR="00C25AEE" w:rsidRDefault="00673487">
      <w:pPr>
        <w:pStyle w:val="ManualHeading2"/>
        <w:rPr>
          <w:rFonts w:eastAsia="Arial Unicode MS"/>
          <w:noProof/>
          <w:u w:color="000000"/>
          <w:bdr w:val="nil"/>
        </w:rPr>
      </w:pPr>
      <w:r>
        <w:rPr>
          <w:noProof/>
        </w:rPr>
        <w:t>Член 178 от ДФЕС.•</w:t>
      </w:r>
      <w:r>
        <w:rPr>
          <w:noProof/>
        </w:rPr>
        <w:tab/>
      </w:r>
      <w:r>
        <w:rPr>
          <w:noProof/>
        </w:rPr>
        <w:t xml:space="preserve">Субсидиарност (при неизключителна компетентност) </w:t>
      </w:r>
    </w:p>
    <w:p w:rsidR="00C25AEE" w:rsidRDefault="00673487">
      <w:pPr>
        <w:pBdr>
          <w:top w:val="nil"/>
          <w:left w:val="nil"/>
          <w:bottom w:val="nil"/>
          <w:right w:val="nil"/>
          <w:between w:val="nil"/>
          <w:bar w:val="nil"/>
        </w:pBdr>
        <w:spacing w:before="0" w:after="240"/>
        <w:rPr>
          <w:rFonts w:eastAsia="Arial Unicode MS"/>
          <w:noProof/>
        </w:rPr>
      </w:pPr>
      <w:r>
        <w:rPr>
          <w:noProof/>
        </w:rPr>
        <w:t>С предложения акт се цели да се осигури продължаването на две програми за сътрудничество, уредени с Регламент (ЕС) № 1299/2013, а съблюдаването на принципа на субсидиарност при тези програми вече бе разглед</w:t>
      </w:r>
      <w:r>
        <w:rPr>
          <w:noProof/>
        </w:rPr>
        <w:t>ано при приемането им.</w:t>
      </w:r>
    </w:p>
    <w:p w:rsidR="00C25AEE" w:rsidRDefault="00673487">
      <w:pPr>
        <w:pStyle w:val="ManualHeading2"/>
        <w:rPr>
          <w:rFonts w:eastAsia="Arial Unicode MS"/>
          <w:noProof/>
          <w:u w:color="000000"/>
          <w:bdr w:val="nil"/>
        </w:rPr>
      </w:pPr>
      <w:r>
        <w:rPr>
          <w:noProof/>
        </w:rPr>
        <w:lastRenderedPageBreak/>
        <w:t>•</w:t>
      </w:r>
      <w:r>
        <w:rPr>
          <w:noProof/>
        </w:rPr>
        <w:tab/>
        <w:t>Пропорционалност</w:t>
      </w:r>
    </w:p>
    <w:p w:rsidR="00C25AEE" w:rsidRDefault="00673487">
      <w:pPr>
        <w:pBdr>
          <w:top w:val="nil"/>
          <w:left w:val="nil"/>
          <w:bottom w:val="nil"/>
          <w:right w:val="nil"/>
          <w:between w:val="nil"/>
          <w:bar w:val="nil"/>
        </w:pBdr>
        <w:spacing w:before="0" w:after="240"/>
        <w:rPr>
          <w:rFonts w:eastAsia="Arial Unicode MS"/>
          <w:noProof/>
        </w:rPr>
      </w:pPr>
      <w:r>
        <w:rPr>
          <w:noProof/>
        </w:rPr>
        <w:t>Счита се, че предложението е пропорционално, тъй като в него се предвиждат необходимите правни промени, без при това да се надхвърля необходимото за осигуряването на гладко продължаване на двете програми за сътрудн</w:t>
      </w:r>
      <w:r>
        <w:rPr>
          <w:noProof/>
        </w:rPr>
        <w:t xml:space="preserve">ичество север-юг, които включват територията на Северна Ирландия. </w:t>
      </w:r>
    </w:p>
    <w:p w:rsidR="00C25AEE" w:rsidRDefault="00673487">
      <w:pPr>
        <w:pStyle w:val="ManualHeading2"/>
        <w:rPr>
          <w:rFonts w:eastAsia="Arial Unicode MS"/>
          <w:noProof/>
          <w:u w:color="000000"/>
          <w:bdr w:val="nil"/>
        </w:rPr>
      </w:pPr>
      <w:r>
        <w:rPr>
          <w:noProof/>
        </w:rPr>
        <w:t>•</w:t>
      </w:r>
      <w:r>
        <w:rPr>
          <w:noProof/>
        </w:rPr>
        <w:tab/>
        <w:t>Избор на инструмент</w:t>
      </w:r>
    </w:p>
    <w:p w:rsidR="00C25AEE" w:rsidRDefault="00673487">
      <w:pPr>
        <w:pBdr>
          <w:top w:val="nil"/>
          <w:left w:val="nil"/>
          <w:bottom w:val="nil"/>
          <w:right w:val="nil"/>
          <w:between w:val="nil"/>
          <w:bar w:val="nil"/>
        </w:pBdr>
        <w:spacing w:before="0" w:after="240"/>
        <w:rPr>
          <w:noProof/>
        </w:rPr>
      </w:pPr>
      <w:r>
        <w:rPr>
          <w:noProof/>
        </w:rPr>
        <w:t>Актът се основава на Регламент (ЕС) № 1299/2013, поради което единствената подходяща форма на предлагания акт е регламент.</w:t>
      </w:r>
    </w:p>
    <w:p w:rsidR="00C25AEE" w:rsidRDefault="00673487">
      <w:pPr>
        <w:pBdr>
          <w:top w:val="nil"/>
          <w:left w:val="nil"/>
          <w:bottom w:val="nil"/>
          <w:right w:val="nil"/>
          <w:between w:val="nil"/>
          <w:bar w:val="nil"/>
        </w:pBdr>
        <w:spacing w:before="0" w:after="240"/>
        <w:rPr>
          <w:noProof/>
        </w:rPr>
      </w:pPr>
      <w:r>
        <w:rPr>
          <w:noProof/>
        </w:rPr>
        <w:t>Настоящият регламент, който влиза в сила в д</w:t>
      </w:r>
      <w:r>
        <w:rPr>
          <w:noProof/>
        </w:rPr>
        <w:t xml:space="preserve">еня след деня на публикуването му в </w:t>
      </w:r>
      <w:r>
        <w:rPr>
          <w:i/>
          <w:noProof/>
        </w:rPr>
        <w:t>Официален вестник на Европейския съюз</w:t>
      </w:r>
      <w:r>
        <w:rPr>
          <w:noProof/>
        </w:rPr>
        <w:t>, ще се прилага само ако към датата, на която Договорите престанат да се прилагат спрямо Обединеното кралство и на неговата територия, не е влязло в сила споразумение за оттегляне, ск</w:t>
      </w:r>
      <w:r>
        <w:rPr>
          <w:noProof/>
        </w:rPr>
        <w:t>лючено с Обединеното кралство в съответствие с член 50, параграф 2 от Договора за Европейския съюз, поради което предложеният специален акт е по-подходящ, отколкото регламент за изменение.</w:t>
      </w:r>
    </w:p>
    <w:p w:rsidR="00C25AEE" w:rsidRDefault="00673487">
      <w:pPr>
        <w:pStyle w:val="ManualHeading1"/>
        <w:rPr>
          <w:noProof/>
        </w:rPr>
      </w:pPr>
      <w:r>
        <w:rPr>
          <w:noProof/>
        </w:rPr>
        <w:t>3.</w:t>
      </w:r>
      <w:r>
        <w:rPr>
          <w:noProof/>
        </w:rPr>
        <w:tab/>
        <w:t>РЕЗУЛТАТИ ОТ ПОСЛЕДВАЩИТЕ ОЦЕНКИ, ОТ КОНСУЛТАЦИИТЕ СЪС ЗАИНТЕРЕС</w:t>
      </w:r>
      <w:r>
        <w:rPr>
          <w:noProof/>
        </w:rPr>
        <w:t>ОВАНИТЕ СТРАНИ И ОТ ОЦЕНКИТЕ НА ВЪЗДЕЙСТВИЕТО</w:t>
      </w:r>
    </w:p>
    <w:p w:rsidR="00C25AEE" w:rsidRDefault="00673487">
      <w:pPr>
        <w:pStyle w:val="ManualHeading2"/>
        <w:rPr>
          <w:rFonts w:eastAsia="Arial Unicode MS"/>
          <w:noProof/>
          <w:u w:color="000000"/>
          <w:bdr w:val="nil"/>
        </w:rPr>
      </w:pPr>
      <w:r>
        <w:rPr>
          <w:noProof/>
        </w:rPr>
        <w:t>•</w:t>
      </w:r>
      <w:r>
        <w:rPr>
          <w:noProof/>
        </w:rPr>
        <w:tab/>
        <w:t>Консултации със заинтересованите страни</w:t>
      </w:r>
    </w:p>
    <w:p w:rsidR="00C25AEE" w:rsidRDefault="00673487">
      <w:pPr>
        <w:pBdr>
          <w:top w:val="nil"/>
          <w:left w:val="nil"/>
          <w:bottom w:val="nil"/>
          <w:right w:val="nil"/>
          <w:between w:val="nil"/>
          <w:bar w:val="nil"/>
        </w:pBdr>
        <w:spacing w:before="0" w:after="240"/>
        <w:rPr>
          <w:noProof/>
          <w:color w:val="000000" w:themeColor="text1"/>
        </w:rPr>
      </w:pPr>
      <w:r>
        <w:rPr>
          <w:noProof/>
          <w:color w:val="000000" w:themeColor="text1"/>
        </w:rPr>
        <w:t>Предложението бе подготвено спешно, така че да може да бъде своевременно прието от съзаконодателите, което не позволи провеждането на консултация със заинтересованите с</w:t>
      </w:r>
      <w:r>
        <w:rPr>
          <w:noProof/>
          <w:color w:val="000000" w:themeColor="text1"/>
        </w:rPr>
        <w:t xml:space="preserve">трани. </w:t>
      </w:r>
    </w:p>
    <w:p w:rsidR="00C25AEE" w:rsidRDefault="00673487">
      <w:pPr>
        <w:pStyle w:val="ManualHeading2"/>
        <w:rPr>
          <w:rFonts w:eastAsia="Arial Unicode MS"/>
          <w:noProof/>
          <w:u w:color="000000"/>
          <w:bdr w:val="nil"/>
        </w:rPr>
      </w:pPr>
      <w:r>
        <w:rPr>
          <w:noProof/>
        </w:rPr>
        <w:t>•</w:t>
      </w:r>
      <w:r>
        <w:rPr>
          <w:noProof/>
        </w:rPr>
        <w:tab/>
        <w:t>Оценка на въздействието</w:t>
      </w:r>
    </w:p>
    <w:p w:rsidR="00C25AEE" w:rsidRDefault="00673487">
      <w:pPr>
        <w:pBdr>
          <w:top w:val="nil"/>
          <w:left w:val="nil"/>
          <w:bottom w:val="nil"/>
          <w:right w:val="nil"/>
          <w:between w:val="nil"/>
          <w:bar w:val="nil"/>
        </w:pBdr>
        <w:spacing w:before="0" w:after="240"/>
        <w:rPr>
          <w:rFonts w:eastAsia="Arial Unicode MS"/>
          <w:noProof/>
        </w:rPr>
      </w:pPr>
      <w:r>
        <w:rPr>
          <w:noProof/>
          <w:color w:val="000000" w:themeColor="text1"/>
        </w:rPr>
        <w:t xml:space="preserve">Поради естеството на предложената мярка не бе проведена оценка на въздействието — което е в съответствие с насоките за по-добро законотворчество. Няма други съществено различаващи се варианти на политика. </w:t>
      </w:r>
      <w:r>
        <w:rPr>
          <w:noProof/>
        </w:rPr>
        <w:t>Предвидената мярк</w:t>
      </w:r>
      <w:r>
        <w:rPr>
          <w:noProof/>
        </w:rPr>
        <w:t xml:space="preserve">а представлява единственият възможен вариант на политика с цел след оттеглянето на Обединеното кралство от Съюза да се осигури гладкото продължаване на две двустранни програми за сътрудничество с участието на Ирландия — програмата PEACE IV (между Ирландия </w:t>
      </w:r>
      <w:r>
        <w:rPr>
          <w:noProof/>
        </w:rPr>
        <w:t>и Обединеното кралство) и програмата „Обединено кралство—Ирландия“ (Ирландия–Северна Ирландия–Шотландия).</w:t>
      </w:r>
    </w:p>
    <w:p w:rsidR="00C25AEE" w:rsidRDefault="00673487">
      <w:pPr>
        <w:pStyle w:val="ManualHeading1"/>
        <w:rPr>
          <w:noProof/>
        </w:rPr>
      </w:pPr>
      <w:r>
        <w:rPr>
          <w:noProof/>
        </w:rPr>
        <w:t>4.</w:t>
      </w:r>
      <w:r>
        <w:rPr>
          <w:noProof/>
        </w:rPr>
        <w:tab/>
        <w:t>ОТРАЖЕНИЕ ВЪРХУ БЮДЖЕТА</w:t>
      </w:r>
    </w:p>
    <w:p w:rsidR="00C25AEE" w:rsidRDefault="00673487">
      <w:pPr>
        <w:pBdr>
          <w:top w:val="nil"/>
          <w:left w:val="nil"/>
          <w:bottom w:val="nil"/>
          <w:right w:val="nil"/>
          <w:between w:val="nil"/>
          <w:bar w:val="nil"/>
        </w:pBdr>
        <w:spacing w:before="0" w:after="240"/>
        <w:rPr>
          <w:noProof/>
          <w:color w:val="000000" w:themeColor="text1"/>
        </w:rPr>
      </w:pPr>
      <w:r>
        <w:rPr>
          <w:noProof/>
        </w:rPr>
        <w:t>С настоящото предложение се цели да се осигури, ако Споразумението за оттегляне не бъде ратифицирано, продължаването на две</w:t>
      </w:r>
      <w:r>
        <w:rPr>
          <w:noProof/>
        </w:rPr>
        <w:t xml:space="preserve"> двустранни програми за сътрудничество с участието на Ирландия — програмата PEACE IV (между Ирландия и Обединеното кралство) и програмата „Обединено кралство—Ирландия“ (Ирландия–Северна Ирландия–Шотландия), без да се изменят заделените за тях средства, нит</w:t>
      </w:r>
      <w:r>
        <w:rPr>
          <w:noProof/>
        </w:rPr>
        <w:t>о тяхното финансиране.</w:t>
      </w:r>
      <w:r>
        <w:rPr>
          <w:noProof/>
          <w:color w:val="000000" w:themeColor="text1"/>
        </w:rPr>
        <w:t xml:space="preserve"> Двете програми ще продължат да бъдат финансирани от бюджета на Съюза. Условие за финансиране ще бъде възможността за извършване на необходимите проверки и одити във всички участващи региони; тази възможност ще трябва да бъде потвърде</w:t>
      </w:r>
      <w:r>
        <w:rPr>
          <w:noProof/>
          <w:color w:val="000000" w:themeColor="text1"/>
        </w:rPr>
        <w:t xml:space="preserve">на чрез споразумение между Комисията и органите на Обединеното кралство. </w:t>
      </w:r>
    </w:p>
    <w:p w:rsidR="00C25AEE" w:rsidRDefault="00C25AEE">
      <w:pPr>
        <w:rPr>
          <w:noProof/>
        </w:rPr>
        <w:sectPr w:rsidR="00C25AEE">
          <w:footerReference w:type="default" r:id="rId14"/>
          <w:footerReference w:type="first" r:id="rId15"/>
          <w:pgSz w:w="11907" w:h="16839"/>
          <w:pgMar w:top="1134" w:right="1417" w:bottom="1134" w:left="1417" w:header="709" w:footer="709" w:gutter="0"/>
          <w:cols w:space="708"/>
          <w:docGrid w:linePitch="360"/>
        </w:sectPr>
      </w:pPr>
    </w:p>
    <w:p w:rsidR="00C25AEE" w:rsidRDefault="00673487">
      <w:pPr>
        <w:pStyle w:val="Rfrenceinterinstitutionnelle"/>
        <w:rPr>
          <w:noProof/>
        </w:rPr>
      </w:pPr>
      <w:r>
        <w:rPr>
          <w:noProof/>
        </w:rPr>
        <w:t>2018/0432 (COD)</w:t>
      </w:r>
    </w:p>
    <w:p w:rsidR="00C25AEE" w:rsidRDefault="00673487">
      <w:pPr>
        <w:pStyle w:val="Statut"/>
        <w:rPr>
          <w:noProof/>
        </w:rPr>
      </w:pPr>
      <w:r>
        <w:rPr>
          <w:noProof/>
        </w:rPr>
        <w:t>Предложение за</w:t>
      </w:r>
    </w:p>
    <w:p w:rsidR="00C25AEE" w:rsidRDefault="00673487">
      <w:pPr>
        <w:pStyle w:val="Typedudocument"/>
        <w:rPr>
          <w:noProof/>
        </w:rPr>
      </w:pPr>
      <w:r>
        <w:rPr>
          <w:noProof/>
        </w:rPr>
        <w:t>РЕГЛАМЕНТ НА ЕВРОПЕЙСКИЯ ПАРЛАМЕНТ И НА СЪВЕТА</w:t>
      </w:r>
    </w:p>
    <w:p w:rsidR="00C25AEE" w:rsidRDefault="00673487">
      <w:pPr>
        <w:pStyle w:val="Titreobjet"/>
        <w:rPr>
          <w:noProof/>
        </w:rPr>
      </w:pPr>
      <w:r>
        <w:rPr>
          <w:noProof/>
        </w:rPr>
        <w:t>с оглед на продължаването, в контекста на оттег</w:t>
      </w:r>
      <w:r>
        <w:rPr>
          <w:noProof/>
        </w:rPr>
        <w:t>лянето на Обединеното кралство от Европейския съюз, на програмите за териториално сътрудничество PEACE IV (между Ирландия и Обединеното кралство) и „Обединено кралство—Ирландия“ (Ирландия–Северна Ирландия–Шотландия)</w:t>
      </w:r>
    </w:p>
    <w:p w:rsidR="00C25AEE" w:rsidRDefault="00673487">
      <w:pPr>
        <w:pStyle w:val="Institutionquiagit"/>
        <w:rPr>
          <w:noProof/>
        </w:rPr>
      </w:pPr>
      <w:r>
        <w:rPr>
          <w:noProof/>
        </w:rPr>
        <w:t>ЕВРОПЕЙСКИЯТ ПАРЛАМЕНТ И СЪВЕТЪТ НА ЕВРО</w:t>
      </w:r>
      <w:r>
        <w:rPr>
          <w:noProof/>
        </w:rPr>
        <w:t>ПЕЙСКИЯ СЪЮЗ,</w:t>
      </w:r>
    </w:p>
    <w:p w:rsidR="00C25AEE" w:rsidRDefault="00673487">
      <w:pPr>
        <w:rPr>
          <w:noProof/>
        </w:rPr>
      </w:pPr>
      <w:r>
        <w:rPr>
          <w:noProof/>
        </w:rPr>
        <w:t>като взеха предвид Договора за функционирането на Европейския съюз, и по-специално член 178 от него,</w:t>
      </w:r>
    </w:p>
    <w:p w:rsidR="00C25AEE" w:rsidRDefault="00673487">
      <w:pPr>
        <w:rPr>
          <w:noProof/>
          <w:szCs w:val="24"/>
        </w:rPr>
      </w:pPr>
      <w:r>
        <w:rPr>
          <w:noProof/>
        </w:rPr>
        <w:t xml:space="preserve">като взеха предвид предложението на Европейската комисия, </w:t>
      </w:r>
    </w:p>
    <w:p w:rsidR="00C25AEE" w:rsidRDefault="00673487">
      <w:pPr>
        <w:rPr>
          <w:noProof/>
        </w:rPr>
      </w:pPr>
      <w:r>
        <w:rPr>
          <w:noProof/>
        </w:rPr>
        <w:t>след предаване на проекта на законодателния акт на националните парламенти,</w:t>
      </w:r>
    </w:p>
    <w:p w:rsidR="00C25AEE" w:rsidRDefault="00673487">
      <w:pPr>
        <w:rPr>
          <w:noProof/>
        </w:rPr>
      </w:pPr>
      <w:r>
        <w:rPr>
          <w:noProof/>
        </w:rPr>
        <w:t xml:space="preserve">като </w:t>
      </w:r>
      <w:r>
        <w:rPr>
          <w:noProof/>
        </w:rPr>
        <w:t>взеха предвид становището на Европейския икономически и социален комитет</w:t>
      </w:r>
      <w:r>
        <w:rPr>
          <w:rStyle w:val="FootnoteReference"/>
          <w:noProof/>
        </w:rPr>
        <w:footnoteReference w:id="4"/>
      </w:r>
      <w:r>
        <w:rPr>
          <w:noProof/>
        </w:rPr>
        <w:t xml:space="preserve">, </w:t>
      </w:r>
    </w:p>
    <w:p w:rsidR="00C25AEE" w:rsidRDefault="00673487">
      <w:pPr>
        <w:rPr>
          <w:noProof/>
        </w:rPr>
      </w:pPr>
      <w:r>
        <w:rPr>
          <w:noProof/>
        </w:rPr>
        <w:t>като взеха предвид становището на Комитета на регионите</w:t>
      </w:r>
      <w:r>
        <w:rPr>
          <w:rStyle w:val="FootnoteReference"/>
          <w:noProof/>
        </w:rPr>
        <w:footnoteReference w:id="5"/>
      </w:r>
      <w:r>
        <w:rPr>
          <w:noProof/>
        </w:rPr>
        <w:t>,</w:t>
      </w:r>
    </w:p>
    <w:p w:rsidR="00C25AEE" w:rsidRDefault="00673487">
      <w:pPr>
        <w:rPr>
          <w:noProof/>
        </w:rPr>
      </w:pPr>
      <w:r>
        <w:rPr>
          <w:noProof/>
        </w:rPr>
        <w:t>в съответствие с обикновената законодателна процедура,</w:t>
      </w:r>
    </w:p>
    <w:p w:rsidR="00C25AEE" w:rsidRDefault="00673487">
      <w:pPr>
        <w:rPr>
          <w:noProof/>
        </w:rPr>
      </w:pPr>
      <w:r>
        <w:rPr>
          <w:noProof/>
        </w:rPr>
        <w:t>като имат предвид, че:</w:t>
      </w:r>
    </w:p>
    <w:p w:rsidR="00C25AEE" w:rsidRDefault="00673487">
      <w:pPr>
        <w:pStyle w:val="ManualConsidrant"/>
        <w:rPr>
          <w:noProof/>
        </w:rPr>
      </w:pPr>
      <w:r>
        <w:t>(1)</w:t>
      </w:r>
      <w:r>
        <w:tab/>
      </w:r>
      <w:r>
        <w:rPr>
          <w:noProof/>
        </w:rPr>
        <w:t xml:space="preserve">На 29 март 2017 г. Обединеното кралство </w:t>
      </w:r>
      <w:r>
        <w:rPr>
          <w:noProof/>
        </w:rPr>
        <w:t xml:space="preserve">обяви, както е предвидено в член 50 от Договора за Европейския съюз, намерението си да се оттегли от Съюза. Договорите ще престанат да се прилагат спрямо Обединеното кралство от датата на влизане в сила на споразумение за оттегляне или при липса на такова </w:t>
      </w:r>
      <w:r>
        <w:rPr>
          <w:noProof/>
        </w:rPr>
        <w:t>— две години след обявеното намерение, т.е. от 30 март 2019 г. нататък, освен ако Европейският съвет в съгласие с Обединеното кралство не реши с единодушие да продължи този срок.</w:t>
      </w:r>
      <w:r>
        <w:rPr>
          <w:noProof/>
          <w:sz w:val="23"/>
        </w:rPr>
        <w:t xml:space="preserve"> </w:t>
      </w:r>
    </w:p>
    <w:p w:rsidR="00C25AEE" w:rsidRDefault="00673487">
      <w:pPr>
        <w:pStyle w:val="ManualConsidrant"/>
        <w:rPr>
          <w:noProof/>
        </w:rPr>
      </w:pPr>
      <w:r>
        <w:t>(2)</w:t>
      </w:r>
      <w:r>
        <w:tab/>
      </w:r>
      <w:r>
        <w:rPr>
          <w:noProof/>
        </w:rPr>
        <w:t>Оттеглянето настъпва през програмния период 2014—2020 г., в който Обедин</w:t>
      </w:r>
      <w:r>
        <w:rPr>
          <w:noProof/>
        </w:rPr>
        <w:t>еното кралство участва в петнадесет програми по цел „Европейско териториално сътрудничество“ („програми за сътрудничество“). Две от тези програми са програми с участието на Северна Ирландия; те подпомагат мира и помирението, както и сътрудничеството север–</w:t>
      </w:r>
      <w:r>
        <w:rPr>
          <w:noProof/>
        </w:rPr>
        <w:t>юг, които са заложени в Споразумението от Разпети петък и които Съюзът възнамерява да продължи дори ако Обединеното кралство се оттегли от ЕС без да е влязло в сила споразумение за оттегляне към датата, на която по силата на член 50, параграф 3 от Договора</w:t>
      </w:r>
      <w:r>
        <w:rPr>
          <w:noProof/>
        </w:rPr>
        <w:t xml:space="preserve"> за Европейския съюз Договорите престанат да се прилагат спрямо Обединеното кралство и на неговата територия. Поради това настоящият регламент следва да се ограничи до тези две програми за сътрудничество. </w:t>
      </w:r>
    </w:p>
    <w:p w:rsidR="00C25AEE" w:rsidRDefault="00673487">
      <w:pPr>
        <w:pStyle w:val="ManualConsidrant"/>
        <w:rPr>
          <w:noProof/>
        </w:rPr>
      </w:pPr>
      <w:r>
        <w:t>(3)</w:t>
      </w:r>
      <w:r>
        <w:tab/>
      </w:r>
      <w:r>
        <w:rPr>
          <w:noProof/>
        </w:rPr>
        <w:t>Двете програми за сътрудничество са уредени по</w:t>
      </w:r>
      <w:r>
        <w:rPr>
          <w:noProof/>
        </w:rPr>
        <w:t>-специално в Регламент (ЕС) № 1299/2013 на Европейския парламент и на Съвета</w:t>
      </w:r>
      <w:r>
        <w:rPr>
          <w:rStyle w:val="FootnoteReference"/>
          <w:noProof/>
        </w:rPr>
        <w:footnoteReference w:id="6"/>
      </w:r>
      <w:r>
        <w:rPr>
          <w:noProof/>
        </w:rPr>
        <w:t>, Регламент (ЕС) № 1303/2013 на Европейския парламент и на Съвета</w:t>
      </w:r>
      <w:r>
        <w:rPr>
          <w:rStyle w:val="FootnoteReference"/>
          <w:noProof/>
        </w:rPr>
        <w:footnoteReference w:id="7"/>
      </w:r>
      <w:r>
        <w:rPr>
          <w:noProof/>
        </w:rPr>
        <w:t xml:space="preserve"> и Регламент (ЕС, Евратом) 2018/1046 на Европейския парламент и на Съвета</w:t>
      </w:r>
      <w:r>
        <w:rPr>
          <w:rStyle w:val="FootnoteReference"/>
          <w:noProof/>
        </w:rPr>
        <w:footnoteReference w:id="8"/>
      </w:r>
      <w:r>
        <w:rPr>
          <w:noProof/>
        </w:rPr>
        <w:t>. В настоящия регламент следва да се пр</w:t>
      </w:r>
      <w:r>
        <w:rPr>
          <w:noProof/>
        </w:rPr>
        <w:t>едвидят разпоредби с оглед продължаването, след оттеглянето на Обединеното кралство от Съюза, на тези две програми за сътрудничество, при спазване на посочените регламенти.</w:t>
      </w:r>
    </w:p>
    <w:p w:rsidR="00C25AEE" w:rsidRDefault="00673487">
      <w:pPr>
        <w:pStyle w:val="ManualConsidrant"/>
        <w:rPr>
          <w:noProof/>
        </w:rPr>
      </w:pPr>
      <w:r>
        <w:t>(4)</w:t>
      </w:r>
      <w:r>
        <w:tab/>
      </w:r>
      <w:r>
        <w:rPr>
          <w:noProof/>
        </w:rPr>
        <w:t>При двустранните програми за сътрудничество — програмата PEACE IV (между Ирланд</w:t>
      </w:r>
      <w:r>
        <w:rPr>
          <w:noProof/>
        </w:rPr>
        <w:t>ия и Обединеното кралство) и програмата „Обединено кралство—Ирландия“ (Ирландия–Северна Ирландия–Шотландия) — управляващият орган е разположен в рамките на органа за специалните програми на ЕС, създаден по силата на подписаното на 8 март 1999 г. споразумен</w:t>
      </w:r>
      <w:r>
        <w:rPr>
          <w:noProof/>
        </w:rPr>
        <w:t>ие между правителството на Ирландия и правителството на Обединеното кралство Великобритания и Северна Ирландия за създаване на изпълнителни органи (британско-ирландското споразумение от 8 март 1999 г.). Северна Ирландия участва в тези две програми за сътру</w:t>
      </w:r>
      <w:r>
        <w:rPr>
          <w:noProof/>
        </w:rPr>
        <w:t xml:space="preserve">дничество, поради което те следва да продължат, като бъдат обхванати от необходимите допълващи разпоредби. </w:t>
      </w:r>
    </w:p>
    <w:p w:rsidR="00C25AEE" w:rsidRDefault="00673487">
      <w:pPr>
        <w:pStyle w:val="ManualConsidrant"/>
        <w:rPr>
          <w:noProof/>
        </w:rPr>
      </w:pPr>
      <w:r>
        <w:t>(5)</w:t>
      </w:r>
      <w:r>
        <w:tab/>
      </w:r>
      <w:r>
        <w:rPr>
          <w:noProof/>
        </w:rPr>
        <w:t>С оглед на продължаването на тези програми следва да се поясни, че без да се засяга член 20, параграфи 2 и 3 от Регламент (ЕС) № 1299/2013, даде</w:t>
      </w:r>
      <w:r>
        <w:rPr>
          <w:noProof/>
        </w:rPr>
        <w:t xml:space="preserve">ните програми за сътрудничество могат да обхващат участващите региони в Обединеното кралство, които следва да съответстват на региони от ниво 3 по NUTS.  </w:t>
      </w:r>
    </w:p>
    <w:p w:rsidR="00C25AEE" w:rsidRDefault="00673487">
      <w:pPr>
        <w:pStyle w:val="ManualConsidrant"/>
        <w:rPr>
          <w:noProof/>
        </w:rPr>
      </w:pPr>
      <w:r>
        <w:t>(6)</w:t>
      </w:r>
      <w:r>
        <w:tab/>
      </w:r>
      <w:r>
        <w:rPr>
          <w:noProof/>
        </w:rPr>
        <w:t>С оглед на продължаването на съответните програми чрез финансиране от общия бюджет на ЕС, между Комисията и органите на Обединеното кралство следва да се сключи административно споразумение, в което да бъде предвидена възможността за извършване на проверки</w:t>
      </w:r>
      <w:r>
        <w:rPr>
          <w:noProof/>
        </w:rPr>
        <w:t xml:space="preserve"> и одит на съответните програми и което да породи действие от датата, на която Договорите престанат да се прилагат спрямо Обединеното кралство и на неговата територия. Ако необходимите проверки и одит не могат да бъдат провеждани, Комисията следва да разпо</w:t>
      </w:r>
      <w:r>
        <w:rPr>
          <w:noProof/>
        </w:rPr>
        <w:t xml:space="preserve">лага с възможността да прекъсва сроковете за плащане, да спира плащания и да прилага финансови корекции, както е предвидено в членове 83, 142, 144 и 145 от Регламент (ЕС) № 1303/2013. </w:t>
      </w:r>
    </w:p>
    <w:p w:rsidR="00C25AEE" w:rsidRDefault="00673487">
      <w:pPr>
        <w:pStyle w:val="ManualConsidrant"/>
        <w:rPr>
          <w:noProof/>
        </w:rPr>
      </w:pPr>
      <w:r>
        <w:t>(7)</w:t>
      </w:r>
      <w:r>
        <w:tab/>
      </w:r>
      <w:r>
        <w:rPr>
          <w:noProof/>
        </w:rPr>
        <w:t>По силата на член 76 от Регламент (ЕС) № 1303/2013 решението на Ком</w:t>
      </w:r>
      <w:r>
        <w:rPr>
          <w:noProof/>
        </w:rPr>
        <w:t>исията за одобряване на програмата PEACE IV (между Ирландия и Обединеното кралство) — C(2015) 8564 от 30 ноември 2015 г., изменено с Решение C(2018) 5126 от 26 юли 2018 г., и решението на Комисията за одобряване на програмата Interreg VA — C(2015) 890 от 1</w:t>
      </w:r>
      <w:r>
        <w:rPr>
          <w:noProof/>
        </w:rPr>
        <w:t>2 февруари 2015 г., изменено с C(2016) 1547 от 10 март 2016 г., следва да продължат да представляват решения за финансиране по смисъла на Финансовия регламент и оттам — правни задължения по смисъла на посочения регламент. Обединеното кралство остава обвърз</w:t>
      </w:r>
      <w:r>
        <w:rPr>
          <w:noProof/>
        </w:rPr>
        <w:t xml:space="preserve">ано с поетите като държава членка финансови задължения, отнасящи се до тези правни задължения на Съюза.  </w:t>
      </w:r>
    </w:p>
    <w:p w:rsidR="00C25AEE" w:rsidRDefault="00673487">
      <w:pPr>
        <w:pStyle w:val="ManualConsidrant"/>
        <w:rPr>
          <w:noProof/>
        </w:rPr>
      </w:pPr>
      <w:r>
        <w:t>(8)</w:t>
      </w:r>
      <w:r>
        <w:tab/>
      </w:r>
      <w:r>
        <w:rPr>
          <w:noProof/>
        </w:rPr>
        <w:t xml:space="preserve">От датата, на която Договорите престанат да се прилагат спрямо Обединеното кралство, то ще престане да принадлежи към „частта на програмния район </w:t>
      </w:r>
      <w:r>
        <w:rPr>
          <w:noProof/>
        </w:rPr>
        <w:t>в Съюза“ по смисъла на член 20, параграф 1 от Регламент (ЕС) № 1299/2013. Поради това разпоредбите относно допустимостта на операциите в зависимост от местоположението следва да бъдат адаптирани.</w:t>
      </w:r>
    </w:p>
    <w:p w:rsidR="00C25AEE" w:rsidRDefault="00673487">
      <w:pPr>
        <w:pStyle w:val="ManualConsidrant"/>
        <w:rPr>
          <w:noProof/>
        </w:rPr>
      </w:pPr>
      <w:r>
        <w:t>(9)</w:t>
      </w:r>
      <w:r>
        <w:tab/>
      </w:r>
      <w:r>
        <w:rPr>
          <w:noProof/>
        </w:rPr>
        <w:t xml:space="preserve">С оглед на незабавното прилагане на мерките, предвидени </w:t>
      </w:r>
      <w:r>
        <w:rPr>
          <w:noProof/>
        </w:rPr>
        <w:t xml:space="preserve">в настоящия регламент, той следва да влезе в сила в деня след деня на публикуването му в </w:t>
      </w:r>
      <w:r>
        <w:rPr>
          <w:i/>
          <w:noProof/>
        </w:rPr>
        <w:t>Официален вестник на Европейския съюз</w:t>
      </w:r>
      <w:r>
        <w:rPr>
          <w:noProof/>
        </w:rPr>
        <w:t>. Настоящият регламент следва да се прилага само ако към датата, на която по силата на член 50, параграф 3 от Договора за Европейс</w:t>
      </w:r>
      <w:r>
        <w:rPr>
          <w:noProof/>
        </w:rPr>
        <w:t>кия съюз Договорите престанат да се прилагат спрямо Обединеното кралство и на неговата територия, не е влязло в сила споразумение за оттегляне, сключено с Обединеното кралство в съответствие с член 50, параграф 2 от Договора за Европейския съюз,</w:t>
      </w:r>
    </w:p>
    <w:p w:rsidR="00C25AEE" w:rsidRDefault="00673487">
      <w:pPr>
        <w:pStyle w:val="Formuledadoption"/>
        <w:rPr>
          <w:noProof/>
        </w:rPr>
      </w:pPr>
      <w:r>
        <w:rPr>
          <w:noProof/>
        </w:rPr>
        <w:t>ПРИЕХА НАС</w:t>
      </w:r>
      <w:r>
        <w:rPr>
          <w:noProof/>
        </w:rPr>
        <w:t>ТОЯЩИЯ РЕГЛАМЕНТ:</w:t>
      </w:r>
    </w:p>
    <w:p w:rsidR="00C25AEE" w:rsidRDefault="00673487">
      <w:pPr>
        <w:pStyle w:val="Titrearticle"/>
        <w:rPr>
          <w:noProof/>
        </w:rPr>
      </w:pPr>
      <w:r>
        <w:rPr>
          <w:noProof/>
        </w:rPr>
        <w:t>Член 1</w:t>
      </w:r>
      <w:r>
        <w:rPr>
          <w:noProof/>
        </w:rPr>
        <w:br/>
      </w:r>
      <w:r>
        <w:rPr>
          <w:b/>
          <w:noProof/>
        </w:rPr>
        <w:t>Предмет и обхват</w:t>
      </w:r>
    </w:p>
    <w:p w:rsidR="00C25AEE" w:rsidRDefault="00673487">
      <w:pPr>
        <w:rPr>
          <w:noProof/>
        </w:rPr>
      </w:pPr>
      <w:r>
        <w:rPr>
          <w:noProof/>
        </w:rPr>
        <w:t>С настоящия регламент се определят разпоредбите за смекчаване на последиците от оттеглянето на Обединеното кралство от Съюза, в случай че към датата, на която по силата на член 50, параграф 3 от Договора за Европей</w:t>
      </w:r>
      <w:r>
        <w:rPr>
          <w:noProof/>
        </w:rPr>
        <w:t>ския съюз Договорите престанат да се прилагат спрямо Обединеното кралство и на неговата територия, не е влязло в сила споразумение за оттегляне, сключено с Обединеното кралство в съответствие с член 50, параграф 2 от Договора за Европейския съюз, що се отн</w:t>
      </w:r>
      <w:r>
        <w:rPr>
          <w:noProof/>
        </w:rPr>
        <w:t xml:space="preserve">ася до продължаването на следните две програми за сътрудничество, обхванати от Регламент (ЕС) № 1299/2013 („програми за сътрудничество“), с участието на Обединеното кралство („програмите за сътрудничество“): </w:t>
      </w:r>
    </w:p>
    <w:p w:rsidR="00C25AEE" w:rsidRDefault="00673487">
      <w:pPr>
        <w:pStyle w:val="Point0number"/>
        <w:numPr>
          <w:ilvl w:val="0"/>
          <w:numId w:val="15"/>
        </w:numPr>
        <w:rPr>
          <w:noProof/>
        </w:rPr>
      </w:pPr>
      <w:r>
        <w:rPr>
          <w:noProof/>
        </w:rPr>
        <w:t>PEACE IV (между Ирландия и Обединеното кралство</w:t>
      </w:r>
      <w:r>
        <w:rPr>
          <w:noProof/>
        </w:rPr>
        <w:t xml:space="preserve">); </w:t>
      </w:r>
    </w:p>
    <w:p w:rsidR="00C25AEE" w:rsidRDefault="00673487">
      <w:pPr>
        <w:pStyle w:val="Point0number"/>
        <w:rPr>
          <w:noProof/>
        </w:rPr>
      </w:pPr>
      <w:r>
        <w:rPr>
          <w:noProof/>
        </w:rPr>
        <w:t>„Обединено кралство—Ирландия“ (Ирландия–Северна Ирландия–Шотландия).</w:t>
      </w:r>
    </w:p>
    <w:p w:rsidR="00C25AEE" w:rsidRDefault="00673487">
      <w:pPr>
        <w:rPr>
          <w:noProof/>
        </w:rPr>
      </w:pPr>
      <w:r>
        <w:rPr>
          <w:noProof/>
        </w:rPr>
        <w:t xml:space="preserve">Регламент (ЕС) № 1299/2013 продължава да се прилага спрямо програмите за сътрудничество при спазване на разпоредбите на настоящия регламент. </w:t>
      </w:r>
    </w:p>
    <w:p w:rsidR="00C25AEE" w:rsidRDefault="00673487">
      <w:pPr>
        <w:pStyle w:val="Titrearticle"/>
        <w:ind w:left="1080"/>
        <w:rPr>
          <w:noProof/>
        </w:rPr>
      </w:pPr>
      <w:r>
        <w:rPr>
          <w:noProof/>
        </w:rPr>
        <w:t xml:space="preserve">Член 2 </w:t>
      </w:r>
      <w:r>
        <w:rPr>
          <w:noProof/>
        </w:rPr>
        <w:br/>
      </w:r>
      <w:r>
        <w:rPr>
          <w:b/>
          <w:noProof/>
        </w:rPr>
        <w:t>Географски обхват</w:t>
      </w:r>
    </w:p>
    <w:p w:rsidR="00C25AEE" w:rsidRDefault="00673487">
      <w:pPr>
        <w:rPr>
          <w:noProof/>
        </w:rPr>
      </w:pPr>
      <w:r>
        <w:rPr>
          <w:noProof/>
        </w:rPr>
        <w:t>Без да се засяг</w:t>
      </w:r>
      <w:r>
        <w:rPr>
          <w:noProof/>
        </w:rPr>
        <w:t>а член 20, параграфи 2 и 3 от Регламент (ЕС) № 1299/2013, програмите за сътрудничество могат да обхващат участващите региони в Обединеното кралство, които съответстват на региони от ниво 3 по NUTS.</w:t>
      </w:r>
    </w:p>
    <w:p w:rsidR="00C25AEE" w:rsidRDefault="00673487">
      <w:pPr>
        <w:pStyle w:val="Titrearticle"/>
        <w:rPr>
          <w:noProof/>
        </w:rPr>
      </w:pPr>
      <w:r>
        <w:rPr>
          <w:noProof/>
        </w:rPr>
        <w:t>Член 3</w:t>
      </w:r>
      <w:r>
        <w:rPr>
          <w:noProof/>
        </w:rPr>
        <w:br/>
      </w:r>
      <w:r>
        <w:rPr>
          <w:b/>
          <w:noProof/>
        </w:rPr>
        <w:t>Органи по програмите</w:t>
      </w:r>
    </w:p>
    <w:p w:rsidR="00C25AEE" w:rsidRDefault="00673487">
      <w:pPr>
        <w:rPr>
          <w:noProof/>
        </w:rPr>
      </w:pPr>
      <w:r>
        <w:rPr>
          <w:noProof/>
        </w:rPr>
        <w:t>Чрез дерогация от член 21, пар</w:t>
      </w:r>
      <w:r>
        <w:rPr>
          <w:noProof/>
        </w:rPr>
        <w:t>аграф 1 от Регламент (ЕС) № 1299/2013:</w:t>
      </w:r>
    </w:p>
    <w:p w:rsidR="00C25AEE" w:rsidRDefault="00673487">
      <w:pPr>
        <w:pStyle w:val="ListDash"/>
        <w:rPr>
          <w:noProof/>
        </w:rPr>
      </w:pPr>
      <w:r>
        <w:rPr>
          <w:noProof/>
        </w:rPr>
        <w:t xml:space="preserve">органът за специалните програми на ЕС, в рамките на който са разположени управляващият и сертифициращият орган на програмата PEACE IV (между Ирландия и Обединеното кралство) и програмата „Обединено кралство—Ирландия“ </w:t>
      </w:r>
      <w:r>
        <w:rPr>
          <w:noProof/>
        </w:rPr>
        <w:t>(Ирландия–Северна Ирландия–Шотландия), продължава да упражнява функциите си;</w:t>
      </w:r>
    </w:p>
    <w:p w:rsidR="00C25AEE" w:rsidRDefault="00673487">
      <w:pPr>
        <w:pStyle w:val="ListDash"/>
        <w:spacing w:before="0" w:after="200" w:line="276" w:lineRule="auto"/>
        <w:jc w:val="left"/>
        <w:rPr>
          <w:i/>
          <w:noProof/>
        </w:rPr>
      </w:pPr>
      <w:r>
        <w:rPr>
          <w:noProof/>
        </w:rPr>
        <w:t xml:space="preserve">министерството на финансите на Северна Ирландия остава одитният орган на тези програми. </w:t>
      </w:r>
      <w:bookmarkStart w:id="0" w:name="_GoBack"/>
      <w:bookmarkEnd w:id="0"/>
    </w:p>
    <w:p w:rsidR="00C25AEE" w:rsidRDefault="00673487">
      <w:pPr>
        <w:pStyle w:val="Titrearticle"/>
        <w:rPr>
          <w:b/>
          <w:i w:val="0"/>
          <w:noProof/>
          <w:szCs w:val="24"/>
        </w:rPr>
      </w:pPr>
      <w:r>
        <w:rPr>
          <w:noProof/>
        </w:rPr>
        <w:t>Член 4</w:t>
      </w:r>
      <w:r>
        <w:rPr>
          <w:noProof/>
        </w:rPr>
        <w:br/>
      </w:r>
      <w:r>
        <w:rPr>
          <w:b/>
          <w:noProof/>
        </w:rPr>
        <w:t>Контролни правомощия на Комисията</w:t>
      </w:r>
    </w:p>
    <w:p w:rsidR="00C25AEE" w:rsidRDefault="00673487">
      <w:pPr>
        <w:rPr>
          <w:noProof/>
        </w:rPr>
      </w:pPr>
      <w:r>
        <w:rPr>
          <w:noProof/>
        </w:rPr>
        <w:t xml:space="preserve">Упражняването на правомощията за извършване на </w:t>
      </w:r>
      <w:r>
        <w:rPr>
          <w:noProof/>
        </w:rPr>
        <w:t>проверки и одит по съответните програми се договаря между Комисията и властите на Обединеното кралство. Проверките и одитът се извършват през целия период на действие на програмите за сътрудничество.</w:t>
      </w:r>
    </w:p>
    <w:p w:rsidR="00C25AEE" w:rsidRDefault="00673487">
      <w:pPr>
        <w:rPr>
          <w:noProof/>
        </w:rPr>
      </w:pPr>
      <w:r>
        <w:rPr>
          <w:noProof/>
        </w:rPr>
        <w:t xml:space="preserve">Ако необходимите проверки и одит на програмите не могат </w:t>
      </w:r>
      <w:r>
        <w:rPr>
          <w:noProof/>
        </w:rPr>
        <w:t>да бъдат провеждани във всички съответни региони, това се разглежда като сериозен недостатък на системата за управление и контрол за целите на мерките, посочени в членове 83, 142, 144 и 145 от Регламент (ЕС) № 1303/2013.</w:t>
      </w:r>
    </w:p>
    <w:p w:rsidR="00C25AEE" w:rsidRDefault="00673487">
      <w:pPr>
        <w:pStyle w:val="Titrearticle"/>
        <w:rPr>
          <w:noProof/>
        </w:rPr>
      </w:pPr>
      <w:r>
        <w:rPr>
          <w:noProof/>
        </w:rPr>
        <w:t>Член 5</w:t>
      </w:r>
      <w:r>
        <w:rPr>
          <w:noProof/>
        </w:rPr>
        <w:br/>
      </w:r>
      <w:r>
        <w:rPr>
          <w:b/>
          <w:noProof/>
        </w:rPr>
        <w:t xml:space="preserve">Допустимост на операциите в </w:t>
      </w:r>
      <w:r>
        <w:rPr>
          <w:b/>
          <w:noProof/>
        </w:rPr>
        <w:t>зависимост от местоположението</w:t>
      </w:r>
    </w:p>
    <w:p w:rsidR="00C25AEE" w:rsidRDefault="00673487">
      <w:pPr>
        <w:rPr>
          <w:noProof/>
        </w:rPr>
      </w:pPr>
      <w:r>
        <w:rPr>
          <w:noProof/>
        </w:rPr>
        <w:t>Таванът, определен в член 20, параграф 2, буква б) от Регламент (ЕС) № 1299/2013, не се прилага за програмите за сътрудничество.</w:t>
      </w:r>
    </w:p>
    <w:p w:rsidR="00C25AEE" w:rsidRDefault="00673487">
      <w:pPr>
        <w:pStyle w:val="Titrearticle"/>
        <w:rPr>
          <w:noProof/>
        </w:rPr>
      </w:pPr>
      <w:r>
        <w:rPr>
          <w:noProof/>
        </w:rPr>
        <w:t>Член 6</w:t>
      </w:r>
      <w:r>
        <w:br/>
      </w:r>
      <w:r>
        <w:rPr>
          <w:b/>
          <w:noProof/>
        </w:rPr>
        <w:t>Влизане в сила и прилагане</w:t>
      </w:r>
    </w:p>
    <w:p w:rsidR="00C25AEE" w:rsidRDefault="00673487">
      <w:pPr>
        <w:rPr>
          <w:noProof/>
        </w:rPr>
      </w:pPr>
      <w:r>
        <w:rPr>
          <w:noProof/>
        </w:rPr>
        <w:t>Настоящият регламент влиза в сила в деня след деня на публикув</w:t>
      </w:r>
      <w:r>
        <w:rPr>
          <w:noProof/>
        </w:rPr>
        <w:t xml:space="preserve">ането му в </w:t>
      </w:r>
      <w:r>
        <w:rPr>
          <w:i/>
          <w:noProof/>
        </w:rPr>
        <w:t>Официален вестник на Европейския съюз</w:t>
      </w:r>
      <w:r>
        <w:rPr>
          <w:noProof/>
        </w:rPr>
        <w:t xml:space="preserve">. </w:t>
      </w:r>
    </w:p>
    <w:p w:rsidR="00C25AEE" w:rsidRDefault="00673487">
      <w:pPr>
        <w:keepNext/>
        <w:rPr>
          <w:noProof/>
        </w:rPr>
      </w:pPr>
      <w:r>
        <w:rPr>
          <w:noProof/>
        </w:rPr>
        <w:t>Той се прилага от деня след този, на който по силата на член 50, параграф 3 от Договора за Европейския съюз Договорите престанат да се прилагат спрямо Обединеното кралство и на неговата територия.</w:t>
      </w:r>
    </w:p>
    <w:p w:rsidR="00C25AEE" w:rsidRDefault="00673487">
      <w:pPr>
        <w:keepNext/>
        <w:rPr>
          <w:noProof/>
        </w:rPr>
      </w:pPr>
      <w:r>
        <w:rPr>
          <w:noProof/>
        </w:rPr>
        <w:t>Настоящи</w:t>
      </w:r>
      <w:r>
        <w:rPr>
          <w:noProof/>
        </w:rPr>
        <w:t>ят регламент обаче не се прилага при влязло в сила до тази дата споразумение за оттегляне, сключено с Обединеното кралство в съответствие с член 50, параграф 2 от Договора за Европейския съюз.</w:t>
      </w:r>
    </w:p>
    <w:p w:rsidR="00C25AEE" w:rsidRDefault="00673487">
      <w:pPr>
        <w:pStyle w:val="Applicationdirecte"/>
        <w:rPr>
          <w:noProof/>
        </w:rPr>
      </w:pPr>
      <w:r>
        <w:rPr>
          <w:noProof/>
        </w:rPr>
        <w:t xml:space="preserve">Настоящият регламент е задължителен в своята цялост и се </w:t>
      </w:r>
      <w:r>
        <w:rPr>
          <w:noProof/>
        </w:rPr>
        <w:t>прилага пряко във всички държави членки.</w:t>
      </w:r>
    </w:p>
    <w:p w:rsidR="00C25AEE" w:rsidRDefault="00673487">
      <w:pPr>
        <w:pStyle w:val="Fait"/>
        <w:rPr>
          <w:noProof/>
        </w:rPr>
      </w:pPr>
      <w:r>
        <w:t xml:space="preserve">Съставено в Брюксел на </w:t>
      </w:r>
      <w:r>
        <w:rPr>
          <w:rStyle w:val="Marker"/>
        </w:rPr>
        <w:t>[…]</w:t>
      </w:r>
      <w:r>
        <w:t xml:space="preserve"> година.</w:t>
      </w:r>
    </w:p>
    <w:p w:rsidR="00C25AEE" w:rsidRDefault="00673487">
      <w:pPr>
        <w:pStyle w:val="Institutionquisigne"/>
        <w:rPr>
          <w:noProof/>
        </w:rPr>
      </w:pPr>
      <w:r>
        <w:rPr>
          <w:noProof/>
        </w:rPr>
        <w:t>За Европейския парламент</w:t>
      </w:r>
      <w:r>
        <w:rPr>
          <w:noProof/>
        </w:rPr>
        <w:tab/>
        <w:t>За Съвета</w:t>
      </w:r>
    </w:p>
    <w:p w:rsidR="00C25AEE" w:rsidRDefault="00673487">
      <w:pPr>
        <w:pStyle w:val="Personnequisigne"/>
        <w:rPr>
          <w:i w:val="0"/>
          <w:noProof/>
        </w:rPr>
      </w:pPr>
      <w:r>
        <w:rPr>
          <w:noProof/>
        </w:rPr>
        <w:t>Председател</w:t>
      </w:r>
      <w:r>
        <w:rPr>
          <w:noProof/>
        </w:rPr>
        <w:tab/>
        <w:t>Председател</w:t>
      </w:r>
    </w:p>
    <w:p w:rsidR="00C25AEE" w:rsidRDefault="00C25AEE">
      <w:pPr>
        <w:pStyle w:val="Personnequisigne"/>
        <w:rPr>
          <w:noProof/>
        </w:rPr>
        <w:sectPr w:rsidR="00C25AEE">
          <w:pgSz w:w="11907" w:h="16839"/>
          <w:pgMar w:top="1134" w:right="1417" w:bottom="1134" w:left="1417" w:header="709" w:footer="709" w:gutter="0"/>
          <w:cols w:space="708"/>
          <w:docGrid w:linePitch="360"/>
        </w:sectPr>
      </w:pPr>
    </w:p>
    <w:p w:rsidR="00C25AEE" w:rsidRDefault="00673487">
      <w:pPr>
        <w:pStyle w:val="Fichefinanciretitre"/>
        <w:rPr>
          <w:noProof/>
        </w:rPr>
      </w:pPr>
      <w:r>
        <w:rPr>
          <w:noProof/>
        </w:rPr>
        <w:t>ЗАКОНОДАТЕЛНА ФИНАНСОВА ОБОСНОВКА</w:t>
      </w:r>
    </w:p>
    <w:p w:rsidR="00C25AEE" w:rsidRDefault="00673487">
      <w:pPr>
        <w:pStyle w:val="ManualHeading1"/>
        <w:rPr>
          <w:noProof/>
        </w:rPr>
      </w:pPr>
      <w:bookmarkStart w:id="1" w:name="_Toc514938007"/>
      <w:bookmarkStart w:id="2" w:name="_Toc520485025"/>
      <w:r>
        <w:t>1.</w:t>
      </w:r>
      <w:r>
        <w:tab/>
      </w:r>
      <w:r>
        <w:rPr>
          <w:noProof/>
        </w:rPr>
        <w:t>РАМКА НА ПРЕДЛОЖЕНИЕТО/ИНИЦИАТИВАТА</w:t>
      </w:r>
      <w:bookmarkEnd w:id="1"/>
      <w:bookmarkEnd w:id="2"/>
      <w:r>
        <w:rPr>
          <w:noProof/>
        </w:rPr>
        <w:t xml:space="preserve"> </w:t>
      </w:r>
    </w:p>
    <w:p w:rsidR="00C25AEE" w:rsidRDefault="00673487">
      <w:pPr>
        <w:pStyle w:val="ManualHeading2"/>
        <w:rPr>
          <w:noProof/>
        </w:rPr>
      </w:pPr>
      <w:bookmarkStart w:id="3" w:name="_Toc514938008"/>
      <w:bookmarkStart w:id="4" w:name="_Toc520485026"/>
      <w:r>
        <w:t>1.1.</w:t>
      </w:r>
      <w:r>
        <w:tab/>
      </w:r>
      <w:r>
        <w:rPr>
          <w:noProof/>
        </w:rPr>
        <w:t>Наименование на пред</w:t>
      </w:r>
      <w:r>
        <w:rPr>
          <w:noProof/>
        </w:rPr>
        <w:t>ложението/инициативата</w:t>
      </w:r>
      <w:bookmarkEnd w:id="3"/>
      <w:bookmarkEnd w:id="4"/>
    </w:p>
    <w:p w:rsidR="00C25AEE" w:rsidRDefault="00673487">
      <w:pPr>
        <w:pStyle w:val="ManualHeading2"/>
        <w:rPr>
          <w:i/>
          <w:noProof/>
        </w:rPr>
      </w:pPr>
      <w:bookmarkStart w:id="5" w:name="_Toc514938011"/>
      <w:bookmarkStart w:id="6" w:name="_Toc520485027"/>
      <w:r>
        <w:t>1.2.</w:t>
      </w:r>
      <w:r>
        <w:tab/>
      </w:r>
      <w:r>
        <w:rPr>
          <w:noProof/>
        </w:rPr>
        <w:t>Съответни области на политика</w:t>
      </w:r>
      <w:bookmarkEnd w:id="5"/>
      <w:bookmarkEnd w:id="6"/>
      <w:r>
        <w:rPr>
          <w:i/>
          <w:noProof/>
        </w:rPr>
        <w:t xml:space="preserve"> </w:t>
      </w:r>
    </w:p>
    <w:p w:rsidR="00C25AEE" w:rsidRDefault="00673487">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относно специални разпоредби за управлението на европейските програми за териториално сътрудничество в контекста на оттеглянето на Обед</w:t>
      </w:r>
      <w:r>
        <w:rPr>
          <w:noProof/>
        </w:rPr>
        <w:t>иненото кралство от Европейския съюз.</w:t>
      </w:r>
    </w:p>
    <w:p w:rsidR="00C25AEE" w:rsidRDefault="00673487">
      <w:pPr>
        <w:pStyle w:val="ManualHeading2"/>
        <w:rPr>
          <w:bCs/>
          <w:noProof/>
          <w:szCs w:val="24"/>
        </w:rPr>
      </w:pPr>
      <w:bookmarkStart w:id="7" w:name="_Toc514938025"/>
      <w:bookmarkStart w:id="8" w:name="_Toc520485034"/>
      <w:r>
        <w:t>1.3.</w:t>
      </w:r>
      <w:r>
        <w:tab/>
      </w:r>
      <w:r>
        <w:rPr>
          <w:noProof/>
        </w:rPr>
        <w:t>Мотиви за предложението/инициативата</w:t>
      </w:r>
      <w:bookmarkEnd w:id="7"/>
      <w:bookmarkEnd w:id="8"/>
      <w:r>
        <w:rPr>
          <w:noProof/>
        </w:rPr>
        <w:t xml:space="preserve"> </w:t>
      </w:r>
    </w:p>
    <w:p w:rsidR="00C25AEE" w:rsidRDefault="00673487">
      <w:pPr>
        <w:pStyle w:val="ManualHeading3"/>
        <w:rPr>
          <w:noProof/>
        </w:rPr>
      </w:pPr>
      <w:bookmarkStart w:id="9" w:name="_Toc514938026"/>
      <w:bookmarkStart w:id="10" w:name="_Toc520485035"/>
      <w:r>
        <w:t>1.3.1.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9"/>
      <w:bookmarkEnd w:id="10"/>
    </w:p>
    <w:p w:rsidR="00C25AEE" w:rsidRDefault="00673487">
      <w:pPr>
        <w:pStyle w:val="Text1"/>
        <w:pBdr>
          <w:top w:val="single" w:sz="4" w:space="1" w:color="auto"/>
          <w:left w:val="single" w:sz="4" w:space="4" w:color="auto"/>
          <w:bottom w:val="single" w:sz="4" w:space="1" w:color="auto"/>
          <w:right w:val="single" w:sz="4" w:space="4" w:color="auto"/>
        </w:pBdr>
        <w:rPr>
          <w:noProof/>
        </w:rPr>
      </w:pPr>
      <w:r>
        <w:rPr>
          <w:noProof/>
        </w:rPr>
        <w:t>Настоящият регламент</w:t>
      </w:r>
      <w:r>
        <w:rPr>
          <w:noProof/>
        </w:rPr>
        <w:t xml:space="preserve"> влиза в сила в деня след деня на публикуването му в Официален вестник на Европейския съюз.</w:t>
      </w:r>
    </w:p>
    <w:p w:rsidR="00C25AEE" w:rsidRDefault="00673487">
      <w:pPr>
        <w:pStyle w:val="Text1"/>
        <w:pBdr>
          <w:top w:val="single" w:sz="4" w:space="1" w:color="auto"/>
          <w:left w:val="single" w:sz="4" w:space="4" w:color="auto"/>
          <w:bottom w:val="single" w:sz="4" w:space="1" w:color="auto"/>
          <w:right w:val="single" w:sz="4" w:space="4" w:color="auto"/>
        </w:pBdr>
        <w:rPr>
          <w:noProof/>
        </w:rPr>
      </w:pPr>
      <w:r>
        <w:rPr>
          <w:noProof/>
        </w:rPr>
        <w:t>Той се прилага от деня след този, на който по силата на член 50, параграф 3 от Договора за Европейския съюз Договорите престанат да се прилагат спрямо Обединеното к</w:t>
      </w:r>
      <w:r>
        <w:rPr>
          <w:noProof/>
        </w:rPr>
        <w:t>ралство и на неговата територия.</w:t>
      </w:r>
    </w:p>
    <w:p w:rsidR="00C25AEE" w:rsidRDefault="00673487">
      <w:pPr>
        <w:pStyle w:val="Text1"/>
        <w:pBdr>
          <w:top w:val="single" w:sz="4" w:space="1" w:color="auto"/>
          <w:left w:val="single" w:sz="4" w:space="4" w:color="auto"/>
          <w:bottom w:val="single" w:sz="4" w:space="1" w:color="auto"/>
          <w:right w:val="single" w:sz="4" w:space="4" w:color="auto"/>
        </w:pBdr>
        <w:rPr>
          <w:noProof/>
        </w:rPr>
      </w:pPr>
      <w:r>
        <w:rPr>
          <w:noProof/>
        </w:rPr>
        <w:t>Настоящият регламент не се прилага при влязло в сила до тази дата споразумение за оттегляне, сключено с Обединеното кралство в съответствие с член 50, параграф 2 от Договора за Европейския съюз.</w:t>
      </w:r>
    </w:p>
    <w:p w:rsidR="00C25AEE" w:rsidRDefault="00673487">
      <w:pPr>
        <w:pStyle w:val="ManualHeading3"/>
        <w:rPr>
          <w:bCs/>
          <w:noProof/>
          <w:szCs w:val="24"/>
        </w:rPr>
      </w:pPr>
      <w:bookmarkStart w:id="11" w:name="_Toc514938029"/>
      <w:bookmarkStart w:id="12" w:name="_Toc520485036"/>
      <w:r>
        <w:t>1.3.2.</w:t>
      </w:r>
      <w:r>
        <w:tab/>
      </w:r>
      <w:r>
        <w:rPr>
          <w:noProof/>
        </w:rPr>
        <w:t xml:space="preserve">Добавена стойност от </w:t>
      </w:r>
      <w:r>
        <w:rPr>
          <w:noProof/>
        </w:rPr>
        <w:t>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w:t>
      </w:r>
      <w:r>
        <w:rPr>
          <w:noProof/>
        </w:rPr>
        <w:t xml:space="preserve"> е резултат от намесата на ЕС и е допълнителна спрямо стойността, която би била създадена само от отделните държави членки.</w:t>
      </w:r>
      <w:bookmarkEnd w:id="11"/>
      <w:bookmarkEnd w:id="12"/>
    </w:p>
    <w:p w:rsidR="00C25AEE" w:rsidRDefault="00673487">
      <w:pPr>
        <w:pStyle w:val="Text1"/>
        <w:pBdr>
          <w:top w:val="single" w:sz="4" w:space="1" w:color="auto"/>
          <w:left w:val="single" w:sz="4" w:space="4" w:color="auto"/>
          <w:bottom w:val="single" w:sz="4" w:space="1" w:color="auto"/>
          <w:right w:val="single" w:sz="4" w:space="4" w:color="auto"/>
        </w:pBdr>
        <w:rPr>
          <w:noProof/>
        </w:rPr>
      </w:pPr>
      <w:r>
        <w:t>N/A</w:t>
      </w:r>
    </w:p>
    <w:p w:rsidR="00C25AEE" w:rsidRDefault="00673487">
      <w:pPr>
        <w:pStyle w:val="ManualHeading3"/>
        <w:rPr>
          <w:noProof/>
        </w:rPr>
      </w:pPr>
      <w:bookmarkStart w:id="13" w:name="_Toc514938030"/>
      <w:bookmarkStart w:id="14" w:name="_Toc520485037"/>
      <w:r>
        <w:t>1.3.3.</w:t>
      </w:r>
      <w:r>
        <w:tab/>
      </w:r>
      <w:r>
        <w:rPr>
          <w:noProof/>
        </w:rPr>
        <w:t>Изводи от подобен опит в миналото</w:t>
      </w:r>
      <w:bookmarkEnd w:id="13"/>
      <w:bookmarkEnd w:id="14"/>
    </w:p>
    <w:p w:rsidR="00C25AEE" w:rsidRDefault="00673487">
      <w:pPr>
        <w:pStyle w:val="Text1"/>
        <w:pBdr>
          <w:top w:val="single" w:sz="4" w:space="1" w:color="auto"/>
          <w:left w:val="single" w:sz="4" w:space="4" w:color="auto"/>
          <w:bottom w:val="single" w:sz="4" w:space="1" w:color="auto"/>
          <w:right w:val="single" w:sz="4" w:space="4" w:color="auto"/>
        </w:pBdr>
        <w:rPr>
          <w:noProof/>
        </w:rPr>
      </w:pPr>
      <w:r>
        <w:t>N/A</w:t>
      </w:r>
    </w:p>
    <w:p w:rsidR="00C25AEE" w:rsidRDefault="00673487">
      <w:pPr>
        <w:pStyle w:val="ManualHeading3"/>
        <w:rPr>
          <w:noProof/>
        </w:rPr>
      </w:pPr>
      <w:bookmarkStart w:id="15" w:name="_Toc514938033"/>
      <w:bookmarkStart w:id="16" w:name="_Toc520485038"/>
      <w:r>
        <w:t>1.3.4.</w:t>
      </w:r>
      <w:r>
        <w:tab/>
      </w:r>
      <w:r>
        <w:rPr>
          <w:noProof/>
        </w:rPr>
        <w:t xml:space="preserve">Съвместимост с многогодишната финансова рамка и евентуални синергии с други </w:t>
      </w:r>
      <w:r>
        <w:rPr>
          <w:noProof/>
        </w:rPr>
        <w:t>подходящи инструменти</w:t>
      </w:r>
      <w:bookmarkEnd w:id="15"/>
      <w:bookmarkEnd w:id="16"/>
    </w:p>
    <w:p w:rsidR="00C25AEE" w:rsidRDefault="00673487">
      <w:pPr>
        <w:pStyle w:val="Text1"/>
        <w:pBdr>
          <w:top w:val="single" w:sz="4" w:space="1" w:color="auto"/>
          <w:left w:val="single" w:sz="4" w:space="4" w:color="auto"/>
          <w:bottom w:val="single" w:sz="4" w:space="1" w:color="auto"/>
          <w:right w:val="single" w:sz="4" w:space="4" w:color="auto"/>
        </w:pBdr>
        <w:rPr>
          <w:noProof/>
        </w:rPr>
      </w:pPr>
      <w:r>
        <w:rPr>
          <w:noProof/>
        </w:rPr>
        <w:t>Настоящият регламент е съвместим с МФР. Той няма финансово отражение.</w:t>
      </w:r>
    </w:p>
    <w:p w:rsidR="00C25AEE" w:rsidRDefault="00673487">
      <w:pPr>
        <w:pStyle w:val="ManualHeading3"/>
        <w:rPr>
          <w:noProof/>
        </w:rPr>
      </w:pPr>
      <w:bookmarkStart w:id="17" w:name="_Toc514938036"/>
      <w:bookmarkStart w:id="18" w:name="_Toc520485039"/>
      <w:r>
        <w:t>1.3.5.</w:t>
      </w:r>
      <w:r>
        <w:tab/>
      </w:r>
      <w:r>
        <w:rPr>
          <w:noProof/>
        </w:rPr>
        <w:t>Оценка на различните налични варианти за финансиране, включително възможностите за преразпределяне на средства</w:t>
      </w:r>
      <w:bookmarkEnd w:id="17"/>
      <w:bookmarkEnd w:id="18"/>
    </w:p>
    <w:p w:rsidR="00C25AEE" w:rsidRDefault="00673487">
      <w:pPr>
        <w:pStyle w:val="Text1"/>
        <w:pBdr>
          <w:top w:val="single" w:sz="4" w:space="1" w:color="auto"/>
          <w:left w:val="single" w:sz="4" w:space="4" w:color="auto"/>
          <w:bottom w:val="single" w:sz="4" w:space="0" w:color="auto"/>
          <w:right w:val="single" w:sz="4" w:space="4" w:color="auto"/>
        </w:pBdr>
        <w:rPr>
          <w:noProof/>
        </w:rPr>
      </w:pPr>
      <w:r>
        <w:rPr>
          <w:noProof/>
        </w:rPr>
        <w:t>Настоящият регламент няма финансово отражение.</w:t>
      </w:r>
      <w:r>
        <w:rPr>
          <w:noProof/>
        </w:rPr>
        <w:t xml:space="preserve"> Вноската на Съюза за програмите ще бъде финансирана от общия бюджет на Съюза.</w:t>
      </w:r>
    </w:p>
    <w:p w:rsidR="00C25AEE" w:rsidRDefault="00C25AEE">
      <w:pPr>
        <w:pStyle w:val="Text1"/>
        <w:rPr>
          <w:noProof/>
        </w:rPr>
      </w:pPr>
    </w:p>
    <w:p w:rsidR="00C25AEE" w:rsidRDefault="00673487">
      <w:pPr>
        <w:pStyle w:val="ManualHeading2"/>
        <w:rPr>
          <w:bCs/>
          <w:noProof/>
          <w:szCs w:val="24"/>
        </w:rPr>
      </w:pPr>
      <w:r>
        <w:rPr>
          <w:noProof/>
        </w:rPr>
        <w:br w:type="page"/>
      </w:r>
      <w:bookmarkStart w:id="19" w:name="_Toc514938039"/>
      <w:bookmarkStart w:id="20" w:name="_Toc520485040"/>
      <w:r>
        <w:t>1.4.</w:t>
      </w:r>
      <w:r>
        <w:tab/>
      </w:r>
      <w:r>
        <w:rPr>
          <w:noProof/>
        </w:rPr>
        <w:t>Продължителност и финансово отражение на предложението/инициативата</w:t>
      </w:r>
      <w:bookmarkEnd w:id="19"/>
      <w:bookmarkEnd w:id="20"/>
    </w:p>
    <w:p w:rsidR="00C25AEE" w:rsidRDefault="00673487">
      <w:pPr>
        <w:pStyle w:val="ListDash1"/>
        <w:rPr>
          <w:noProof/>
        </w:rPr>
      </w:pPr>
      <w:r>
        <w:rPr>
          <w:b/>
          <w:noProof/>
        </w:rPr>
        <w:t>X</w:t>
      </w:r>
      <w:r>
        <w:rPr>
          <w:noProof/>
        </w:rPr>
        <w:t xml:space="preserve"> няма финансово отражение</w:t>
      </w:r>
    </w:p>
    <w:p w:rsidR="00C25AEE" w:rsidRDefault="00673487">
      <w:pPr>
        <w:pStyle w:val="ManualHeading2"/>
        <w:rPr>
          <w:bCs/>
          <w:noProof/>
          <w:szCs w:val="24"/>
        </w:rPr>
      </w:pPr>
      <w:bookmarkStart w:id="21" w:name="_Toc514938040"/>
      <w:bookmarkStart w:id="22" w:name="_Toc520485041"/>
      <w:r>
        <w:t>1.5.</w:t>
      </w:r>
      <w:r>
        <w:tab/>
      </w:r>
      <w:r>
        <w:rPr>
          <w:noProof/>
        </w:rPr>
        <w:t>Планирани методи на управление</w:t>
      </w:r>
      <w:r>
        <w:rPr>
          <w:rStyle w:val="FootnoteReference"/>
          <w:noProof/>
        </w:rPr>
        <w:footnoteReference w:id="9"/>
      </w:r>
      <w:bookmarkEnd w:id="21"/>
      <w:bookmarkEnd w:id="22"/>
      <w:r>
        <w:rPr>
          <w:rStyle w:val="FootnoteReference"/>
          <w:noProof/>
        </w:rPr>
        <w:t xml:space="preserve"> </w:t>
      </w:r>
    </w:p>
    <w:p w:rsidR="00C25AEE" w:rsidRDefault="00673487">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rsidR="00C25AEE" w:rsidRDefault="00673487">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rsidR="00C25AEE" w:rsidRDefault="00673487">
      <w:pPr>
        <w:pStyle w:val="ListDash2"/>
        <w:rPr>
          <w:noProof/>
        </w:rPr>
      </w:pPr>
      <w:r>
        <w:rPr>
          <w:noProof/>
        </w:rPr>
        <w:sym w:font="Wingdings" w:char="F0A8"/>
      </w:r>
      <w:r>
        <w:rPr>
          <w:noProof/>
        </w:rPr>
        <w:t xml:space="preserve"> от изпълнителните агенции </w:t>
      </w:r>
    </w:p>
    <w:p w:rsidR="00C25AEE" w:rsidRDefault="00673487">
      <w:pPr>
        <w:pStyle w:val="Text1"/>
        <w:rPr>
          <w:noProof/>
        </w:rPr>
      </w:pPr>
      <w:r>
        <w:rPr>
          <w:b/>
          <w:noProof/>
        </w:rPr>
        <w:t>X</w:t>
      </w:r>
      <w:r>
        <w:rPr>
          <w:b/>
          <w:i/>
          <w:noProof/>
        </w:rPr>
        <w:t xml:space="preserve"> </w:t>
      </w:r>
      <w:r>
        <w:rPr>
          <w:b/>
          <w:noProof/>
        </w:rPr>
        <w:t>Споделено управление</w:t>
      </w:r>
      <w:r>
        <w:rPr>
          <w:noProof/>
        </w:rPr>
        <w:t xml:space="preserve"> с държавите членки </w:t>
      </w:r>
    </w:p>
    <w:p w:rsidR="00C25AEE" w:rsidRDefault="00673487">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C25AEE" w:rsidRDefault="00673487">
      <w:pPr>
        <w:pStyle w:val="ListDash2"/>
        <w:rPr>
          <w:noProof/>
        </w:rPr>
      </w:pPr>
      <w:r>
        <w:rPr>
          <w:noProof/>
        </w:rPr>
        <w:sym w:font="Wingdings" w:char="F0A8"/>
      </w:r>
      <w:r>
        <w:rPr>
          <w:noProof/>
        </w:rPr>
        <w:t xml:space="preserve"> трети държави или на органите</w:t>
      </w:r>
      <w:r>
        <w:rPr>
          <w:noProof/>
        </w:rPr>
        <w:t>, определени от тях;</w:t>
      </w:r>
    </w:p>
    <w:p w:rsidR="00C25AEE" w:rsidRDefault="00673487">
      <w:pPr>
        <w:pStyle w:val="ListDash2"/>
        <w:rPr>
          <w:noProof/>
        </w:rPr>
      </w:pPr>
      <w:r>
        <w:rPr>
          <w:noProof/>
        </w:rPr>
        <w:sym w:font="Wingdings" w:char="F0A8"/>
      </w:r>
      <w:r>
        <w:rPr>
          <w:noProof/>
        </w:rPr>
        <w:t xml:space="preserve"> международни организации и техните агенции (да се уточни);</w:t>
      </w:r>
    </w:p>
    <w:p w:rsidR="00C25AEE" w:rsidRDefault="00673487">
      <w:pPr>
        <w:pStyle w:val="ListDash2"/>
        <w:rPr>
          <w:noProof/>
        </w:rPr>
      </w:pPr>
      <w:r>
        <w:rPr>
          <w:noProof/>
        </w:rPr>
        <w:sym w:font="Wingdings" w:char="F0A8"/>
      </w:r>
      <w:r>
        <w:rPr>
          <w:noProof/>
        </w:rPr>
        <w:t xml:space="preserve"> ЕИБ и Европейския инвестиционен фонд;</w:t>
      </w:r>
    </w:p>
    <w:p w:rsidR="00C25AEE" w:rsidRDefault="00673487">
      <w:pPr>
        <w:pStyle w:val="ListDash2"/>
        <w:rPr>
          <w:noProof/>
        </w:rPr>
      </w:pPr>
      <w:r>
        <w:rPr>
          <w:noProof/>
        </w:rPr>
        <w:sym w:font="Wingdings" w:char="F0A8"/>
      </w:r>
      <w:r>
        <w:rPr>
          <w:noProof/>
        </w:rPr>
        <w:t xml:space="preserve"> органите, посочени в членове 70 и 71 от Финансовия регламент;</w:t>
      </w:r>
    </w:p>
    <w:p w:rsidR="00C25AEE" w:rsidRDefault="00673487">
      <w:pPr>
        <w:pStyle w:val="ListDash2"/>
        <w:rPr>
          <w:noProof/>
        </w:rPr>
      </w:pPr>
      <w:r>
        <w:rPr>
          <w:noProof/>
        </w:rPr>
        <w:sym w:font="Wingdings" w:char="F0A8"/>
      </w:r>
      <w:r>
        <w:rPr>
          <w:noProof/>
        </w:rPr>
        <w:t xml:space="preserve"> публичноправни органи;</w:t>
      </w:r>
    </w:p>
    <w:p w:rsidR="00C25AEE" w:rsidRDefault="00673487">
      <w:pPr>
        <w:pStyle w:val="ListDash2"/>
        <w:rPr>
          <w:noProof/>
        </w:rPr>
      </w:pPr>
      <w:r>
        <w:rPr>
          <w:noProof/>
        </w:rPr>
        <w:sym w:font="Wingdings" w:char="F0A8"/>
      </w:r>
      <w:r>
        <w:rPr>
          <w:noProof/>
        </w:rPr>
        <w:t xml:space="preserve"> частноправни органи със задължение за общес</w:t>
      </w:r>
      <w:r>
        <w:rPr>
          <w:noProof/>
        </w:rPr>
        <w:t>твена услуга, доколкото предоставят подходящи финансови гаранции;</w:t>
      </w:r>
    </w:p>
    <w:p w:rsidR="00C25AEE" w:rsidRDefault="00673487">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C25AEE" w:rsidRDefault="00673487">
      <w:pPr>
        <w:pStyle w:val="ListDash2"/>
        <w:rPr>
          <w:noProof/>
        </w:rPr>
      </w:pPr>
      <w:r>
        <w:rPr>
          <w:noProof/>
        </w:rPr>
        <w:sym w:font="Wingdings" w:char="F0A8"/>
      </w:r>
      <w:r>
        <w:rPr>
          <w:noProof/>
        </w:rPr>
        <w:t xml:space="preserve"> лица, на които </w:t>
      </w:r>
      <w:r>
        <w:rPr>
          <w:noProof/>
        </w:rPr>
        <w:t>е възложено изпълнението на специфични дейности в областта на ОВППС съгласно дял V от ДЕС и които са посочени в съответния основен акт.</w:t>
      </w:r>
    </w:p>
    <w:p w:rsidR="00C25AEE" w:rsidRDefault="00673487">
      <w:pPr>
        <w:pStyle w:val="ListDash2"/>
        <w:rPr>
          <w:i/>
          <w:noProof/>
          <w:sz w:val="18"/>
          <w:u w:val="single"/>
        </w:rPr>
      </w:pPr>
      <w:r>
        <w:rPr>
          <w:i/>
          <w:noProof/>
          <w:sz w:val="18"/>
        </w:rPr>
        <w:t>Ако е посочен повече от един метод на управление, пояснете в частта „Забележки“.</w:t>
      </w:r>
    </w:p>
    <w:p w:rsidR="00C25AEE" w:rsidRDefault="00673487">
      <w:pPr>
        <w:rPr>
          <w:noProof/>
        </w:rPr>
      </w:pPr>
      <w:r>
        <w:rPr>
          <w:noProof/>
        </w:rPr>
        <w:t xml:space="preserve">Забележки </w:t>
      </w:r>
    </w:p>
    <w:p w:rsidR="00C25AEE" w:rsidRDefault="00673487">
      <w:pPr>
        <w:pBdr>
          <w:top w:val="single" w:sz="4" w:space="1" w:color="auto"/>
          <w:left w:val="single" w:sz="4" w:space="4" w:color="auto"/>
          <w:bottom w:val="single" w:sz="4" w:space="1" w:color="auto"/>
          <w:right w:val="single" w:sz="4" w:space="4" w:color="auto"/>
        </w:pBdr>
        <w:rPr>
          <w:noProof/>
        </w:rPr>
        <w:sectPr w:rsidR="00C25AEE">
          <w:pgSz w:w="11907" w:h="16840" w:code="9"/>
          <w:pgMar w:top="1134" w:right="1418" w:bottom="1134" w:left="1418" w:header="709" w:footer="709" w:gutter="0"/>
          <w:cols w:space="708"/>
          <w:docGrid w:linePitch="360"/>
        </w:sectPr>
      </w:pPr>
      <w:r>
        <w:t>N/A</w:t>
      </w:r>
    </w:p>
    <w:p w:rsidR="00C25AEE" w:rsidRDefault="00673487">
      <w:pPr>
        <w:pStyle w:val="ManualHeading1"/>
        <w:rPr>
          <w:bCs/>
          <w:noProof/>
          <w:szCs w:val="24"/>
        </w:rPr>
      </w:pPr>
      <w:bookmarkStart w:id="23" w:name="_Toc514938041"/>
      <w:bookmarkStart w:id="24" w:name="_Toc520485042"/>
      <w:r>
        <w:t>2.</w:t>
      </w:r>
      <w:r>
        <w:tab/>
      </w:r>
      <w:r>
        <w:rPr>
          <w:noProof/>
        </w:rPr>
        <w:t>МЕРКИ ЗА УПРАВЛЕНИЕ</w:t>
      </w:r>
      <w:bookmarkEnd w:id="23"/>
      <w:bookmarkEnd w:id="24"/>
      <w:r>
        <w:rPr>
          <w:noProof/>
        </w:rPr>
        <w:t xml:space="preserve"> </w:t>
      </w:r>
    </w:p>
    <w:p w:rsidR="00C25AEE" w:rsidRDefault="00673487">
      <w:pPr>
        <w:pStyle w:val="ManualHeading2"/>
        <w:rPr>
          <w:noProof/>
        </w:rPr>
      </w:pPr>
      <w:bookmarkStart w:id="25" w:name="_Toc514938042"/>
      <w:bookmarkStart w:id="26" w:name="_Toc520485043"/>
      <w:r>
        <w:t>2.1.</w:t>
      </w:r>
      <w:r>
        <w:tab/>
      </w:r>
      <w:r>
        <w:rPr>
          <w:noProof/>
        </w:rPr>
        <w:t>Правила за мониторинг и докладване</w:t>
      </w:r>
      <w:bookmarkEnd w:id="25"/>
      <w:bookmarkEnd w:id="26"/>
      <w:r>
        <w:rPr>
          <w:noProof/>
        </w:rPr>
        <w:t xml:space="preserve"> </w:t>
      </w:r>
    </w:p>
    <w:p w:rsidR="00C25AEE" w:rsidRDefault="00673487">
      <w:pPr>
        <w:pStyle w:val="Text1"/>
        <w:rPr>
          <w:i/>
          <w:noProof/>
          <w:sz w:val="20"/>
        </w:rPr>
      </w:pPr>
      <w:r>
        <w:rPr>
          <w:i/>
          <w:noProof/>
          <w:sz w:val="20"/>
        </w:rPr>
        <w:t>Да се посочат честотата и условията.</w:t>
      </w:r>
    </w:p>
    <w:p w:rsidR="00C25AEE" w:rsidRDefault="00673487">
      <w:pPr>
        <w:pStyle w:val="Text1"/>
        <w:pBdr>
          <w:top w:val="single" w:sz="4" w:space="1" w:color="auto"/>
          <w:left w:val="single" w:sz="4" w:space="4" w:color="auto"/>
          <w:bottom w:val="single" w:sz="4" w:space="1" w:color="auto"/>
          <w:right w:val="single" w:sz="4" w:space="4" w:color="auto"/>
        </w:pBdr>
        <w:rPr>
          <w:noProof/>
        </w:rPr>
      </w:pPr>
      <w:r>
        <w:t>N/A</w:t>
      </w:r>
    </w:p>
    <w:p w:rsidR="00C25AEE" w:rsidRDefault="00673487">
      <w:pPr>
        <w:pStyle w:val="ManualHeading2"/>
        <w:rPr>
          <w:bCs/>
          <w:noProof/>
          <w:szCs w:val="24"/>
        </w:rPr>
      </w:pPr>
      <w:bookmarkStart w:id="27" w:name="_Toc514938045"/>
      <w:bookmarkStart w:id="28" w:name="_Toc520485044"/>
      <w:r>
        <w:t>2.2.</w:t>
      </w:r>
      <w:r>
        <w:tab/>
      </w:r>
      <w:r>
        <w:rPr>
          <w:noProof/>
        </w:rPr>
        <w:t>Системи за управление и контрол</w:t>
      </w:r>
      <w:bookmarkEnd w:id="27"/>
      <w:bookmarkEnd w:id="28"/>
      <w:r>
        <w:rPr>
          <w:noProof/>
        </w:rPr>
        <w:t xml:space="preserve"> </w:t>
      </w:r>
    </w:p>
    <w:p w:rsidR="00C25AEE" w:rsidRDefault="00673487">
      <w:pPr>
        <w:pStyle w:val="ManualHeading3"/>
        <w:rPr>
          <w:noProof/>
        </w:rPr>
      </w:pPr>
      <w:bookmarkStart w:id="29" w:name="_Toc514938046"/>
      <w:bookmarkStart w:id="30" w:name="_Toc520485045"/>
      <w:r>
        <w:t>2.2.1.</w:t>
      </w:r>
      <w:r>
        <w:tab/>
      </w:r>
      <w:r>
        <w:rPr>
          <w:noProof/>
        </w:rPr>
        <w:t xml:space="preserve">Обосновка на предложените начини за управление, механизми за финансиране на изпълнението, начини за </w:t>
      </w:r>
      <w:r>
        <w:rPr>
          <w:noProof/>
        </w:rPr>
        <w:t>плащане и стратегия за контрол</w:t>
      </w:r>
      <w:bookmarkEnd w:id="29"/>
      <w:bookmarkEnd w:id="30"/>
    </w:p>
    <w:p w:rsidR="00C25AEE" w:rsidRDefault="00673487">
      <w:pPr>
        <w:pStyle w:val="Text1"/>
        <w:pBdr>
          <w:top w:val="single" w:sz="4" w:space="1" w:color="auto"/>
          <w:left w:val="single" w:sz="4" w:space="4" w:color="auto"/>
          <w:bottom w:val="single" w:sz="4" w:space="1" w:color="auto"/>
          <w:right w:val="single" w:sz="4" w:space="4" w:color="auto"/>
        </w:pBdr>
        <w:rPr>
          <w:noProof/>
        </w:rPr>
      </w:pPr>
      <w:r>
        <w:t>N/A</w:t>
      </w:r>
    </w:p>
    <w:p w:rsidR="00C25AEE" w:rsidRDefault="00673487">
      <w:pPr>
        <w:pStyle w:val="ManualHeading3"/>
        <w:rPr>
          <w:bCs/>
          <w:noProof/>
          <w:szCs w:val="24"/>
        </w:rPr>
      </w:pPr>
      <w:bookmarkStart w:id="31" w:name="_Toc514938047"/>
      <w:bookmarkStart w:id="32" w:name="_Toc520485046"/>
      <w:r>
        <w:t>2.2.2.</w:t>
      </w:r>
      <w:r>
        <w:tab/>
      </w:r>
      <w:r>
        <w:rPr>
          <w:noProof/>
        </w:rPr>
        <w:t>Информация относно установените рискове и системите за вътрешен контрол, създадени с цел намаляването им</w:t>
      </w:r>
      <w:bookmarkEnd w:id="31"/>
      <w:bookmarkEnd w:id="32"/>
    </w:p>
    <w:p w:rsidR="00C25AEE" w:rsidRDefault="00673487">
      <w:pPr>
        <w:pStyle w:val="Text1"/>
        <w:pBdr>
          <w:top w:val="single" w:sz="4" w:space="1" w:color="auto"/>
          <w:left w:val="single" w:sz="4" w:space="4" w:color="auto"/>
          <w:bottom w:val="single" w:sz="4" w:space="1" w:color="auto"/>
          <w:right w:val="single" w:sz="4" w:space="4" w:color="auto"/>
        </w:pBdr>
        <w:rPr>
          <w:noProof/>
        </w:rPr>
      </w:pPr>
      <w:r>
        <w:t>N/A</w:t>
      </w:r>
    </w:p>
    <w:p w:rsidR="00C25AEE" w:rsidRDefault="00673487">
      <w:pPr>
        <w:pStyle w:val="ManualHeading3"/>
        <w:rPr>
          <w:noProof/>
        </w:rPr>
      </w:pPr>
      <w:bookmarkStart w:id="33" w:name="_Toc514938048"/>
      <w:bookmarkStart w:id="34" w:name="_Toc520485047"/>
      <w:r>
        <w:t>2.2.3.</w:t>
      </w:r>
      <w:r>
        <w:tab/>
      </w:r>
      <w:r>
        <w:rPr>
          <w:noProof/>
        </w:rPr>
        <w:t>Оценка и обосновка на разходната ефективност на проверките (съотношение „разходи за контрол ÷ стой</w:t>
      </w:r>
      <w:r>
        <w:rPr>
          <w:noProof/>
        </w:rPr>
        <w:t>ност на съответните управлявани фондове“) и оценка на очакваната степен на риска от грешки (при плащане и при приключване)</w:t>
      </w:r>
      <w:bookmarkEnd w:id="33"/>
      <w:bookmarkEnd w:id="34"/>
      <w:r>
        <w:rPr>
          <w:noProof/>
        </w:rPr>
        <w:t xml:space="preserve"> </w:t>
      </w:r>
    </w:p>
    <w:p w:rsidR="00C25AEE" w:rsidRDefault="00673487">
      <w:pPr>
        <w:pStyle w:val="Text1"/>
        <w:pBdr>
          <w:top w:val="single" w:sz="4" w:space="1" w:color="auto"/>
          <w:left w:val="single" w:sz="4" w:space="4" w:color="auto"/>
          <w:bottom w:val="single" w:sz="4" w:space="1" w:color="auto"/>
          <w:right w:val="single" w:sz="4" w:space="4" w:color="auto"/>
        </w:pBdr>
      </w:pPr>
      <w:r>
        <w:t>N/A</w:t>
      </w:r>
    </w:p>
    <w:p w:rsidR="00C25AEE" w:rsidRDefault="00673487">
      <w:pPr>
        <w:pStyle w:val="ManualHeading2"/>
        <w:rPr>
          <w:bCs/>
          <w:noProof/>
          <w:szCs w:val="24"/>
        </w:rPr>
      </w:pPr>
      <w:bookmarkStart w:id="35" w:name="_Toc514938049"/>
      <w:bookmarkStart w:id="36" w:name="_Toc520485048"/>
      <w:r>
        <w:t>2.3.</w:t>
      </w:r>
      <w:r>
        <w:tab/>
      </w:r>
      <w:r>
        <w:rPr>
          <w:noProof/>
        </w:rPr>
        <w:t>Мерки за предотвратяване на измами и нередности</w:t>
      </w:r>
      <w:bookmarkEnd w:id="35"/>
      <w:bookmarkEnd w:id="36"/>
      <w:r>
        <w:rPr>
          <w:noProof/>
        </w:rPr>
        <w:t xml:space="preserve"> </w:t>
      </w:r>
    </w:p>
    <w:p w:rsidR="00C25AEE" w:rsidRDefault="00673487">
      <w:pPr>
        <w:pStyle w:val="Text1"/>
        <w:rPr>
          <w:i/>
          <w:noProof/>
          <w:sz w:val="20"/>
        </w:rPr>
      </w:pPr>
      <w:r>
        <w:rPr>
          <w:i/>
          <w:noProof/>
          <w:sz w:val="20"/>
        </w:rPr>
        <w:t xml:space="preserve">Да се посочат съществуващите или планираните мерки за превенция и защита, </w:t>
      </w:r>
      <w:r>
        <w:rPr>
          <w:i/>
          <w:noProof/>
          <w:sz w:val="20"/>
        </w:rPr>
        <w:t>например от стратегията за борба с измамите.</w:t>
      </w:r>
    </w:p>
    <w:p w:rsidR="00C25AEE" w:rsidRDefault="00673487">
      <w:pPr>
        <w:pStyle w:val="Text1"/>
        <w:pBdr>
          <w:top w:val="single" w:sz="4" w:space="1" w:color="auto"/>
          <w:left w:val="single" w:sz="4" w:space="4" w:color="auto"/>
          <w:bottom w:val="single" w:sz="4" w:space="1" w:color="auto"/>
          <w:right w:val="single" w:sz="4" w:space="4" w:color="auto"/>
        </w:pBdr>
        <w:rPr>
          <w:noProof/>
        </w:rPr>
        <w:sectPr w:rsidR="00C25AEE">
          <w:pgSz w:w="11907" w:h="16840" w:code="9"/>
          <w:pgMar w:top="1134" w:right="1418" w:bottom="1134" w:left="1418" w:header="709" w:footer="709" w:gutter="0"/>
          <w:cols w:space="708"/>
          <w:docGrid w:linePitch="360"/>
        </w:sectPr>
      </w:pPr>
      <w:r>
        <w:t>N/A</w:t>
      </w:r>
    </w:p>
    <w:p w:rsidR="00C25AEE" w:rsidRDefault="00673487">
      <w:pPr>
        <w:pStyle w:val="ManualHeading1"/>
        <w:rPr>
          <w:bCs/>
          <w:noProof/>
          <w:szCs w:val="24"/>
        </w:rPr>
      </w:pPr>
      <w:bookmarkStart w:id="37" w:name="_Toc514938050"/>
      <w:bookmarkStart w:id="38" w:name="_Toc520485049"/>
      <w:r>
        <w:t>3.</w:t>
      </w:r>
      <w:r>
        <w:tab/>
      </w:r>
      <w:r>
        <w:rPr>
          <w:noProof/>
        </w:rPr>
        <w:t>ОЧАКВАНО ФИНАНСОВО ОТРАЖЕНИЕ НА ПРЕДЛОЖЕНИЕТО/ИНИЦИАТИВАТА</w:t>
      </w:r>
      <w:bookmarkEnd w:id="37"/>
      <w:bookmarkEnd w:id="38"/>
      <w:r>
        <w:rPr>
          <w:noProof/>
        </w:rPr>
        <w:t xml:space="preserve"> </w:t>
      </w:r>
    </w:p>
    <w:p w:rsidR="00C25AEE" w:rsidRDefault="00673487">
      <w:pPr>
        <w:pStyle w:val="ManualHeading2"/>
        <w:rPr>
          <w:noProof/>
        </w:rPr>
      </w:pPr>
      <w:bookmarkStart w:id="39" w:name="_Toc514938051"/>
      <w:bookmarkStart w:id="40" w:name="_Toc520485050"/>
      <w:r>
        <w:t>3.1.</w:t>
      </w:r>
      <w:r>
        <w:tab/>
      </w:r>
      <w:r>
        <w:rPr>
          <w:noProof/>
        </w:rPr>
        <w:t>Съответни функции от многогодишната финансова рамка и разходни бюджетни редове</w:t>
      </w:r>
      <w:bookmarkEnd w:id="39"/>
      <w:bookmarkEnd w:id="40"/>
      <w:r>
        <w:rPr>
          <w:noProof/>
        </w:rPr>
        <w:t xml:space="preserve"> </w:t>
      </w:r>
    </w:p>
    <w:p w:rsidR="00C25AEE" w:rsidRDefault="00673487">
      <w:pPr>
        <w:pStyle w:val="ListBullet1"/>
        <w:rPr>
          <w:noProof/>
        </w:rPr>
      </w:pPr>
      <w:r>
        <w:rPr>
          <w:noProof/>
        </w:rPr>
        <w:t xml:space="preserve">Съществуващи бюджетни редове </w:t>
      </w:r>
    </w:p>
    <w:p w:rsidR="00C25AEE" w:rsidRDefault="00673487">
      <w:pPr>
        <w:pStyle w:val="Text1"/>
        <w:rPr>
          <w:i/>
          <w:noProof/>
        </w:rPr>
      </w:pPr>
      <w:r>
        <w:rPr>
          <w:i/>
          <w:noProof/>
        </w:rPr>
        <w:t>По ред</w:t>
      </w:r>
      <w:r>
        <w:rPr>
          <w:i/>
          <w:noProof/>
        </w:rPr>
        <w:t>а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25AEE">
        <w:tc>
          <w:tcPr>
            <w:tcW w:w="1080" w:type="dxa"/>
            <w:vMerge w:val="restart"/>
            <w:vAlign w:val="center"/>
          </w:tcPr>
          <w:p w:rsidR="00C25AEE" w:rsidRDefault="00673487">
            <w:pPr>
              <w:spacing w:before="60" w:after="60"/>
              <w:jc w:val="center"/>
              <w:rPr>
                <w:noProof/>
              </w:rPr>
            </w:pPr>
            <w:r>
              <w:rPr>
                <w:noProof/>
                <w:sz w:val="18"/>
              </w:rPr>
              <w:t>Функция от многогодишната финансова рамка</w:t>
            </w:r>
          </w:p>
        </w:tc>
        <w:tc>
          <w:tcPr>
            <w:tcW w:w="3960" w:type="dxa"/>
            <w:vAlign w:val="center"/>
          </w:tcPr>
          <w:p w:rsidR="00C25AEE" w:rsidRDefault="00673487">
            <w:pPr>
              <w:spacing w:before="60" w:after="60"/>
              <w:jc w:val="center"/>
              <w:rPr>
                <w:noProof/>
              </w:rPr>
            </w:pPr>
            <w:r>
              <w:rPr>
                <w:noProof/>
                <w:sz w:val="20"/>
              </w:rPr>
              <w:t>Бюджетен ред</w:t>
            </w:r>
          </w:p>
        </w:tc>
        <w:tc>
          <w:tcPr>
            <w:tcW w:w="1080" w:type="dxa"/>
            <w:vAlign w:val="center"/>
          </w:tcPr>
          <w:p w:rsidR="00C25AEE" w:rsidRDefault="00673487">
            <w:pPr>
              <w:spacing w:before="60" w:after="60"/>
              <w:jc w:val="center"/>
              <w:rPr>
                <w:noProof/>
              </w:rPr>
            </w:pPr>
            <w:r>
              <w:rPr>
                <w:noProof/>
              </w:rPr>
              <w:t>Вид</w:t>
            </w:r>
            <w:r>
              <w:rPr>
                <w:noProof/>
                <w:sz w:val="18"/>
              </w:rPr>
              <w:t>разход</w:t>
            </w:r>
          </w:p>
        </w:tc>
        <w:tc>
          <w:tcPr>
            <w:tcW w:w="4440" w:type="dxa"/>
            <w:gridSpan w:val="4"/>
            <w:vAlign w:val="center"/>
          </w:tcPr>
          <w:p w:rsidR="00C25AEE" w:rsidRDefault="00673487">
            <w:pPr>
              <w:spacing w:before="60" w:after="60"/>
              <w:jc w:val="center"/>
              <w:rPr>
                <w:noProof/>
              </w:rPr>
            </w:pPr>
            <w:r>
              <w:rPr>
                <w:noProof/>
                <w:sz w:val="20"/>
              </w:rPr>
              <w:t xml:space="preserve">Финансова вноска </w:t>
            </w:r>
          </w:p>
        </w:tc>
      </w:tr>
      <w:tr w:rsidR="00C25AEE">
        <w:tc>
          <w:tcPr>
            <w:tcW w:w="1080" w:type="dxa"/>
            <w:vMerge/>
            <w:vAlign w:val="center"/>
          </w:tcPr>
          <w:p w:rsidR="00C25AEE" w:rsidRDefault="00C25AEE">
            <w:pPr>
              <w:jc w:val="center"/>
              <w:rPr>
                <w:noProof/>
              </w:rPr>
            </w:pPr>
          </w:p>
        </w:tc>
        <w:tc>
          <w:tcPr>
            <w:tcW w:w="3960" w:type="dxa"/>
            <w:vAlign w:val="center"/>
          </w:tcPr>
          <w:p w:rsidR="00C25AEE" w:rsidRDefault="00673487">
            <w:pPr>
              <w:rPr>
                <w:noProof/>
              </w:rPr>
            </w:pPr>
            <w:r>
              <w:rPr>
                <w:noProof/>
                <w:sz w:val="20"/>
              </w:rPr>
              <w:t xml:space="preserve">Номер </w:t>
            </w:r>
            <w:r>
              <w:rPr>
                <w:noProof/>
                <w:sz w:val="22"/>
              </w:rPr>
              <w:br/>
            </w:r>
          </w:p>
        </w:tc>
        <w:tc>
          <w:tcPr>
            <w:tcW w:w="1080" w:type="dxa"/>
            <w:vAlign w:val="center"/>
          </w:tcPr>
          <w:p w:rsidR="00C25AEE" w:rsidRDefault="00673487">
            <w:pPr>
              <w:jc w:val="center"/>
              <w:rPr>
                <w:noProof/>
              </w:rPr>
            </w:pPr>
            <w:r>
              <w:rPr>
                <w:noProof/>
                <w:sz w:val="18"/>
              </w:rPr>
              <w:t>МБК/ЕБК</w:t>
            </w:r>
            <w:r>
              <w:rPr>
                <w:rStyle w:val="FootnoteReference"/>
                <w:noProof/>
                <w:sz w:val="18"/>
              </w:rPr>
              <w:footnoteReference w:id="10"/>
            </w:r>
          </w:p>
        </w:tc>
        <w:tc>
          <w:tcPr>
            <w:tcW w:w="956" w:type="dxa"/>
            <w:vAlign w:val="center"/>
          </w:tcPr>
          <w:p w:rsidR="00C25AEE" w:rsidRDefault="00673487">
            <w:pPr>
              <w:jc w:val="center"/>
              <w:rPr>
                <w:noProof/>
              </w:rPr>
            </w:pPr>
            <w:r>
              <w:rPr>
                <w:noProof/>
                <w:sz w:val="18"/>
              </w:rPr>
              <w:t>от държавите от ЕАСТ</w:t>
            </w:r>
            <w:r>
              <w:rPr>
                <w:rStyle w:val="FootnoteReference"/>
                <w:noProof/>
                <w:sz w:val="18"/>
              </w:rPr>
              <w:footnoteReference w:id="11"/>
            </w:r>
          </w:p>
          <w:p w:rsidR="00C25AEE" w:rsidRDefault="00C25AEE">
            <w:pPr>
              <w:spacing w:before="0" w:after="0"/>
              <w:jc w:val="center"/>
              <w:rPr>
                <w:b/>
                <w:noProof/>
                <w:sz w:val="18"/>
              </w:rPr>
            </w:pPr>
          </w:p>
        </w:tc>
        <w:tc>
          <w:tcPr>
            <w:tcW w:w="1080" w:type="dxa"/>
            <w:vAlign w:val="center"/>
          </w:tcPr>
          <w:p w:rsidR="00C25AEE" w:rsidRDefault="00673487">
            <w:pPr>
              <w:jc w:val="center"/>
              <w:rPr>
                <w:noProof/>
              </w:rPr>
            </w:pPr>
            <w:r>
              <w:rPr>
                <w:noProof/>
                <w:sz w:val="18"/>
              </w:rPr>
              <w:t>от държавите кандидатки</w:t>
            </w:r>
            <w:r>
              <w:rPr>
                <w:rStyle w:val="FootnoteReference"/>
                <w:noProof/>
                <w:sz w:val="18"/>
              </w:rPr>
              <w:footnoteReference w:id="12"/>
            </w:r>
          </w:p>
          <w:p w:rsidR="00C25AEE" w:rsidRDefault="00C25AEE">
            <w:pPr>
              <w:spacing w:before="0" w:after="0"/>
              <w:jc w:val="center"/>
              <w:rPr>
                <w:noProof/>
                <w:sz w:val="18"/>
              </w:rPr>
            </w:pPr>
          </w:p>
        </w:tc>
        <w:tc>
          <w:tcPr>
            <w:tcW w:w="956" w:type="dxa"/>
            <w:vAlign w:val="center"/>
          </w:tcPr>
          <w:p w:rsidR="00C25AEE" w:rsidRDefault="00673487">
            <w:pPr>
              <w:jc w:val="center"/>
              <w:rPr>
                <w:noProof/>
                <w:sz w:val="18"/>
              </w:rPr>
            </w:pPr>
            <w:r>
              <w:rPr>
                <w:noProof/>
                <w:sz w:val="18"/>
              </w:rPr>
              <w:t>от трети държави</w:t>
            </w:r>
          </w:p>
        </w:tc>
        <w:tc>
          <w:tcPr>
            <w:tcW w:w="1448" w:type="dxa"/>
            <w:vAlign w:val="center"/>
          </w:tcPr>
          <w:p w:rsidR="00C25AEE" w:rsidRDefault="00673487">
            <w:pPr>
              <w:jc w:val="center"/>
              <w:rPr>
                <w:noProof/>
              </w:rPr>
            </w:pPr>
            <w:r>
              <w:rPr>
                <w:noProof/>
                <w:sz w:val="16"/>
              </w:rPr>
              <w:t xml:space="preserve">по смисъла на член 21, параграф 2, буква б) от Финансовия регламент </w:t>
            </w:r>
          </w:p>
        </w:tc>
      </w:tr>
      <w:tr w:rsidR="00C25AEE">
        <w:tc>
          <w:tcPr>
            <w:tcW w:w="1080" w:type="dxa"/>
            <w:vAlign w:val="center"/>
          </w:tcPr>
          <w:p w:rsidR="00C25AEE" w:rsidRDefault="00673487">
            <w:pPr>
              <w:jc w:val="center"/>
              <w:rPr>
                <w:noProof/>
                <w:color w:val="0000FF"/>
              </w:rPr>
            </w:pPr>
            <w:r>
              <w:rPr>
                <w:noProof/>
                <w:color w:val="0000FF"/>
              </w:rPr>
              <w:t>13</w:t>
            </w:r>
          </w:p>
        </w:tc>
        <w:tc>
          <w:tcPr>
            <w:tcW w:w="3960" w:type="dxa"/>
            <w:vAlign w:val="center"/>
          </w:tcPr>
          <w:p w:rsidR="00C25AEE" w:rsidRDefault="00C25AEE">
            <w:pPr>
              <w:spacing w:before="60"/>
              <w:rPr>
                <w:noProof/>
                <w:sz w:val="22"/>
              </w:rPr>
            </w:pPr>
          </w:p>
          <w:p w:rsidR="00C25AEE" w:rsidRDefault="00673487">
            <w:pPr>
              <w:spacing w:before="60"/>
              <w:rPr>
                <w:noProof/>
              </w:rPr>
            </w:pPr>
            <w:r>
              <w:rPr>
                <w:noProof/>
                <w:sz w:val="22"/>
              </w:rPr>
              <w:t>13.03.64.01 – Европейски фонд за регионално развитие (ЕФРР) — Европейско териториално сътрудничество (ЕТС)</w:t>
            </w:r>
          </w:p>
          <w:p w:rsidR="00C25AEE" w:rsidRDefault="00C25AEE">
            <w:pPr>
              <w:spacing w:after="60"/>
              <w:rPr>
                <w:noProof/>
              </w:rPr>
            </w:pPr>
          </w:p>
        </w:tc>
        <w:tc>
          <w:tcPr>
            <w:tcW w:w="1080" w:type="dxa"/>
            <w:vAlign w:val="center"/>
          </w:tcPr>
          <w:p w:rsidR="00C25AEE" w:rsidRDefault="00673487">
            <w:pPr>
              <w:jc w:val="center"/>
              <w:rPr>
                <w:noProof/>
                <w:color w:val="0000FF"/>
              </w:rPr>
            </w:pPr>
            <w:r>
              <w:rPr>
                <w:noProof/>
                <w:sz w:val="22"/>
              </w:rPr>
              <w:t>Многогод.</w:t>
            </w:r>
          </w:p>
        </w:tc>
        <w:tc>
          <w:tcPr>
            <w:tcW w:w="956" w:type="dxa"/>
            <w:vAlign w:val="center"/>
          </w:tcPr>
          <w:p w:rsidR="00C25AEE" w:rsidRDefault="00673487">
            <w:pPr>
              <w:jc w:val="center"/>
              <w:rPr>
                <w:noProof/>
                <w:sz w:val="20"/>
                <w:szCs w:val="20"/>
              </w:rPr>
            </w:pPr>
            <w:r>
              <w:rPr>
                <w:noProof/>
                <w:sz w:val="20"/>
              </w:rPr>
              <w:t>НЯМА</w:t>
            </w:r>
          </w:p>
        </w:tc>
        <w:tc>
          <w:tcPr>
            <w:tcW w:w="1080" w:type="dxa"/>
            <w:vAlign w:val="center"/>
          </w:tcPr>
          <w:p w:rsidR="00C25AEE" w:rsidRDefault="00673487">
            <w:pPr>
              <w:jc w:val="center"/>
              <w:rPr>
                <w:noProof/>
                <w:sz w:val="20"/>
                <w:szCs w:val="20"/>
              </w:rPr>
            </w:pPr>
            <w:r>
              <w:rPr>
                <w:noProof/>
                <w:sz w:val="20"/>
              </w:rPr>
              <w:t>НЯМА</w:t>
            </w:r>
          </w:p>
        </w:tc>
        <w:tc>
          <w:tcPr>
            <w:tcW w:w="956" w:type="dxa"/>
            <w:vAlign w:val="center"/>
          </w:tcPr>
          <w:p w:rsidR="00C25AEE" w:rsidRDefault="00673487">
            <w:pPr>
              <w:jc w:val="center"/>
              <w:rPr>
                <w:noProof/>
                <w:sz w:val="20"/>
                <w:szCs w:val="20"/>
              </w:rPr>
            </w:pPr>
            <w:r>
              <w:rPr>
                <w:noProof/>
                <w:sz w:val="20"/>
              </w:rPr>
              <w:t>НЯМА</w:t>
            </w:r>
          </w:p>
        </w:tc>
        <w:tc>
          <w:tcPr>
            <w:tcW w:w="1448" w:type="dxa"/>
            <w:vAlign w:val="center"/>
          </w:tcPr>
          <w:p w:rsidR="00C25AEE" w:rsidRDefault="00673487">
            <w:pPr>
              <w:rPr>
                <w:noProof/>
                <w:sz w:val="20"/>
                <w:szCs w:val="20"/>
              </w:rPr>
            </w:pPr>
            <w:r>
              <w:rPr>
                <w:noProof/>
                <w:sz w:val="20"/>
              </w:rPr>
              <w:t xml:space="preserve">      НЯМА</w:t>
            </w:r>
          </w:p>
        </w:tc>
      </w:tr>
    </w:tbl>
    <w:p w:rsidR="00C25AEE" w:rsidRDefault="00673487">
      <w:pPr>
        <w:pStyle w:val="ManualHeading2"/>
        <w:rPr>
          <w:bCs/>
          <w:noProof/>
          <w:szCs w:val="24"/>
        </w:rPr>
      </w:pPr>
      <w:bookmarkStart w:id="41" w:name="_Toc514938052"/>
      <w:bookmarkStart w:id="42" w:name="_Toc520485051"/>
      <w:r>
        <w:t>3.2.</w:t>
      </w:r>
      <w:r>
        <w:tab/>
      </w:r>
      <w:r>
        <w:rPr>
          <w:noProof/>
        </w:rPr>
        <w:t xml:space="preserve">Очаквано финансово отражение на </w:t>
      </w:r>
      <w:r>
        <w:rPr>
          <w:noProof/>
        </w:rPr>
        <w:t>предложението върху бюджетните кредити</w:t>
      </w:r>
      <w:bookmarkEnd w:id="41"/>
      <w:bookmarkEnd w:id="42"/>
      <w:r>
        <w:rPr>
          <w:noProof/>
        </w:rPr>
        <w:t xml:space="preserve"> </w:t>
      </w:r>
    </w:p>
    <w:p w:rsidR="00C25AEE" w:rsidRDefault="00673487">
      <w:pPr>
        <w:pStyle w:val="ManualHeading3"/>
        <w:rPr>
          <w:noProof/>
        </w:rPr>
      </w:pPr>
      <w:bookmarkStart w:id="43" w:name="_Toc514938053"/>
      <w:bookmarkStart w:id="44" w:name="_Toc520485052"/>
      <w:r>
        <w:t>3.2.1.</w:t>
      </w:r>
      <w:r>
        <w:tab/>
      </w:r>
      <w:r>
        <w:rPr>
          <w:noProof/>
        </w:rPr>
        <w:t>Обобщение на очакваното отражение върху бюджетните кредити за оперативни разходи</w:t>
      </w:r>
      <w:bookmarkEnd w:id="43"/>
      <w:bookmarkEnd w:id="44"/>
      <w:r>
        <w:rPr>
          <w:noProof/>
        </w:rPr>
        <w:t xml:space="preserve"> </w:t>
      </w:r>
    </w:p>
    <w:p w:rsidR="00C25AEE" w:rsidRDefault="00673487">
      <w:pPr>
        <w:pStyle w:val="ListDash1"/>
        <w:rPr>
          <w:b/>
          <w:noProof/>
        </w:rPr>
      </w:pPr>
      <w:r>
        <w:rPr>
          <w:b/>
          <w:noProof/>
        </w:rPr>
        <w:t>X</w:t>
      </w:r>
      <w:r>
        <w:rPr>
          <w:noProof/>
        </w:rPr>
        <w:tab/>
      </w:r>
      <w:r>
        <w:rPr>
          <w:b/>
          <w:noProof/>
        </w:rPr>
        <w:t xml:space="preserve">Настоящият регламент няма финансово отражение.  </w:t>
      </w:r>
    </w:p>
    <w:p w:rsidR="00C25AEE" w:rsidRDefault="00673487">
      <w:pPr>
        <w:pStyle w:val="Text1"/>
        <w:rPr>
          <w:noProof/>
        </w:rPr>
      </w:pPr>
      <w:r>
        <w:rPr>
          <w:noProof/>
        </w:rPr>
        <w:sym w:font="Wingdings" w:char="F0A8"/>
      </w:r>
      <w:r>
        <w:rPr>
          <w:noProof/>
        </w:rPr>
        <w:t xml:space="preserve"> Предложението/инициативата налага използване на бюджетни кредити за операт</w:t>
      </w:r>
      <w:r>
        <w:rPr>
          <w:noProof/>
        </w:rPr>
        <w:t>ивни разходи, както е обяснено по-долу:</w:t>
      </w:r>
    </w:p>
    <w:p w:rsidR="00C25AEE" w:rsidRDefault="00673487">
      <w:pPr>
        <w:jc w:val="right"/>
        <w:rPr>
          <w:noProof/>
          <w:sz w:val="18"/>
          <w:szCs w:val="18"/>
        </w:rPr>
      </w:pPr>
      <w:r>
        <w:rPr>
          <w:noProof/>
          <w:sz w:val="18"/>
        </w:rPr>
        <w:t xml:space="preserve">EUR </w:t>
      </w:r>
    </w:p>
    <w:p w:rsidR="00C25AEE" w:rsidRDefault="00673487">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25AEE">
        <w:trPr>
          <w:jc w:val="center"/>
        </w:trPr>
        <w:tc>
          <w:tcPr>
            <w:tcW w:w="4744" w:type="dxa"/>
            <w:shd w:val="thinDiagStripe" w:color="C0C0C0" w:fill="auto"/>
            <w:vAlign w:val="center"/>
          </w:tcPr>
          <w:p w:rsidR="00C25AEE" w:rsidRDefault="00673487">
            <w:pPr>
              <w:spacing w:before="60" w:after="60"/>
              <w:jc w:val="center"/>
              <w:rPr>
                <w:b/>
                <w:noProof/>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rsidR="00C25AEE" w:rsidRDefault="00673487">
            <w:pPr>
              <w:spacing w:before="60" w:after="60"/>
              <w:jc w:val="center"/>
              <w:rPr>
                <w:noProof/>
              </w:rPr>
            </w:pPr>
            <w:r>
              <w:rPr>
                <w:noProof/>
                <w:sz w:val="22"/>
              </w:rPr>
              <w:t>13</w:t>
            </w:r>
          </w:p>
        </w:tc>
        <w:tc>
          <w:tcPr>
            <w:tcW w:w="7817" w:type="dxa"/>
            <w:vAlign w:val="center"/>
          </w:tcPr>
          <w:p w:rsidR="00C25AEE" w:rsidRDefault="00C25AEE">
            <w:pPr>
              <w:spacing w:before="60" w:after="60"/>
              <w:rPr>
                <w:noProof/>
              </w:rPr>
            </w:pPr>
          </w:p>
        </w:tc>
      </w:tr>
    </w:tbl>
    <w:p w:rsidR="00C25AEE" w:rsidRDefault="00C25AEE">
      <w:pPr>
        <w:rPr>
          <w:noProof/>
          <w:sz w:val="16"/>
        </w:rPr>
      </w:pPr>
    </w:p>
    <w:tbl>
      <w:tblPr>
        <w:tblW w:w="15952"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252"/>
        <w:gridCol w:w="1116"/>
        <w:gridCol w:w="1010"/>
        <w:gridCol w:w="1134"/>
        <w:gridCol w:w="1418"/>
        <w:gridCol w:w="1559"/>
        <w:gridCol w:w="2409"/>
      </w:tblGrid>
      <w:tr w:rsidR="00C25AEE">
        <w:trPr>
          <w:trHeight w:val="1068"/>
        </w:trPr>
        <w:tc>
          <w:tcPr>
            <w:tcW w:w="3960" w:type="dxa"/>
            <w:vAlign w:val="center"/>
          </w:tcPr>
          <w:p w:rsidR="00C25AEE" w:rsidRDefault="00C25AEE">
            <w:pPr>
              <w:rPr>
                <w:noProof/>
              </w:rPr>
            </w:pPr>
          </w:p>
        </w:tc>
        <w:tc>
          <w:tcPr>
            <w:tcW w:w="1560" w:type="dxa"/>
            <w:gridSpan w:val="2"/>
          </w:tcPr>
          <w:p w:rsidR="00C25AEE" w:rsidRDefault="00C25AEE">
            <w:pPr>
              <w:rPr>
                <w:noProof/>
                <w:sz w:val="20"/>
              </w:rPr>
            </w:pPr>
          </w:p>
        </w:tc>
        <w:tc>
          <w:tcPr>
            <w:tcW w:w="534" w:type="dxa"/>
          </w:tcPr>
          <w:p w:rsidR="00C25AEE" w:rsidRDefault="00C25AEE">
            <w:pPr>
              <w:jc w:val="center"/>
              <w:rPr>
                <w:noProof/>
                <w:sz w:val="20"/>
              </w:rPr>
            </w:pPr>
          </w:p>
        </w:tc>
        <w:tc>
          <w:tcPr>
            <w:tcW w:w="1252" w:type="dxa"/>
            <w:vAlign w:val="center"/>
          </w:tcPr>
          <w:p w:rsidR="00C25AEE" w:rsidRDefault="00673487">
            <w:pPr>
              <w:jc w:val="center"/>
              <w:rPr>
                <w:noProof/>
                <w:sz w:val="20"/>
              </w:rPr>
            </w:pPr>
            <w:r>
              <w:rPr>
                <w:noProof/>
                <w:sz w:val="20"/>
              </w:rPr>
              <w:t>2019 г.</w:t>
            </w:r>
          </w:p>
        </w:tc>
        <w:tc>
          <w:tcPr>
            <w:tcW w:w="1116" w:type="dxa"/>
            <w:vAlign w:val="center"/>
          </w:tcPr>
          <w:p w:rsidR="00C25AEE" w:rsidRDefault="00673487">
            <w:pPr>
              <w:jc w:val="center"/>
              <w:rPr>
                <w:noProof/>
                <w:sz w:val="20"/>
              </w:rPr>
            </w:pPr>
            <w:r>
              <w:rPr>
                <w:noProof/>
                <w:sz w:val="20"/>
              </w:rPr>
              <w:t>2020 г.</w:t>
            </w:r>
          </w:p>
        </w:tc>
        <w:tc>
          <w:tcPr>
            <w:tcW w:w="1010" w:type="dxa"/>
            <w:vAlign w:val="center"/>
          </w:tcPr>
          <w:p w:rsidR="00C25AEE" w:rsidRDefault="00673487">
            <w:pPr>
              <w:jc w:val="center"/>
              <w:rPr>
                <w:noProof/>
                <w:sz w:val="20"/>
              </w:rPr>
            </w:pPr>
            <w:r>
              <w:rPr>
                <w:noProof/>
                <w:sz w:val="20"/>
              </w:rPr>
              <w:t>2021 г.</w:t>
            </w:r>
          </w:p>
        </w:tc>
        <w:tc>
          <w:tcPr>
            <w:tcW w:w="1134" w:type="dxa"/>
            <w:vAlign w:val="center"/>
          </w:tcPr>
          <w:p w:rsidR="00C25AEE" w:rsidRDefault="00673487">
            <w:pPr>
              <w:jc w:val="center"/>
              <w:rPr>
                <w:noProof/>
                <w:sz w:val="20"/>
              </w:rPr>
            </w:pPr>
            <w:r>
              <w:rPr>
                <w:noProof/>
                <w:sz w:val="20"/>
              </w:rPr>
              <w:t>2022 г.</w:t>
            </w:r>
          </w:p>
        </w:tc>
        <w:tc>
          <w:tcPr>
            <w:tcW w:w="1418" w:type="dxa"/>
          </w:tcPr>
          <w:p w:rsidR="00C25AEE" w:rsidRDefault="00673487">
            <w:pPr>
              <w:rPr>
                <w:noProof/>
                <w:sz w:val="20"/>
              </w:rPr>
            </w:pPr>
            <w:r>
              <w:rPr>
                <w:noProof/>
                <w:sz w:val="20"/>
              </w:rPr>
              <w:t xml:space="preserve">   </w:t>
            </w:r>
          </w:p>
          <w:p w:rsidR="00C25AEE" w:rsidRDefault="00673487">
            <w:pPr>
              <w:rPr>
                <w:noProof/>
                <w:sz w:val="20"/>
              </w:rPr>
            </w:pPr>
            <w:r>
              <w:rPr>
                <w:noProof/>
                <w:sz w:val="20"/>
              </w:rPr>
              <w:t xml:space="preserve">      2023 г.</w:t>
            </w:r>
          </w:p>
        </w:tc>
        <w:tc>
          <w:tcPr>
            <w:tcW w:w="1559" w:type="dxa"/>
          </w:tcPr>
          <w:p w:rsidR="00C25AEE" w:rsidRDefault="00C25AEE">
            <w:pPr>
              <w:jc w:val="center"/>
              <w:rPr>
                <w:noProof/>
                <w:sz w:val="20"/>
              </w:rPr>
            </w:pPr>
          </w:p>
          <w:p w:rsidR="00C25AEE" w:rsidRDefault="00673487">
            <w:pPr>
              <w:jc w:val="center"/>
              <w:rPr>
                <w:noProof/>
                <w:sz w:val="20"/>
              </w:rPr>
            </w:pPr>
            <w:r>
              <w:rPr>
                <w:noProof/>
                <w:sz w:val="20"/>
              </w:rPr>
              <w:t>Следващи години</w:t>
            </w:r>
          </w:p>
        </w:tc>
        <w:tc>
          <w:tcPr>
            <w:tcW w:w="2409" w:type="dxa"/>
            <w:vAlign w:val="center"/>
          </w:tcPr>
          <w:p w:rsidR="00C25AEE" w:rsidRDefault="00673487">
            <w:pPr>
              <w:jc w:val="center"/>
              <w:rPr>
                <w:b/>
                <w:noProof/>
                <w:sz w:val="20"/>
              </w:rPr>
            </w:pPr>
            <w:r>
              <w:rPr>
                <w:b/>
                <w:noProof/>
                <w:sz w:val="20"/>
              </w:rPr>
              <w:t>ОБЩО</w:t>
            </w:r>
          </w:p>
        </w:tc>
      </w:tr>
      <w:tr w:rsidR="00C25AEE">
        <w:trPr>
          <w:trHeight w:val="213"/>
        </w:trPr>
        <w:tc>
          <w:tcPr>
            <w:tcW w:w="6054" w:type="dxa"/>
            <w:gridSpan w:val="4"/>
            <w:vAlign w:val="center"/>
          </w:tcPr>
          <w:p w:rsidR="00C25AEE" w:rsidRDefault="00673487">
            <w:pPr>
              <w:spacing w:before="20" w:after="20"/>
              <w:rPr>
                <w:b/>
                <w:noProof/>
                <w:szCs w:val="24"/>
              </w:rPr>
            </w:pPr>
            <w:r>
              <w:rPr>
                <w:noProof/>
                <w:sz w:val="21"/>
              </w:rPr>
              <w:sym w:font="Wingdings" w:char="F09F"/>
            </w:r>
            <w:r>
              <w:rPr>
                <w:noProof/>
              </w:rPr>
              <w:t xml:space="preserve"> </w:t>
            </w:r>
            <w:r>
              <w:rPr>
                <w:b/>
                <w:noProof/>
              </w:rPr>
              <w:t>Освобождаване на бюджетни кредити за оперативни разходи</w:t>
            </w:r>
          </w:p>
        </w:tc>
        <w:tc>
          <w:tcPr>
            <w:tcW w:w="1252" w:type="dxa"/>
            <w:vAlign w:val="center"/>
          </w:tcPr>
          <w:p w:rsidR="00C25AEE" w:rsidRDefault="00C25AEE">
            <w:pPr>
              <w:rPr>
                <w:noProof/>
                <w:sz w:val="20"/>
              </w:rPr>
            </w:pPr>
          </w:p>
        </w:tc>
        <w:tc>
          <w:tcPr>
            <w:tcW w:w="1116" w:type="dxa"/>
            <w:vAlign w:val="center"/>
          </w:tcPr>
          <w:p w:rsidR="00C25AEE" w:rsidRDefault="00C25AEE">
            <w:pPr>
              <w:rPr>
                <w:noProof/>
                <w:sz w:val="20"/>
              </w:rPr>
            </w:pPr>
          </w:p>
        </w:tc>
        <w:tc>
          <w:tcPr>
            <w:tcW w:w="1010" w:type="dxa"/>
            <w:vAlign w:val="center"/>
          </w:tcPr>
          <w:p w:rsidR="00C25AEE" w:rsidRDefault="00C25AEE">
            <w:pPr>
              <w:rPr>
                <w:noProof/>
                <w:sz w:val="20"/>
              </w:rPr>
            </w:pPr>
          </w:p>
        </w:tc>
        <w:tc>
          <w:tcPr>
            <w:tcW w:w="1134" w:type="dxa"/>
            <w:vAlign w:val="center"/>
          </w:tcPr>
          <w:p w:rsidR="00C25AEE" w:rsidRDefault="00C25AEE">
            <w:pPr>
              <w:rPr>
                <w:noProof/>
                <w:sz w:val="20"/>
              </w:rPr>
            </w:pPr>
          </w:p>
        </w:tc>
        <w:tc>
          <w:tcPr>
            <w:tcW w:w="1418" w:type="dxa"/>
          </w:tcPr>
          <w:p w:rsidR="00C25AEE" w:rsidRDefault="00C25AEE">
            <w:pPr>
              <w:rPr>
                <w:b/>
                <w:noProof/>
                <w:sz w:val="20"/>
              </w:rPr>
            </w:pPr>
          </w:p>
        </w:tc>
        <w:tc>
          <w:tcPr>
            <w:tcW w:w="1559" w:type="dxa"/>
          </w:tcPr>
          <w:p w:rsidR="00C25AEE" w:rsidRDefault="00C25AEE">
            <w:pPr>
              <w:rPr>
                <w:b/>
                <w:noProof/>
                <w:sz w:val="20"/>
              </w:rPr>
            </w:pPr>
          </w:p>
        </w:tc>
        <w:tc>
          <w:tcPr>
            <w:tcW w:w="2409" w:type="dxa"/>
            <w:vAlign w:val="center"/>
          </w:tcPr>
          <w:p w:rsidR="00C25AEE" w:rsidRDefault="00C25AEE">
            <w:pPr>
              <w:rPr>
                <w:b/>
                <w:noProof/>
                <w:sz w:val="20"/>
              </w:rPr>
            </w:pPr>
          </w:p>
        </w:tc>
      </w:tr>
      <w:tr w:rsidR="00C25AEE">
        <w:trPr>
          <w:trHeight w:val="509"/>
        </w:trPr>
        <w:tc>
          <w:tcPr>
            <w:tcW w:w="3960" w:type="dxa"/>
            <w:vMerge w:val="restart"/>
            <w:vAlign w:val="center"/>
          </w:tcPr>
          <w:p w:rsidR="00C25AEE" w:rsidRDefault="00673487">
            <w:pPr>
              <w:rPr>
                <w:noProof/>
                <w:sz w:val="20"/>
              </w:rPr>
            </w:pPr>
            <w:r>
              <w:rPr>
                <w:noProof/>
                <w:sz w:val="20"/>
              </w:rPr>
              <w:t xml:space="preserve">13.03.64.01 – </w:t>
            </w:r>
            <w:r>
              <w:rPr>
                <w:noProof/>
                <w:sz w:val="20"/>
              </w:rPr>
              <w:t>Европейски фонд за регионално развитие (ЕФРР) — Европейско териториално сътрудничество (ЕТС)</w:t>
            </w:r>
          </w:p>
        </w:tc>
        <w:tc>
          <w:tcPr>
            <w:tcW w:w="1440" w:type="dxa"/>
            <w:vAlign w:val="center"/>
          </w:tcPr>
          <w:p w:rsidR="00C25AEE" w:rsidRDefault="00673487">
            <w:pPr>
              <w:spacing w:before="20" w:after="20"/>
              <w:rPr>
                <w:noProof/>
                <w:sz w:val="18"/>
              </w:rPr>
            </w:pPr>
            <w:r>
              <w:rPr>
                <w:noProof/>
                <w:sz w:val="18"/>
              </w:rPr>
              <w:t>Поети задължения</w:t>
            </w:r>
          </w:p>
        </w:tc>
        <w:tc>
          <w:tcPr>
            <w:tcW w:w="654" w:type="dxa"/>
            <w:gridSpan w:val="2"/>
            <w:vAlign w:val="center"/>
          </w:tcPr>
          <w:p w:rsidR="00C25AEE" w:rsidRDefault="00673487">
            <w:pPr>
              <w:spacing w:before="20" w:after="20"/>
              <w:jc w:val="center"/>
              <w:rPr>
                <w:noProof/>
                <w:sz w:val="14"/>
              </w:rPr>
            </w:pPr>
            <w:r>
              <w:rPr>
                <w:noProof/>
                <w:sz w:val="14"/>
              </w:rPr>
              <w:t>(1a)</w:t>
            </w:r>
          </w:p>
        </w:tc>
        <w:tc>
          <w:tcPr>
            <w:tcW w:w="1252" w:type="dxa"/>
            <w:vAlign w:val="center"/>
          </w:tcPr>
          <w:p w:rsidR="00C25AEE" w:rsidRDefault="00C25AEE">
            <w:pPr>
              <w:spacing w:before="20" w:after="20"/>
              <w:rPr>
                <w:noProof/>
                <w:sz w:val="18"/>
                <w:szCs w:val="18"/>
              </w:rPr>
            </w:pPr>
          </w:p>
        </w:tc>
        <w:tc>
          <w:tcPr>
            <w:tcW w:w="1116" w:type="dxa"/>
            <w:vAlign w:val="center"/>
          </w:tcPr>
          <w:p w:rsidR="00C25AEE" w:rsidRDefault="00C25AEE">
            <w:pPr>
              <w:spacing w:before="20" w:after="20"/>
              <w:jc w:val="right"/>
              <w:rPr>
                <w:noProof/>
                <w:sz w:val="18"/>
                <w:szCs w:val="18"/>
              </w:rPr>
            </w:pPr>
          </w:p>
        </w:tc>
        <w:tc>
          <w:tcPr>
            <w:tcW w:w="1010" w:type="dxa"/>
            <w:vAlign w:val="center"/>
          </w:tcPr>
          <w:p w:rsidR="00C25AEE" w:rsidRDefault="00C25AEE">
            <w:pPr>
              <w:spacing w:before="20" w:after="20"/>
              <w:jc w:val="right"/>
              <w:rPr>
                <w:noProof/>
                <w:sz w:val="20"/>
              </w:rPr>
            </w:pPr>
          </w:p>
        </w:tc>
        <w:tc>
          <w:tcPr>
            <w:tcW w:w="1134" w:type="dxa"/>
            <w:vAlign w:val="center"/>
          </w:tcPr>
          <w:p w:rsidR="00C25AEE" w:rsidRDefault="00C25AEE">
            <w:pPr>
              <w:spacing w:before="20" w:after="20"/>
              <w:jc w:val="right"/>
              <w:rPr>
                <w:noProof/>
                <w:sz w:val="20"/>
              </w:rPr>
            </w:pPr>
          </w:p>
        </w:tc>
        <w:tc>
          <w:tcPr>
            <w:tcW w:w="1418" w:type="dxa"/>
          </w:tcPr>
          <w:p w:rsidR="00C25AEE" w:rsidRDefault="00C25AEE">
            <w:pPr>
              <w:spacing w:before="20" w:after="20"/>
              <w:jc w:val="right"/>
              <w:rPr>
                <w:b/>
                <w:noProof/>
                <w:sz w:val="20"/>
              </w:rPr>
            </w:pPr>
          </w:p>
        </w:tc>
        <w:tc>
          <w:tcPr>
            <w:tcW w:w="1559" w:type="dxa"/>
          </w:tcPr>
          <w:p w:rsidR="00C25AEE" w:rsidRDefault="00C25AEE">
            <w:pPr>
              <w:spacing w:before="20" w:after="20"/>
              <w:jc w:val="right"/>
              <w:rPr>
                <w:b/>
                <w:noProof/>
                <w:sz w:val="20"/>
              </w:rPr>
            </w:pPr>
          </w:p>
        </w:tc>
        <w:tc>
          <w:tcPr>
            <w:tcW w:w="2409" w:type="dxa"/>
            <w:vAlign w:val="center"/>
          </w:tcPr>
          <w:p w:rsidR="00C25AEE" w:rsidRDefault="00C25AEE">
            <w:pPr>
              <w:spacing w:before="20" w:after="20"/>
              <w:jc w:val="right"/>
              <w:rPr>
                <w:noProof/>
                <w:sz w:val="18"/>
                <w:szCs w:val="18"/>
              </w:rPr>
            </w:pPr>
          </w:p>
        </w:tc>
      </w:tr>
      <w:tr w:rsidR="00C25AEE">
        <w:tc>
          <w:tcPr>
            <w:tcW w:w="3960" w:type="dxa"/>
            <w:vMerge/>
          </w:tcPr>
          <w:p w:rsidR="00C25AEE" w:rsidRDefault="00C25AEE">
            <w:pPr>
              <w:jc w:val="center"/>
              <w:rPr>
                <w:noProof/>
                <w:sz w:val="20"/>
              </w:rPr>
            </w:pPr>
          </w:p>
        </w:tc>
        <w:tc>
          <w:tcPr>
            <w:tcW w:w="1440" w:type="dxa"/>
            <w:vAlign w:val="center"/>
          </w:tcPr>
          <w:p w:rsidR="00C25AEE" w:rsidRDefault="00673487">
            <w:pPr>
              <w:spacing w:before="20" w:after="20"/>
              <w:rPr>
                <w:noProof/>
                <w:sz w:val="18"/>
              </w:rPr>
            </w:pPr>
            <w:r>
              <w:rPr>
                <w:noProof/>
                <w:sz w:val="18"/>
              </w:rPr>
              <w:t>Плащания</w:t>
            </w:r>
          </w:p>
        </w:tc>
        <w:tc>
          <w:tcPr>
            <w:tcW w:w="654" w:type="dxa"/>
            <w:gridSpan w:val="2"/>
            <w:vAlign w:val="center"/>
          </w:tcPr>
          <w:p w:rsidR="00C25AEE" w:rsidRDefault="00673487">
            <w:pPr>
              <w:spacing w:before="20" w:after="20"/>
              <w:jc w:val="center"/>
              <w:rPr>
                <w:noProof/>
                <w:sz w:val="14"/>
              </w:rPr>
            </w:pPr>
            <w:r>
              <w:rPr>
                <w:noProof/>
                <w:sz w:val="14"/>
              </w:rPr>
              <w:t>(2a)</w:t>
            </w:r>
          </w:p>
        </w:tc>
        <w:tc>
          <w:tcPr>
            <w:tcW w:w="1252" w:type="dxa"/>
            <w:vAlign w:val="center"/>
          </w:tcPr>
          <w:p w:rsidR="00C25AEE" w:rsidRDefault="00C25AEE">
            <w:pPr>
              <w:spacing w:before="20" w:after="20"/>
              <w:jc w:val="right"/>
              <w:rPr>
                <w:noProof/>
                <w:sz w:val="18"/>
                <w:szCs w:val="18"/>
              </w:rPr>
            </w:pPr>
          </w:p>
        </w:tc>
        <w:tc>
          <w:tcPr>
            <w:tcW w:w="1116" w:type="dxa"/>
            <w:vAlign w:val="center"/>
          </w:tcPr>
          <w:p w:rsidR="00C25AEE" w:rsidRDefault="00C25AEE">
            <w:pPr>
              <w:spacing w:before="20" w:after="20"/>
              <w:jc w:val="right"/>
              <w:rPr>
                <w:noProof/>
                <w:sz w:val="18"/>
                <w:szCs w:val="18"/>
              </w:rPr>
            </w:pPr>
          </w:p>
        </w:tc>
        <w:tc>
          <w:tcPr>
            <w:tcW w:w="1010" w:type="dxa"/>
            <w:vAlign w:val="center"/>
          </w:tcPr>
          <w:p w:rsidR="00C25AEE" w:rsidRDefault="00C25AEE">
            <w:pPr>
              <w:spacing w:before="20" w:after="20"/>
              <w:jc w:val="right"/>
              <w:rPr>
                <w:noProof/>
                <w:sz w:val="18"/>
                <w:szCs w:val="18"/>
                <w:highlight w:val="yellow"/>
              </w:rPr>
            </w:pPr>
          </w:p>
        </w:tc>
        <w:tc>
          <w:tcPr>
            <w:tcW w:w="1134" w:type="dxa"/>
            <w:vAlign w:val="center"/>
          </w:tcPr>
          <w:p w:rsidR="00C25AEE" w:rsidRDefault="00C25AEE">
            <w:pPr>
              <w:spacing w:before="20" w:after="20"/>
              <w:jc w:val="right"/>
              <w:rPr>
                <w:noProof/>
                <w:sz w:val="18"/>
                <w:szCs w:val="18"/>
              </w:rPr>
            </w:pPr>
          </w:p>
        </w:tc>
        <w:tc>
          <w:tcPr>
            <w:tcW w:w="1418" w:type="dxa"/>
          </w:tcPr>
          <w:p w:rsidR="00C25AEE" w:rsidRDefault="00C25AEE">
            <w:pPr>
              <w:spacing w:before="20" w:after="20"/>
              <w:jc w:val="right"/>
              <w:rPr>
                <w:noProof/>
                <w:sz w:val="18"/>
                <w:szCs w:val="18"/>
              </w:rPr>
            </w:pPr>
          </w:p>
        </w:tc>
        <w:tc>
          <w:tcPr>
            <w:tcW w:w="1559" w:type="dxa"/>
          </w:tcPr>
          <w:p w:rsidR="00C25AEE" w:rsidRDefault="00C25AEE">
            <w:pPr>
              <w:spacing w:before="20" w:after="20"/>
              <w:jc w:val="right"/>
              <w:rPr>
                <w:noProof/>
                <w:sz w:val="18"/>
                <w:szCs w:val="18"/>
              </w:rPr>
            </w:pPr>
          </w:p>
        </w:tc>
        <w:tc>
          <w:tcPr>
            <w:tcW w:w="2409" w:type="dxa"/>
            <w:vAlign w:val="center"/>
          </w:tcPr>
          <w:p w:rsidR="00C25AEE" w:rsidRDefault="00C25AEE">
            <w:pPr>
              <w:spacing w:before="20" w:after="20"/>
              <w:jc w:val="right"/>
              <w:rPr>
                <w:noProof/>
                <w:sz w:val="18"/>
                <w:szCs w:val="18"/>
              </w:rPr>
            </w:pPr>
          </w:p>
        </w:tc>
      </w:tr>
      <w:tr w:rsidR="00C25AEE">
        <w:tc>
          <w:tcPr>
            <w:tcW w:w="3960" w:type="dxa"/>
            <w:vMerge w:val="restart"/>
            <w:vAlign w:val="center"/>
          </w:tcPr>
          <w:p w:rsidR="00C25AEE" w:rsidRDefault="00673487">
            <w:pPr>
              <w:jc w:val="center"/>
              <w:rPr>
                <w:b/>
                <w:noProof/>
              </w:rPr>
            </w:pPr>
            <w:r>
              <w:rPr>
                <w:b/>
                <w:noProof/>
                <w:sz w:val="22"/>
              </w:rPr>
              <w:t>ОБЩО бюджетни кредити</w:t>
            </w:r>
            <w:r>
              <w:rPr>
                <w:noProof/>
                <w:sz w:val="22"/>
              </w:rPr>
              <w:br/>
            </w:r>
          </w:p>
        </w:tc>
        <w:tc>
          <w:tcPr>
            <w:tcW w:w="1440" w:type="dxa"/>
            <w:vAlign w:val="center"/>
          </w:tcPr>
          <w:p w:rsidR="00C25AEE" w:rsidRDefault="00673487">
            <w:pPr>
              <w:rPr>
                <w:noProof/>
                <w:sz w:val="18"/>
              </w:rPr>
            </w:pPr>
            <w:r>
              <w:rPr>
                <w:noProof/>
                <w:sz w:val="18"/>
              </w:rPr>
              <w:t>Поети задължения</w:t>
            </w:r>
          </w:p>
        </w:tc>
        <w:tc>
          <w:tcPr>
            <w:tcW w:w="654" w:type="dxa"/>
            <w:gridSpan w:val="2"/>
            <w:vAlign w:val="center"/>
          </w:tcPr>
          <w:p w:rsidR="00C25AEE" w:rsidRDefault="00673487">
            <w:pPr>
              <w:jc w:val="center"/>
              <w:rPr>
                <w:noProof/>
                <w:sz w:val="14"/>
              </w:rPr>
            </w:pPr>
            <w:r>
              <w:rPr>
                <w:noProof/>
                <w:sz w:val="14"/>
              </w:rPr>
              <w:t>=1а+1б+3</w:t>
            </w:r>
          </w:p>
        </w:tc>
        <w:tc>
          <w:tcPr>
            <w:tcW w:w="1252" w:type="dxa"/>
            <w:vAlign w:val="center"/>
          </w:tcPr>
          <w:p w:rsidR="00C25AEE" w:rsidRDefault="00C25AEE">
            <w:pPr>
              <w:spacing w:before="20" w:after="20"/>
              <w:jc w:val="right"/>
              <w:rPr>
                <w:noProof/>
                <w:sz w:val="18"/>
                <w:szCs w:val="18"/>
              </w:rPr>
            </w:pPr>
          </w:p>
        </w:tc>
        <w:tc>
          <w:tcPr>
            <w:tcW w:w="1116" w:type="dxa"/>
            <w:vAlign w:val="center"/>
          </w:tcPr>
          <w:p w:rsidR="00C25AEE" w:rsidRDefault="00C25AEE">
            <w:pPr>
              <w:spacing w:before="20" w:after="20"/>
              <w:jc w:val="right"/>
              <w:rPr>
                <w:noProof/>
                <w:sz w:val="18"/>
                <w:szCs w:val="18"/>
              </w:rPr>
            </w:pPr>
          </w:p>
        </w:tc>
        <w:tc>
          <w:tcPr>
            <w:tcW w:w="1010" w:type="dxa"/>
            <w:vAlign w:val="center"/>
          </w:tcPr>
          <w:p w:rsidR="00C25AEE" w:rsidRDefault="00C25AEE">
            <w:pPr>
              <w:spacing w:before="20" w:after="20"/>
              <w:jc w:val="right"/>
              <w:rPr>
                <w:noProof/>
                <w:sz w:val="18"/>
                <w:szCs w:val="18"/>
              </w:rPr>
            </w:pPr>
          </w:p>
        </w:tc>
        <w:tc>
          <w:tcPr>
            <w:tcW w:w="1134" w:type="dxa"/>
            <w:vAlign w:val="center"/>
          </w:tcPr>
          <w:p w:rsidR="00C25AEE" w:rsidRDefault="00C25AEE">
            <w:pPr>
              <w:spacing w:before="20" w:after="20"/>
              <w:jc w:val="right"/>
              <w:rPr>
                <w:noProof/>
                <w:sz w:val="18"/>
                <w:szCs w:val="18"/>
              </w:rPr>
            </w:pPr>
          </w:p>
        </w:tc>
        <w:tc>
          <w:tcPr>
            <w:tcW w:w="1418" w:type="dxa"/>
          </w:tcPr>
          <w:p w:rsidR="00C25AEE" w:rsidRDefault="00C25AEE">
            <w:pPr>
              <w:spacing w:before="20" w:after="20"/>
              <w:jc w:val="right"/>
              <w:rPr>
                <w:b/>
                <w:noProof/>
                <w:sz w:val="18"/>
                <w:szCs w:val="18"/>
              </w:rPr>
            </w:pPr>
          </w:p>
        </w:tc>
        <w:tc>
          <w:tcPr>
            <w:tcW w:w="1559" w:type="dxa"/>
          </w:tcPr>
          <w:p w:rsidR="00C25AEE" w:rsidRDefault="00C25AEE">
            <w:pPr>
              <w:spacing w:before="20" w:after="20"/>
              <w:jc w:val="right"/>
              <w:rPr>
                <w:b/>
                <w:noProof/>
                <w:sz w:val="18"/>
                <w:szCs w:val="18"/>
              </w:rPr>
            </w:pPr>
          </w:p>
        </w:tc>
        <w:tc>
          <w:tcPr>
            <w:tcW w:w="2409" w:type="dxa"/>
            <w:vAlign w:val="center"/>
          </w:tcPr>
          <w:p w:rsidR="00C25AEE" w:rsidRDefault="00C25AEE">
            <w:pPr>
              <w:spacing w:before="20" w:after="20"/>
              <w:jc w:val="right"/>
              <w:rPr>
                <w:b/>
                <w:noProof/>
                <w:sz w:val="18"/>
                <w:szCs w:val="18"/>
              </w:rPr>
            </w:pPr>
          </w:p>
        </w:tc>
      </w:tr>
      <w:tr w:rsidR="00C25AEE">
        <w:tc>
          <w:tcPr>
            <w:tcW w:w="3960" w:type="dxa"/>
            <w:vMerge/>
          </w:tcPr>
          <w:p w:rsidR="00C25AEE" w:rsidRDefault="00C25AEE">
            <w:pPr>
              <w:rPr>
                <w:noProof/>
                <w:sz w:val="20"/>
              </w:rPr>
            </w:pPr>
          </w:p>
        </w:tc>
        <w:tc>
          <w:tcPr>
            <w:tcW w:w="1440" w:type="dxa"/>
            <w:vAlign w:val="center"/>
          </w:tcPr>
          <w:p w:rsidR="00C25AEE" w:rsidRDefault="00673487">
            <w:pPr>
              <w:rPr>
                <w:noProof/>
                <w:sz w:val="18"/>
              </w:rPr>
            </w:pPr>
            <w:r>
              <w:rPr>
                <w:noProof/>
                <w:sz w:val="18"/>
              </w:rPr>
              <w:t>Плащания</w:t>
            </w:r>
          </w:p>
        </w:tc>
        <w:tc>
          <w:tcPr>
            <w:tcW w:w="654" w:type="dxa"/>
            <w:gridSpan w:val="2"/>
            <w:vAlign w:val="center"/>
          </w:tcPr>
          <w:p w:rsidR="00C25AEE" w:rsidRDefault="00673487">
            <w:pPr>
              <w:jc w:val="center"/>
              <w:rPr>
                <w:noProof/>
                <w:sz w:val="14"/>
              </w:rPr>
            </w:pPr>
            <w:r>
              <w:rPr>
                <w:noProof/>
                <w:sz w:val="14"/>
              </w:rPr>
              <w:t>=2а+2б</w:t>
            </w:r>
          </w:p>
          <w:p w:rsidR="00C25AEE" w:rsidRDefault="00673487">
            <w:pPr>
              <w:jc w:val="center"/>
              <w:rPr>
                <w:noProof/>
                <w:sz w:val="14"/>
              </w:rPr>
            </w:pPr>
            <w:r>
              <w:rPr>
                <w:noProof/>
                <w:sz w:val="14"/>
              </w:rPr>
              <w:t>+3</w:t>
            </w:r>
          </w:p>
        </w:tc>
        <w:tc>
          <w:tcPr>
            <w:tcW w:w="1252" w:type="dxa"/>
            <w:vAlign w:val="center"/>
          </w:tcPr>
          <w:p w:rsidR="00C25AEE" w:rsidRDefault="00C25AEE">
            <w:pPr>
              <w:spacing w:before="20" w:after="20"/>
              <w:jc w:val="right"/>
              <w:rPr>
                <w:noProof/>
                <w:sz w:val="18"/>
                <w:szCs w:val="18"/>
              </w:rPr>
            </w:pPr>
          </w:p>
        </w:tc>
        <w:tc>
          <w:tcPr>
            <w:tcW w:w="1116" w:type="dxa"/>
            <w:vAlign w:val="center"/>
          </w:tcPr>
          <w:p w:rsidR="00C25AEE" w:rsidRDefault="00C25AEE">
            <w:pPr>
              <w:spacing w:before="20" w:after="20"/>
              <w:jc w:val="right"/>
              <w:rPr>
                <w:noProof/>
                <w:sz w:val="18"/>
                <w:szCs w:val="18"/>
              </w:rPr>
            </w:pPr>
          </w:p>
        </w:tc>
        <w:tc>
          <w:tcPr>
            <w:tcW w:w="1010" w:type="dxa"/>
            <w:vAlign w:val="center"/>
          </w:tcPr>
          <w:p w:rsidR="00C25AEE" w:rsidRDefault="00C25AEE">
            <w:pPr>
              <w:spacing w:before="20" w:after="20"/>
              <w:jc w:val="right"/>
              <w:rPr>
                <w:noProof/>
                <w:sz w:val="18"/>
                <w:szCs w:val="18"/>
              </w:rPr>
            </w:pPr>
          </w:p>
        </w:tc>
        <w:tc>
          <w:tcPr>
            <w:tcW w:w="1134" w:type="dxa"/>
            <w:vAlign w:val="center"/>
          </w:tcPr>
          <w:p w:rsidR="00C25AEE" w:rsidRDefault="00C25AEE">
            <w:pPr>
              <w:spacing w:before="20" w:after="20"/>
              <w:jc w:val="right"/>
              <w:rPr>
                <w:noProof/>
                <w:sz w:val="18"/>
                <w:szCs w:val="18"/>
              </w:rPr>
            </w:pPr>
          </w:p>
        </w:tc>
        <w:tc>
          <w:tcPr>
            <w:tcW w:w="1418" w:type="dxa"/>
          </w:tcPr>
          <w:p w:rsidR="00C25AEE" w:rsidRDefault="00C25AEE">
            <w:pPr>
              <w:spacing w:before="20" w:after="20"/>
              <w:jc w:val="right"/>
              <w:rPr>
                <w:b/>
                <w:noProof/>
                <w:sz w:val="18"/>
                <w:szCs w:val="18"/>
              </w:rPr>
            </w:pPr>
          </w:p>
        </w:tc>
        <w:tc>
          <w:tcPr>
            <w:tcW w:w="1559" w:type="dxa"/>
          </w:tcPr>
          <w:p w:rsidR="00C25AEE" w:rsidRDefault="00C25AEE">
            <w:pPr>
              <w:spacing w:before="20" w:after="20"/>
              <w:jc w:val="right"/>
              <w:rPr>
                <w:b/>
                <w:noProof/>
                <w:sz w:val="18"/>
                <w:szCs w:val="18"/>
              </w:rPr>
            </w:pPr>
          </w:p>
        </w:tc>
        <w:tc>
          <w:tcPr>
            <w:tcW w:w="2409" w:type="dxa"/>
            <w:vAlign w:val="center"/>
          </w:tcPr>
          <w:p w:rsidR="00C25AEE" w:rsidRDefault="00C25AEE">
            <w:pPr>
              <w:spacing w:before="20" w:after="20"/>
              <w:jc w:val="right"/>
              <w:rPr>
                <w:b/>
                <w:noProof/>
                <w:sz w:val="18"/>
                <w:szCs w:val="18"/>
              </w:rPr>
            </w:pPr>
          </w:p>
        </w:tc>
      </w:tr>
    </w:tbl>
    <w:p w:rsidR="00C25AEE" w:rsidRDefault="00673487">
      <w:pPr>
        <w:rPr>
          <w:noProof/>
        </w:rPr>
      </w:pPr>
      <w:r>
        <w:rPr>
          <w:noProof/>
        </w:rPr>
        <w:br/>
      </w: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52"/>
        <w:gridCol w:w="1116"/>
        <w:gridCol w:w="1152"/>
        <w:gridCol w:w="1134"/>
        <w:gridCol w:w="1134"/>
        <w:gridCol w:w="1134"/>
        <w:gridCol w:w="1418"/>
      </w:tblGrid>
      <w:tr w:rsidR="00C25AEE">
        <w:trPr>
          <w:trHeight w:val="277"/>
        </w:trPr>
        <w:tc>
          <w:tcPr>
            <w:tcW w:w="3960" w:type="dxa"/>
            <w:vMerge w:val="restart"/>
            <w:vAlign w:val="center"/>
          </w:tcPr>
          <w:p w:rsidR="00C25AEE" w:rsidRDefault="00673487">
            <w:pPr>
              <w:spacing w:before="20" w:after="20"/>
              <w:rPr>
                <w:noProof/>
              </w:rPr>
            </w:pPr>
            <w:r>
              <w:rPr>
                <w:noProof/>
              </w:rPr>
              <w:br w:type="page"/>
            </w:r>
            <w:r>
              <w:rPr>
                <w:noProof/>
                <w:sz w:val="21"/>
              </w:rPr>
              <w:sym w:font="Wingdings" w:char="F09F"/>
            </w:r>
            <w:r>
              <w:rPr>
                <w:noProof/>
              </w:rPr>
              <w:t xml:space="preserve"> ОБЩО бюджетни кредити за оперативни разходи</w:t>
            </w:r>
          </w:p>
        </w:tc>
        <w:tc>
          <w:tcPr>
            <w:tcW w:w="1440" w:type="dxa"/>
            <w:vAlign w:val="center"/>
          </w:tcPr>
          <w:p w:rsidR="00C25AEE" w:rsidRDefault="00673487">
            <w:pPr>
              <w:spacing w:beforeLines="20" w:before="48" w:afterLines="20" w:after="48"/>
              <w:rPr>
                <w:noProof/>
                <w:sz w:val="18"/>
              </w:rPr>
            </w:pPr>
            <w:r>
              <w:rPr>
                <w:noProof/>
                <w:sz w:val="18"/>
              </w:rPr>
              <w:t>Поети задължения</w:t>
            </w:r>
          </w:p>
        </w:tc>
        <w:tc>
          <w:tcPr>
            <w:tcW w:w="654" w:type="dxa"/>
            <w:vAlign w:val="center"/>
          </w:tcPr>
          <w:p w:rsidR="00C25AEE" w:rsidRDefault="00673487">
            <w:pPr>
              <w:spacing w:beforeLines="20" w:before="48" w:afterLines="20" w:after="48"/>
              <w:jc w:val="center"/>
              <w:rPr>
                <w:noProof/>
                <w:sz w:val="14"/>
              </w:rPr>
            </w:pPr>
            <w:r>
              <w:rPr>
                <w:noProof/>
                <w:sz w:val="14"/>
              </w:rPr>
              <w:t>(4)</w:t>
            </w:r>
          </w:p>
        </w:tc>
        <w:tc>
          <w:tcPr>
            <w:tcW w:w="1252" w:type="dxa"/>
            <w:vAlign w:val="center"/>
          </w:tcPr>
          <w:p w:rsidR="00C25AEE" w:rsidRDefault="00C25AEE">
            <w:pPr>
              <w:spacing w:before="20" w:after="20"/>
              <w:jc w:val="right"/>
              <w:rPr>
                <w:noProof/>
                <w:sz w:val="20"/>
              </w:rPr>
            </w:pPr>
          </w:p>
        </w:tc>
        <w:tc>
          <w:tcPr>
            <w:tcW w:w="1116" w:type="dxa"/>
            <w:vAlign w:val="center"/>
          </w:tcPr>
          <w:p w:rsidR="00C25AEE" w:rsidRDefault="00C25AEE">
            <w:pPr>
              <w:spacing w:before="20" w:after="20"/>
              <w:jc w:val="right"/>
              <w:rPr>
                <w:noProof/>
                <w:sz w:val="20"/>
              </w:rPr>
            </w:pPr>
          </w:p>
        </w:tc>
        <w:tc>
          <w:tcPr>
            <w:tcW w:w="1152" w:type="dxa"/>
            <w:vAlign w:val="center"/>
          </w:tcPr>
          <w:p w:rsidR="00C25AEE" w:rsidRDefault="00C25AEE">
            <w:pPr>
              <w:spacing w:before="20" w:after="20"/>
              <w:jc w:val="right"/>
              <w:rPr>
                <w:noProof/>
                <w:sz w:val="20"/>
              </w:rPr>
            </w:pPr>
          </w:p>
        </w:tc>
        <w:tc>
          <w:tcPr>
            <w:tcW w:w="1134" w:type="dxa"/>
            <w:vAlign w:val="center"/>
          </w:tcPr>
          <w:p w:rsidR="00C25AEE" w:rsidRDefault="00C25AEE">
            <w:pPr>
              <w:spacing w:before="20" w:after="20"/>
              <w:jc w:val="right"/>
              <w:rPr>
                <w:noProof/>
                <w:sz w:val="20"/>
              </w:rPr>
            </w:pPr>
          </w:p>
        </w:tc>
        <w:tc>
          <w:tcPr>
            <w:tcW w:w="1134" w:type="dxa"/>
            <w:vAlign w:val="center"/>
          </w:tcPr>
          <w:p w:rsidR="00C25AEE" w:rsidRDefault="00C25AEE">
            <w:pPr>
              <w:spacing w:before="20" w:after="20"/>
              <w:jc w:val="right"/>
              <w:rPr>
                <w:noProof/>
                <w:sz w:val="20"/>
              </w:rPr>
            </w:pPr>
          </w:p>
        </w:tc>
        <w:tc>
          <w:tcPr>
            <w:tcW w:w="1134" w:type="dxa"/>
            <w:vAlign w:val="center"/>
          </w:tcPr>
          <w:p w:rsidR="00C25AEE" w:rsidRDefault="00C25AEE">
            <w:pPr>
              <w:spacing w:before="20" w:after="20"/>
              <w:jc w:val="right"/>
              <w:rPr>
                <w:noProof/>
                <w:sz w:val="20"/>
              </w:rPr>
            </w:pPr>
          </w:p>
        </w:tc>
        <w:tc>
          <w:tcPr>
            <w:tcW w:w="1418" w:type="dxa"/>
            <w:vAlign w:val="center"/>
          </w:tcPr>
          <w:p w:rsidR="00C25AEE" w:rsidRDefault="00C25AEE">
            <w:pPr>
              <w:spacing w:before="20" w:after="20"/>
              <w:jc w:val="right"/>
              <w:rPr>
                <w:b/>
                <w:noProof/>
                <w:sz w:val="20"/>
              </w:rPr>
            </w:pPr>
          </w:p>
        </w:tc>
      </w:tr>
      <w:tr w:rsidR="00C25AEE">
        <w:tc>
          <w:tcPr>
            <w:tcW w:w="3960" w:type="dxa"/>
            <w:vMerge/>
          </w:tcPr>
          <w:p w:rsidR="00C25AEE" w:rsidRDefault="00C25AEE">
            <w:pPr>
              <w:jc w:val="center"/>
              <w:rPr>
                <w:noProof/>
                <w:sz w:val="20"/>
              </w:rPr>
            </w:pPr>
          </w:p>
        </w:tc>
        <w:tc>
          <w:tcPr>
            <w:tcW w:w="1440" w:type="dxa"/>
            <w:vAlign w:val="center"/>
          </w:tcPr>
          <w:p w:rsidR="00C25AEE" w:rsidRDefault="00673487">
            <w:pPr>
              <w:spacing w:beforeLines="20" w:before="48" w:afterLines="20" w:after="48"/>
              <w:rPr>
                <w:noProof/>
                <w:sz w:val="18"/>
              </w:rPr>
            </w:pPr>
            <w:r>
              <w:rPr>
                <w:noProof/>
                <w:sz w:val="18"/>
              </w:rPr>
              <w:t>Плащания</w:t>
            </w:r>
          </w:p>
        </w:tc>
        <w:tc>
          <w:tcPr>
            <w:tcW w:w="654" w:type="dxa"/>
            <w:vAlign w:val="center"/>
          </w:tcPr>
          <w:p w:rsidR="00C25AEE" w:rsidRDefault="00673487">
            <w:pPr>
              <w:spacing w:beforeLines="20" w:before="48" w:afterLines="20" w:after="48"/>
              <w:jc w:val="center"/>
              <w:rPr>
                <w:noProof/>
                <w:sz w:val="14"/>
              </w:rPr>
            </w:pPr>
            <w:r>
              <w:rPr>
                <w:noProof/>
                <w:sz w:val="14"/>
              </w:rPr>
              <w:t>(5)</w:t>
            </w:r>
          </w:p>
        </w:tc>
        <w:tc>
          <w:tcPr>
            <w:tcW w:w="1252" w:type="dxa"/>
            <w:vAlign w:val="center"/>
          </w:tcPr>
          <w:p w:rsidR="00C25AEE" w:rsidRDefault="00C25AEE">
            <w:pPr>
              <w:spacing w:before="20" w:after="20"/>
              <w:jc w:val="right"/>
              <w:rPr>
                <w:noProof/>
                <w:sz w:val="20"/>
              </w:rPr>
            </w:pPr>
          </w:p>
        </w:tc>
        <w:tc>
          <w:tcPr>
            <w:tcW w:w="1116" w:type="dxa"/>
            <w:vAlign w:val="center"/>
          </w:tcPr>
          <w:p w:rsidR="00C25AEE" w:rsidRDefault="00C25AEE">
            <w:pPr>
              <w:spacing w:before="20" w:after="20"/>
              <w:jc w:val="right"/>
              <w:rPr>
                <w:noProof/>
                <w:sz w:val="20"/>
              </w:rPr>
            </w:pPr>
          </w:p>
        </w:tc>
        <w:tc>
          <w:tcPr>
            <w:tcW w:w="1152" w:type="dxa"/>
            <w:vAlign w:val="center"/>
          </w:tcPr>
          <w:p w:rsidR="00C25AEE" w:rsidRDefault="00C25AEE">
            <w:pPr>
              <w:spacing w:before="20" w:after="20"/>
              <w:jc w:val="right"/>
              <w:rPr>
                <w:noProof/>
                <w:sz w:val="20"/>
              </w:rPr>
            </w:pPr>
          </w:p>
        </w:tc>
        <w:tc>
          <w:tcPr>
            <w:tcW w:w="1134" w:type="dxa"/>
            <w:vAlign w:val="center"/>
          </w:tcPr>
          <w:p w:rsidR="00C25AEE" w:rsidRDefault="00C25AEE">
            <w:pPr>
              <w:spacing w:before="20" w:after="20"/>
              <w:jc w:val="right"/>
              <w:rPr>
                <w:noProof/>
                <w:sz w:val="20"/>
              </w:rPr>
            </w:pPr>
          </w:p>
        </w:tc>
        <w:tc>
          <w:tcPr>
            <w:tcW w:w="1134" w:type="dxa"/>
            <w:vAlign w:val="center"/>
          </w:tcPr>
          <w:p w:rsidR="00C25AEE" w:rsidRDefault="00C25AEE">
            <w:pPr>
              <w:spacing w:before="20" w:after="20"/>
              <w:jc w:val="right"/>
              <w:rPr>
                <w:noProof/>
                <w:sz w:val="20"/>
              </w:rPr>
            </w:pPr>
          </w:p>
        </w:tc>
        <w:tc>
          <w:tcPr>
            <w:tcW w:w="1134" w:type="dxa"/>
            <w:vAlign w:val="center"/>
          </w:tcPr>
          <w:p w:rsidR="00C25AEE" w:rsidRDefault="00C25AEE">
            <w:pPr>
              <w:spacing w:before="20" w:after="20"/>
              <w:jc w:val="right"/>
              <w:rPr>
                <w:noProof/>
                <w:sz w:val="20"/>
              </w:rPr>
            </w:pPr>
          </w:p>
        </w:tc>
        <w:tc>
          <w:tcPr>
            <w:tcW w:w="1418" w:type="dxa"/>
            <w:vAlign w:val="center"/>
          </w:tcPr>
          <w:p w:rsidR="00C25AEE" w:rsidRDefault="00C25AEE">
            <w:pPr>
              <w:spacing w:before="20" w:after="20"/>
              <w:jc w:val="right"/>
              <w:rPr>
                <w:b/>
                <w:noProof/>
                <w:sz w:val="20"/>
              </w:rPr>
            </w:pPr>
          </w:p>
        </w:tc>
      </w:tr>
      <w:tr w:rsidR="00C25AEE">
        <w:trPr>
          <w:trHeight w:val="533"/>
        </w:trPr>
        <w:tc>
          <w:tcPr>
            <w:tcW w:w="5400" w:type="dxa"/>
            <w:gridSpan w:val="2"/>
            <w:vAlign w:val="center"/>
          </w:tcPr>
          <w:p w:rsidR="00C25AEE" w:rsidRDefault="00673487">
            <w:pPr>
              <w:spacing w:beforeLines="20" w:before="48" w:afterLines="20" w:after="48"/>
              <w:rPr>
                <w:noProof/>
              </w:rPr>
            </w:pPr>
            <w:r>
              <w:rPr>
                <w:noProof/>
                <w:sz w:val="21"/>
              </w:rPr>
              <w:sym w:font="Wingdings" w:char="F09F"/>
            </w:r>
            <w:r>
              <w:rPr>
                <w:noProof/>
              </w:rPr>
              <w:t xml:space="preserve"> ОБЩО бюджетни кредити за административни разходи, финансирани от пакета за специални програми</w:t>
            </w:r>
          </w:p>
        </w:tc>
        <w:tc>
          <w:tcPr>
            <w:tcW w:w="654" w:type="dxa"/>
            <w:vAlign w:val="center"/>
          </w:tcPr>
          <w:p w:rsidR="00C25AEE" w:rsidRDefault="00673487">
            <w:pPr>
              <w:spacing w:beforeLines="20" w:before="48" w:afterLines="20" w:after="48"/>
              <w:jc w:val="center"/>
              <w:rPr>
                <w:noProof/>
                <w:sz w:val="14"/>
              </w:rPr>
            </w:pPr>
            <w:r>
              <w:rPr>
                <w:noProof/>
                <w:sz w:val="14"/>
              </w:rPr>
              <w:t>(6)</w:t>
            </w:r>
          </w:p>
        </w:tc>
        <w:tc>
          <w:tcPr>
            <w:tcW w:w="1252" w:type="dxa"/>
            <w:vAlign w:val="center"/>
          </w:tcPr>
          <w:p w:rsidR="00C25AEE" w:rsidRDefault="00C25AEE">
            <w:pPr>
              <w:spacing w:before="20" w:after="20"/>
              <w:jc w:val="right"/>
              <w:rPr>
                <w:b/>
                <w:noProof/>
                <w:sz w:val="20"/>
              </w:rPr>
            </w:pPr>
          </w:p>
        </w:tc>
        <w:tc>
          <w:tcPr>
            <w:tcW w:w="1116" w:type="dxa"/>
            <w:vAlign w:val="center"/>
          </w:tcPr>
          <w:p w:rsidR="00C25AEE" w:rsidRDefault="00C25AEE">
            <w:pPr>
              <w:spacing w:before="20" w:after="20"/>
              <w:jc w:val="right"/>
              <w:rPr>
                <w:b/>
                <w:noProof/>
                <w:sz w:val="20"/>
              </w:rPr>
            </w:pPr>
          </w:p>
        </w:tc>
        <w:tc>
          <w:tcPr>
            <w:tcW w:w="1152" w:type="dxa"/>
            <w:vAlign w:val="center"/>
          </w:tcPr>
          <w:p w:rsidR="00C25AEE" w:rsidRDefault="00C25AEE">
            <w:pPr>
              <w:spacing w:before="20" w:after="20"/>
              <w:jc w:val="right"/>
              <w:rPr>
                <w:b/>
                <w:noProof/>
                <w:sz w:val="20"/>
              </w:rPr>
            </w:pPr>
          </w:p>
        </w:tc>
        <w:tc>
          <w:tcPr>
            <w:tcW w:w="1134" w:type="dxa"/>
            <w:vAlign w:val="center"/>
          </w:tcPr>
          <w:p w:rsidR="00C25AEE" w:rsidRDefault="00C25AEE">
            <w:pPr>
              <w:spacing w:before="20" w:after="20"/>
              <w:jc w:val="right"/>
              <w:rPr>
                <w:b/>
                <w:noProof/>
                <w:sz w:val="20"/>
              </w:rPr>
            </w:pPr>
          </w:p>
        </w:tc>
        <w:tc>
          <w:tcPr>
            <w:tcW w:w="1134" w:type="dxa"/>
            <w:vAlign w:val="center"/>
          </w:tcPr>
          <w:p w:rsidR="00C25AEE" w:rsidRDefault="00C25AEE">
            <w:pPr>
              <w:spacing w:before="20" w:after="20"/>
              <w:jc w:val="right"/>
              <w:rPr>
                <w:b/>
                <w:noProof/>
                <w:sz w:val="20"/>
              </w:rPr>
            </w:pPr>
          </w:p>
        </w:tc>
        <w:tc>
          <w:tcPr>
            <w:tcW w:w="1134" w:type="dxa"/>
            <w:vAlign w:val="center"/>
          </w:tcPr>
          <w:p w:rsidR="00C25AEE" w:rsidRDefault="00C25AEE">
            <w:pPr>
              <w:spacing w:before="20" w:after="20"/>
              <w:jc w:val="right"/>
              <w:rPr>
                <w:b/>
                <w:noProof/>
                <w:sz w:val="20"/>
              </w:rPr>
            </w:pPr>
          </w:p>
        </w:tc>
        <w:tc>
          <w:tcPr>
            <w:tcW w:w="1418" w:type="dxa"/>
            <w:vAlign w:val="center"/>
          </w:tcPr>
          <w:p w:rsidR="00C25AEE" w:rsidRDefault="00C25AEE">
            <w:pPr>
              <w:spacing w:before="20" w:after="20"/>
              <w:jc w:val="right"/>
              <w:rPr>
                <w:b/>
                <w:noProof/>
                <w:sz w:val="20"/>
              </w:rPr>
            </w:pPr>
          </w:p>
        </w:tc>
      </w:tr>
      <w:tr w:rsidR="00C25AEE">
        <w:tc>
          <w:tcPr>
            <w:tcW w:w="3960" w:type="dxa"/>
            <w:vMerge w:val="restart"/>
            <w:shd w:val="thinDiagStripe" w:color="C0C0C0" w:fill="auto"/>
            <w:vAlign w:val="center"/>
          </w:tcPr>
          <w:p w:rsidR="00C25AEE" w:rsidRDefault="00673487">
            <w:pPr>
              <w:jc w:val="center"/>
              <w:rPr>
                <w:b/>
                <w:noProof/>
              </w:rPr>
            </w:pPr>
            <w:r>
              <w:rPr>
                <w:b/>
                <w:noProof/>
              </w:rPr>
              <w:t>ОБЩО бюджетни кредити</w:t>
            </w:r>
            <w:r>
              <w:rPr>
                <w:noProof/>
                <w:sz w:val="22"/>
              </w:rPr>
              <w:br/>
            </w:r>
            <w:r>
              <w:rPr>
                <w:b/>
                <w:noProof/>
                <w:sz w:val="22"/>
              </w:rPr>
              <w:t>по ФУНКЦИЯ 13</w:t>
            </w:r>
            <w:r>
              <w:rPr>
                <w:noProof/>
                <w:sz w:val="22"/>
              </w:rPr>
              <w:br/>
              <w:t xml:space="preserve">от </w:t>
            </w:r>
            <w:r>
              <w:rPr>
                <w:noProof/>
                <w:sz w:val="22"/>
              </w:rPr>
              <w:t>многогодишната финансова рамка</w:t>
            </w:r>
          </w:p>
        </w:tc>
        <w:tc>
          <w:tcPr>
            <w:tcW w:w="1440" w:type="dxa"/>
            <w:vAlign w:val="center"/>
          </w:tcPr>
          <w:p w:rsidR="00C25AEE" w:rsidRDefault="00673487">
            <w:pPr>
              <w:rPr>
                <w:noProof/>
                <w:sz w:val="18"/>
              </w:rPr>
            </w:pPr>
            <w:r>
              <w:rPr>
                <w:noProof/>
                <w:sz w:val="18"/>
              </w:rPr>
              <w:t>Поети задължения</w:t>
            </w:r>
          </w:p>
        </w:tc>
        <w:tc>
          <w:tcPr>
            <w:tcW w:w="654" w:type="dxa"/>
            <w:vAlign w:val="center"/>
          </w:tcPr>
          <w:p w:rsidR="00C25AEE" w:rsidRDefault="00673487">
            <w:pPr>
              <w:jc w:val="center"/>
              <w:rPr>
                <w:noProof/>
                <w:sz w:val="14"/>
              </w:rPr>
            </w:pPr>
            <w:r>
              <w:rPr>
                <w:noProof/>
                <w:sz w:val="14"/>
              </w:rPr>
              <w:t>=4+6</w:t>
            </w:r>
          </w:p>
        </w:tc>
        <w:tc>
          <w:tcPr>
            <w:tcW w:w="1252" w:type="dxa"/>
            <w:vAlign w:val="center"/>
          </w:tcPr>
          <w:p w:rsidR="00C25AEE" w:rsidRDefault="00C25AEE">
            <w:pPr>
              <w:spacing w:before="20" w:after="20"/>
              <w:jc w:val="right"/>
              <w:rPr>
                <w:noProof/>
                <w:sz w:val="18"/>
                <w:szCs w:val="18"/>
              </w:rPr>
            </w:pPr>
          </w:p>
        </w:tc>
        <w:tc>
          <w:tcPr>
            <w:tcW w:w="1116" w:type="dxa"/>
            <w:vAlign w:val="center"/>
          </w:tcPr>
          <w:p w:rsidR="00C25AEE" w:rsidRDefault="00C25AEE">
            <w:pPr>
              <w:spacing w:before="20" w:after="20"/>
              <w:jc w:val="right"/>
              <w:rPr>
                <w:noProof/>
                <w:sz w:val="18"/>
                <w:szCs w:val="18"/>
              </w:rPr>
            </w:pPr>
          </w:p>
        </w:tc>
        <w:tc>
          <w:tcPr>
            <w:tcW w:w="1152" w:type="dxa"/>
            <w:vAlign w:val="center"/>
          </w:tcPr>
          <w:p w:rsidR="00C25AEE" w:rsidRDefault="00C25AEE">
            <w:pPr>
              <w:spacing w:before="20" w:after="20"/>
              <w:jc w:val="right"/>
              <w:rPr>
                <w:noProof/>
                <w:sz w:val="18"/>
                <w:szCs w:val="18"/>
              </w:rPr>
            </w:pPr>
          </w:p>
        </w:tc>
        <w:tc>
          <w:tcPr>
            <w:tcW w:w="1134" w:type="dxa"/>
            <w:vAlign w:val="center"/>
          </w:tcPr>
          <w:p w:rsidR="00C25AEE" w:rsidRDefault="00C25AEE">
            <w:pPr>
              <w:spacing w:before="20" w:after="20"/>
              <w:jc w:val="right"/>
              <w:rPr>
                <w:noProof/>
                <w:sz w:val="18"/>
                <w:szCs w:val="18"/>
              </w:rPr>
            </w:pPr>
          </w:p>
        </w:tc>
        <w:tc>
          <w:tcPr>
            <w:tcW w:w="1134" w:type="dxa"/>
          </w:tcPr>
          <w:p w:rsidR="00C25AEE" w:rsidRDefault="00C25AEE">
            <w:pPr>
              <w:spacing w:before="20" w:after="20"/>
              <w:jc w:val="right"/>
              <w:rPr>
                <w:noProof/>
                <w:sz w:val="18"/>
                <w:szCs w:val="18"/>
              </w:rPr>
            </w:pPr>
          </w:p>
        </w:tc>
        <w:tc>
          <w:tcPr>
            <w:tcW w:w="1134" w:type="dxa"/>
          </w:tcPr>
          <w:p w:rsidR="00C25AEE" w:rsidRDefault="00C25AEE">
            <w:pPr>
              <w:spacing w:before="20" w:after="20"/>
              <w:jc w:val="right"/>
              <w:rPr>
                <w:noProof/>
                <w:sz w:val="18"/>
                <w:szCs w:val="18"/>
              </w:rPr>
            </w:pPr>
          </w:p>
        </w:tc>
        <w:tc>
          <w:tcPr>
            <w:tcW w:w="1418" w:type="dxa"/>
            <w:vAlign w:val="center"/>
          </w:tcPr>
          <w:p w:rsidR="00C25AEE" w:rsidRDefault="00C25AEE">
            <w:pPr>
              <w:spacing w:before="20" w:after="20"/>
              <w:jc w:val="right"/>
              <w:rPr>
                <w:b/>
                <w:noProof/>
                <w:sz w:val="18"/>
                <w:szCs w:val="18"/>
              </w:rPr>
            </w:pPr>
          </w:p>
        </w:tc>
      </w:tr>
      <w:tr w:rsidR="00C25AEE">
        <w:tc>
          <w:tcPr>
            <w:tcW w:w="3960" w:type="dxa"/>
            <w:vMerge/>
            <w:shd w:val="thinDiagStripe" w:color="C0C0C0" w:fill="auto"/>
          </w:tcPr>
          <w:p w:rsidR="00C25AEE" w:rsidRDefault="00C25AEE">
            <w:pPr>
              <w:rPr>
                <w:noProof/>
                <w:sz w:val="20"/>
              </w:rPr>
            </w:pPr>
          </w:p>
        </w:tc>
        <w:tc>
          <w:tcPr>
            <w:tcW w:w="1440" w:type="dxa"/>
            <w:vAlign w:val="center"/>
          </w:tcPr>
          <w:p w:rsidR="00C25AEE" w:rsidRDefault="00673487">
            <w:pPr>
              <w:rPr>
                <w:noProof/>
                <w:sz w:val="18"/>
              </w:rPr>
            </w:pPr>
            <w:r>
              <w:rPr>
                <w:noProof/>
                <w:sz w:val="18"/>
              </w:rPr>
              <w:t>Плащания</w:t>
            </w:r>
          </w:p>
        </w:tc>
        <w:tc>
          <w:tcPr>
            <w:tcW w:w="654" w:type="dxa"/>
            <w:vAlign w:val="center"/>
          </w:tcPr>
          <w:p w:rsidR="00C25AEE" w:rsidRDefault="00673487">
            <w:pPr>
              <w:jc w:val="center"/>
              <w:rPr>
                <w:noProof/>
                <w:sz w:val="14"/>
              </w:rPr>
            </w:pPr>
            <w:r>
              <w:rPr>
                <w:noProof/>
                <w:sz w:val="14"/>
              </w:rPr>
              <w:t>=5+6</w:t>
            </w:r>
          </w:p>
        </w:tc>
        <w:tc>
          <w:tcPr>
            <w:tcW w:w="1252" w:type="dxa"/>
            <w:vAlign w:val="center"/>
          </w:tcPr>
          <w:p w:rsidR="00C25AEE" w:rsidRDefault="00C25AEE">
            <w:pPr>
              <w:spacing w:before="20" w:after="20"/>
              <w:jc w:val="right"/>
              <w:rPr>
                <w:noProof/>
                <w:sz w:val="18"/>
                <w:szCs w:val="18"/>
              </w:rPr>
            </w:pPr>
          </w:p>
        </w:tc>
        <w:tc>
          <w:tcPr>
            <w:tcW w:w="1116" w:type="dxa"/>
            <w:vAlign w:val="center"/>
          </w:tcPr>
          <w:p w:rsidR="00C25AEE" w:rsidRDefault="00C25AEE">
            <w:pPr>
              <w:spacing w:before="20" w:after="20"/>
              <w:jc w:val="right"/>
              <w:rPr>
                <w:noProof/>
                <w:sz w:val="18"/>
                <w:szCs w:val="18"/>
              </w:rPr>
            </w:pPr>
          </w:p>
        </w:tc>
        <w:tc>
          <w:tcPr>
            <w:tcW w:w="1152" w:type="dxa"/>
            <w:vAlign w:val="center"/>
          </w:tcPr>
          <w:p w:rsidR="00C25AEE" w:rsidRDefault="00C25AEE">
            <w:pPr>
              <w:spacing w:before="20" w:after="20"/>
              <w:jc w:val="right"/>
              <w:rPr>
                <w:noProof/>
                <w:sz w:val="18"/>
                <w:szCs w:val="18"/>
              </w:rPr>
            </w:pPr>
          </w:p>
        </w:tc>
        <w:tc>
          <w:tcPr>
            <w:tcW w:w="1134" w:type="dxa"/>
            <w:vAlign w:val="center"/>
          </w:tcPr>
          <w:p w:rsidR="00C25AEE" w:rsidRDefault="00C25AEE">
            <w:pPr>
              <w:spacing w:before="20" w:after="20"/>
              <w:jc w:val="right"/>
              <w:rPr>
                <w:noProof/>
                <w:sz w:val="18"/>
                <w:szCs w:val="18"/>
              </w:rPr>
            </w:pPr>
          </w:p>
        </w:tc>
        <w:tc>
          <w:tcPr>
            <w:tcW w:w="1134" w:type="dxa"/>
          </w:tcPr>
          <w:p w:rsidR="00C25AEE" w:rsidRDefault="00C25AEE">
            <w:pPr>
              <w:spacing w:before="20" w:after="20"/>
              <w:jc w:val="right"/>
              <w:rPr>
                <w:noProof/>
                <w:sz w:val="18"/>
                <w:szCs w:val="18"/>
              </w:rPr>
            </w:pPr>
          </w:p>
        </w:tc>
        <w:tc>
          <w:tcPr>
            <w:tcW w:w="1134" w:type="dxa"/>
          </w:tcPr>
          <w:p w:rsidR="00C25AEE" w:rsidRDefault="00C25AEE">
            <w:pPr>
              <w:spacing w:before="20" w:after="20"/>
              <w:jc w:val="right"/>
              <w:rPr>
                <w:noProof/>
                <w:sz w:val="18"/>
                <w:szCs w:val="18"/>
              </w:rPr>
            </w:pPr>
          </w:p>
        </w:tc>
        <w:tc>
          <w:tcPr>
            <w:tcW w:w="1418" w:type="dxa"/>
            <w:vAlign w:val="center"/>
          </w:tcPr>
          <w:p w:rsidR="00C25AEE" w:rsidRDefault="00C25AEE">
            <w:pPr>
              <w:spacing w:before="20" w:after="20"/>
              <w:jc w:val="right"/>
              <w:rPr>
                <w:b/>
                <w:noProof/>
                <w:sz w:val="18"/>
                <w:szCs w:val="18"/>
              </w:rPr>
            </w:pPr>
          </w:p>
        </w:tc>
      </w:tr>
    </w:tbl>
    <w:p w:rsidR="00C25AEE" w:rsidRDefault="00C25AEE">
      <w:pPr>
        <w:spacing w:after="40"/>
        <w:rPr>
          <w:b/>
          <w:noProof/>
          <w:sz w:val="22"/>
          <w:u w:val="single"/>
        </w:rPr>
      </w:pPr>
    </w:p>
    <w:p w:rsidR="00C25AEE" w:rsidRDefault="00673487">
      <w:pPr>
        <w:spacing w:after="40"/>
        <w:rPr>
          <w:b/>
          <w:noProof/>
          <w:sz w:val="22"/>
          <w:u w:val="single"/>
        </w:rPr>
      </w:pPr>
      <w:r>
        <w:rPr>
          <w:b/>
          <w:noProof/>
          <w:sz w:val="22"/>
          <w:u w:val="single"/>
        </w:rPr>
        <w:t>Ако предложението/инициативата има отражение върху повече от една оперативна функция, повторете частта по-горе:</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C25AEE">
        <w:trPr>
          <w:trHeight w:val="277"/>
        </w:trPr>
        <w:tc>
          <w:tcPr>
            <w:tcW w:w="3960" w:type="dxa"/>
            <w:vMerge w:val="restart"/>
            <w:tcBorders>
              <w:top w:val="single" w:sz="4" w:space="0" w:color="auto"/>
              <w:left w:val="single" w:sz="4" w:space="0" w:color="auto"/>
              <w:bottom w:val="single" w:sz="4" w:space="0" w:color="FF0000"/>
            </w:tcBorders>
            <w:vAlign w:val="center"/>
          </w:tcPr>
          <w:p w:rsidR="00C25AEE" w:rsidRDefault="00673487">
            <w:pPr>
              <w:spacing w:before="20" w:after="20"/>
              <w:rPr>
                <w:noProof/>
              </w:rPr>
            </w:pPr>
            <w:r>
              <w:rPr>
                <w:noProof/>
                <w:sz w:val="21"/>
              </w:rPr>
              <w:sym w:font="Wingdings" w:char="F09F"/>
            </w:r>
            <w:r>
              <w:rPr>
                <w:noProof/>
              </w:rPr>
              <w:t xml:space="preserve"> ОБЩО бюджетни кредити за оперативни разходи (всички оперативни функции)</w:t>
            </w:r>
          </w:p>
        </w:tc>
        <w:tc>
          <w:tcPr>
            <w:tcW w:w="1440" w:type="dxa"/>
            <w:tcBorders>
              <w:top w:val="single" w:sz="4" w:space="0" w:color="auto"/>
            </w:tcBorders>
            <w:vAlign w:val="center"/>
          </w:tcPr>
          <w:p w:rsidR="00C25AEE" w:rsidRDefault="00673487">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rsidR="00C25AEE" w:rsidRDefault="00673487">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rsidR="00C25AEE" w:rsidRDefault="00C25AEE">
            <w:pPr>
              <w:spacing w:before="20" w:after="20"/>
              <w:jc w:val="right"/>
              <w:rPr>
                <w:noProof/>
                <w:sz w:val="20"/>
              </w:rPr>
            </w:pPr>
          </w:p>
        </w:tc>
        <w:tc>
          <w:tcPr>
            <w:tcW w:w="868" w:type="dxa"/>
            <w:tcBorders>
              <w:top w:val="single" w:sz="4" w:space="0" w:color="auto"/>
            </w:tcBorders>
            <w:vAlign w:val="center"/>
          </w:tcPr>
          <w:p w:rsidR="00C25AEE" w:rsidRDefault="00C25AEE">
            <w:pPr>
              <w:spacing w:before="20" w:after="20"/>
              <w:jc w:val="right"/>
              <w:rPr>
                <w:noProof/>
                <w:sz w:val="20"/>
              </w:rPr>
            </w:pPr>
          </w:p>
        </w:tc>
        <w:tc>
          <w:tcPr>
            <w:tcW w:w="868" w:type="dxa"/>
            <w:tcBorders>
              <w:top w:val="single" w:sz="4" w:space="0" w:color="auto"/>
            </w:tcBorders>
            <w:vAlign w:val="center"/>
          </w:tcPr>
          <w:p w:rsidR="00C25AEE" w:rsidRDefault="00C25AEE">
            <w:pPr>
              <w:spacing w:before="20" w:after="20"/>
              <w:jc w:val="right"/>
              <w:rPr>
                <w:noProof/>
                <w:sz w:val="20"/>
              </w:rPr>
            </w:pPr>
          </w:p>
        </w:tc>
        <w:tc>
          <w:tcPr>
            <w:tcW w:w="868" w:type="dxa"/>
            <w:tcBorders>
              <w:top w:val="single" w:sz="4" w:space="0" w:color="auto"/>
            </w:tcBorders>
            <w:vAlign w:val="center"/>
          </w:tcPr>
          <w:p w:rsidR="00C25AEE" w:rsidRDefault="00C25AEE">
            <w:pPr>
              <w:spacing w:before="20" w:after="20"/>
              <w:jc w:val="right"/>
              <w:rPr>
                <w:noProof/>
                <w:sz w:val="20"/>
              </w:rPr>
            </w:pPr>
          </w:p>
        </w:tc>
        <w:tc>
          <w:tcPr>
            <w:tcW w:w="868" w:type="dxa"/>
            <w:tcBorders>
              <w:top w:val="single" w:sz="4" w:space="0" w:color="auto"/>
            </w:tcBorders>
            <w:vAlign w:val="center"/>
          </w:tcPr>
          <w:p w:rsidR="00C25AEE" w:rsidRDefault="00C25AEE">
            <w:pPr>
              <w:spacing w:before="20" w:after="20"/>
              <w:jc w:val="right"/>
              <w:rPr>
                <w:noProof/>
                <w:sz w:val="20"/>
              </w:rPr>
            </w:pPr>
          </w:p>
        </w:tc>
        <w:tc>
          <w:tcPr>
            <w:tcW w:w="868" w:type="dxa"/>
            <w:tcBorders>
              <w:top w:val="single" w:sz="4" w:space="0" w:color="auto"/>
            </w:tcBorders>
            <w:vAlign w:val="center"/>
          </w:tcPr>
          <w:p w:rsidR="00C25AEE" w:rsidRDefault="00C25AEE">
            <w:pPr>
              <w:spacing w:before="20" w:after="20"/>
              <w:jc w:val="right"/>
              <w:rPr>
                <w:noProof/>
                <w:sz w:val="20"/>
              </w:rPr>
            </w:pPr>
          </w:p>
        </w:tc>
        <w:tc>
          <w:tcPr>
            <w:tcW w:w="868" w:type="dxa"/>
            <w:tcBorders>
              <w:top w:val="single" w:sz="4" w:space="0" w:color="auto"/>
            </w:tcBorders>
            <w:vAlign w:val="center"/>
          </w:tcPr>
          <w:p w:rsidR="00C25AEE" w:rsidRDefault="00C25AEE">
            <w:pPr>
              <w:spacing w:before="20" w:after="20"/>
              <w:jc w:val="right"/>
              <w:rPr>
                <w:b/>
                <w:noProof/>
                <w:sz w:val="20"/>
              </w:rPr>
            </w:pPr>
          </w:p>
        </w:tc>
        <w:tc>
          <w:tcPr>
            <w:tcW w:w="1777" w:type="dxa"/>
            <w:tcBorders>
              <w:top w:val="single" w:sz="4" w:space="0" w:color="auto"/>
              <w:right w:val="single" w:sz="4" w:space="0" w:color="auto"/>
            </w:tcBorders>
            <w:vAlign w:val="center"/>
          </w:tcPr>
          <w:p w:rsidR="00C25AEE" w:rsidRDefault="00C25AEE">
            <w:pPr>
              <w:spacing w:before="20" w:after="20"/>
              <w:jc w:val="right"/>
              <w:rPr>
                <w:b/>
                <w:noProof/>
                <w:sz w:val="20"/>
              </w:rPr>
            </w:pPr>
          </w:p>
        </w:tc>
      </w:tr>
      <w:tr w:rsidR="00C25AEE">
        <w:tc>
          <w:tcPr>
            <w:tcW w:w="3960" w:type="dxa"/>
            <w:vMerge/>
            <w:tcBorders>
              <w:top w:val="single" w:sz="4" w:space="0" w:color="FF0000"/>
              <w:left w:val="single" w:sz="4" w:space="0" w:color="auto"/>
              <w:bottom w:val="single" w:sz="4" w:space="0" w:color="FF0000"/>
            </w:tcBorders>
          </w:tcPr>
          <w:p w:rsidR="00C25AEE" w:rsidRDefault="00C25AEE">
            <w:pPr>
              <w:jc w:val="center"/>
              <w:rPr>
                <w:noProof/>
                <w:sz w:val="20"/>
              </w:rPr>
            </w:pPr>
          </w:p>
        </w:tc>
        <w:tc>
          <w:tcPr>
            <w:tcW w:w="1440" w:type="dxa"/>
            <w:vAlign w:val="center"/>
          </w:tcPr>
          <w:p w:rsidR="00C25AEE" w:rsidRDefault="00673487">
            <w:pPr>
              <w:spacing w:beforeLines="20" w:before="48" w:afterLines="20" w:after="48"/>
              <w:rPr>
                <w:noProof/>
                <w:sz w:val="18"/>
              </w:rPr>
            </w:pPr>
            <w:r>
              <w:rPr>
                <w:noProof/>
                <w:sz w:val="18"/>
              </w:rPr>
              <w:t>Плащания</w:t>
            </w:r>
          </w:p>
        </w:tc>
        <w:tc>
          <w:tcPr>
            <w:tcW w:w="654" w:type="dxa"/>
            <w:vAlign w:val="center"/>
          </w:tcPr>
          <w:p w:rsidR="00C25AEE" w:rsidRDefault="00673487">
            <w:pPr>
              <w:spacing w:beforeLines="20" w:before="48" w:afterLines="20" w:after="48"/>
              <w:jc w:val="center"/>
              <w:rPr>
                <w:noProof/>
                <w:sz w:val="14"/>
              </w:rPr>
            </w:pPr>
            <w:r>
              <w:rPr>
                <w:noProof/>
                <w:sz w:val="14"/>
              </w:rPr>
              <w:t>(5)</w:t>
            </w: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b/>
                <w:noProof/>
                <w:sz w:val="20"/>
              </w:rPr>
            </w:pPr>
          </w:p>
        </w:tc>
        <w:tc>
          <w:tcPr>
            <w:tcW w:w="1777" w:type="dxa"/>
            <w:tcBorders>
              <w:right w:val="single" w:sz="4" w:space="0" w:color="auto"/>
            </w:tcBorders>
            <w:vAlign w:val="center"/>
          </w:tcPr>
          <w:p w:rsidR="00C25AEE" w:rsidRDefault="00C25AEE">
            <w:pPr>
              <w:spacing w:before="20" w:after="20"/>
              <w:jc w:val="right"/>
              <w:rPr>
                <w:b/>
                <w:noProof/>
                <w:sz w:val="20"/>
              </w:rPr>
            </w:pPr>
          </w:p>
        </w:tc>
      </w:tr>
      <w:tr w:rsidR="00C25AEE">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C25AEE" w:rsidRDefault="00673487">
            <w:pPr>
              <w:spacing w:beforeLines="20" w:before="48" w:afterLines="20" w:after="48"/>
              <w:rPr>
                <w:noProof/>
              </w:rPr>
            </w:pPr>
            <w:r>
              <w:rPr>
                <w:noProof/>
                <w:sz w:val="21"/>
              </w:rPr>
              <w:t xml:space="preserve"> ОБЩО бюджетни кредити за административни разходи, финансирани от пакета за определени програми (всички оперативни функции)</w:t>
            </w:r>
          </w:p>
        </w:tc>
        <w:tc>
          <w:tcPr>
            <w:tcW w:w="654" w:type="dxa"/>
            <w:vAlign w:val="center"/>
          </w:tcPr>
          <w:p w:rsidR="00C25AEE" w:rsidRDefault="00C25AEE">
            <w:pPr>
              <w:rPr>
                <w:noProof/>
              </w:rPr>
            </w:pPr>
          </w:p>
          <w:p w:rsidR="00C25AEE" w:rsidRDefault="00673487">
            <w:pPr>
              <w:spacing w:beforeLines="20" w:before="48" w:afterLines="20" w:after="48"/>
              <w:jc w:val="center"/>
              <w:rPr>
                <w:noProof/>
                <w:sz w:val="14"/>
              </w:rPr>
            </w:pPr>
            <w:r>
              <w:rPr>
                <w:noProof/>
                <w:sz w:val="14"/>
              </w:rPr>
              <w:t>(6)</w:t>
            </w:r>
          </w:p>
        </w:tc>
        <w:tc>
          <w:tcPr>
            <w:tcW w:w="868" w:type="dxa"/>
            <w:vAlign w:val="center"/>
          </w:tcPr>
          <w:p w:rsidR="00C25AEE" w:rsidRDefault="00C25AEE">
            <w:pPr>
              <w:spacing w:before="20" w:after="20"/>
              <w:jc w:val="right"/>
              <w:rPr>
                <w:b/>
                <w:noProof/>
                <w:sz w:val="20"/>
              </w:rPr>
            </w:pPr>
          </w:p>
        </w:tc>
        <w:tc>
          <w:tcPr>
            <w:tcW w:w="868" w:type="dxa"/>
            <w:vAlign w:val="center"/>
          </w:tcPr>
          <w:p w:rsidR="00C25AEE" w:rsidRDefault="00C25AEE">
            <w:pPr>
              <w:spacing w:before="20" w:after="20"/>
              <w:jc w:val="right"/>
              <w:rPr>
                <w:b/>
                <w:noProof/>
                <w:sz w:val="20"/>
              </w:rPr>
            </w:pPr>
          </w:p>
        </w:tc>
        <w:tc>
          <w:tcPr>
            <w:tcW w:w="868" w:type="dxa"/>
            <w:vAlign w:val="center"/>
          </w:tcPr>
          <w:p w:rsidR="00C25AEE" w:rsidRDefault="00C25AEE">
            <w:pPr>
              <w:spacing w:before="20" w:after="20"/>
              <w:jc w:val="right"/>
              <w:rPr>
                <w:b/>
                <w:noProof/>
                <w:sz w:val="20"/>
              </w:rPr>
            </w:pPr>
          </w:p>
        </w:tc>
        <w:tc>
          <w:tcPr>
            <w:tcW w:w="868" w:type="dxa"/>
            <w:vAlign w:val="center"/>
          </w:tcPr>
          <w:p w:rsidR="00C25AEE" w:rsidRDefault="00C25AEE">
            <w:pPr>
              <w:spacing w:before="20" w:after="20"/>
              <w:jc w:val="right"/>
              <w:rPr>
                <w:b/>
                <w:noProof/>
                <w:sz w:val="20"/>
              </w:rPr>
            </w:pPr>
          </w:p>
        </w:tc>
        <w:tc>
          <w:tcPr>
            <w:tcW w:w="868" w:type="dxa"/>
            <w:vAlign w:val="center"/>
          </w:tcPr>
          <w:p w:rsidR="00C25AEE" w:rsidRDefault="00C25AEE">
            <w:pPr>
              <w:spacing w:before="20" w:after="20"/>
              <w:jc w:val="right"/>
              <w:rPr>
                <w:b/>
                <w:noProof/>
                <w:sz w:val="20"/>
              </w:rPr>
            </w:pPr>
          </w:p>
        </w:tc>
        <w:tc>
          <w:tcPr>
            <w:tcW w:w="868" w:type="dxa"/>
            <w:vAlign w:val="center"/>
          </w:tcPr>
          <w:p w:rsidR="00C25AEE" w:rsidRDefault="00C25AEE">
            <w:pPr>
              <w:spacing w:before="20" w:after="20"/>
              <w:jc w:val="right"/>
              <w:rPr>
                <w:b/>
                <w:noProof/>
                <w:sz w:val="20"/>
              </w:rPr>
            </w:pPr>
          </w:p>
        </w:tc>
        <w:tc>
          <w:tcPr>
            <w:tcW w:w="868" w:type="dxa"/>
            <w:vAlign w:val="center"/>
          </w:tcPr>
          <w:p w:rsidR="00C25AEE" w:rsidRDefault="00C25AEE">
            <w:pPr>
              <w:spacing w:before="20" w:after="20"/>
              <w:jc w:val="right"/>
              <w:rPr>
                <w:b/>
                <w:noProof/>
                <w:sz w:val="20"/>
              </w:rPr>
            </w:pPr>
          </w:p>
        </w:tc>
        <w:tc>
          <w:tcPr>
            <w:tcW w:w="1777" w:type="dxa"/>
            <w:vAlign w:val="center"/>
          </w:tcPr>
          <w:p w:rsidR="00C25AEE" w:rsidRDefault="00C25AEE">
            <w:pPr>
              <w:spacing w:before="20" w:after="20"/>
              <w:jc w:val="right"/>
              <w:rPr>
                <w:b/>
                <w:noProof/>
                <w:sz w:val="20"/>
              </w:rPr>
            </w:pPr>
          </w:p>
        </w:tc>
      </w:tr>
      <w:tr w:rsidR="00C25AEE">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C25AEE" w:rsidRDefault="00673487">
            <w:pPr>
              <w:jc w:val="center"/>
              <w:rPr>
                <w:b/>
                <w:noProof/>
              </w:rPr>
            </w:pPr>
            <w:r>
              <w:rPr>
                <w:b/>
                <w:noProof/>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rsidR="00C25AEE" w:rsidRDefault="00673487">
            <w:pPr>
              <w:rPr>
                <w:noProof/>
                <w:sz w:val="18"/>
              </w:rPr>
            </w:pPr>
            <w:r>
              <w:rPr>
                <w:noProof/>
                <w:sz w:val="18"/>
              </w:rPr>
              <w:t>Поети задължения</w:t>
            </w:r>
          </w:p>
        </w:tc>
        <w:tc>
          <w:tcPr>
            <w:tcW w:w="654" w:type="dxa"/>
            <w:vAlign w:val="center"/>
          </w:tcPr>
          <w:p w:rsidR="00C25AEE" w:rsidRDefault="00673487">
            <w:pPr>
              <w:jc w:val="center"/>
              <w:rPr>
                <w:noProof/>
                <w:sz w:val="14"/>
              </w:rPr>
            </w:pPr>
            <w:r>
              <w:rPr>
                <w:noProof/>
                <w:sz w:val="14"/>
              </w:rPr>
              <w:t>=4+6</w:t>
            </w: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b/>
                <w:noProof/>
                <w:sz w:val="20"/>
              </w:rPr>
            </w:pPr>
          </w:p>
        </w:tc>
        <w:tc>
          <w:tcPr>
            <w:tcW w:w="1777" w:type="dxa"/>
            <w:tcBorders>
              <w:right w:val="single" w:sz="4" w:space="0" w:color="auto"/>
            </w:tcBorders>
            <w:vAlign w:val="center"/>
          </w:tcPr>
          <w:p w:rsidR="00C25AEE" w:rsidRDefault="00C25AEE">
            <w:pPr>
              <w:spacing w:before="20" w:after="20"/>
              <w:jc w:val="right"/>
              <w:rPr>
                <w:b/>
                <w:noProof/>
                <w:sz w:val="20"/>
              </w:rPr>
            </w:pPr>
          </w:p>
        </w:tc>
      </w:tr>
      <w:tr w:rsidR="00C25AEE">
        <w:tc>
          <w:tcPr>
            <w:tcW w:w="3960" w:type="dxa"/>
            <w:vMerge/>
            <w:tcBorders>
              <w:top w:val="single" w:sz="4" w:space="0" w:color="FF0000"/>
              <w:left w:val="single" w:sz="4" w:space="0" w:color="auto"/>
              <w:bottom w:val="single" w:sz="4" w:space="0" w:color="auto"/>
            </w:tcBorders>
            <w:shd w:val="thinDiagStripe" w:color="C0C0C0" w:fill="auto"/>
          </w:tcPr>
          <w:p w:rsidR="00C25AEE" w:rsidRDefault="00C25AEE">
            <w:pPr>
              <w:rPr>
                <w:noProof/>
                <w:sz w:val="20"/>
              </w:rPr>
            </w:pPr>
          </w:p>
        </w:tc>
        <w:tc>
          <w:tcPr>
            <w:tcW w:w="1440" w:type="dxa"/>
            <w:tcBorders>
              <w:bottom w:val="single" w:sz="4" w:space="0" w:color="auto"/>
            </w:tcBorders>
            <w:vAlign w:val="center"/>
          </w:tcPr>
          <w:p w:rsidR="00C25AEE" w:rsidRDefault="00673487">
            <w:pPr>
              <w:rPr>
                <w:noProof/>
                <w:sz w:val="18"/>
              </w:rPr>
            </w:pPr>
            <w:r>
              <w:rPr>
                <w:noProof/>
                <w:sz w:val="18"/>
              </w:rPr>
              <w:t>Плащания</w:t>
            </w:r>
          </w:p>
        </w:tc>
        <w:tc>
          <w:tcPr>
            <w:tcW w:w="654" w:type="dxa"/>
            <w:tcBorders>
              <w:bottom w:val="single" w:sz="4" w:space="0" w:color="auto"/>
            </w:tcBorders>
            <w:vAlign w:val="center"/>
          </w:tcPr>
          <w:p w:rsidR="00C25AEE" w:rsidRDefault="00673487">
            <w:pPr>
              <w:jc w:val="center"/>
              <w:rPr>
                <w:noProof/>
                <w:sz w:val="14"/>
              </w:rPr>
            </w:pPr>
            <w:r>
              <w:rPr>
                <w:noProof/>
                <w:sz w:val="14"/>
              </w:rPr>
              <w:t>=5+6</w:t>
            </w:r>
          </w:p>
        </w:tc>
        <w:tc>
          <w:tcPr>
            <w:tcW w:w="868" w:type="dxa"/>
            <w:tcBorders>
              <w:bottom w:val="single" w:sz="4" w:space="0" w:color="auto"/>
            </w:tcBorders>
            <w:vAlign w:val="center"/>
          </w:tcPr>
          <w:p w:rsidR="00C25AEE" w:rsidRDefault="00C25AEE">
            <w:pPr>
              <w:spacing w:before="20" w:after="20"/>
              <w:jc w:val="right"/>
              <w:rPr>
                <w:noProof/>
                <w:sz w:val="20"/>
              </w:rPr>
            </w:pPr>
          </w:p>
        </w:tc>
        <w:tc>
          <w:tcPr>
            <w:tcW w:w="868" w:type="dxa"/>
            <w:tcBorders>
              <w:bottom w:val="single" w:sz="4" w:space="0" w:color="auto"/>
            </w:tcBorders>
            <w:vAlign w:val="center"/>
          </w:tcPr>
          <w:p w:rsidR="00C25AEE" w:rsidRDefault="00C25AEE">
            <w:pPr>
              <w:spacing w:before="20" w:after="20"/>
              <w:jc w:val="right"/>
              <w:rPr>
                <w:noProof/>
                <w:sz w:val="20"/>
              </w:rPr>
            </w:pPr>
          </w:p>
        </w:tc>
        <w:tc>
          <w:tcPr>
            <w:tcW w:w="868" w:type="dxa"/>
            <w:tcBorders>
              <w:bottom w:val="single" w:sz="4" w:space="0" w:color="auto"/>
            </w:tcBorders>
            <w:vAlign w:val="center"/>
          </w:tcPr>
          <w:p w:rsidR="00C25AEE" w:rsidRDefault="00C25AEE">
            <w:pPr>
              <w:spacing w:before="20" w:after="20"/>
              <w:jc w:val="right"/>
              <w:rPr>
                <w:noProof/>
                <w:sz w:val="20"/>
              </w:rPr>
            </w:pPr>
          </w:p>
        </w:tc>
        <w:tc>
          <w:tcPr>
            <w:tcW w:w="868" w:type="dxa"/>
            <w:tcBorders>
              <w:bottom w:val="single" w:sz="4" w:space="0" w:color="auto"/>
            </w:tcBorders>
            <w:vAlign w:val="center"/>
          </w:tcPr>
          <w:p w:rsidR="00C25AEE" w:rsidRDefault="00C25AEE">
            <w:pPr>
              <w:spacing w:before="20" w:after="20"/>
              <w:jc w:val="right"/>
              <w:rPr>
                <w:noProof/>
                <w:sz w:val="20"/>
              </w:rPr>
            </w:pPr>
          </w:p>
        </w:tc>
        <w:tc>
          <w:tcPr>
            <w:tcW w:w="868" w:type="dxa"/>
            <w:tcBorders>
              <w:bottom w:val="single" w:sz="4" w:space="0" w:color="auto"/>
            </w:tcBorders>
            <w:vAlign w:val="center"/>
          </w:tcPr>
          <w:p w:rsidR="00C25AEE" w:rsidRDefault="00C25AEE">
            <w:pPr>
              <w:spacing w:before="20" w:after="20"/>
              <w:jc w:val="right"/>
              <w:rPr>
                <w:noProof/>
                <w:sz w:val="20"/>
              </w:rPr>
            </w:pPr>
          </w:p>
        </w:tc>
        <w:tc>
          <w:tcPr>
            <w:tcW w:w="868" w:type="dxa"/>
            <w:tcBorders>
              <w:bottom w:val="single" w:sz="4" w:space="0" w:color="auto"/>
            </w:tcBorders>
            <w:vAlign w:val="center"/>
          </w:tcPr>
          <w:p w:rsidR="00C25AEE" w:rsidRDefault="00C25AEE">
            <w:pPr>
              <w:spacing w:before="20" w:after="20"/>
              <w:jc w:val="right"/>
              <w:rPr>
                <w:noProof/>
                <w:sz w:val="20"/>
              </w:rPr>
            </w:pPr>
          </w:p>
        </w:tc>
        <w:tc>
          <w:tcPr>
            <w:tcW w:w="868" w:type="dxa"/>
            <w:tcBorders>
              <w:bottom w:val="single" w:sz="4" w:space="0" w:color="auto"/>
            </w:tcBorders>
            <w:vAlign w:val="center"/>
          </w:tcPr>
          <w:p w:rsidR="00C25AEE" w:rsidRDefault="00C25AEE">
            <w:pPr>
              <w:spacing w:before="20" w:after="20"/>
              <w:jc w:val="right"/>
              <w:rPr>
                <w:b/>
                <w:noProof/>
                <w:sz w:val="20"/>
              </w:rPr>
            </w:pPr>
          </w:p>
        </w:tc>
        <w:tc>
          <w:tcPr>
            <w:tcW w:w="1777" w:type="dxa"/>
            <w:tcBorders>
              <w:bottom w:val="single" w:sz="4" w:space="0" w:color="auto"/>
              <w:right w:val="single" w:sz="4" w:space="0" w:color="auto"/>
            </w:tcBorders>
            <w:vAlign w:val="center"/>
          </w:tcPr>
          <w:p w:rsidR="00C25AEE" w:rsidRDefault="00C25AEE">
            <w:pPr>
              <w:spacing w:before="20" w:after="20"/>
              <w:jc w:val="right"/>
              <w:rPr>
                <w:b/>
                <w:noProof/>
                <w:sz w:val="20"/>
              </w:rPr>
            </w:pPr>
          </w:p>
        </w:tc>
      </w:tr>
    </w:tbl>
    <w:p w:rsidR="00C25AEE" w:rsidRDefault="00C25AEE">
      <w:pPr>
        <w:rPr>
          <w:noProof/>
        </w:rPr>
      </w:pPr>
    </w:p>
    <w:p w:rsidR="00C25AEE" w:rsidRDefault="00673487">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25AEE">
        <w:trPr>
          <w:jc w:val="center"/>
        </w:trPr>
        <w:tc>
          <w:tcPr>
            <w:tcW w:w="4744" w:type="dxa"/>
            <w:shd w:val="thinDiagStripe" w:color="C0C0C0" w:fill="auto"/>
            <w:vAlign w:val="center"/>
          </w:tcPr>
          <w:p w:rsidR="00C25AEE" w:rsidRDefault="00673487">
            <w:pPr>
              <w:spacing w:before="60" w:after="60"/>
              <w:jc w:val="center"/>
              <w:rPr>
                <w:b/>
                <w:noProof/>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C25AEE" w:rsidRDefault="00673487">
            <w:pPr>
              <w:spacing w:before="60" w:after="60"/>
              <w:jc w:val="center"/>
              <w:rPr>
                <w:noProof/>
              </w:rPr>
            </w:pPr>
            <w:r>
              <w:rPr>
                <w:b/>
                <w:noProof/>
                <w:sz w:val="22"/>
              </w:rPr>
              <w:t>5</w:t>
            </w:r>
          </w:p>
        </w:tc>
        <w:tc>
          <w:tcPr>
            <w:tcW w:w="7817" w:type="dxa"/>
            <w:vAlign w:val="center"/>
          </w:tcPr>
          <w:p w:rsidR="00C25AEE" w:rsidRDefault="00673487">
            <w:pPr>
              <w:spacing w:before="60" w:after="60"/>
              <w:rPr>
                <w:noProof/>
              </w:rPr>
            </w:pPr>
            <w:r>
              <w:rPr>
                <w:noProof/>
                <w:sz w:val="22"/>
              </w:rPr>
              <w:t>„Административни разходи“</w:t>
            </w:r>
          </w:p>
        </w:tc>
      </w:tr>
    </w:tbl>
    <w:p w:rsidR="00C25AEE" w:rsidRDefault="00673487">
      <w:pPr>
        <w:jc w:val="left"/>
        <w:rPr>
          <w:noProof/>
          <w:sz w:val="20"/>
        </w:rPr>
      </w:pPr>
      <w:r>
        <w:rPr>
          <w:noProof/>
        </w:rPr>
        <w:t xml:space="preserve">Тази част се попълва, като се използва таблицата за бюджетни данни от административно естество, която най-напред се въвежда в </w:t>
      </w:r>
      <w:hyperlink r:id="rId16">
        <w:r>
          <w:rPr>
            <w:rStyle w:val="Hyperlink"/>
            <w:noProof/>
          </w:rPr>
          <w:t>приложението към законодателната финансова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rsidR="00C25AEE" w:rsidRDefault="00673487">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C25AEE">
        <w:tc>
          <w:tcPr>
            <w:tcW w:w="3960" w:type="dxa"/>
            <w:tcBorders>
              <w:top w:val="nil"/>
              <w:left w:val="nil"/>
              <w:right w:val="nil"/>
            </w:tcBorders>
            <w:vAlign w:val="center"/>
          </w:tcPr>
          <w:p w:rsidR="00C25AEE" w:rsidRDefault="00C25AEE">
            <w:pPr>
              <w:jc w:val="center"/>
              <w:rPr>
                <w:noProof/>
              </w:rPr>
            </w:pPr>
          </w:p>
        </w:tc>
        <w:tc>
          <w:tcPr>
            <w:tcW w:w="1560" w:type="dxa"/>
            <w:tcBorders>
              <w:top w:val="nil"/>
              <w:left w:val="nil"/>
              <w:right w:val="nil"/>
            </w:tcBorders>
          </w:tcPr>
          <w:p w:rsidR="00C25AEE" w:rsidRDefault="00C25AEE">
            <w:pPr>
              <w:rPr>
                <w:noProof/>
                <w:sz w:val="20"/>
              </w:rPr>
            </w:pPr>
          </w:p>
        </w:tc>
        <w:tc>
          <w:tcPr>
            <w:tcW w:w="534" w:type="dxa"/>
            <w:tcBorders>
              <w:top w:val="nil"/>
              <w:left w:val="nil"/>
            </w:tcBorders>
          </w:tcPr>
          <w:p w:rsidR="00C25AEE" w:rsidRDefault="00C25AEE">
            <w:pPr>
              <w:jc w:val="center"/>
              <w:rPr>
                <w:noProof/>
                <w:sz w:val="20"/>
              </w:rPr>
            </w:pPr>
          </w:p>
        </w:tc>
        <w:tc>
          <w:tcPr>
            <w:tcW w:w="868" w:type="dxa"/>
            <w:vAlign w:val="center"/>
          </w:tcPr>
          <w:p w:rsidR="00C25AEE" w:rsidRDefault="00673487">
            <w:pPr>
              <w:jc w:val="center"/>
              <w:rPr>
                <w:noProof/>
                <w:sz w:val="20"/>
              </w:rPr>
            </w:pPr>
            <w:r>
              <w:rPr>
                <w:noProof/>
                <w:sz w:val="20"/>
              </w:rPr>
              <w:t>Година</w:t>
            </w:r>
            <w:r>
              <w:rPr>
                <w:noProof/>
                <w:sz w:val="22"/>
              </w:rPr>
              <w:br/>
            </w:r>
            <w:r>
              <w:rPr>
                <w:b/>
                <w:noProof/>
                <w:sz w:val="20"/>
              </w:rPr>
              <w:t>N</w:t>
            </w:r>
          </w:p>
        </w:tc>
        <w:tc>
          <w:tcPr>
            <w:tcW w:w="868" w:type="dxa"/>
            <w:vAlign w:val="center"/>
          </w:tcPr>
          <w:p w:rsidR="00C25AEE" w:rsidRDefault="00673487">
            <w:pPr>
              <w:jc w:val="center"/>
              <w:rPr>
                <w:noProof/>
                <w:sz w:val="20"/>
              </w:rPr>
            </w:pPr>
            <w:r>
              <w:rPr>
                <w:noProof/>
                <w:sz w:val="20"/>
              </w:rPr>
              <w:t>Година</w:t>
            </w:r>
            <w:r>
              <w:rPr>
                <w:noProof/>
                <w:sz w:val="22"/>
              </w:rPr>
              <w:br/>
            </w:r>
            <w:r>
              <w:rPr>
                <w:b/>
                <w:noProof/>
                <w:sz w:val="20"/>
              </w:rPr>
              <w:t>N+1</w:t>
            </w:r>
          </w:p>
        </w:tc>
        <w:tc>
          <w:tcPr>
            <w:tcW w:w="868" w:type="dxa"/>
            <w:vAlign w:val="center"/>
          </w:tcPr>
          <w:p w:rsidR="00C25AEE" w:rsidRDefault="00673487">
            <w:pPr>
              <w:jc w:val="center"/>
              <w:rPr>
                <w:noProof/>
                <w:sz w:val="20"/>
              </w:rPr>
            </w:pPr>
            <w:r>
              <w:rPr>
                <w:noProof/>
                <w:sz w:val="20"/>
              </w:rPr>
              <w:t>Година</w:t>
            </w:r>
            <w:r>
              <w:rPr>
                <w:noProof/>
                <w:sz w:val="22"/>
              </w:rPr>
              <w:br/>
            </w:r>
            <w:r>
              <w:rPr>
                <w:b/>
                <w:noProof/>
                <w:sz w:val="20"/>
              </w:rPr>
              <w:t>N+2</w:t>
            </w:r>
          </w:p>
        </w:tc>
        <w:tc>
          <w:tcPr>
            <w:tcW w:w="868" w:type="dxa"/>
            <w:vAlign w:val="center"/>
          </w:tcPr>
          <w:p w:rsidR="00C25AEE" w:rsidRDefault="00673487">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C25AEE" w:rsidRDefault="00673487">
            <w:pPr>
              <w:jc w:val="center"/>
              <w:rPr>
                <w:b/>
                <w:noProof/>
                <w:sz w:val="18"/>
              </w:rPr>
            </w:pPr>
            <w:r>
              <w:rPr>
                <w:noProof/>
                <w:sz w:val="18"/>
              </w:rPr>
              <w:t xml:space="preserve">Добавят се толкова години, колкото е необходимо, за да се обхване продължителността на отражението (вж. точка 1.6). </w:t>
            </w:r>
          </w:p>
        </w:tc>
        <w:tc>
          <w:tcPr>
            <w:tcW w:w="1777" w:type="dxa"/>
            <w:vAlign w:val="center"/>
          </w:tcPr>
          <w:p w:rsidR="00C25AEE" w:rsidRDefault="00673487">
            <w:pPr>
              <w:jc w:val="center"/>
              <w:rPr>
                <w:b/>
                <w:noProof/>
                <w:sz w:val="20"/>
              </w:rPr>
            </w:pPr>
            <w:r>
              <w:rPr>
                <w:b/>
                <w:noProof/>
                <w:sz w:val="20"/>
              </w:rPr>
              <w:t>ОБЩО</w:t>
            </w:r>
          </w:p>
        </w:tc>
      </w:tr>
      <w:tr w:rsidR="00C25AEE">
        <w:trPr>
          <w:gridAfter w:val="10"/>
          <w:wAfter w:w="9947" w:type="dxa"/>
        </w:trPr>
        <w:tc>
          <w:tcPr>
            <w:tcW w:w="3960" w:type="dxa"/>
            <w:vAlign w:val="center"/>
          </w:tcPr>
          <w:p w:rsidR="00C25AEE" w:rsidRDefault="00673487">
            <w:pPr>
              <w:spacing w:before="60" w:after="60"/>
              <w:jc w:val="center"/>
              <w:rPr>
                <w:noProof/>
              </w:rPr>
            </w:pPr>
            <w:r>
              <w:rPr>
                <w:noProof/>
                <w:sz w:val="22"/>
              </w:rPr>
              <w:t>ГД: &lt;…….&gt;</w:t>
            </w:r>
          </w:p>
        </w:tc>
      </w:tr>
      <w:tr w:rsidR="00C25AEE">
        <w:trPr>
          <w:trHeight w:val="313"/>
        </w:trPr>
        <w:tc>
          <w:tcPr>
            <w:tcW w:w="6054" w:type="dxa"/>
            <w:gridSpan w:val="3"/>
            <w:vAlign w:val="center"/>
          </w:tcPr>
          <w:p w:rsidR="00C25AEE" w:rsidRDefault="00673487">
            <w:pPr>
              <w:spacing w:before="20" w:after="20"/>
              <w:rPr>
                <w:noProof/>
              </w:rPr>
            </w:pPr>
            <w:r>
              <w:rPr>
                <w:noProof/>
                <w:sz w:val="22"/>
              </w:rPr>
              <w:sym w:font="Wingdings" w:char="F09F"/>
            </w:r>
            <w:r>
              <w:rPr>
                <w:noProof/>
              </w:rPr>
              <w:t xml:space="preserve"> Човешки ресурси</w:t>
            </w: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b/>
                <w:noProof/>
                <w:sz w:val="20"/>
              </w:rPr>
            </w:pPr>
          </w:p>
        </w:tc>
        <w:tc>
          <w:tcPr>
            <w:tcW w:w="1777" w:type="dxa"/>
            <w:vAlign w:val="center"/>
          </w:tcPr>
          <w:p w:rsidR="00C25AEE" w:rsidRDefault="00C25AEE">
            <w:pPr>
              <w:spacing w:before="20" w:after="20"/>
              <w:jc w:val="right"/>
              <w:rPr>
                <w:b/>
                <w:noProof/>
                <w:sz w:val="20"/>
              </w:rPr>
            </w:pPr>
          </w:p>
        </w:tc>
      </w:tr>
      <w:tr w:rsidR="00C25AEE">
        <w:trPr>
          <w:trHeight w:val="351"/>
        </w:trPr>
        <w:tc>
          <w:tcPr>
            <w:tcW w:w="6054" w:type="dxa"/>
            <w:gridSpan w:val="3"/>
            <w:vAlign w:val="center"/>
          </w:tcPr>
          <w:p w:rsidR="00C25AEE" w:rsidRDefault="00673487">
            <w:pPr>
              <w:spacing w:before="20" w:after="20"/>
              <w:rPr>
                <w:noProof/>
              </w:rPr>
            </w:pPr>
            <w:r>
              <w:rPr>
                <w:noProof/>
                <w:sz w:val="22"/>
              </w:rPr>
              <w:sym w:font="Wingdings" w:char="F09F"/>
            </w:r>
            <w:r>
              <w:rPr>
                <w:noProof/>
              </w:rPr>
              <w:t xml:space="preserve"> Други административни разходи</w:t>
            </w:r>
          </w:p>
        </w:tc>
        <w:tc>
          <w:tcPr>
            <w:tcW w:w="868" w:type="dxa"/>
            <w:vAlign w:val="center"/>
          </w:tcPr>
          <w:p w:rsidR="00C25AEE" w:rsidRDefault="00C25AEE">
            <w:pPr>
              <w:spacing w:before="20" w:after="20"/>
              <w:jc w:val="right"/>
              <w:rPr>
                <w:b/>
                <w:noProof/>
                <w:sz w:val="20"/>
              </w:rPr>
            </w:pPr>
          </w:p>
        </w:tc>
        <w:tc>
          <w:tcPr>
            <w:tcW w:w="868" w:type="dxa"/>
            <w:vAlign w:val="center"/>
          </w:tcPr>
          <w:p w:rsidR="00C25AEE" w:rsidRDefault="00C25AEE">
            <w:pPr>
              <w:spacing w:before="20" w:after="20"/>
              <w:jc w:val="right"/>
              <w:rPr>
                <w:b/>
                <w:noProof/>
                <w:sz w:val="20"/>
              </w:rPr>
            </w:pPr>
          </w:p>
        </w:tc>
        <w:tc>
          <w:tcPr>
            <w:tcW w:w="868" w:type="dxa"/>
            <w:vAlign w:val="center"/>
          </w:tcPr>
          <w:p w:rsidR="00C25AEE" w:rsidRDefault="00C25AEE">
            <w:pPr>
              <w:spacing w:before="20" w:after="20"/>
              <w:jc w:val="right"/>
              <w:rPr>
                <w:b/>
                <w:noProof/>
                <w:sz w:val="20"/>
              </w:rPr>
            </w:pPr>
          </w:p>
        </w:tc>
        <w:tc>
          <w:tcPr>
            <w:tcW w:w="868" w:type="dxa"/>
            <w:vAlign w:val="center"/>
          </w:tcPr>
          <w:p w:rsidR="00C25AEE" w:rsidRDefault="00C25AEE">
            <w:pPr>
              <w:spacing w:before="20" w:after="20"/>
              <w:jc w:val="right"/>
              <w:rPr>
                <w:b/>
                <w:noProof/>
                <w:sz w:val="20"/>
              </w:rPr>
            </w:pPr>
          </w:p>
        </w:tc>
        <w:tc>
          <w:tcPr>
            <w:tcW w:w="868" w:type="dxa"/>
            <w:vAlign w:val="center"/>
          </w:tcPr>
          <w:p w:rsidR="00C25AEE" w:rsidRDefault="00C25AEE">
            <w:pPr>
              <w:spacing w:before="20" w:after="20"/>
              <w:jc w:val="right"/>
              <w:rPr>
                <w:b/>
                <w:noProof/>
                <w:sz w:val="20"/>
              </w:rPr>
            </w:pPr>
          </w:p>
        </w:tc>
        <w:tc>
          <w:tcPr>
            <w:tcW w:w="868" w:type="dxa"/>
            <w:vAlign w:val="center"/>
          </w:tcPr>
          <w:p w:rsidR="00C25AEE" w:rsidRDefault="00C25AEE">
            <w:pPr>
              <w:spacing w:before="20" w:after="20"/>
              <w:jc w:val="right"/>
              <w:rPr>
                <w:b/>
                <w:noProof/>
                <w:sz w:val="20"/>
              </w:rPr>
            </w:pPr>
          </w:p>
        </w:tc>
        <w:tc>
          <w:tcPr>
            <w:tcW w:w="868" w:type="dxa"/>
            <w:vAlign w:val="center"/>
          </w:tcPr>
          <w:p w:rsidR="00C25AEE" w:rsidRDefault="00C25AEE">
            <w:pPr>
              <w:spacing w:before="20" w:after="20"/>
              <w:jc w:val="right"/>
              <w:rPr>
                <w:b/>
                <w:noProof/>
                <w:sz w:val="20"/>
              </w:rPr>
            </w:pPr>
          </w:p>
        </w:tc>
        <w:tc>
          <w:tcPr>
            <w:tcW w:w="1777" w:type="dxa"/>
            <w:vAlign w:val="center"/>
          </w:tcPr>
          <w:p w:rsidR="00C25AEE" w:rsidRDefault="00C25AEE">
            <w:pPr>
              <w:spacing w:before="20" w:after="20"/>
              <w:jc w:val="right"/>
              <w:rPr>
                <w:b/>
                <w:noProof/>
                <w:sz w:val="20"/>
              </w:rPr>
            </w:pPr>
          </w:p>
        </w:tc>
      </w:tr>
      <w:tr w:rsidR="00C25AEE">
        <w:tc>
          <w:tcPr>
            <w:tcW w:w="3960" w:type="dxa"/>
            <w:vAlign w:val="center"/>
          </w:tcPr>
          <w:p w:rsidR="00C25AEE" w:rsidRDefault="00673487">
            <w:pPr>
              <w:jc w:val="center"/>
              <w:rPr>
                <w:b/>
                <w:noProof/>
              </w:rPr>
            </w:pPr>
            <w:r>
              <w:rPr>
                <w:b/>
                <w:noProof/>
              </w:rPr>
              <w:t>ОБЩО ГД &lt;….&gt;</w:t>
            </w:r>
          </w:p>
        </w:tc>
        <w:tc>
          <w:tcPr>
            <w:tcW w:w="2094" w:type="dxa"/>
            <w:gridSpan w:val="2"/>
            <w:vAlign w:val="center"/>
          </w:tcPr>
          <w:p w:rsidR="00C25AEE" w:rsidRDefault="00673487">
            <w:pPr>
              <w:rPr>
                <w:noProof/>
                <w:sz w:val="14"/>
              </w:rPr>
            </w:pPr>
            <w:r>
              <w:rPr>
                <w:noProof/>
                <w:sz w:val="18"/>
              </w:rPr>
              <w:t xml:space="preserve">Бюджетни кредити </w:t>
            </w:r>
          </w:p>
        </w:tc>
        <w:tc>
          <w:tcPr>
            <w:tcW w:w="868" w:type="dxa"/>
            <w:vAlign w:val="center"/>
          </w:tcPr>
          <w:p w:rsidR="00C25AEE" w:rsidRDefault="00C25AEE">
            <w:pPr>
              <w:spacing w:before="60" w:after="6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b/>
                <w:noProof/>
                <w:sz w:val="20"/>
              </w:rPr>
            </w:pPr>
          </w:p>
        </w:tc>
        <w:tc>
          <w:tcPr>
            <w:tcW w:w="1777" w:type="dxa"/>
            <w:vAlign w:val="center"/>
          </w:tcPr>
          <w:p w:rsidR="00C25AEE" w:rsidRDefault="00C25AEE">
            <w:pPr>
              <w:spacing w:before="20" w:after="20"/>
              <w:jc w:val="right"/>
              <w:rPr>
                <w:b/>
                <w:noProof/>
                <w:sz w:val="20"/>
              </w:rPr>
            </w:pPr>
          </w:p>
        </w:tc>
      </w:tr>
    </w:tbl>
    <w:p w:rsidR="00C25AEE" w:rsidRDefault="00C25AEE">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C25AEE">
        <w:tc>
          <w:tcPr>
            <w:tcW w:w="3960" w:type="dxa"/>
            <w:shd w:val="thinDiagStripe" w:color="C0C0C0" w:fill="auto"/>
            <w:vAlign w:val="center"/>
          </w:tcPr>
          <w:p w:rsidR="00C25AEE" w:rsidRDefault="00673487">
            <w:pPr>
              <w:jc w:val="center"/>
              <w:rPr>
                <w:b/>
                <w:noProof/>
              </w:rPr>
            </w:pPr>
            <w:r>
              <w:rPr>
                <w:b/>
                <w:noProof/>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vAlign w:val="center"/>
          </w:tcPr>
          <w:p w:rsidR="00C25AEE" w:rsidRDefault="00673487">
            <w:pPr>
              <w:spacing w:before="40" w:after="40"/>
              <w:rPr>
                <w:noProof/>
              </w:rPr>
            </w:pPr>
            <w:r>
              <w:rPr>
                <w:noProof/>
                <w:sz w:val="18"/>
              </w:rPr>
              <w:t>(общо поети задължения = общо плащания)</w:t>
            </w: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noProof/>
                <w:sz w:val="20"/>
              </w:rPr>
            </w:pPr>
          </w:p>
        </w:tc>
        <w:tc>
          <w:tcPr>
            <w:tcW w:w="868" w:type="dxa"/>
            <w:vAlign w:val="center"/>
          </w:tcPr>
          <w:p w:rsidR="00C25AEE" w:rsidRDefault="00C25AEE">
            <w:pPr>
              <w:spacing w:before="20" w:after="20"/>
              <w:jc w:val="right"/>
              <w:rPr>
                <w:b/>
                <w:noProof/>
                <w:sz w:val="20"/>
              </w:rPr>
            </w:pPr>
          </w:p>
        </w:tc>
        <w:tc>
          <w:tcPr>
            <w:tcW w:w="1777" w:type="dxa"/>
            <w:vAlign w:val="center"/>
          </w:tcPr>
          <w:p w:rsidR="00C25AEE" w:rsidRDefault="00C25AEE">
            <w:pPr>
              <w:spacing w:before="20" w:after="20"/>
              <w:jc w:val="right"/>
              <w:rPr>
                <w:b/>
                <w:noProof/>
                <w:sz w:val="20"/>
              </w:rPr>
            </w:pPr>
          </w:p>
        </w:tc>
      </w:tr>
    </w:tbl>
    <w:p w:rsidR="00C25AEE" w:rsidRDefault="00673487">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C25AEE">
        <w:tc>
          <w:tcPr>
            <w:tcW w:w="3960" w:type="dxa"/>
            <w:tcBorders>
              <w:top w:val="nil"/>
              <w:left w:val="nil"/>
              <w:right w:val="nil"/>
            </w:tcBorders>
            <w:vAlign w:val="center"/>
          </w:tcPr>
          <w:p w:rsidR="00C25AEE" w:rsidRDefault="00C25AEE">
            <w:pPr>
              <w:jc w:val="center"/>
              <w:rPr>
                <w:noProof/>
              </w:rPr>
            </w:pPr>
          </w:p>
        </w:tc>
        <w:tc>
          <w:tcPr>
            <w:tcW w:w="1560" w:type="dxa"/>
            <w:tcBorders>
              <w:top w:val="nil"/>
              <w:left w:val="nil"/>
              <w:right w:val="nil"/>
            </w:tcBorders>
          </w:tcPr>
          <w:p w:rsidR="00C25AEE" w:rsidRDefault="00C25AEE">
            <w:pPr>
              <w:rPr>
                <w:noProof/>
                <w:sz w:val="20"/>
              </w:rPr>
            </w:pPr>
          </w:p>
        </w:tc>
        <w:tc>
          <w:tcPr>
            <w:tcW w:w="534" w:type="dxa"/>
            <w:tcBorders>
              <w:top w:val="nil"/>
              <w:left w:val="nil"/>
            </w:tcBorders>
          </w:tcPr>
          <w:p w:rsidR="00C25AEE" w:rsidRDefault="00C25AEE">
            <w:pPr>
              <w:jc w:val="center"/>
              <w:rPr>
                <w:noProof/>
                <w:sz w:val="20"/>
              </w:rPr>
            </w:pPr>
          </w:p>
        </w:tc>
        <w:tc>
          <w:tcPr>
            <w:tcW w:w="868" w:type="dxa"/>
            <w:vAlign w:val="center"/>
          </w:tcPr>
          <w:p w:rsidR="00C25AEE" w:rsidRDefault="00673487">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13"/>
            </w:r>
          </w:p>
        </w:tc>
        <w:tc>
          <w:tcPr>
            <w:tcW w:w="868" w:type="dxa"/>
            <w:vAlign w:val="center"/>
          </w:tcPr>
          <w:p w:rsidR="00C25AEE" w:rsidRDefault="00673487">
            <w:pPr>
              <w:jc w:val="center"/>
              <w:rPr>
                <w:noProof/>
                <w:sz w:val="20"/>
              </w:rPr>
            </w:pPr>
            <w:r>
              <w:rPr>
                <w:noProof/>
                <w:sz w:val="20"/>
              </w:rPr>
              <w:t>Година</w:t>
            </w:r>
            <w:r>
              <w:rPr>
                <w:noProof/>
                <w:sz w:val="22"/>
              </w:rPr>
              <w:br/>
            </w:r>
            <w:r>
              <w:rPr>
                <w:b/>
                <w:noProof/>
                <w:sz w:val="20"/>
              </w:rPr>
              <w:t>N+1</w:t>
            </w:r>
          </w:p>
        </w:tc>
        <w:tc>
          <w:tcPr>
            <w:tcW w:w="868" w:type="dxa"/>
            <w:vAlign w:val="center"/>
          </w:tcPr>
          <w:p w:rsidR="00C25AEE" w:rsidRDefault="00673487">
            <w:pPr>
              <w:jc w:val="center"/>
              <w:rPr>
                <w:noProof/>
                <w:sz w:val="20"/>
              </w:rPr>
            </w:pPr>
            <w:r>
              <w:rPr>
                <w:noProof/>
                <w:sz w:val="20"/>
              </w:rPr>
              <w:t>Година</w:t>
            </w:r>
            <w:r>
              <w:rPr>
                <w:noProof/>
                <w:sz w:val="22"/>
              </w:rPr>
              <w:br/>
            </w:r>
            <w:r>
              <w:rPr>
                <w:b/>
                <w:noProof/>
                <w:sz w:val="20"/>
              </w:rPr>
              <w:t>N+2</w:t>
            </w:r>
          </w:p>
        </w:tc>
        <w:tc>
          <w:tcPr>
            <w:tcW w:w="868" w:type="dxa"/>
            <w:vAlign w:val="center"/>
          </w:tcPr>
          <w:p w:rsidR="00C25AEE" w:rsidRDefault="00673487">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C25AEE" w:rsidRDefault="00673487">
            <w:pPr>
              <w:jc w:val="center"/>
              <w:rPr>
                <w:b/>
                <w:noProof/>
                <w:sz w:val="18"/>
              </w:rPr>
            </w:pPr>
            <w:r>
              <w:rPr>
                <w:noProof/>
                <w:sz w:val="18"/>
              </w:rPr>
              <w:t xml:space="preserve">Добавят се толкова години, </w:t>
            </w:r>
            <w:r>
              <w:rPr>
                <w:noProof/>
                <w:sz w:val="18"/>
              </w:rPr>
              <w:t>колкото е необходимо, за да се обхване продължителността на отражението (вж. точка 1.6).</w:t>
            </w:r>
          </w:p>
        </w:tc>
        <w:tc>
          <w:tcPr>
            <w:tcW w:w="1777" w:type="dxa"/>
            <w:vAlign w:val="center"/>
          </w:tcPr>
          <w:p w:rsidR="00C25AEE" w:rsidRDefault="00673487">
            <w:pPr>
              <w:jc w:val="center"/>
              <w:rPr>
                <w:b/>
                <w:noProof/>
                <w:sz w:val="20"/>
              </w:rPr>
            </w:pPr>
            <w:r>
              <w:rPr>
                <w:b/>
                <w:noProof/>
                <w:sz w:val="20"/>
              </w:rPr>
              <w:t>ОБЩО</w:t>
            </w:r>
          </w:p>
        </w:tc>
      </w:tr>
      <w:tr w:rsidR="00C25AEE">
        <w:tc>
          <w:tcPr>
            <w:tcW w:w="3960" w:type="dxa"/>
            <w:vMerge w:val="restart"/>
            <w:shd w:val="clear" w:color="auto" w:fill="C0C0C0"/>
            <w:vAlign w:val="center"/>
          </w:tcPr>
          <w:p w:rsidR="00C25AEE" w:rsidRDefault="00673487">
            <w:pPr>
              <w:jc w:val="center"/>
              <w:rPr>
                <w:b/>
                <w:noProof/>
              </w:rPr>
            </w:pPr>
            <w:r>
              <w:rPr>
                <w:b/>
                <w:noProof/>
              </w:rPr>
              <w:t>ОБЩО бюджетни кредити</w:t>
            </w:r>
            <w:r>
              <w:rPr>
                <w:noProof/>
                <w:sz w:val="22"/>
              </w:rPr>
              <w:br/>
            </w:r>
            <w:r>
              <w:rPr>
                <w:b/>
                <w:noProof/>
                <w:sz w:val="22"/>
              </w:rPr>
              <w:t>по ФУНКЦИИ 1—5</w:t>
            </w:r>
            <w:r>
              <w:rPr>
                <w:noProof/>
                <w:sz w:val="22"/>
              </w:rPr>
              <w:br/>
              <w:t>от многогодишната финансова рамка</w:t>
            </w:r>
            <w:r>
              <w:rPr>
                <w:b/>
                <w:noProof/>
                <w:sz w:val="22"/>
              </w:rPr>
              <w:t xml:space="preserve"> </w:t>
            </w:r>
          </w:p>
        </w:tc>
        <w:tc>
          <w:tcPr>
            <w:tcW w:w="2094" w:type="dxa"/>
            <w:gridSpan w:val="2"/>
            <w:vAlign w:val="center"/>
          </w:tcPr>
          <w:p w:rsidR="00C25AEE" w:rsidRDefault="00673487">
            <w:pPr>
              <w:rPr>
                <w:noProof/>
                <w:sz w:val="14"/>
              </w:rPr>
            </w:pPr>
            <w:r>
              <w:rPr>
                <w:noProof/>
                <w:sz w:val="18"/>
              </w:rPr>
              <w:t>Поети задължения</w:t>
            </w:r>
          </w:p>
        </w:tc>
        <w:tc>
          <w:tcPr>
            <w:tcW w:w="868" w:type="dxa"/>
            <w:vAlign w:val="center"/>
          </w:tcPr>
          <w:p w:rsidR="00C25AEE" w:rsidRDefault="00C25AEE">
            <w:pPr>
              <w:spacing w:before="60" w:after="60"/>
              <w:jc w:val="right"/>
              <w:rPr>
                <w:noProof/>
                <w:sz w:val="20"/>
              </w:rPr>
            </w:pPr>
          </w:p>
        </w:tc>
        <w:tc>
          <w:tcPr>
            <w:tcW w:w="868" w:type="dxa"/>
            <w:vAlign w:val="center"/>
          </w:tcPr>
          <w:p w:rsidR="00C25AEE" w:rsidRDefault="00C25AEE">
            <w:pPr>
              <w:spacing w:before="60" w:after="60"/>
              <w:jc w:val="right"/>
              <w:rPr>
                <w:noProof/>
                <w:sz w:val="20"/>
              </w:rPr>
            </w:pPr>
          </w:p>
        </w:tc>
        <w:tc>
          <w:tcPr>
            <w:tcW w:w="868" w:type="dxa"/>
            <w:vAlign w:val="center"/>
          </w:tcPr>
          <w:p w:rsidR="00C25AEE" w:rsidRDefault="00C25AEE">
            <w:pPr>
              <w:spacing w:before="60" w:after="60"/>
              <w:jc w:val="right"/>
              <w:rPr>
                <w:noProof/>
                <w:sz w:val="20"/>
              </w:rPr>
            </w:pPr>
          </w:p>
        </w:tc>
        <w:tc>
          <w:tcPr>
            <w:tcW w:w="868" w:type="dxa"/>
            <w:vAlign w:val="center"/>
          </w:tcPr>
          <w:p w:rsidR="00C25AEE" w:rsidRDefault="00C25AEE">
            <w:pPr>
              <w:spacing w:before="60" w:after="60"/>
              <w:jc w:val="right"/>
              <w:rPr>
                <w:noProof/>
                <w:sz w:val="20"/>
              </w:rPr>
            </w:pPr>
          </w:p>
        </w:tc>
        <w:tc>
          <w:tcPr>
            <w:tcW w:w="868" w:type="dxa"/>
            <w:vAlign w:val="center"/>
          </w:tcPr>
          <w:p w:rsidR="00C25AEE" w:rsidRDefault="00C25AEE">
            <w:pPr>
              <w:spacing w:before="60" w:after="60"/>
              <w:jc w:val="right"/>
              <w:rPr>
                <w:noProof/>
                <w:sz w:val="20"/>
              </w:rPr>
            </w:pPr>
          </w:p>
        </w:tc>
        <w:tc>
          <w:tcPr>
            <w:tcW w:w="868" w:type="dxa"/>
            <w:vAlign w:val="center"/>
          </w:tcPr>
          <w:p w:rsidR="00C25AEE" w:rsidRDefault="00C25AEE">
            <w:pPr>
              <w:spacing w:before="60" w:after="60"/>
              <w:jc w:val="right"/>
              <w:rPr>
                <w:noProof/>
                <w:sz w:val="20"/>
              </w:rPr>
            </w:pPr>
          </w:p>
        </w:tc>
        <w:tc>
          <w:tcPr>
            <w:tcW w:w="868" w:type="dxa"/>
            <w:vAlign w:val="center"/>
          </w:tcPr>
          <w:p w:rsidR="00C25AEE" w:rsidRDefault="00C25AEE">
            <w:pPr>
              <w:spacing w:before="60" w:after="60"/>
              <w:jc w:val="right"/>
              <w:rPr>
                <w:b/>
                <w:noProof/>
                <w:sz w:val="20"/>
              </w:rPr>
            </w:pPr>
          </w:p>
        </w:tc>
        <w:tc>
          <w:tcPr>
            <w:tcW w:w="1777" w:type="dxa"/>
            <w:vAlign w:val="center"/>
          </w:tcPr>
          <w:p w:rsidR="00C25AEE" w:rsidRDefault="00C25AEE">
            <w:pPr>
              <w:spacing w:before="60" w:after="60"/>
              <w:jc w:val="right"/>
              <w:rPr>
                <w:b/>
                <w:noProof/>
                <w:sz w:val="20"/>
              </w:rPr>
            </w:pPr>
          </w:p>
        </w:tc>
      </w:tr>
      <w:tr w:rsidR="00C25AEE">
        <w:tc>
          <w:tcPr>
            <w:tcW w:w="3960" w:type="dxa"/>
            <w:vMerge/>
            <w:shd w:val="clear" w:color="auto" w:fill="C0C0C0"/>
          </w:tcPr>
          <w:p w:rsidR="00C25AEE" w:rsidRDefault="00C25AEE">
            <w:pPr>
              <w:rPr>
                <w:noProof/>
                <w:sz w:val="20"/>
              </w:rPr>
            </w:pPr>
          </w:p>
        </w:tc>
        <w:tc>
          <w:tcPr>
            <w:tcW w:w="2094" w:type="dxa"/>
            <w:gridSpan w:val="2"/>
            <w:vAlign w:val="center"/>
          </w:tcPr>
          <w:p w:rsidR="00C25AEE" w:rsidRDefault="00673487">
            <w:pPr>
              <w:rPr>
                <w:noProof/>
                <w:sz w:val="14"/>
              </w:rPr>
            </w:pPr>
            <w:r>
              <w:rPr>
                <w:noProof/>
                <w:sz w:val="18"/>
              </w:rPr>
              <w:t>Плащания</w:t>
            </w:r>
          </w:p>
        </w:tc>
        <w:tc>
          <w:tcPr>
            <w:tcW w:w="868" w:type="dxa"/>
            <w:vAlign w:val="center"/>
          </w:tcPr>
          <w:p w:rsidR="00C25AEE" w:rsidRDefault="00C25AEE">
            <w:pPr>
              <w:spacing w:before="60" w:after="60"/>
              <w:jc w:val="right"/>
              <w:rPr>
                <w:noProof/>
                <w:sz w:val="20"/>
              </w:rPr>
            </w:pPr>
          </w:p>
        </w:tc>
        <w:tc>
          <w:tcPr>
            <w:tcW w:w="868" w:type="dxa"/>
            <w:vAlign w:val="center"/>
          </w:tcPr>
          <w:p w:rsidR="00C25AEE" w:rsidRDefault="00C25AEE">
            <w:pPr>
              <w:spacing w:before="60" w:after="60"/>
              <w:jc w:val="right"/>
              <w:rPr>
                <w:noProof/>
                <w:sz w:val="20"/>
              </w:rPr>
            </w:pPr>
          </w:p>
        </w:tc>
        <w:tc>
          <w:tcPr>
            <w:tcW w:w="868" w:type="dxa"/>
            <w:vAlign w:val="center"/>
          </w:tcPr>
          <w:p w:rsidR="00C25AEE" w:rsidRDefault="00C25AEE">
            <w:pPr>
              <w:spacing w:before="60" w:after="60"/>
              <w:jc w:val="right"/>
              <w:rPr>
                <w:noProof/>
                <w:sz w:val="20"/>
              </w:rPr>
            </w:pPr>
          </w:p>
        </w:tc>
        <w:tc>
          <w:tcPr>
            <w:tcW w:w="868" w:type="dxa"/>
            <w:vAlign w:val="center"/>
          </w:tcPr>
          <w:p w:rsidR="00C25AEE" w:rsidRDefault="00C25AEE">
            <w:pPr>
              <w:spacing w:before="60" w:after="60"/>
              <w:jc w:val="right"/>
              <w:rPr>
                <w:noProof/>
                <w:sz w:val="20"/>
              </w:rPr>
            </w:pPr>
          </w:p>
        </w:tc>
        <w:tc>
          <w:tcPr>
            <w:tcW w:w="868" w:type="dxa"/>
            <w:vAlign w:val="center"/>
          </w:tcPr>
          <w:p w:rsidR="00C25AEE" w:rsidRDefault="00C25AEE">
            <w:pPr>
              <w:spacing w:before="60" w:after="60"/>
              <w:jc w:val="right"/>
              <w:rPr>
                <w:noProof/>
                <w:sz w:val="20"/>
              </w:rPr>
            </w:pPr>
          </w:p>
        </w:tc>
        <w:tc>
          <w:tcPr>
            <w:tcW w:w="868" w:type="dxa"/>
            <w:vAlign w:val="center"/>
          </w:tcPr>
          <w:p w:rsidR="00C25AEE" w:rsidRDefault="00C25AEE">
            <w:pPr>
              <w:spacing w:before="60" w:after="60"/>
              <w:jc w:val="right"/>
              <w:rPr>
                <w:noProof/>
                <w:sz w:val="20"/>
              </w:rPr>
            </w:pPr>
          </w:p>
        </w:tc>
        <w:tc>
          <w:tcPr>
            <w:tcW w:w="868" w:type="dxa"/>
            <w:vAlign w:val="center"/>
          </w:tcPr>
          <w:p w:rsidR="00C25AEE" w:rsidRDefault="00C25AEE">
            <w:pPr>
              <w:spacing w:before="60" w:after="60"/>
              <w:jc w:val="right"/>
              <w:rPr>
                <w:b/>
                <w:noProof/>
                <w:sz w:val="20"/>
              </w:rPr>
            </w:pPr>
          </w:p>
        </w:tc>
        <w:tc>
          <w:tcPr>
            <w:tcW w:w="1777" w:type="dxa"/>
            <w:vAlign w:val="center"/>
          </w:tcPr>
          <w:p w:rsidR="00C25AEE" w:rsidRDefault="00C25AEE">
            <w:pPr>
              <w:spacing w:before="60" w:after="60"/>
              <w:jc w:val="right"/>
              <w:rPr>
                <w:b/>
                <w:noProof/>
                <w:sz w:val="20"/>
              </w:rPr>
            </w:pPr>
          </w:p>
        </w:tc>
      </w:tr>
    </w:tbl>
    <w:p w:rsidR="00C25AEE" w:rsidRDefault="00C25AEE">
      <w:pPr>
        <w:rPr>
          <w:noProof/>
        </w:rPr>
      </w:pPr>
    </w:p>
    <w:p w:rsidR="00C25AEE" w:rsidRDefault="00673487">
      <w:pPr>
        <w:pStyle w:val="ManualHeading3"/>
        <w:rPr>
          <w:bCs/>
          <w:noProof/>
          <w:szCs w:val="24"/>
        </w:rPr>
      </w:pPr>
      <w:bookmarkStart w:id="45" w:name="_Toc514938054"/>
      <w:bookmarkStart w:id="46" w:name="_Toc520485053"/>
      <w:r>
        <w:t>3.2.2.</w:t>
      </w:r>
      <w:r>
        <w:tab/>
      </w:r>
      <w:r>
        <w:rPr>
          <w:noProof/>
        </w:rPr>
        <w:t xml:space="preserve">Очакван резултат, финансиран с </w:t>
      </w:r>
      <w:r>
        <w:rPr>
          <w:noProof/>
        </w:rPr>
        <w:t>бюджетни кредити за оперативни разходи</w:t>
      </w:r>
      <w:bookmarkEnd w:id="45"/>
      <w:bookmarkEnd w:id="46"/>
      <w:r>
        <w:rPr>
          <w:noProof/>
        </w:rPr>
        <w:t xml:space="preserve"> </w:t>
      </w:r>
    </w:p>
    <w:p w:rsidR="00C25AEE" w:rsidRDefault="00673487">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C25AEE">
        <w:trPr>
          <w:jc w:val="center"/>
        </w:trPr>
        <w:tc>
          <w:tcPr>
            <w:tcW w:w="1423" w:type="dxa"/>
            <w:vMerge w:val="restart"/>
            <w:vAlign w:val="center"/>
          </w:tcPr>
          <w:p w:rsidR="00C25AEE" w:rsidRDefault="00673487">
            <w:pPr>
              <w:ind w:right="-29"/>
              <w:jc w:val="center"/>
              <w:rPr>
                <w:b/>
                <w:noProof/>
                <w:sz w:val="18"/>
                <w:szCs w:val="18"/>
              </w:rPr>
            </w:pPr>
            <w:r>
              <w:rPr>
                <w:b/>
                <w:noProof/>
                <w:sz w:val="18"/>
              </w:rPr>
              <w:t xml:space="preserve">Да се посочат целите и резултатите </w:t>
            </w:r>
          </w:p>
          <w:p w:rsidR="00C25AEE" w:rsidRDefault="00C25AEE">
            <w:pPr>
              <w:ind w:right="-29"/>
              <w:jc w:val="center"/>
              <w:rPr>
                <w:b/>
                <w:noProof/>
                <w:sz w:val="18"/>
                <w:szCs w:val="18"/>
              </w:rPr>
            </w:pPr>
          </w:p>
          <w:p w:rsidR="00C25AEE" w:rsidRDefault="00673487">
            <w:pPr>
              <w:ind w:right="-29"/>
              <w:jc w:val="center"/>
              <w:rPr>
                <w:noProof/>
                <w:sz w:val="18"/>
                <w:szCs w:val="18"/>
              </w:rPr>
            </w:pPr>
            <w:r>
              <w:rPr>
                <w:noProof/>
                <w:sz w:val="18"/>
              </w:rPr>
              <w:sym w:font="Wingdings" w:char="F0F2"/>
            </w:r>
          </w:p>
        </w:tc>
        <w:tc>
          <w:tcPr>
            <w:tcW w:w="720" w:type="dxa"/>
            <w:vAlign w:val="center"/>
          </w:tcPr>
          <w:p w:rsidR="00C25AEE" w:rsidRDefault="00C25AEE">
            <w:pPr>
              <w:ind w:right="-29"/>
              <w:jc w:val="center"/>
              <w:rPr>
                <w:noProof/>
                <w:sz w:val="18"/>
                <w:szCs w:val="18"/>
              </w:rPr>
            </w:pPr>
          </w:p>
        </w:tc>
        <w:tc>
          <w:tcPr>
            <w:tcW w:w="701" w:type="dxa"/>
            <w:vAlign w:val="center"/>
          </w:tcPr>
          <w:p w:rsidR="00C25AEE" w:rsidRDefault="00C25AEE">
            <w:pPr>
              <w:ind w:right="-29"/>
              <w:jc w:val="center"/>
              <w:rPr>
                <w:noProof/>
                <w:sz w:val="18"/>
                <w:szCs w:val="18"/>
              </w:rPr>
            </w:pPr>
          </w:p>
        </w:tc>
        <w:tc>
          <w:tcPr>
            <w:tcW w:w="1224" w:type="dxa"/>
            <w:gridSpan w:val="2"/>
            <w:tcBorders>
              <w:left w:val="nil"/>
            </w:tcBorders>
            <w:vAlign w:val="center"/>
          </w:tcPr>
          <w:p w:rsidR="00C25AEE" w:rsidRDefault="00673487">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rsidR="00C25AEE" w:rsidRDefault="00673487">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rsidR="00C25AEE" w:rsidRDefault="00673487">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rsidR="00C25AEE" w:rsidRDefault="00673487">
            <w:pPr>
              <w:ind w:right="-29"/>
              <w:jc w:val="center"/>
              <w:rPr>
                <w:noProof/>
                <w:sz w:val="18"/>
                <w:szCs w:val="18"/>
              </w:rPr>
            </w:pPr>
            <w:r>
              <w:rPr>
                <w:noProof/>
                <w:sz w:val="18"/>
              </w:rPr>
              <w:t>Година</w:t>
            </w:r>
            <w:r>
              <w:rPr>
                <w:noProof/>
                <w:sz w:val="22"/>
              </w:rPr>
              <w:br/>
            </w:r>
            <w:r>
              <w:rPr>
                <w:b/>
                <w:noProof/>
                <w:sz w:val="18"/>
              </w:rPr>
              <w:t>N+3</w:t>
            </w:r>
          </w:p>
        </w:tc>
        <w:tc>
          <w:tcPr>
            <w:tcW w:w="3600" w:type="dxa"/>
            <w:gridSpan w:val="6"/>
            <w:vAlign w:val="center"/>
          </w:tcPr>
          <w:p w:rsidR="00C25AEE" w:rsidRDefault="00673487">
            <w:pPr>
              <w:jc w:val="center"/>
              <w:rPr>
                <w:noProof/>
                <w:sz w:val="18"/>
                <w:szCs w:val="18"/>
              </w:rPr>
            </w:pPr>
            <w:r>
              <w:rPr>
                <w:noProof/>
                <w:sz w:val="18"/>
              </w:rPr>
              <w:t xml:space="preserve">Добавят се толкова години, колкото е </w:t>
            </w:r>
            <w:r>
              <w:rPr>
                <w:noProof/>
                <w:sz w:val="18"/>
              </w:rPr>
              <w:t>необходимо, за да се обхване продължителността на отражението (вж. точка 1.6).</w:t>
            </w:r>
          </w:p>
        </w:tc>
        <w:tc>
          <w:tcPr>
            <w:tcW w:w="1620" w:type="dxa"/>
            <w:gridSpan w:val="2"/>
            <w:tcBorders>
              <w:left w:val="nil"/>
              <w:bottom w:val="nil"/>
            </w:tcBorders>
            <w:vAlign w:val="center"/>
          </w:tcPr>
          <w:p w:rsidR="00C25AEE" w:rsidRDefault="00673487">
            <w:pPr>
              <w:ind w:right="-29"/>
              <w:jc w:val="center"/>
              <w:rPr>
                <w:noProof/>
                <w:sz w:val="18"/>
                <w:szCs w:val="18"/>
              </w:rPr>
            </w:pPr>
            <w:r>
              <w:rPr>
                <w:b/>
                <w:noProof/>
                <w:sz w:val="18"/>
              </w:rPr>
              <w:t>ОБЩО</w:t>
            </w:r>
          </w:p>
        </w:tc>
      </w:tr>
      <w:tr w:rsidR="00C25AEE">
        <w:trPr>
          <w:jc w:val="center"/>
        </w:trPr>
        <w:tc>
          <w:tcPr>
            <w:tcW w:w="1423" w:type="dxa"/>
            <w:vMerge/>
            <w:vAlign w:val="center"/>
          </w:tcPr>
          <w:p w:rsidR="00C25AEE" w:rsidRDefault="00C25AEE">
            <w:pPr>
              <w:ind w:right="-29"/>
              <w:jc w:val="center"/>
              <w:rPr>
                <w:noProof/>
                <w:sz w:val="18"/>
                <w:szCs w:val="18"/>
              </w:rPr>
            </w:pPr>
          </w:p>
        </w:tc>
        <w:tc>
          <w:tcPr>
            <w:tcW w:w="12185" w:type="dxa"/>
            <w:gridSpan w:val="19"/>
            <w:vAlign w:val="center"/>
          </w:tcPr>
          <w:p w:rsidR="00C25AEE" w:rsidRDefault="00673487">
            <w:pPr>
              <w:spacing w:before="60" w:after="60"/>
              <w:ind w:right="-29"/>
              <w:jc w:val="center"/>
              <w:rPr>
                <w:noProof/>
                <w:sz w:val="18"/>
                <w:szCs w:val="18"/>
              </w:rPr>
            </w:pPr>
            <w:r>
              <w:rPr>
                <w:b/>
                <w:noProof/>
                <w:sz w:val="18"/>
              </w:rPr>
              <w:t>РЕЗУЛТАТИ</w:t>
            </w:r>
          </w:p>
        </w:tc>
      </w:tr>
      <w:tr w:rsidR="00C25AEE">
        <w:trPr>
          <w:cantSplit/>
          <w:trHeight w:val="1134"/>
          <w:jc w:val="center"/>
        </w:trPr>
        <w:tc>
          <w:tcPr>
            <w:tcW w:w="1423" w:type="dxa"/>
            <w:vMerge/>
            <w:vAlign w:val="center"/>
          </w:tcPr>
          <w:p w:rsidR="00C25AEE" w:rsidRDefault="00C25AEE">
            <w:pPr>
              <w:rPr>
                <w:noProof/>
                <w:sz w:val="18"/>
                <w:szCs w:val="18"/>
              </w:rPr>
            </w:pPr>
          </w:p>
        </w:tc>
        <w:tc>
          <w:tcPr>
            <w:tcW w:w="720" w:type="dxa"/>
            <w:vAlign w:val="center"/>
          </w:tcPr>
          <w:p w:rsidR="00C25AEE" w:rsidRDefault="00673487">
            <w:pPr>
              <w:jc w:val="center"/>
              <w:rPr>
                <w:noProof/>
                <w:sz w:val="18"/>
                <w:szCs w:val="18"/>
              </w:rPr>
            </w:pPr>
            <w:r>
              <w:rPr>
                <w:noProof/>
                <w:sz w:val="18"/>
              </w:rPr>
              <w:t>Вид</w:t>
            </w:r>
            <w:r>
              <w:rPr>
                <w:rStyle w:val="FootnoteReference"/>
                <w:noProof/>
                <w:sz w:val="18"/>
              </w:rPr>
              <w:footnoteReference w:id="14"/>
            </w:r>
          </w:p>
          <w:p w:rsidR="00C25AEE" w:rsidRDefault="00C25AEE">
            <w:pPr>
              <w:spacing w:before="0" w:after="0"/>
              <w:jc w:val="center"/>
              <w:rPr>
                <w:noProof/>
                <w:sz w:val="18"/>
                <w:szCs w:val="18"/>
              </w:rPr>
            </w:pPr>
          </w:p>
        </w:tc>
        <w:tc>
          <w:tcPr>
            <w:tcW w:w="701" w:type="dxa"/>
            <w:vAlign w:val="center"/>
          </w:tcPr>
          <w:p w:rsidR="00C25AEE" w:rsidRDefault="00673487">
            <w:pPr>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rsidR="00C25AEE" w:rsidRDefault="00673487">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rsidR="00C25AEE" w:rsidRDefault="00673487">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C25AEE" w:rsidRDefault="00673487">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rsidR="00C25AEE" w:rsidRDefault="00673487">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C25AEE" w:rsidRDefault="00673487">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rsidR="00C25AEE" w:rsidRDefault="00673487">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rsidR="00C25AEE" w:rsidRDefault="00673487">
            <w:pPr>
              <w:ind w:left="113" w:right="113"/>
              <w:jc w:val="center"/>
              <w:rPr>
                <w:noProof/>
                <w:sz w:val="18"/>
                <w:szCs w:val="18"/>
              </w:rPr>
            </w:pPr>
            <w:r>
              <w:rPr>
                <w:noProof/>
                <w:sz w:val="18"/>
              </w:rPr>
              <w:t>№</w:t>
            </w:r>
          </w:p>
        </w:tc>
        <w:tc>
          <w:tcPr>
            <w:tcW w:w="720" w:type="dxa"/>
            <w:gridSpan w:val="2"/>
            <w:tcBorders>
              <w:left w:val="dashSmallGap" w:sz="4" w:space="0" w:color="auto"/>
            </w:tcBorders>
            <w:shd w:val="pct10" w:color="auto" w:fill="auto"/>
            <w:vAlign w:val="center"/>
          </w:tcPr>
          <w:p w:rsidR="00C25AEE" w:rsidRDefault="00673487">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C25AEE" w:rsidRDefault="00673487">
            <w:pPr>
              <w:ind w:left="113" w:right="113"/>
              <w:jc w:val="center"/>
              <w:rPr>
                <w:noProof/>
                <w:sz w:val="18"/>
                <w:szCs w:val="18"/>
              </w:rPr>
            </w:pPr>
            <w:r>
              <w:rPr>
                <w:noProof/>
                <w:sz w:val="18"/>
              </w:rPr>
              <w:t>№</w:t>
            </w:r>
          </w:p>
        </w:tc>
        <w:tc>
          <w:tcPr>
            <w:tcW w:w="648" w:type="dxa"/>
            <w:tcBorders>
              <w:left w:val="dashSmallGap" w:sz="4" w:space="0" w:color="auto"/>
            </w:tcBorders>
            <w:shd w:val="pct10" w:color="auto" w:fill="auto"/>
            <w:vAlign w:val="center"/>
          </w:tcPr>
          <w:p w:rsidR="00C25AEE" w:rsidRDefault="00673487">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rsidR="00C25AEE" w:rsidRDefault="00673487">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rsidR="00C25AEE" w:rsidRDefault="00673487">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C25AEE" w:rsidRDefault="00673487">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rsidR="00C25AEE" w:rsidRDefault="00673487">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rsidR="00C25AEE" w:rsidRDefault="00673487">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C25AEE" w:rsidRDefault="00673487">
            <w:pPr>
              <w:jc w:val="center"/>
              <w:rPr>
                <w:noProof/>
                <w:sz w:val="18"/>
                <w:szCs w:val="18"/>
              </w:rPr>
            </w:pPr>
            <w:r>
              <w:rPr>
                <w:noProof/>
                <w:sz w:val="18"/>
              </w:rPr>
              <w:t>Общо разходи</w:t>
            </w:r>
          </w:p>
        </w:tc>
      </w:tr>
      <w:tr w:rsidR="00C25AEE">
        <w:trPr>
          <w:jc w:val="center"/>
        </w:trPr>
        <w:tc>
          <w:tcPr>
            <w:tcW w:w="2844" w:type="dxa"/>
            <w:gridSpan w:val="3"/>
            <w:vAlign w:val="center"/>
          </w:tcPr>
          <w:p w:rsidR="00C25AEE" w:rsidRDefault="00673487">
            <w:pPr>
              <w:spacing w:before="60" w:after="60"/>
              <w:ind w:right="-29"/>
              <w:jc w:val="center"/>
              <w:rPr>
                <w:noProof/>
                <w:sz w:val="18"/>
                <w:szCs w:val="18"/>
              </w:rPr>
            </w:pPr>
            <w:r>
              <w:rPr>
                <w:noProof/>
                <w:sz w:val="18"/>
              </w:rPr>
              <w:t>КОНКРЕТНА ЦЕЛ № 1…</w:t>
            </w:r>
            <w:r>
              <w:rPr>
                <w:rStyle w:val="FootnoteReference"/>
                <w:noProof/>
                <w:sz w:val="18"/>
              </w:rPr>
              <w:footnoteReference w:id="15"/>
            </w:r>
          </w:p>
        </w:tc>
        <w:tc>
          <w:tcPr>
            <w:tcW w:w="504"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540"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900"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gridSpan w:val="2"/>
            <w:tcBorders>
              <w:top w:val="nil"/>
              <w:left w:val="nil"/>
              <w:bottom w:val="nil"/>
              <w:right w:val="nil"/>
            </w:tcBorders>
          </w:tcPr>
          <w:p w:rsidR="00C25AEE" w:rsidRDefault="00C25AEE">
            <w:pPr>
              <w:spacing w:before="60" w:after="60"/>
              <w:ind w:right="-29"/>
              <w:jc w:val="center"/>
              <w:rPr>
                <w:noProof/>
                <w:sz w:val="18"/>
                <w:szCs w:val="18"/>
              </w:rPr>
            </w:pPr>
          </w:p>
        </w:tc>
        <w:tc>
          <w:tcPr>
            <w:tcW w:w="540" w:type="dxa"/>
            <w:tcBorders>
              <w:top w:val="nil"/>
              <w:left w:val="nil"/>
              <w:bottom w:val="nil"/>
              <w:right w:val="nil"/>
            </w:tcBorders>
          </w:tcPr>
          <w:p w:rsidR="00C25AEE" w:rsidRDefault="00C25AEE">
            <w:pPr>
              <w:spacing w:before="60" w:after="60"/>
              <w:ind w:right="-29"/>
              <w:jc w:val="center"/>
              <w:rPr>
                <w:noProof/>
                <w:sz w:val="18"/>
                <w:szCs w:val="18"/>
              </w:rPr>
            </w:pPr>
          </w:p>
        </w:tc>
        <w:tc>
          <w:tcPr>
            <w:tcW w:w="648" w:type="dxa"/>
            <w:tcBorders>
              <w:top w:val="nil"/>
              <w:left w:val="nil"/>
              <w:bottom w:val="nil"/>
              <w:right w:val="nil"/>
            </w:tcBorders>
          </w:tcPr>
          <w:p w:rsidR="00C25AEE" w:rsidRDefault="00C25AEE">
            <w:pPr>
              <w:spacing w:before="60" w:after="60"/>
              <w:ind w:right="-29"/>
              <w:jc w:val="center"/>
              <w:rPr>
                <w:noProof/>
                <w:sz w:val="18"/>
                <w:szCs w:val="18"/>
              </w:rPr>
            </w:pPr>
          </w:p>
        </w:tc>
        <w:tc>
          <w:tcPr>
            <w:tcW w:w="432"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540"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900" w:type="dxa"/>
            <w:tcBorders>
              <w:top w:val="nil"/>
              <w:left w:val="nil"/>
              <w:bottom w:val="nil"/>
              <w:right w:val="nil"/>
            </w:tcBorders>
          </w:tcPr>
          <w:p w:rsidR="00C25AEE" w:rsidRDefault="00C25AEE">
            <w:pPr>
              <w:spacing w:before="60" w:after="60"/>
              <w:ind w:right="-29"/>
              <w:jc w:val="center"/>
              <w:rPr>
                <w:noProof/>
                <w:sz w:val="18"/>
                <w:szCs w:val="18"/>
              </w:rPr>
            </w:pPr>
          </w:p>
        </w:tc>
      </w:tr>
      <w:tr w:rsidR="00C25AEE">
        <w:trPr>
          <w:trHeight w:hRule="exact" w:val="369"/>
          <w:jc w:val="center"/>
        </w:trPr>
        <w:tc>
          <w:tcPr>
            <w:tcW w:w="1423" w:type="dxa"/>
          </w:tcPr>
          <w:p w:rsidR="00C25AEE" w:rsidRDefault="00673487">
            <w:pPr>
              <w:ind w:right="-29"/>
              <w:jc w:val="center"/>
              <w:rPr>
                <w:noProof/>
                <w:sz w:val="18"/>
                <w:szCs w:val="18"/>
              </w:rPr>
            </w:pPr>
            <w:r>
              <w:rPr>
                <w:noProof/>
                <w:sz w:val="18"/>
              </w:rPr>
              <w:t>- Резултат</w:t>
            </w:r>
          </w:p>
        </w:tc>
        <w:tc>
          <w:tcPr>
            <w:tcW w:w="720" w:type="dxa"/>
          </w:tcPr>
          <w:p w:rsidR="00C25AEE" w:rsidRDefault="00C25AEE">
            <w:pPr>
              <w:ind w:right="-29"/>
              <w:jc w:val="center"/>
              <w:rPr>
                <w:noProof/>
                <w:sz w:val="18"/>
                <w:szCs w:val="18"/>
              </w:rPr>
            </w:pPr>
          </w:p>
        </w:tc>
        <w:tc>
          <w:tcPr>
            <w:tcW w:w="701" w:type="dxa"/>
          </w:tcPr>
          <w:p w:rsidR="00C25AEE" w:rsidRDefault="00C25AEE">
            <w:pPr>
              <w:ind w:right="-29"/>
              <w:jc w:val="center"/>
              <w:rPr>
                <w:noProof/>
                <w:sz w:val="18"/>
                <w:szCs w:val="18"/>
              </w:rPr>
            </w:pPr>
          </w:p>
        </w:tc>
        <w:tc>
          <w:tcPr>
            <w:tcW w:w="504" w:type="dxa"/>
            <w:tcBorders>
              <w:right w:val="dashSmallGap" w:sz="4" w:space="0" w:color="auto"/>
            </w:tcBorders>
          </w:tcPr>
          <w:p w:rsidR="00C25AEE" w:rsidRDefault="00C25AEE">
            <w:pPr>
              <w:ind w:right="-29"/>
              <w:jc w:val="center"/>
              <w:rPr>
                <w:noProof/>
                <w:sz w:val="18"/>
                <w:szCs w:val="18"/>
              </w:rPr>
            </w:pPr>
          </w:p>
        </w:tc>
        <w:tc>
          <w:tcPr>
            <w:tcW w:w="720" w:type="dxa"/>
            <w:tcBorders>
              <w:left w:val="dashSmallGap" w:sz="4" w:space="0" w:color="auto"/>
            </w:tcBorders>
          </w:tcPr>
          <w:p w:rsidR="00C25AEE" w:rsidRDefault="00C25AEE">
            <w:pPr>
              <w:ind w:right="-29"/>
              <w:jc w:val="center"/>
              <w:rPr>
                <w:noProof/>
                <w:sz w:val="18"/>
                <w:szCs w:val="18"/>
              </w:rPr>
            </w:pPr>
          </w:p>
        </w:tc>
        <w:tc>
          <w:tcPr>
            <w:tcW w:w="540" w:type="dxa"/>
            <w:tcBorders>
              <w:right w:val="dashSmallGap" w:sz="4" w:space="0" w:color="auto"/>
            </w:tcBorders>
          </w:tcPr>
          <w:p w:rsidR="00C25AEE" w:rsidRDefault="00C25AEE">
            <w:pPr>
              <w:ind w:right="-29"/>
              <w:jc w:val="center"/>
              <w:rPr>
                <w:noProof/>
                <w:sz w:val="18"/>
                <w:szCs w:val="18"/>
              </w:rPr>
            </w:pPr>
          </w:p>
        </w:tc>
        <w:tc>
          <w:tcPr>
            <w:tcW w:w="720" w:type="dxa"/>
            <w:tcBorders>
              <w:left w:val="dashSmallGap" w:sz="4" w:space="0" w:color="auto"/>
            </w:tcBorders>
          </w:tcPr>
          <w:p w:rsidR="00C25AEE" w:rsidRDefault="00C25AEE">
            <w:pPr>
              <w:ind w:right="-29"/>
              <w:jc w:val="center"/>
              <w:rPr>
                <w:noProof/>
                <w:sz w:val="18"/>
                <w:szCs w:val="18"/>
              </w:rPr>
            </w:pPr>
          </w:p>
        </w:tc>
        <w:tc>
          <w:tcPr>
            <w:tcW w:w="720" w:type="dxa"/>
            <w:tcBorders>
              <w:right w:val="dashSmallGap" w:sz="4" w:space="0" w:color="auto"/>
            </w:tcBorders>
          </w:tcPr>
          <w:p w:rsidR="00C25AEE" w:rsidRDefault="00C25AEE">
            <w:pPr>
              <w:ind w:right="-29"/>
              <w:jc w:val="center"/>
              <w:rPr>
                <w:noProof/>
                <w:sz w:val="18"/>
                <w:szCs w:val="18"/>
              </w:rPr>
            </w:pPr>
          </w:p>
        </w:tc>
        <w:tc>
          <w:tcPr>
            <w:tcW w:w="720" w:type="dxa"/>
            <w:tcBorders>
              <w:left w:val="dashSmallGap" w:sz="4" w:space="0" w:color="auto"/>
            </w:tcBorders>
          </w:tcPr>
          <w:p w:rsidR="00C25AEE" w:rsidRDefault="00C25AEE">
            <w:pPr>
              <w:ind w:right="-29"/>
              <w:jc w:val="center"/>
              <w:rPr>
                <w:noProof/>
                <w:sz w:val="18"/>
                <w:szCs w:val="18"/>
              </w:rPr>
            </w:pPr>
          </w:p>
        </w:tc>
        <w:tc>
          <w:tcPr>
            <w:tcW w:w="900" w:type="dxa"/>
            <w:tcBorders>
              <w:right w:val="dashSmallGap" w:sz="4" w:space="0" w:color="auto"/>
            </w:tcBorders>
          </w:tcPr>
          <w:p w:rsidR="00C25AEE" w:rsidRDefault="00C25AEE">
            <w:pPr>
              <w:ind w:right="-29"/>
              <w:jc w:val="center"/>
              <w:rPr>
                <w:noProof/>
                <w:sz w:val="18"/>
                <w:szCs w:val="18"/>
              </w:rPr>
            </w:pPr>
          </w:p>
        </w:tc>
        <w:tc>
          <w:tcPr>
            <w:tcW w:w="720" w:type="dxa"/>
            <w:gridSpan w:val="2"/>
            <w:tcBorders>
              <w:left w:val="dashSmallGap" w:sz="4" w:space="0" w:color="auto"/>
            </w:tcBorders>
          </w:tcPr>
          <w:p w:rsidR="00C25AEE" w:rsidRDefault="00C25AEE">
            <w:pPr>
              <w:ind w:right="-29"/>
              <w:jc w:val="center"/>
              <w:rPr>
                <w:noProof/>
                <w:sz w:val="18"/>
                <w:szCs w:val="18"/>
              </w:rPr>
            </w:pPr>
          </w:p>
        </w:tc>
        <w:tc>
          <w:tcPr>
            <w:tcW w:w="540" w:type="dxa"/>
            <w:tcBorders>
              <w:right w:val="dashSmallGap" w:sz="4" w:space="0" w:color="auto"/>
            </w:tcBorders>
          </w:tcPr>
          <w:p w:rsidR="00C25AEE" w:rsidRDefault="00C25AEE">
            <w:pPr>
              <w:ind w:right="-29"/>
              <w:jc w:val="center"/>
              <w:rPr>
                <w:noProof/>
                <w:sz w:val="18"/>
                <w:szCs w:val="18"/>
              </w:rPr>
            </w:pPr>
          </w:p>
        </w:tc>
        <w:tc>
          <w:tcPr>
            <w:tcW w:w="648" w:type="dxa"/>
            <w:tcBorders>
              <w:left w:val="dashSmallGap" w:sz="4" w:space="0" w:color="auto"/>
            </w:tcBorders>
          </w:tcPr>
          <w:p w:rsidR="00C25AEE" w:rsidRDefault="00C25AEE">
            <w:pPr>
              <w:ind w:right="-29"/>
              <w:jc w:val="center"/>
              <w:rPr>
                <w:noProof/>
                <w:sz w:val="18"/>
                <w:szCs w:val="18"/>
              </w:rPr>
            </w:pPr>
          </w:p>
        </w:tc>
        <w:tc>
          <w:tcPr>
            <w:tcW w:w="432" w:type="dxa"/>
            <w:tcBorders>
              <w:right w:val="dashSmallGap" w:sz="4" w:space="0" w:color="auto"/>
            </w:tcBorders>
          </w:tcPr>
          <w:p w:rsidR="00C25AEE" w:rsidRDefault="00C25AEE">
            <w:pPr>
              <w:ind w:right="-29"/>
              <w:jc w:val="center"/>
              <w:rPr>
                <w:noProof/>
                <w:sz w:val="18"/>
                <w:szCs w:val="18"/>
              </w:rPr>
            </w:pPr>
          </w:p>
        </w:tc>
        <w:tc>
          <w:tcPr>
            <w:tcW w:w="720" w:type="dxa"/>
            <w:tcBorders>
              <w:left w:val="dashSmallGap" w:sz="4" w:space="0" w:color="auto"/>
            </w:tcBorders>
          </w:tcPr>
          <w:p w:rsidR="00C25AEE" w:rsidRDefault="00C25AEE">
            <w:pPr>
              <w:ind w:right="-29"/>
              <w:jc w:val="center"/>
              <w:rPr>
                <w:noProof/>
                <w:sz w:val="18"/>
                <w:szCs w:val="18"/>
              </w:rPr>
            </w:pPr>
          </w:p>
        </w:tc>
        <w:tc>
          <w:tcPr>
            <w:tcW w:w="540" w:type="dxa"/>
            <w:tcBorders>
              <w:right w:val="dashSmallGap" w:sz="4" w:space="0" w:color="auto"/>
            </w:tcBorders>
          </w:tcPr>
          <w:p w:rsidR="00C25AEE" w:rsidRDefault="00C25AEE">
            <w:pPr>
              <w:ind w:right="-29"/>
              <w:jc w:val="center"/>
              <w:rPr>
                <w:noProof/>
                <w:sz w:val="18"/>
                <w:szCs w:val="18"/>
              </w:rPr>
            </w:pPr>
          </w:p>
        </w:tc>
        <w:tc>
          <w:tcPr>
            <w:tcW w:w="720" w:type="dxa"/>
            <w:tcBorders>
              <w:left w:val="dashSmallGap" w:sz="4" w:space="0" w:color="auto"/>
            </w:tcBorders>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900" w:type="dxa"/>
          </w:tcPr>
          <w:p w:rsidR="00C25AEE" w:rsidRDefault="00C25AEE">
            <w:pPr>
              <w:ind w:right="-29"/>
              <w:jc w:val="center"/>
              <w:rPr>
                <w:noProof/>
                <w:sz w:val="18"/>
                <w:szCs w:val="18"/>
              </w:rPr>
            </w:pPr>
          </w:p>
        </w:tc>
      </w:tr>
      <w:tr w:rsidR="00C25AEE">
        <w:trPr>
          <w:trHeight w:hRule="exact" w:val="369"/>
          <w:jc w:val="center"/>
        </w:trPr>
        <w:tc>
          <w:tcPr>
            <w:tcW w:w="1423" w:type="dxa"/>
          </w:tcPr>
          <w:p w:rsidR="00C25AEE" w:rsidRDefault="00673487">
            <w:pPr>
              <w:ind w:right="-29"/>
              <w:jc w:val="center"/>
              <w:rPr>
                <w:noProof/>
                <w:sz w:val="18"/>
                <w:szCs w:val="18"/>
              </w:rPr>
            </w:pPr>
            <w:r>
              <w:rPr>
                <w:noProof/>
                <w:sz w:val="18"/>
              </w:rPr>
              <w:t>- Резултат</w:t>
            </w:r>
          </w:p>
        </w:tc>
        <w:tc>
          <w:tcPr>
            <w:tcW w:w="720" w:type="dxa"/>
          </w:tcPr>
          <w:p w:rsidR="00C25AEE" w:rsidRDefault="00C25AEE">
            <w:pPr>
              <w:ind w:right="-29"/>
              <w:jc w:val="center"/>
              <w:rPr>
                <w:noProof/>
                <w:sz w:val="18"/>
                <w:szCs w:val="18"/>
              </w:rPr>
            </w:pPr>
          </w:p>
        </w:tc>
        <w:tc>
          <w:tcPr>
            <w:tcW w:w="701" w:type="dxa"/>
          </w:tcPr>
          <w:p w:rsidR="00C25AEE" w:rsidRDefault="00C25AEE">
            <w:pPr>
              <w:ind w:right="-29"/>
              <w:jc w:val="center"/>
              <w:rPr>
                <w:noProof/>
                <w:sz w:val="18"/>
                <w:szCs w:val="18"/>
              </w:rPr>
            </w:pPr>
          </w:p>
        </w:tc>
        <w:tc>
          <w:tcPr>
            <w:tcW w:w="504" w:type="dxa"/>
            <w:tcBorders>
              <w:right w:val="dashSmallGap" w:sz="4" w:space="0" w:color="auto"/>
            </w:tcBorders>
          </w:tcPr>
          <w:p w:rsidR="00C25AEE" w:rsidRDefault="00C25AEE">
            <w:pPr>
              <w:ind w:right="-29"/>
              <w:jc w:val="center"/>
              <w:rPr>
                <w:noProof/>
                <w:sz w:val="18"/>
                <w:szCs w:val="18"/>
              </w:rPr>
            </w:pPr>
          </w:p>
        </w:tc>
        <w:tc>
          <w:tcPr>
            <w:tcW w:w="720" w:type="dxa"/>
            <w:tcBorders>
              <w:left w:val="dashSmallGap" w:sz="4" w:space="0" w:color="auto"/>
            </w:tcBorders>
          </w:tcPr>
          <w:p w:rsidR="00C25AEE" w:rsidRDefault="00C25AEE">
            <w:pPr>
              <w:ind w:right="-29"/>
              <w:jc w:val="center"/>
              <w:rPr>
                <w:noProof/>
                <w:sz w:val="18"/>
                <w:szCs w:val="18"/>
              </w:rPr>
            </w:pPr>
          </w:p>
        </w:tc>
        <w:tc>
          <w:tcPr>
            <w:tcW w:w="540" w:type="dxa"/>
            <w:tcBorders>
              <w:right w:val="dashSmallGap" w:sz="4" w:space="0" w:color="auto"/>
            </w:tcBorders>
          </w:tcPr>
          <w:p w:rsidR="00C25AEE" w:rsidRDefault="00C25AEE">
            <w:pPr>
              <w:ind w:right="-29"/>
              <w:jc w:val="center"/>
              <w:rPr>
                <w:noProof/>
                <w:sz w:val="18"/>
                <w:szCs w:val="18"/>
              </w:rPr>
            </w:pPr>
          </w:p>
        </w:tc>
        <w:tc>
          <w:tcPr>
            <w:tcW w:w="720" w:type="dxa"/>
            <w:tcBorders>
              <w:left w:val="dashSmallGap" w:sz="4" w:space="0" w:color="auto"/>
            </w:tcBorders>
          </w:tcPr>
          <w:p w:rsidR="00C25AEE" w:rsidRDefault="00C25AEE">
            <w:pPr>
              <w:ind w:right="-29"/>
              <w:jc w:val="center"/>
              <w:rPr>
                <w:noProof/>
                <w:sz w:val="18"/>
                <w:szCs w:val="18"/>
              </w:rPr>
            </w:pPr>
          </w:p>
        </w:tc>
        <w:tc>
          <w:tcPr>
            <w:tcW w:w="720" w:type="dxa"/>
            <w:tcBorders>
              <w:right w:val="dashSmallGap" w:sz="4" w:space="0" w:color="auto"/>
            </w:tcBorders>
          </w:tcPr>
          <w:p w:rsidR="00C25AEE" w:rsidRDefault="00C25AEE">
            <w:pPr>
              <w:ind w:right="-29"/>
              <w:jc w:val="center"/>
              <w:rPr>
                <w:noProof/>
                <w:sz w:val="18"/>
                <w:szCs w:val="18"/>
              </w:rPr>
            </w:pPr>
          </w:p>
        </w:tc>
        <w:tc>
          <w:tcPr>
            <w:tcW w:w="720" w:type="dxa"/>
            <w:tcBorders>
              <w:left w:val="dashSmallGap" w:sz="4" w:space="0" w:color="auto"/>
            </w:tcBorders>
          </w:tcPr>
          <w:p w:rsidR="00C25AEE" w:rsidRDefault="00C25AEE">
            <w:pPr>
              <w:ind w:right="-29"/>
              <w:jc w:val="center"/>
              <w:rPr>
                <w:noProof/>
                <w:sz w:val="18"/>
                <w:szCs w:val="18"/>
              </w:rPr>
            </w:pPr>
          </w:p>
        </w:tc>
        <w:tc>
          <w:tcPr>
            <w:tcW w:w="900" w:type="dxa"/>
            <w:tcBorders>
              <w:right w:val="dashSmallGap" w:sz="4" w:space="0" w:color="auto"/>
            </w:tcBorders>
          </w:tcPr>
          <w:p w:rsidR="00C25AEE" w:rsidRDefault="00C25AEE">
            <w:pPr>
              <w:ind w:right="-29"/>
              <w:jc w:val="center"/>
              <w:rPr>
                <w:noProof/>
                <w:sz w:val="18"/>
                <w:szCs w:val="18"/>
              </w:rPr>
            </w:pPr>
          </w:p>
        </w:tc>
        <w:tc>
          <w:tcPr>
            <w:tcW w:w="720" w:type="dxa"/>
            <w:gridSpan w:val="2"/>
            <w:tcBorders>
              <w:left w:val="dashSmallGap" w:sz="4" w:space="0" w:color="auto"/>
            </w:tcBorders>
          </w:tcPr>
          <w:p w:rsidR="00C25AEE" w:rsidRDefault="00C25AEE">
            <w:pPr>
              <w:ind w:right="-29"/>
              <w:jc w:val="center"/>
              <w:rPr>
                <w:noProof/>
                <w:sz w:val="18"/>
                <w:szCs w:val="18"/>
              </w:rPr>
            </w:pPr>
          </w:p>
        </w:tc>
        <w:tc>
          <w:tcPr>
            <w:tcW w:w="540" w:type="dxa"/>
            <w:tcBorders>
              <w:right w:val="dashSmallGap" w:sz="4" w:space="0" w:color="auto"/>
            </w:tcBorders>
          </w:tcPr>
          <w:p w:rsidR="00C25AEE" w:rsidRDefault="00C25AEE">
            <w:pPr>
              <w:ind w:right="-29"/>
              <w:jc w:val="center"/>
              <w:rPr>
                <w:noProof/>
                <w:sz w:val="18"/>
                <w:szCs w:val="18"/>
              </w:rPr>
            </w:pPr>
          </w:p>
        </w:tc>
        <w:tc>
          <w:tcPr>
            <w:tcW w:w="648" w:type="dxa"/>
            <w:tcBorders>
              <w:left w:val="dashSmallGap" w:sz="4" w:space="0" w:color="auto"/>
            </w:tcBorders>
          </w:tcPr>
          <w:p w:rsidR="00C25AEE" w:rsidRDefault="00C25AEE">
            <w:pPr>
              <w:ind w:right="-29"/>
              <w:jc w:val="center"/>
              <w:rPr>
                <w:noProof/>
                <w:sz w:val="18"/>
                <w:szCs w:val="18"/>
              </w:rPr>
            </w:pPr>
          </w:p>
        </w:tc>
        <w:tc>
          <w:tcPr>
            <w:tcW w:w="432" w:type="dxa"/>
            <w:tcBorders>
              <w:right w:val="dashSmallGap" w:sz="4" w:space="0" w:color="auto"/>
            </w:tcBorders>
          </w:tcPr>
          <w:p w:rsidR="00C25AEE" w:rsidRDefault="00C25AEE">
            <w:pPr>
              <w:ind w:right="-29"/>
              <w:jc w:val="center"/>
              <w:rPr>
                <w:noProof/>
                <w:sz w:val="18"/>
                <w:szCs w:val="18"/>
              </w:rPr>
            </w:pPr>
          </w:p>
        </w:tc>
        <w:tc>
          <w:tcPr>
            <w:tcW w:w="720" w:type="dxa"/>
            <w:tcBorders>
              <w:left w:val="dashSmallGap" w:sz="4" w:space="0" w:color="auto"/>
            </w:tcBorders>
          </w:tcPr>
          <w:p w:rsidR="00C25AEE" w:rsidRDefault="00C25AEE">
            <w:pPr>
              <w:ind w:right="-29"/>
              <w:jc w:val="center"/>
              <w:rPr>
                <w:noProof/>
                <w:sz w:val="18"/>
                <w:szCs w:val="18"/>
              </w:rPr>
            </w:pPr>
          </w:p>
        </w:tc>
        <w:tc>
          <w:tcPr>
            <w:tcW w:w="540" w:type="dxa"/>
            <w:tcBorders>
              <w:right w:val="dashSmallGap" w:sz="4" w:space="0" w:color="auto"/>
            </w:tcBorders>
          </w:tcPr>
          <w:p w:rsidR="00C25AEE" w:rsidRDefault="00C25AEE">
            <w:pPr>
              <w:ind w:right="-29"/>
              <w:jc w:val="center"/>
              <w:rPr>
                <w:noProof/>
                <w:sz w:val="18"/>
                <w:szCs w:val="18"/>
              </w:rPr>
            </w:pPr>
          </w:p>
        </w:tc>
        <w:tc>
          <w:tcPr>
            <w:tcW w:w="720" w:type="dxa"/>
            <w:tcBorders>
              <w:left w:val="dashSmallGap" w:sz="4" w:space="0" w:color="auto"/>
            </w:tcBorders>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900" w:type="dxa"/>
          </w:tcPr>
          <w:p w:rsidR="00C25AEE" w:rsidRDefault="00C25AEE">
            <w:pPr>
              <w:ind w:right="-29"/>
              <w:jc w:val="center"/>
              <w:rPr>
                <w:noProof/>
                <w:sz w:val="18"/>
                <w:szCs w:val="18"/>
              </w:rPr>
            </w:pPr>
          </w:p>
        </w:tc>
      </w:tr>
      <w:tr w:rsidR="00C25AEE">
        <w:trPr>
          <w:trHeight w:hRule="exact" w:val="369"/>
          <w:jc w:val="center"/>
        </w:trPr>
        <w:tc>
          <w:tcPr>
            <w:tcW w:w="1423" w:type="dxa"/>
          </w:tcPr>
          <w:p w:rsidR="00C25AEE" w:rsidRDefault="00673487">
            <w:pPr>
              <w:ind w:right="-29"/>
              <w:jc w:val="center"/>
              <w:rPr>
                <w:noProof/>
                <w:sz w:val="18"/>
                <w:szCs w:val="18"/>
              </w:rPr>
            </w:pPr>
            <w:r>
              <w:rPr>
                <w:noProof/>
                <w:sz w:val="18"/>
              </w:rPr>
              <w:t>- Резултат</w:t>
            </w:r>
          </w:p>
        </w:tc>
        <w:tc>
          <w:tcPr>
            <w:tcW w:w="720" w:type="dxa"/>
          </w:tcPr>
          <w:p w:rsidR="00C25AEE" w:rsidRDefault="00C25AEE">
            <w:pPr>
              <w:ind w:right="-29"/>
              <w:jc w:val="center"/>
              <w:rPr>
                <w:noProof/>
                <w:sz w:val="18"/>
                <w:szCs w:val="18"/>
              </w:rPr>
            </w:pPr>
          </w:p>
        </w:tc>
        <w:tc>
          <w:tcPr>
            <w:tcW w:w="701" w:type="dxa"/>
          </w:tcPr>
          <w:p w:rsidR="00C25AEE" w:rsidRDefault="00C25AEE">
            <w:pPr>
              <w:ind w:right="-29"/>
              <w:jc w:val="center"/>
              <w:rPr>
                <w:noProof/>
                <w:sz w:val="18"/>
                <w:szCs w:val="18"/>
              </w:rPr>
            </w:pPr>
          </w:p>
        </w:tc>
        <w:tc>
          <w:tcPr>
            <w:tcW w:w="504"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540"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900" w:type="dxa"/>
          </w:tcPr>
          <w:p w:rsidR="00C25AEE" w:rsidRDefault="00C25AEE">
            <w:pPr>
              <w:ind w:right="-29"/>
              <w:jc w:val="center"/>
              <w:rPr>
                <w:noProof/>
                <w:sz w:val="18"/>
                <w:szCs w:val="18"/>
              </w:rPr>
            </w:pPr>
          </w:p>
        </w:tc>
        <w:tc>
          <w:tcPr>
            <w:tcW w:w="720" w:type="dxa"/>
            <w:gridSpan w:val="2"/>
          </w:tcPr>
          <w:p w:rsidR="00C25AEE" w:rsidRDefault="00C25AEE">
            <w:pPr>
              <w:ind w:right="-29"/>
              <w:jc w:val="center"/>
              <w:rPr>
                <w:noProof/>
                <w:sz w:val="18"/>
                <w:szCs w:val="18"/>
              </w:rPr>
            </w:pPr>
          </w:p>
        </w:tc>
        <w:tc>
          <w:tcPr>
            <w:tcW w:w="540" w:type="dxa"/>
          </w:tcPr>
          <w:p w:rsidR="00C25AEE" w:rsidRDefault="00C25AEE">
            <w:pPr>
              <w:ind w:right="-29"/>
              <w:jc w:val="center"/>
              <w:rPr>
                <w:noProof/>
                <w:sz w:val="18"/>
                <w:szCs w:val="18"/>
              </w:rPr>
            </w:pPr>
          </w:p>
        </w:tc>
        <w:tc>
          <w:tcPr>
            <w:tcW w:w="648" w:type="dxa"/>
          </w:tcPr>
          <w:p w:rsidR="00C25AEE" w:rsidRDefault="00C25AEE">
            <w:pPr>
              <w:ind w:right="-29"/>
              <w:jc w:val="center"/>
              <w:rPr>
                <w:noProof/>
                <w:sz w:val="18"/>
                <w:szCs w:val="18"/>
              </w:rPr>
            </w:pPr>
          </w:p>
        </w:tc>
        <w:tc>
          <w:tcPr>
            <w:tcW w:w="432"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540"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900" w:type="dxa"/>
          </w:tcPr>
          <w:p w:rsidR="00C25AEE" w:rsidRDefault="00C25AEE">
            <w:pPr>
              <w:ind w:right="-29"/>
              <w:jc w:val="center"/>
              <w:rPr>
                <w:noProof/>
                <w:sz w:val="18"/>
                <w:szCs w:val="18"/>
              </w:rPr>
            </w:pPr>
          </w:p>
        </w:tc>
      </w:tr>
      <w:tr w:rsidR="00C25AEE">
        <w:trPr>
          <w:trHeight w:val="77"/>
          <w:jc w:val="center"/>
        </w:trPr>
        <w:tc>
          <w:tcPr>
            <w:tcW w:w="2844" w:type="dxa"/>
            <w:gridSpan w:val="3"/>
            <w:tcBorders>
              <w:bottom w:val="single" w:sz="12" w:space="0" w:color="auto"/>
            </w:tcBorders>
            <w:vAlign w:val="center"/>
          </w:tcPr>
          <w:p w:rsidR="00C25AEE" w:rsidRDefault="00673487">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540"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900" w:type="dxa"/>
            <w:tcBorders>
              <w:bottom w:val="single" w:sz="12" w:space="0" w:color="auto"/>
            </w:tcBorders>
          </w:tcPr>
          <w:p w:rsidR="00C25AEE" w:rsidRDefault="00C25AEE">
            <w:pPr>
              <w:ind w:right="-29"/>
              <w:jc w:val="center"/>
              <w:rPr>
                <w:noProof/>
                <w:sz w:val="18"/>
                <w:szCs w:val="18"/>
              </w:rPr>
            </w:pPr>
          </w:p>
        </w:tc>
        <w:tc>
          <w:tcPr>
            <w:tcW w:w="720" w:type="dxa"/>
            <w:gridSpan w:val="2"/>
            <w:tcBorders>
              <w:bottom w:val="single" w:sz="12" w:space="0" w:color="auto"/>
            </w:tcBorders>
          </w:tcPr>
          <w:p w:rsidR="00C25AEE" w:rsidRDefault="00C25AEE">
            <w:pPr>
              <w:ind w:right="-29"/>
              <w:jc w:val="center"/>
              <w:rPr>
                <w:noProof/>
                <w:sz w:val="18"/>
                <w:szCs w:val="18"/>
              </w:rPr>
            </w:pPr>
          </w:p>
        </w:tc>
        <w:tc>
          <w:tcPr>
            <w:tcW w:w="540" w:type="dxa"/>
            <w:tcBorders>
              <w:bottom w:val="single" w:sz="12" w:space="0" w:color="auto"/>
            </w:tcBorders>
          </w:tcPr>
          <w:p w:rsidR="00C25AEE" w:rsidRDefault="00C25AEE">
            <w:pPr>
              <w:ind w:right="-29"/>
              <w:jc w:val="center"/>
              <w:rPr>
                <w:noProof/>
                <w:sz w:val="18"/>
                <w:szCs w:val="18"/>
              </w:rPr>
            </w:pPr>
          </w:p>
        </w:tc>
        <w:tc>
          <w:tcPr>
            <w:tcW w:w="648" w:type="dxa"/>
            <w:tcBorders>
              <w:bottom w:val="single" w:sz="12" w:space="0" w:color="auto"/>
            </w:tcBorders>
          </w:tcPr>
          <w:p w:rsidR="00C25AEE" w:rsidRDefault="00C25AEE">
            <w:pPr>
              <w:ind w:right="-29"/>
              <w:jc w:val="center"/>
              <w:rPr>
                <w:noProof/>
                <w:sz w:val="18"/>
                <w:szCs w:val="18"/>
              </w:rPr>
            </w:pPr>
          </w:p>
        </w:tc>
        <w:tc>
          <w:tcPr>
            <w:tcW w:w="432"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540"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900" w:type="dxa"/>
            <w:tcBorders>
              <w:bottom w:val="single" w:sz="12" w:space="0" w:color="auto"/>
            </w:tcBorders>
          </w:tcPr>
          <w:p w:rsidR="00C25AEE" w:rsidRDefault="00C25AEE">
            <w:pPr>
              <w:ind w:right="-29"/>
              <w:jc w:val="center"/>
              <w:rPr>
                <w:noProof/>
                <w:sz w:val="18"/>
                <w:szCs w:val="18"/>
              </w:rPr>
            </w:pPr>
          </w:p>
        </w:tc>
      </w:tr>
      <w:tr w:rsidR="00C25AEE">
        <w:trPr>
          <w:jc w:val="center"/>
        </w:trPr>
        <w:tc>
          <w:tcPr>
            <w:tcW w:w="2844" w:type="dxa"/>
            <w:gridSpan w:val="3"/>
            <w:vAlign w:val="center"/>
          </w:tcPr>
          <w:p w:rsidR="00C25AEE" w:rsidRDefault="00673487">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540"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900"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gridSpan w:val="2"/>
            <w:tcBorders>
              <w:top w:val="nil"/>
              <w:left w:val="nil"/>
              <w:bottom w:val="nil"/>
              <w:right w:val="nil"/>
            </w:tcBorders>
          </w:tcPr>
          <w:p w:rsidR="00C25AEE" w:rsidRDefault="00C25AEE">
            <w:pPr>
              <w:spacing w:before="60" w:after="60"/>
              <w:ind w:right="-29"/>
              <w:jc w:val="center"/>
              <w:rPr>
                <w:noProof/>
                <w:sz w:val="18"/>
                <w:szCs w:val="18"/>
              </w:rPr>
            </w:pPr>
          </w:p>
        </w:tc>
        <w:tc>
          <w:tcPr>
            <w:tcW w:w="540" w:type="dxa"/>
            <w:tcBorders>
              <w:top w:val="nil"/>
              <w:left w:val="nil"/>
              <w:bottom w:val="nil"/>
              <w:right w:val="nil"/>
            </w:tcBorders>
          </w:tcPr>
          <w:p w:rsidR="00C25AEE" w:rsidRDefault="00C25AEE">
            <w:pPr>
              <w:spacing w:before="60" w:after="60"/>
              <w:ind w:right="-29"/>
              <w:jc w:val="center"/>
              <w:rPr>
                <w:noProof/>
                <w:sz w:val="18"/>
                <w:szCs w:val="18"/>
              </w:rPr>
            </w:pPr>
          </w:p>
        </w:tc>
        <w:tc>
          <w:tcPr>
            <w:tcW w:w="648" w:type="dxa"/>
            <w:tcBorders>
              <w:top w:val="nil"/>
              <w:left w:val="nil"/>
              <w:bottom w:val="nil"/>
              <w:right w:val="nil"/>
            </w:tcBorders>
          </w:tcPr>
          <w:p w:rsidR="00C25AEE" w:rsidRDefault="00C25AEE">
            <w:pPr>
              <w:spacing w:before="60" w:after="60"/>
              <w:ind w:right="-29"/>
              <w:jc w:val="center"/>
              <w:rPr>
                <w:noProof/>
                <w:sz w:val="18"/>
                <w:szCs w:val="18"/>
              </w:rPr>
            </w:pPr>
          </w:p>
        </w:tc>
        <w:tc>
          <w:tcPr>
            <w:tcW w:w="432"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540"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720" w:type="dxa"/>
            <w:tcBorders>
              <w:top w:val="nil"/>
              <w:left w:val="nil"/>
              <w:bottom w:val="nil"/>
              <w:right w:val="nil"/>
            </w:tcBorders>
          </w:tcPr>
          <w:p w:rsidR="00C25AEE" w:rsidRDefault="00C25AEE">
            <w:pPr>
              <w:spacing w:before="60" w:after="60"/>
              <w:ind w:right="-29"/>
              <w:jc w:val="center"/>
              <w:rPr>
                <w:noProof/>
                <w:sz w:val="18"/>
                <w:szCs w:val="18"/>
              </w:rPr>
            </w:pPr>
          </w:p>
        </w:tc>
        <w:tc>
          <w:tcPr>
            <w:tcW w:w="900" w:type="dxa"/>
            <w:tcBorders>
              <w:top w:val="nil"/>
              <w:left w:val="nil"/>
              <w:bottom w:val="nil"/>
              <w:right w:val="nil"/>
            </w:tcBorders>
          </w:tcPr>
          <w:p w:rsidR="00C25AEE" w:rsidRDefault="00C25AEE">
            <w:pPr>
              <w:spacing w:before="60" w:after="60"/>
              <w:ind w:right="-29"/>
              <w:jc w:val="center"/>
              <w:rPr>
                <w:noProof/>
                <w:sz w:val="18"/>
                <w:szCs w:val="18"/>
              </w:rPr>
            </w:pPr>
          </w:p>
        </w:tc>
      </w:tr>
      <w:tr w:rsidR="00C25AEE">
        <w:trPr>
          <w:trHeight w:hRule="exact" w:val="369"/>
          <w:jc w:val="center"/>
        </w:trPr>
        <w:tc>
          <w:tcPr>
            <w:tcW w:w="1423" w:type="dxa"/>
          </w:tcPr>
          <w:p w:rsidR="00C25AEE" w:rsidRDefault="00673487">
            <w:pPr>
              <w:ind w:right="-29"/>
              <w:jc w:val="center"/>
              <w:rPr>
                <w:noProof/>
                <w:sz w:val="18"/>
                <w:szCs w:val="18"/>
              </w:rPr>
            </w:pPr>
            <w:r>
              <w:rPr>
                <w:noProof/>
                <w:sz w:val="18"/>
              </w:rPr>
              <w:t>- Резултат</w:t>
            </w:r>
          </w:p>
        </w:tc>
        <w:tc>
          <w:tcPr>
            <w:tcW w:w="720" w:type="dxa"/>
          </w:tcPr>
          <w:p w:rsidR="00C25AEE" w:rsidRDefault="00C25AEE">
            <w:pPr>
              <w:ind w:right="-29"/>
              <w:jc w:val="center"/>
              <w:rPr>
                <w:noProof/>
                <w:sz w:val="18"/>
                <w:szCs w:val="18"/>
              </w:rPr>
            </w:pPr>
          </w:p>
        </w:tc>
        <w:tc>
          <w:tcPr>
            <w:tcW w:w="701" w:type="dxa"/>
          </w:tcPr>
          <w:p w:rsidR="00C25AEE" w:rsidRDefault="00C25AEE">
            <w:pPr>
              <w:ind w:right="-29"/>
              <w:jc w:val="center"/>
              <w:rPr>
                <w:noProof/>
                <w:sz w:val="18"/>
                <w:szCs w:val="18"/>
              </w:rPr>
            </w:pPr>
          </w:p>
        </w:tc>
        <w:tc>
          <w:tcPr>
            <w:tcW w:w="504"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540"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900" w:type="dxa"/>
          </w:tcPr>
          <w:p w:rsidR="00C25AEE" w:rsidRDefault="00C25AEE">
            <w:pPr>
              <w:ind w:right="-29"/>
              <w:jc w:val="center"/>
              <w:rPr>
                <w:noProof/>
                <w:sz w:val="18"/>
                <w:szCs w:val="18"/>
              </w:rPr>
            </w:pPr>
          </w:p>
        </w:tc>
        <w:tc>
          <w:tcPr>
            <w:tcW w:w="720" w:type="dxa"/>
            <w:gridSpan w:val="2"/>
          </w:tcPr>
          <w:p w:rsidR="00C25AEE" w:rsidRDefault="00C25AEE">
            <w:pPr>
              <w:ind w:right="-29"/>
              <w:jc w:val="center"/>
              <w:rPr>
                <w:noProof/>
                <w:sz w:val="18"/>
                <w:szCs w:val="18"/>
              </w:rPr>
            </w:pPr>
          </w:p>
        </w:tc>
        <w:tc>
          <w:tcPr>
            <w:tcW w:w="540" w:type="dxa"/>
          </w:tcPr>
          <w:p w:rsidR="00C25AEE" w:rsidRDefault="00C25AEE">
            <w:pPr>
              <w:ind w:right="-29"/>
              <w:jc w:val="center"/>
              <w:rPr>
                <w:noProof/>
                <w:sz w:val="18"/>
                <w:szCs w:val="18"/>
              </w:rPr>
            </w:pPr>
          </w:p>
        </w:tc>
        <w:tc>
          <w:tcPr>
            <w:tcW w:w="648" w:type="dxa"/>
          </w:tcPr>
          <w:p w:rsidR="00C25AEE" w:rsidRDefault="00C25AEE">
            <w:pPr>
              <w:ind w:right="-29"/>
              <w:jc w:val="center"/>
              <w:rPr>
                <w:noProof/>
                <w:sz w:val="18"/>
                <w:szCs w:val="18"/>
              </w:rPr>
            </w:pPr>
          </w:p>
        </w:tc>
        <w:tc>
          <w:tcPr>
            <w:tcW w:w="432"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540"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720" w:type="dxa"/>
          </w:tcPr>
          <w:p w:rsidR="00C25AEE" w:rsidRDefault="00C25AEE">
            <w:pPr>
              <w:ind w:right="-29"/>
              <w:jc w:val="center"/>
              <w:rPr>
                <w:noProof/>
                <w:sz w:val="18"/>
                <w:szCs w:val="18"/>
              </w:rPr>
            </w:pPr>
          </w:p>
        </w:tc>
        <w:tc>
          <w:tcPr>
            <w:tcW w:w="900" w:type="dxa"/>
          </w:tcPr>
          <w:p w:rsidR="00C25AEE" w:rsidRDefault="00C25AEE">
            <w:pPr>
              <w:ind w:right="-29"/>
              <w:jc w:val="center"/>
              <w:rPr>
                <w:noProof/>
                <w:sz w:val="18"/>
                <w:szCs w:val="18"/>
              </w:rPr>
            </w:pPr>
          </w:p>
        </w:tc>
      </w:tr>
      <w:tr w:rsidR="00C25AEE">
        <w:trPr>
          <w:jc w:val="center"/>
        </w:trPr>
        <w:tc>
          <w:tcPr>
            <w:tcW w:w="2844" w:type="dxa"/>
            <w:gridSpan w:val="3"/>
            <w:tcBorders>
              <w:bottom w:val="single" w:sz="12" w:space="0" w:color="auto"/>
            </w:tcBorders>
            <w:vAlign w:val="center"/>
          </w:tcPr>
          <w:p w:rsidR="00C25AEE" w:rsidRDefault="00673487">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540"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951" w:type="dxa"/>
            <w:gridSpan w:val="2"/>
            <w:tcBorders>
              <w:bottom w:val="single" w:sz="12" w:space="0" w:color="auto"/>
            </w:tcBorders>
          </w:tcPr>
          <w:p w:rsidR="00C25AEE" w:rsidRDefault="00C25AEE">
            <w:pPr>
              <w:ind w:right="-29"/>
              <w:jc w:val="center"/>
              <w:rPr>
                <w:noProof/>
                <w:sz w:val="18"/>
                <w:szCs w:val="18"/>
              </w:rPr>
            </w:pPr>
          </w:p>
        </w:tc>
        <w:tc>
          <w:tcPr>
            <w:tcW w:w="669" w:type="dxa"/>
            <w:tcBorders>
              <w:bottom w:val="single" w:sz="12" w:space="0" w:color="auto"/>
            </w:tcBorders>
          </w:tcPr>
          <w:p w:rsidR="00C25AEE" w:rsidRDefault="00C25AEE">
            <w:pPr>
              <w:ind w:right="-29"/>
              <w:jc w:val="center"/>
              <w:rPr>
                <w:noProof/>
                <w:sz w:val="18"/>
                <w:szCs w:val="18"/>
              </w:rPr>
            </w:pPr>
          </w:p>
        </w:tc>
        <w:tc>
          <w:tcPr>
            <w:tcW w:w="540" w:type="dxa"/>
            <w:tcBorders>
              <w:bottom w:val="single" w:sz="12" w:space="0" w:color="auto"/>
            </w:tcBorders>
          </w:tcPr>
          <w:p w:rsidR="00C25AEE" w:rsidRDefault="00C25AEE">
            <w:pPr>
              <w:ind w:right="-29"/>
              <w:jc w:val="center"/>
              <w:rPr>
                <w:noProof/>
                <w:sz w:val="18"/>
                <w:szCs w:val="18"/>
              </w:rPr>
            </w:pPr>
          </w:p>
        </w:tc>
        <w:tc>
          <w:tcPr>
            <w:tcW w:w="648" w:type="dxa"/>
            <w:tcBorders>
              <w:bottom w:val="single" w:sz="12" w:space="0" w:color="auto"/>
            </w:tcBorders>
          </w:tcPr>
          <w:p w:rsidR="00C25AEE" w:rsidRDefault="00C25AEE">
            <w:pPr>
              <w:ind w:right="-29"/>
              <w:jc w:val="center"/>
              <w:rPr>
                <w:noProof/>
                <w:sz w:val="18"/>
                <w:szCs w:val="18"/>
              </w:rPr>
            </w:pPr>
          </w:p>
        </w:tc>
        <w:tc>
          <w:tcPr>
            <w:tcW w:w="432"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540"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720" w:type="dxa"/>
            <w:tcBorders>
              <w:bottom w:val="single" w:sz="12" w:space="0" w:color="auto"/>
            </w:tcBorders>
          </w:tcPr>
          <w:p w:rsidR="00C25AEE" w:rsidRDefault="00C25AEE">
            <w:pPr>
              <w:ind w:right="-29"/>
              <w:jc w:val="center"/>
              <w:rPr>
                <w:noProof/>
                <w:sz w:val="18"/>
                <w:szCs w:val="18"/>
              </w:rPr>
            </w:pPr>
          </w:p>
        </w:tc>
        <w:tc>
          <w:tcPr>
            <w:tcW w:w="900" w:type="dxa"/>
            <w:tcBorders>
              <w:bottom w:val="single" w:sz="12" w:space="0" w:color="auto"/>
            </w:tcBorders>
          </w:tcPr>
          <w:p w:rsidR="00C25AEE" w:rsidRDefault="00C25AEE">
            <w:pPr>
              <w:ind w:right="-29"/>
              <w:jc w:val="center"/>
              <w:rPr>
                <w:noProof/>
                <w:sz w:val="18"/>
                <w:szCs w:val="18"/>
              </w:rPr>
            </w:pPr>
          </w:p>
        </w:tc>
      </w:tr>
      <w:tr w:rsidR="00C25AEE">
        <w:trPr>
          <w:jc w:val="center"/>
        </w:trPr>
        <w:tc>
          <w:tcPr>
            <w:tcW w:w="2844" w:type="dxa"/>
            <w:gridSpan w:val="3"/>
            <w:tcBorders>
              <w:top w:val="single" w:sz="12" w:space="0" w:color="auto"/>
              <w:left w:val="single" w:sz="12" w:space="0" w:color="auto"/>
              <w:bottom w:val="single" w:sz="12" w:space="0" w:color="auto"/>
            </w:tcBorders>
            <w:vAlign w:val="center"/>
          </w:tcPr>
          <w:p w:rsidR="00C25AEE" w:rsidRDefault="00673487">
            <w:pPr>
              <w:ind w:right="-29"/>
              <w:jc w:val="center"/>
              <w:rPr>
                <w:noProof/>
                <w:sz w:val="18"/>
                <w:szCs w:val="18"/>
              </w:rPr>
            </w:pPr>
            <w:r>
              <w:rPr>
                <w:b/>
                <w:noProof/>
                <w:sz w:val="18"/>
              </w:rPr>
              <w:t>ОБЩО</w:t>
            </w:r>
          </w:p>
        </w:tc>
        <w:tc>
          <w:tcPr>
            <w:tcW w:w="504"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720"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540"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720"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720"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720"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900"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540"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648"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432"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720"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540"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720"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720" w:type="dxa"/>
            <w:tcBorders>
              <w:top w:val="single" w:sz="12" w:space="0" w:color="auto"/>
              <w:bottom w:val="single" w:sz="12" w:space="0" w:color="auto"/>
            </w:tcBorders>
          </w:tcPr>
          <w:p w:rsidR="00C25AEE" w:rsidRDefault="00C25AEE">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C25AEE" w:rsidRDefault="00C25AEE">
            <w:pPr>
              <w:spacing w:before="180" w:after="180"/>
              <w:ind w:right="-29"/>
              <w:jc w:val="center"/>
              <w:rPr>
                <w:noProof/>
                <w:sz w:val="18"/>
                <w:szCs w:val="18"/>
              </w:rPr>
            </w:pPr>
          </w:p>
        </w:tc>
      </w:tr>
    </w:tbl>
    <w:p w:rsidR="00C25AEE" w:rsidRDefault="00C25AEE">
      <w:pPr>
        <w:rPr>
          <w:noProof/>
        </w:rPr>
        <w:sectPr w:rsidR="00C25AEE">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rsidR="00C25AEE" w:rsidRDefault="00673487">
      <w:pPr>
        <w:pStyle w:val="ManualHeading3"/>
        <w:rPr>
          <w:bCs/>
          <w:noProof/>
          <w:szCs w:val="24"/>
        </w:rPr>
      </w:pPr>
      <w:bookmarkStart w:id="47" w:name="_Toc514938055"/>
      <w:bookmarkStart w:id="48" w:name="_Toc520485054"/>
      <w:r>
        <w:t>3.2.3.</w:t>
      </w:r>
      <w:r>
        <w:tab/>
      </w:r>
      <w:r>
        <w:rPr>
          <w:noProof/>
        </w:rPr>
        <w:t>Обобщение на очакваното отражение върху бюджетните кредити за административни разходи</w:t>
      </w:r>
      <w:bookmarkEnd w:id="47"/>
      <w:bookmarkEnd w:id="48"/>
      <w:r>
        <w:rPr>
          <w:noProof/>
        </w:rPr>
        <w:t xml:space="preserve"> </w:t>
      </w:r>
    </w:p>
    <w:p w:rsidR="00C25AEE" w:rsidRDefault="00673487">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rsidR="00C25AEE" w:rsidRDefault="00673487">
      <w:pPr>
        <w:pStyle w:val="ListDash1"/>
        <w:rPr>
          <w:noProof/>
        </w:rPr>
      </w:pPr>
      <w:r>
        <w:rPr>
          <w:noProof/>
        </w:rPr>
        <w:sym w:font="Wingdings" w:char="F0A8"/>
      </w:r>
      <w:r>
        <w:rPr>
          <w:noProof/>
        </w:rPr>
        <w:t xml:space="preserve"> Предложението/инициативата налага използване на бюджетни кредити за административни разходи, както е обяснено по-долу:</w:t>
      </w:r>
    </w:p>
    <w:p w:rsidR="00C25AEE" w:rsidRDefault="00673487">
      <w:pPr>
        <w:jc w:val="right"/>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C25AEE">
        <w:trPr>
          <w:trHeight w:val="585"/>
        </w:trPr>
        <w:tc>
          <w:tcPr>
            <w:tcW w:w="1980" w:type="dxa"/>
          </w:tcPr>
          <w:p w:rsidR="00C25AEE" w:rsidRDefault="00C25AEE">
            <w:pPr>
              <w:spacing w:before="60" w:after="60" w:line="200" w:lineRule="exact"/>
              <w:rPr>
                <w:noProof/>
                <w:sz w:val="16"/>
                <w:szCs w:val="16"/>
              </w:rPr>
            </w:pPr>
          </w:p>
        </w:tc>
        <w:tc>
          <w:tcPr>
            <w:tcW w:w="1080" w:type="dxa"/>
            <w:vAlign w:val="center"/>
          </w:tcPr>
          <w:p w:rsidR="00C25AEE" w:rsidRDefault="00673487">
            <w:pPr>
              <w:spacing w:before="60" w:after="60" w:line="200" w:lineRule="exact"/>
              <w:jc w:val="center"/>
              <w:rPr>
                <w:noProof/>
                <w:sz w:val="16"/>
                <w:szCs w:val="16"/>
              </w:rPr>
            </w:pPr>
            <w:r>
              <w:rPr>
                <w:noProof/>
                <w:sz w:val="16"/>
              </w:rPr>
              <w:t>Година</w:t>
            </w:r>
            <w:r>
              <w:rPr>
                <w:noProof/>
                <w:sz w:val="22"/>
              </w:rPr>
              <w:br/>
            </w:r>
            <w:r>
              <w:rPr>
                <w:b/>
                <w:noProof/>
                <w:sz w:val="16"/>
              </w:rPr>
              <w:t>N</w:t>
            </w:r>
            <w:r>
              <w:rPr>
                <w:rStyle w:val="FootnoteReference"/>
                <w:b/>
                <w:noProof/>
                <w:sz w:val="16"/>
              </w:rPr>
              <w:footnoteReference w:id="16"/>
            </w:r>
          </w:p>
        </w:tc>
        <w:tc>
          <w:tcPr>
            <w:tcW w:w="1080" w:type="dxa"/>
            <w:vAlign w:val="center"/>
          </w:tcPr>
          <w:p w:rsidR="00C25AEE" w:rsidRDefault="00673487">
            <w:pPr>
              <w:spacing w:before="60" w:after="60" w:line="200" w:lineRule="exact"/>
              <w:jc w:val="center"/>
              <w:rPr>
                <w:noProof/>
                <w:sz w:val="16"/>
                <w:szCs w:val="16"/>
              </w:rPr>
            </w:pPr>
            <w:r>
              <w:rPr>
                <w:noProof/>
                <w:sz w:val="16"/>
              </w:rPr>
              <w:t>Година</w:t>
            </w:r>
            <w:r>
              <w:rPr>
                <w:noProof/>
                <w:sz w:val="22"/>
              </w:rPr>
              <w:br/>
            </w:r>
            <w:r>
              <w:rPr>
                <w:b/>
                <w:noProof/>
                <w:sz w:val="16"/>
              </w:rPr>
              <w:t>N+1</w:t>
            </w:r>
          </w:p>
        </w:tc>
        <w:tc>
          <w:tcPr>
            <w:tcW w:w="1080" w:type="dxa"/>
            <w:vAlign w:val="center"/>
          </w:tcPr>
          <w:p w:rsidR="00C25AEE" w:rsidRDefault="00673487">
            <w:pPr>
              <w:spacing w:before="60" w:after="60" w:line="200" w:lineRule="exact"/>
              <w:jc w:val="center"/>
              <w:rPr>
                <w:noProof/>
                <w:sz w:val="16"/>
                <w:szCs w:val="16"/>
              </w:rPr>
            </w:pPr>
            <w:r>
              <w:rPr>
                <w:noProof/>
                <w:sz w:val="16"/>
              </w:rPr>
              <w:t>Година</w:t>
            </w:r>
            <w:r>
              <w:rPr>
                <w:noProof/>
                <w:sz w:val="22"/>
              </w:rPr>
              <w:br/>
            </w:r>
            <w:r>
              <w:rPr>
                <w:b/>
                <w:noProof/>
                <w:sz w:val="16"/>
              </w:rPr>
              <w:t>N+2</w:t>
            </w:r>
          </w:p>
        </w:tc>
        <w:tc>
          <w:tcPr>
            <w:tcW w:w="1080" w:type="dxa"/>
            <w:vAlign w:val="center"/>
          </w:tcPr>
          <w:p w:rsidR="00C25AEE" w:rsidRDefault="00673487">
            <w:pPr>
              <w:spacing w:before="60" w:after="60" w:line="200" w:lineRule="exact"/>
              <w:jc w:val="center"/>
              <w:rPr>
                <w:noProof/>
                <w:sz w:val="16"/>
                <w:szCs w:val="16"/>
              </w:rPr>
            </w:pPr>
            <w:r>
              <w:rPr>
                <w:noProof/>
                <w:sz w:val="16"/>
              </w:rPr>
              <w:t>Година</w:t>
            </w:r>
            <w:r>
              <w:rPr>
                <w:noProof/>
                <w:sz w:val="22"/>
              </w:rPr>
              <w:br/>
            </w:r>
            <w:r>
              <w:rPr>
                <w:b/>
                <w:noProof/>
                <w:sz w:val="16"/>
              </w:rPr>
              <w:t>N+3</w:t>
            </w:r>
          </w:p>
        </w:tc>
        <w:tc>
          <w:tcPr>
            <w:tcW w:w="3240" w:type="dxa"/>
            <w:vAlign w:val="center"/>
          </w:tcPr>
          <w:p w:rsidR="00C25AEE" w:rsidRDefault="00673487">
            <w:pPr>
              <w:spacing w:line="200" w:lineRule="exact"/>
              <w:jc w:val="center"/>
              <w:rPr>
                <w:b/>
                <w:noProof/>
                <w:sz w:val="16"/>
                <w:szCs w:val="16"/>
              </w:rPr>
            </w:pPr>
            <w:r>
              <w:rPr>
                <w:noProof/>
                <w:sz w:val="16"/>
              </w:rPr>
              <w:t xml:space="preserve">Добавят се толкова години, колкото е </w:t>
            </w:r>
            <w:r>
              <w:rPr>
                <w:noProof/>
                <w:sz w:val="16"/>
              </w:rPr>
              <w:t>необходимо, за да се обхване продължителността на отражението (вж. точка 1.6).</w:t>
            </w:r>
          </w:p>
        </w:tc>
        <w:tc>
          <w:tcPr>
            <w:tcW w:w="1080" w:type="dxa"/>
            <w:vAlign w:val="center"/>
          </w:tcPr>
          <w:p w:rsidR="00C25AEE" w:rsidRDefault="00673487">
            <w:pPr>
              <w:spacing w:before="60" w:after="60" w:line="200" w:lineRule="exact"/>
              <w:jc w:val="center"/>
              <w:rPr>
                <w:b/>
                <w:noProof/>
                <w:sz w:val="16"/>
                <w:szCs w:val="16"/>
              </w:rPr>
            </w:pPr>
            <w:r>
              <w:rPr>
                <w:b/>
                <w:noProof/>
                <w:sz w:val="16"/>
              </w:rPr>
              <w:t>ОБЩО</w:t>
            </w:r>
          </w:p>
        </w:tc>
      </w:tr>
    </w:tbl>
    <w:p w:rsidR="00C25AEE" w:rsidRDefault="00C25AE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25AEE">
        <w:trPr>
          <w:trHeight w:val="585"/>
        </w:trPr>
        <w:tc>
          <w:tcPr>
            <w:tcW w:w="1980" w:type="dxa"/>
            <w:shd w:val="clear" w:color="auto" w:fill="CCCCCC"/>
            <w:vAlign w:val="center"/>
          </w:tcPr>
          <w:p w:rsidR="00C25AEE" w:rsidRDefault="00673487">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b/>
                <w:noProof/>
                <w:sz w:val="16"/>
                <w:szCs w:val="16"/>
              </w:rPr>
            </w:pPr>
          </w:p>
        </w:tc>
        <w:tc>
          <w:tcPr>
            <w:tcW w:w="1080" w:type="dxa"/>
            <w:vAlign w:val="center"/>
          </w:tcPr>
          <w:p w:rsidR="00C25AEE" w:rsidRDefault="00C25AEE">
            <w:pPr>
              <w:spacing w:before="60" w:after="60" w:line="200" w:lineRule="exact"/>
              <w:jc w:val="right"/>
              <w:rPr>
                <w:b/>
                <w:noProof/>
                <w:sz w:val="16"/>
                <w:szCs w:val="16"/>
              </w:rPr>
            </w:pPr>
          </w:p>
        </w:tc>
      </w:tr>
      <w:tr w:rsidR="00C25AEE">
        <w:trPr>
          <w:trHeight w:val="585"/>
        </w:trPr>
        <w:tc>
          <w:tcPr>
            <w:tcW w:w="1980" w:type="dxa"/>
            <w:vAlign w:val="center"/>
          </w:tcPr>
          <w:p w:rsidR="00C25AEE" w:rsidRDefault="00673487">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b/>
                <w:noProof/>
                <w:sz w:val="16"/>
                <w:szCs w:val="16"/>
              </w:rPr>
            </w:pPr>
          </w:p>
        </w:tc>
        <w:tc>
          <w:tcPr>
            <w:tcW w:w="1080" w:type="dxa"/>
            <w:vAlign w:val="center"/>
          </w:tcPr>
          <w:p w:rsidR="00C25AEE" w:rsidRDefault="00C25AEE">
            <w:pPr>
              <w:spacing w:before="60" w:after="60" w:line="200" w:lineRule="exact"/>
              <w:jc w:val="right"/>
              <w:rPr>
                <w:b/>
                <w:noProof/>
                <w:sz w:val="16"/>
                <w:szCs w:val="16"/>
              </w:rPr>
            </w:pPr>
          </w:p>
        </w:tc>
      </w:tr>
      <w:tr w:rsidR="00C25AEE">
        <w:trPr>
          <w:trHeight w:val="585"/>
        </w:trPr>
        <w:tc>
          <w:tcPr>
            <w:tcW w:w="1980" w:type="dxa"/>
            <w:vAlign w:val="center"/>
          </w:tcPr>
          <w:p w:rsidR="00C25AEE" w:rsidRDefault="00673487">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b/>
                <w:noProof/>
                <w:sz w:val="16"/>
                <w:szCs w:val="16"/>
              </w:rPr>
            </w:pPr>
          </w:p>
        </w:tc>
        <w:tc>
          <w:tcPr>
            <w:tcW w:w="1080" w:type="dxa"/>
            <w:vAlign w:val="center"/>
          </w:tcPr>
          <w:p w:rsidR="00C25AEE" w:rsidRDefault="00C25AEE">
            <w:pPr>
              <w:spacing w:before="60" w:after="60" w:line="200" w:lineRule="exact"/>
              <w:jc w:val="right"/>
              <w:rPr>
                <w:b/>
                <w:noProof/>
                <w:sz w:val="16"/>
                <w:szCs w:val="16"/>
              </w:rPr>
            </w:pPr>
          </w:p>
        </w:tc>
      </w:tr>
      <w:tr w:rsidR="00C25AEE">
        <w:trPr>
          <w:trHeight w:val="585"/>
        </w:trPr>
        <w:tc>
          <w:tcPr>
            <w:tcW w:w="1980" w:type="dxa"/>
            <w:shd w:val="clear" w:color="auto" w:fill="CCCCCC"/>
            <w:vAlign w:val="center"/>
          </w:tcPr>
          <w:p w:rsidR="00C25AEE" w:rsidRDefault="00673487">
            <w:pPr>
              <w:spacing w:before="60" w:after="60" w:line="200" w:lineRule="exact"/>
              <w:jc w:val="center"/>
              <w:rPr>
                <w:b/>
                <w:noProof/>
                <w:sz w:val="16"/>
                <w:szCs w:val="16"/>
              </w:rPr>
            </w:pPr>
            <w:r>
              <w:rPr>
                <w:b/>
                <w:noProof/>
              </w:rPr>
              <w:t>Междинен сбор за ФУНКЦИЯ 5</w:t>
            </w:r>
            <w:r>
              <w:rPr>
                <w:b/>
                <w:noProof/>
                <w:sz w:val="16"/>
              </w:rPr>
              <w:t xml:space="preserve">от многогодишната финансова рамка </w:t>
            </w: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b/>
                <w:noProof/>
                <w:sz w:val="16"/>
                <w:szCs w:val="16"/>
              </w:rPr>
            </w:pPr>
          </w:p>
        </w:tc>
        <w:tc>
          <w:tcPr>
            <w:tcW w:w="1080" w:type="dxa"/>
            <w:vAlign w:val="center"/>
          </w:tcPr>
          <w:p w:rsidR="00C25AEE" w:rsidRDefault="00C25AEE">
            <w:pPr>
              <w:spacing w:before="60" w:after="60" w:line="200" w:lineRule="exact"/>
              <w:jc w:val="right"/>
              <w:rPr>
                <w:b/>
                <w:noProof/>
                <w:sz w:val="16"/>
                <w:szCs w:val="16"/>
              </w:rPr>
            </w:pPr>
          </w:p>
        </w:tc>
      </w:tr>
    </w:tbl>
    <w:p w:rsidR="00C25AEE" w:rsidRDefault="00C25AE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25AEE">
        <w:trPr>
          <w:trHeight w:val="585"/>
        </w:trPr>
        <w:tc>
          <w:tcPr>
            <w:tcW w:w="1980" w:type="dxa"/>
            <w:shd w:val="clear" w:color="auto" w:fill="CCCCCC"/>
            <w:vAlign w:val="center"/>
          </w:tcPr>
          <w:p w:rsidR="00C25AEE" w:rsidRDefault="00673487">
            <w:pPr>
              <w:spacing w:before="60" w:after="60" w:line="200" w:lineRule="exact"/>
              <w:jc w:val="center"/>
              <w:rPr>
                <w:noProof/>
                <w:sz w:val="16"/>
                <w:szCs w:val="16"/>
              </w:rPr>
            </w:pPr>
            <w:r>
              <w:rPr>
                <w:b/>
                <w:noProof/>
              </w:rPr>
              <w:t>Извън ФУНКЦИЯ 5</w:t>
            </w:r>
            <w:r>
              <w:rPr>
                <w:rStyle w:val="FootnoteReference"/>
                <w:b/>
                <w:noProof/>
              </w:rPr>
              <w:footnoteReference w:id="17"/>
            </w:r>
            <w:r>
              <w:rPr>
                <w:b/>
                <w:noProof/>
                <w:sz w:val="16"/>
              </w:rPr>
              <w:t xml:space="preserve">от многогодишната финансова рамка </w:t>
            </w:r>
          </w:p>
          <w:p w:rsidR="00C25AEE" w:rsidRDefault="00C25AEE">
            <w:pPr>
              <w:spacing w:before="0" w:after="0" w:line="200" w:lineRule="exact"/>
              <w:jc w:val="center"/>
              <w:rPr>
                <w:b/>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b/>
                <w:noProof/>
                <w:sz w:val="16"/>
                <w:szCs w:val="16"/>
              </w:rPr>
            </w:pPr>
          </w:p>
        </w:tc>
        <w:tc>
          <w:tcPr>
            <w:tcW w:w="1080" w:type="dxa"/>
            <w:vAlign w:val="center"/>
          </w:tcPr>
          <w:p w:rsidR="00C25AEE" w:rsidRDefault="00C25AEE">
            <w:pPr>
              <w:spacing w:before="60" w:after="60" w:line="200" w:lineRule="exact"/>
              <w:jc w:val="right"/>
              <w:rPr>
                <w:b/>
                <w:noProof/>
                <w:sz w:val="16"/>
                <w:szCs w:val="16"/>
              </w:rPr>
            </w:pPr>
          </w:p>
        </w:tc>
      </w:tr>
      <w:tr w:rsidR="00C25AEE">
        <w:trPr>
          <w:trHeight w:val="585"/>
        </w:trPr>
        <w:tc>
          <w:tcPr>
            <w:tcW w:w="1980" w:type="dxa"/>
            <w:vAlign w:val="center"/>
          </w:tcPr>
          <w:p w:rsidR="00C25AEE" w:rsidRDefault="00673487">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b/>
                <w:noProof/>
                <w:sz w:val="16"/>
                <w:szCs w:val="16"/>
              </w:rPr>
            </w:pPr>
          </w:p>
        </w:tc>
        <w:tc>
          <w:tcPr>
            <w:tcW w:w="1080" w:type="dxa"/>
            <w:vAlign w:val="center"/>
          </w:tcPr>
          <w:p w:rsidR="00C25AEE" w:rsidRDefault="00C25AEE">
            <w:pPr>
              <w:spacing w:before="60" w:after="60" w:line="200" w:lineRule="exact"/>
              <w:jc w:val="right"/>
              <w:rPr>
                <w:b/>
                <w:noProof/>
                <w:sz w:val="16"/>
                <w:szCs w:val="16"/>
              </w:rPr>
            </w:pPr>
          </w:p>
        </w:tc>
      </w:tr>
      <w:tr w:rsidR="00C25AEE">
        <w:trPr>
          <w:trHeight w:val="585"/>
        </w:trPr>
        <w:tc>
          <w:tcPr>
            <w:tcW w:w="1980" w:type="dxa"/>
            <w:vAlign w:val="center"/>
          </w:tcPr>
          <w:p w:rsidR="00C25AEE" w:rsidRDefault="00673487">
            <w:pPr>
              <w:spacing w:before="60" w:after="60" w:line="200" w:lineRule="exact"/>
              <w:ind w:left="72"/>
              <w:jc w:val="left"/>
              <w:rPr>
                <w:noProof/>
                <w:sz w:val="16"/>
                <w:szCs w:val="16"/>
              </w:rPr>
            </w:pPr>
            <w:r>
              <w:rPr>
                <w:noProof/>
              </w:rPr>
              <w:t>Други разходи</w:t>
            </w:r>
            <w:r>
              <w:rPr>
                <w:noProof/>
                <w:sz w:val="16"/>
              </w:rPr>
              <w:t>с административен характер</w:t>
            </w: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b/>
                <w:noProof/>
                <w:sz w:val="16"/>
                <w:szCs w:val="16"/>
              </w:rPr>
            </w:pPr>
          </w:p>
        </w:tc>
        <w:tc>
          <w:tcPr>
            <w:tcW w:w="1080" w:type="dxa"/>
            <w:vAlign w:val="center"/>
          </w:tcPr>
          <w:p w:rsidR="00C25AEE" w:rsidRDefault="00C25AEE">
            <w:pPr>
              <w:spacing w:before="60" w:after="60" w:line="200" w:lineRule="exact"/>
              <w:jc w:val="right"/>
              <w:rPr>
                <w:b/>
                <w:noProof/>
                <w:sz w:val="16"/>
                <w:szCs w:val="16"/>
              </w:rPr>
            </w:pPr>
          </w:p>
        </w:tc>
      </w:tr>
      <w:tr w:rsidR="00C25AEE">
        <w:trPr>
          <w:trHeight w:val="585"/>
        </w:trPr>
        <w:tc>
          <w:tcPr>
            <w:tcW w:w="1980" w:type="dxa"/>
            <w:shd w:val="clear" w:color="auto" w:fill="CCCCCC"/>
            <w:vAlign w:val="center"/>
          </w:tcPr>
          <w:p w:rsidR="00C25AEE" w:rsidRDefault="00673487">
            <w:pPr>
              <w:spacing w:before="60" w:after="60" w:line="200" w:lineRule="exact"/>
              <w:jc w:val="center"/>
              <w:rPr>
                <w:b/>
                <w:noProof/>
                <w:sz w:val="16"/>
                <w:szCs w:val="16"/>
              </w:rPr>
            </w:pPr>
            <w:r>
              <w:rPr>
                <w:b/>
                <w:noProof/>
              </w:rPr>
              <w:t>Междинен сборизвън ФУНКЦИЯ 5</w:t>
            </w:r>
            <w:r>
              <w:rPr>
                <w:b/>
                <w:noProof/>
                <w:sz w:val="16"/>
              </w:rPr>
              <w:t xml:space="preserve">от многогодишната финансова рамка </w:t>
            </w: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noProof/>
                <w:sz w:val="16"/>
                <w:szCs w:val="16"/>
              </w:rPr>
            </w:pPr>
          </w:p>
        </w:tc>
        <w:tc>
          <w:tcPr>
            <w:tcW w:w="1080" w:type="dxa"/>
            <w:vAlign w:val="center"/>
          </w:tcPr>
          <w:p w:rsidR="00C25AEE" w:rsidRDefault="00C25AEE">
            <w:pPr>
              <w:spacing w:before="60" w:after="60" w:line="200" w:lineRule="exact"/>
              <w:jc w:val="right"/>
              <w:rPr>
                <w:b/>
                <w:noProof/>
                <w:sz w:val="16"/>
                <w:szCs w:val="16"/>
              </w:rPr>
            </w:pPr>
          </w:p>
        </w:tc>
        <w:tc>
          <w:tcPr>
            <w:tcW w:w="1080" w:type="dxa"/>
            <w:vAlign w:val="center"/>
          </w:tcPr>
          <w:p w:rsidR="00C25AEE" w:rsidRDefault="00C25AEE">
            <w:pPr>
              <w:spacing w:before="60" w:after="60" w:line="200" w:lineRule="exact"/>
              <w:jc w:val="right"/>
              <w:rPr>
                <w:b/>
                <w:noProof/>
                <w:sz w:val="16"/>
                <w:szCs w:val="16"/>
              </w:rPr>
            </w:pPr>
          </w:p>
        </w:tc>
      </w:tr>
    </w:tbl>
    <w:p w:rsidR="00C25AEE" w:rsidRDefault="00C25AEE">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25AEE">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C25AEE" w:rsidRDefault="00673487">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C25AEE" w:rsidRDefault="00C25AEE">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25AEE" w:rsidRDefault="00C25AEE">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25AEE" w:rsidRDefault="00C25AEE">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25AEE" w:rsidRDefault="00C25AEE">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25AEE" w:rsidRDefault="00C25AEE">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25AEE" w:rsidRDefault="00C25AEE">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25AEE" w:rsidRDefault="00C25AEE">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C25AEE" w:rsidRDefault="00C25AEE">
            <w:pPr>
              <w:spacing w:before="60" w:after="60" w:line="200" w:lineRule="exact"/>
              <w:jc w:val="right"/>
              <w:rPr>
                <w:b/>
                <w:noProof/>
                <w:sz w:val="16"/>
                <w:szCs w:val="16"/>
              </w:rPr>
            </w:pPr>
          </w:p>
        </w:tc>
      </w:tr>
    </w:tbl>
    <w:p w:rsidR="00C25AEE" w:rsidRDefault="00673487">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w:t>
      </w:r>
      <w:r>
        <w:rPr>
          <w:noProof/>
          <w:sz w:val="18"/>
        </w:rPr>
        <w:t>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C25AEE" w:rsidRDefault="00C25AEE">
      <w:pPr>
        <w:rPr>
          <w:noProof/>
          <w:sz w:val="18"/>
        </w:rPr>
        <w:sectPr w:rsidR="00C25AEE">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rsidR="00C25AEE" w:rsidRDefault="00673487">
      <w:pPr>
        <w:pStyle w:val="ManualHeading4"/>
        <w:rPr>
          <w:bCs/>
          <w:noProof/>
          <w:szCs w:val="24"/>
        </w:rPr>
      </w:pPr>
      <w:r>
        <w:t>3.2.3.1.</w:t>
      </w:r>
      <w:r>
        <w:tab/>
      </w:r>
      <w:r>
        <w:rPr>
          <w:noProof/>
        </w:rPr>
        <w:t xml:space="preserve">Очаквани нужди от човешки ресурси </w:t>
      </w:r>
    </w:p>
    <w:p w:rsidR="00C25AEE" w:rsidRDefault="00673487">
      <w:pPr>
        <w:pStyle w:val="ListDash1"/>
        <w:rPr>
          <w:noProof/>
        </w:rPr>
      </w:pPr>
      <w:r>
        <w:rPr>
          <w:noProof/>
        </w:rPr>
        <w:sym w:font="Wingdings" w:char="F0A8"/>
      </w:r>
      <w:r>
        <w:rPr>
          <w:noProof/>
        </w:rPr>
        <w:t xml:space="preserve"> Предложението/инициативата не налага използване на човешки ресурси </w:t>
      </w:r>
    </w:p>
    <w:p w:rsidR="00C25AEE" w:rsidRDefault="00673487">
      <w:pPr>
        <w:pStyle w:val="ListDash1"/>
        <w:rPr>
          <w:noProof/>
        </w:rPr>
      </w:pPr>
      <w:r>
        <w:rPr>
          <w:noProof/>
        </w:rPr>
        <w:sym w:font="Wingdings" w:char="F0A8"/>
      </w:r>
      <w:r>
        <w:rPr>
          <w:noProof/>
        </w:rPr>
        <w:t xml:space="preserve"> Предложението/инициативата налага използване на човешки ресурси, както е обяснено по-долу:</w:t>
      </w:r>
    </w:p>
    <w:p w:rsidR="00C25AEE" w:rsidRDefault="00673487">
      <w:pPr>
        <w:spacing w:after="60"/>
        <w:jc w:val="right"/>
        <w:rPr>
          <w:i/>
          <w:noProof/>
          <w:sz w:val="20"/>
        </w:rPr>
      </w:pPr>
      <w:r>
        <w:rPr>
          <w:i/>
          <w:noProof/>
          <w:sz w:val="20"/>
        </w:rPr>
        <w:t>Оценката се посочва в екви</w:t>
      </w:r>
      <w:r>
        <w:rPr>
          <w:i/>
          <w:noProof/>
          <w:sz w:val="20"/>
        </w:rPr>
        <w:t>валенти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C25AEE">
        <w:trPr>
          <w:gridBefore w:val="1"/>
          <w:wBefore w:w="13" w:type="dxa"/>
          <w:trHeight w:val="289"/>
          <w:jc w:val="center"/>
        </w:trPr>
        <w:tc>
          <w:tcPr>
            <w:tcW w:w="3906" w:type="dxa"/>
            <w:gridSpan w:val="2"/>
            <w:shd w:val="clear" w:color="auto" w:fill="auto"/>
          </w:tcPr>
          <w:p w:rsidR="00C25AEE" w:rsidRDefault="00C25AEE">
            <w:pPr>
              <w:pStyle w:val="Text1"/>
              <w:spacing w:before="40" w:after="40"/>
              <w:ind w:left="0"/>
              <w:jc w:val="center"/>
              <w:rPr>
                <w:i/>
                <w:noProof/>
                <w:sz w:val="16"/>
                <w:szCs w:val="16"/>
              </w:rPr>
            </w:pPr>
          </w:p>
        </w:tc>
        <w:tc>
          <w:tcPr>
            <w:tcW w:w="600" w:type="dxa"/>
            <w:shd w:val="clear" w:color="auto" w:fill="auto"/>
            <w:vAlign w:val="center"/>
          </w:tcPr>
          <w:p w:rsidR="00C25AEE" w:rsidRDefault="00673487">
            <w:pPr>
              <w:spacing w:before="20" w:after="20"/>
              <w:jc w:val="center"/>
              <w:rPr>
                <w:noProof/>
                <w:sz w:val="16"/>
                <w:szCs w:val="16"/>
              </w:rPr>
            </w:pPr>
            <w:r>
              <w:rPr>
                <w:noProof/>
                <w:sz w:val="16"/>
              </w:rPr>
              <w:t>Година</w:t>
            </w:r>
            <w:r>
              <w:rPr>
                <w:noProof/>
                <w:sz w:val="22"/>
              </w:rPr>
              <w:br/>
            </w:r>
            <w:r>
              <w:rPr>
                <w:b/>
                <w:noProof/>
                <w:sz w:val="16"/>
              </w:rPr>
              <w:t>N</w:t>
            </w:r>
          </w:p>
        </w:tc>
        <w:tc>
          <w:tcPr>
            <w:tcW w:w="600" w:type="dxa"/>
            <w:shd w:val="clear" w:color="auto" w:fill="auto"/>
            <w:vAlign w:val="center"/>
          </w:tcPr>
          <w:p w:rsidR="00C25AEE" w:rsidRDefault="00673487">
            <w:pPr>
              <w:spacing w:before="20" w:after="20"/>
              <w:jc w:val="center"/>
              <w:rPr>
                <w:noProof/>
                <w:sz w:val="16"/>
                <w:szCs w:val="16"/>
              </w:rPr>
            </w:pPr>
            <w:r>
              <w:rPr>
                <w:noProof/>
                <w:sz w:val="16"/>
              </w:rPr>
              <w:t>Година</w:t>
            </w:r>
            <w:r>
              <w:rPr>
                <w:noProof/>
                <w:sz w:val="22"/>
              </w:rPr>
              <w:br/>
            </w:r>
            <w:r>
              <w:rPr>
                <w:b/>
                <w:noProof/>
                <w:sz w:val="16"/>
              </w:rPr>
              <w:t>N+1</w:t>
            </w:r>
          </w:p>
        </w:tc>
        <w:tc>
          <w:tcPr>
            <w:tcW w:w="600" w:type="dxa"/>
            <w:shd w:val="clear" w:color="auto" w:fill="auto"/>
            <w:vAlign w:val="center"/>
          </w:tcPr>
          <w:p w:rsidR="00C25AEE" w:rsidRDefault="00673487">
            <w:pPr>
              <w:spacing w:before="20" w:after="20"/>
              <w:jc w:val="center"/>
              <w:rPr>
                <w:noProof/>
                <w:sz w:val="16"/>
                <w:szCs w:val="16"/>
              </w:rPr>
            </w:pPr>
            <w:r>
              <w:rPr>
                <w:noProof/>
                <w:sz w:val="16"/>
              </w:rPr>
              <w:t xml:space="preserve">Година </w:t>
            </w:r>
            <w:r>
              <w:rPr>
                <w:b/>
                <w:noProof/>
                <w:sz w:val="16"/>
              </w:rPr>
              <w:t>N+2</w:t>
            </w:r>
          </w:p>
        </w:tc>
        <w:tc>
          <w:tcPr>
            <w:tcW w:w="600" w:type="dxa"/>
            <w:shd w:val="clear" w:color="auto" w:fill="auto"/>
            <w:vAlign w:val="center"/>
          </w:tcPr>
          <w:p w:rsidR="00C25AEE" w:rsidRDefault="00673487">
            <w:pPr>
              <w:spacing w:before="20" w:after="20"/>
              <w:jc w:val="center"/>
              <w:rPr>
                <w:noProof/>
                <w:sz w:val="16"/>
                <w:szCs w:val="16"/>
              </w:rPr>
            </w:pPr>
            <w:r>
              <w:rPr>
                <w:noProof/>
                <w:sz w:val="16"/>
              </w:rPr>
              <w:t xml:space="preserve">Година </w:t>
            </w:r>
            <w:r>
              <w:rPr>
                <w:b/>
                <w:noProof/>
                <w:sz w:val="16"/>
              </w:rPr>
              <w:t>N+3</w:t>
            </w:r>
          </w:p>
        </w:tc>
        <w:tc>
          <w:tcPr>
            <w:tcW w:w="600" w:type="dxa"/>
            <w:gridSpan w:val="3"/>
            <w:shd w:val="clear" w:color="auto" w:fill="auto"/>
            <w:vAlign w:val="center"/>
          </w:tcPr>
          <w:p w:rsidR="00C25AEE" w:rsidRDefault="00673487">
            <w:pPr>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r>
      <w:tr w:rsidR="00C25AEE">
        <w:trPr>
          <w:gridBefore w:val="1"/>
          <w:wBefore w:w="13" w:type="dxa"/>
          <w:trHeight w:val="289"/>
          <w:jc w:val="center"/>
        </w:trPr>
        <w:tc>
          <w:tcPr>
            <w:tcW w:w="600" w:type="dxa"/>
            <w:gridSpan w:val="9"/>
            <w:shd w:val="clear" w:color="auto" w:fill="auto"/>
          </w:tcPr>
          <w:p w:rsidR="00C25AEE" w:rsidRDefault="00673487">
            <w:pPr>
              <w:jc w:val="left"/>
              <w:rPr>
                <w:noProof/>
                <w:sz w:val="16"/>
                <w:szCs w:val="16"/>
              </w:rPr>
            </w:pPr>
            <w:r>
              <w:rPr>
                <w:b/>
                <w:noProof/>
                <w:sz w:val="16"/>
              </w:rPr>
              <w:sym w:font="Wingdings" w:char="F09F"/>
            </w:r>
            <w:r>
              <w:rPr>
                <w:noProof/>
              </w:rPr>
              <w:t xml:space="preserve"> </w:t>
            </w:r>
            <w:r>
              <w:rPr>
                <w:b/>
                <w:noProof/>
              </w:rPr>
              <w:t xml:space="preserve">Длъжности в щатното разписание (длъжностни лица и срочно наети </w:t>
            </w:r>
            <w:r>
              <w:rPr>
                <w:b/>
                <w:noProof/>
              </w:rPr>
              <w:t>служители)</w:t>
            </w:r>
          </w:p>
        </w:tc>
      </w:tr>
      <w:tr w:rsidR="00C25AEE">
        <w:trPr>
          <w:gridBefore w:val="1"/>
          <w:wBefore w:w="13" w:type="dxa"/>
          <w:trHeight w:val="289"/>
          <w:jc w:val="center"/>
        </w:trPr>
        <w:tc>
          <w:tcPr>
            <w:tcW w:w="3906" w:type="dxa"/>
            <w:gridSpan w:val="2"/>
            <w:shd w:val="clear" w:color="auto" w:fill="auto"/>
            <w:vAlign w:val="center"/>
          </w:tcPr>
          <w:p w:rsidR="00C25AEE" w:rsidRDefault="00673487">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r>
      <w:tr w:rsidR="00C25AEE">
        <w:trPr>
          <w:gridBefore w:val="1"/>
          <w:wBefore w:w="13" w:type="dxa"/>
          <w:trHeight w:val="289"/>
          <w:jc w:val="center"/>
        </w:trPr>
        <w:tc>
          <w:tcPr>
            <w:tcW w:w="3906" w:type="dxa"/>
            <w:gridSpan w:val="2"/>
            <w:shd w:val="clear" w:color="auto" w:fill="auto"/>
            <w:vAlign w:val="center"/>
          </w:tcPr>
          <w:p w:rsidR="00C25AEE" w:rsidRDefault="00673487">
            <w:pPr>
              <w:pStyle w:val="Text1"/>
              <w:spacing w:beforeLines="20" w:before="48" w:afterLines="20" w:after="48"/>
              <w:ind w:left="134"/>
              <w:jc w:val="left"/>
              <w:rPr>
                <w:noProof/>
                <w:sz w:val="16"/>
                <w:szCs w:val="16"/>
              </w:rPr>
            </w:pPr>
            <w:r>
              <w:rPr>
                <w:noProof/>
                <w:sz w:val="16"/>
              </w:rPr>
              <w:t>XX 01 01 02 (Делегации)</w:t>
            </w: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r>
      <w:tr w:rsidR="00C25AEE">
        <w:trPr>
          <w:gridBefore w:val="1"/>
          <w:wBefore w:w="13" w:type="dxa"/>
          <w:trHeight w:val="289"/>
          <w:jc w:val="center"/>
        </w:trPr>
        <w:tc>
          <w:tcPr>
            <w:tcW w:w="3906" w:type="dxa"/>
            <w:gridSpan w:val="2"/>
            <w:shd w:val="clear" w:color="auto" w:fill="auto"/>
            <w:vAlign w:val="center"/>
          </w:tcPr>
          <w:p w:rsidR="00C25AEE" w:rsidRDefault="00673487">
            <w:pPr>
              <w:pStyle w:val="Text1"/>
              <w:spacing w:beforeLines="20" w:before="48" w:afterLines="20" w:after="48"/>
              <w:ind w:left="134"/>
              <w:jc w:val="left"/>
              <w:rPr>
                <w:noProof/>
                <w:sz w:val="16"/>
                <w:szCs w:val="16"/>
              </w:rPr>
            </w:pPr>
            <w:r>
              <w:rPr>
                <w:noProof/>
                <w:sz w:val="16"/>
              </w:rPr>
              <w:t>XX 01 05 01/11/21 (Непреки научни изследвания)</w:t>
            </w: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r>
      <w:tr w:rsidR="00C25AEE">
        <w:trPr>
          <w:gridBefore w:val="1"/>
          <w:wBefore w:w="13" w:type="dxa"/>
          <w:trHeight w:val="289"/>
          <w:jc w:val="center"/>
        </w:trPr>
        <w:tc>
          <w:tcPr>
            <w:tcW w:w="3906" w:type="dxa"/>
            <w:gridSpan w:val="2"/>
            <w:shd w:val="clear" w:color="auto" w:fill="auto"/>
            <w:vAlign w:val="center"/>
          </w:tcPr>
          <w:p w:rsidR="00C25AEE" w:rsidRDefault="00673487">
            <w:pPr>
              <w:pStyle w:val="Text1"/>
              <w:spacing w:beforeLines="20" w:before="48" w:afterLines="20" w:after="48"/>
              <w:ind w:left="134"/>
              <w:jc w:val="left"/>
              <w:rPr>
                <w:noProof/>
                <w:sz w:val="16"/>
                <w:szCs w:val="16"/>
              </w:rPr>
            </w:pPr>
            <w:r>
              <w:rPr>
                <w:noProof/>
                <w:sz w:val="16"/>
              </w:rPr>
              <w:t>10 01 05 01/11 (Преки научни изследвания)</w:t>
            </w: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r>
      <w:tr w:rsidR="00C25AEE">
        <w:trPr>
          <w:trHeight w:val="248"/>
          <w:jc w:val="center"/>
        </w:trPr>
        <w:tc>
          <w:tcPr>
            <w:tcW w:w="600" w:type="dxa"/>
            <w:gridSpan w:val="10"/>
            <w:shd w:val="clear" w:color="auto" w:fill="auto"/>
            <w:vAlign w:val="center"/>
          </w:tcPr>
          <w:p w:rsidR="00C25AEE" w:rsidRDefault="00673487">
            <w:pPr>
              <w:pStyle w:val="Text1"/>
              <w:spacing w:before="60" w:after="60"/>
              <w:ind w:left="0"/>
              <w:jc w:val="left"/>
              <w:rPr>
                <w:b/>
                <w:noProof/>
                <w:sz w:val="16"/>
                <w:szCs w:val="16"/>
              </w:rPr>
            </w:pPr>
            <w:r>
              <w:rPr>
                <w:b/>
                <w:noProof/>
                <w:sz w:val="16"/>
              </w:rPr>
              <w:sym w:font="Wingdings" w:char="F09F"/>
            </w:r>
            <w:r>
              <w:rPr>
                <w:noProof/>
              </w:rPr>
              <w:t xml:space="preserve"> </w:t>
            </w:r>
            <w:r>
              <w:rPr>
                <w:b/>
                <w:noProof/>
              </w:rPr>
              <w:t xml:space="preserve">Външен персонал (в еквивалент на пълно </w:t>
            </w:r>
            <w:r>
              <w:rPr>
                <w:b/>
                <w:noProof/>
              </w:rPr>
              <w:t>работно време —</w:t>
            </w:r>
            <w:r>
              <w:rPr>
                <w:b/>
                <w:noProof/>
                <w:sz w:val="16"/>
              </w:rPr>
              <w:t xml:space="preserve"> ЕПРВ)</w:t>
            </w:r>
            <w:r>
              <w:rPr>
                <w:rStyle w:val="FootnoteReference"/>
                <w:b/>
                <w:noProof/>
                <w:sz w:val="16"/>
              </w:rPr>
              <w:footnoteReference w:id="18"/>
            </w:r>
          </w:p>
          <w:p w:rsidR="00C25AEE" w:rsidRDefault="00C25AEE">
            <w:pPr>
              <w:pStyle w:val="Text1"/>
              <w:spacing w:before="0" w:after="0"/>
              <w:ind w:left="0"/>
              <w:jc w:val="left"/>
              <w:rPr>
                <w:noProof/>
                <w:sz w:val="16"/>
                <w:szCs w:val="16"/>
              </w:rPr>
            </w:pPr>
          </w:p>
        </w:tc>
      </w:tr>
      <w:tr w:rsidR="00C25AEE">
        <w:trPr>
          <w:gridBefore w:val="1"/>
          <w:wBefore w:w="13" w:type="dxa"/>
          <w:trHeight w:val="289"/>
          <w:jc w:val="center"/>
        </w:trPr>
        <w:tc>
          <w:tcPr>
            <w:tcW w:w="3906" w:type="dxa"/>
            <w:gridSpan w:val="2"/>
            <w:shd w:val="clear" w:color="auto" w:fill="auto"/>
            <w:vAlign w:val="center"/>
          </w:tcPr>
          <w:p w:rsidR="00C25AEE" w:rsidRDefault="00673487">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r>
      <w:tr w:rsidR="00C25AEE">
        <w:trPr>
          <w:gridBefore w:val="1"/>
          <w:wBefore w:w="13" w:type="dxa"/>
          <w:trHeight w:val="289"/>
          <w:jc w:val="center"/>
        </w:trPr>
        <w:tc>
          <w:tcPr>
            <w:tcW w:w="3906" w:type="dxa"/>
            <w:gridSpan w:val="2"/>
            <w:shd w:val="clear" w:color="auto" w:fill="auto"/>
            <w:vAlign w:val="center"/>
          </w:tcPr>
          <w:p w:rsidR="00C25AEE" w:rsidRDefault="00673487">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r>
      <w:tr w:rsidR="00C25AEE">
        <w:trPr>
          <w:gridBefore w:val="1"/>
          <w:wBefore w:w="13" w:type="dxa"/>
          <w:trHeight w:val="289"/>
          <w:jc w:val="center"/>
        </w:trPr>
        <w:tc>
          <w:tcPr>
            <w:tcW w:w="1952" w:type="dxa"/>
            <w:vMerge w:val="restart"/>
            <w:shd w:val="clear" w:color="auto" w:fill="auto"/>
            <w:vAlign w:val="center"/>
          </w:tcPr>
          <w:p w:rsidR="00C25AEE" w:rsidRDefault="00673487">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гг</w:t>
            </w:r>
            <w:r>
              <w:rPr>
                <w:b/>
                <w:i/>
                <w:noProof/>
                <w:sz w:val="16"/>
              </w:rPr>
              <w:t xml:space="preserve"> </w:t>
            </w:r>
            <w:r>
              <w:rPr>
                <w:rStyle w:val="FootnoteReference"/>
                <w:b/>
                <w:i/>
                <w:noProof/>
                <w:sz w:val="16"/>
              </w:rPr>
              <w:footnoteReference w:id="19"/>
            </w:r>
          </w:p>
          <w:p w:rsidR="00C25AEE" w:rsidRDefault="00C25AEE">
            <w:pPr>
              <w:pStyle w:val="Text1"/>
              <w:spacing w:beforeLines="20" w:before="48" w:afterLines="20" w:after="48"/>
              <w:ind w:left="136"/>
              <w:jc w:val="left"/>
              <w:rPr>
                <w:b/>
                <w:noProof/>
                <w:sz w:val="16"/>
                <w:szCs w:val="16"/>
              </w:rPr>
            </w:pPr>
          </w:p>
        </w:tc>
        <w:tc>
          <w:tcPr>
            <w:tcW w:w="1954" w:type="dxa"/>
            <w:shd w:val="clear" w:color="auto" w:fill="auto"/>
            <w:vAlign w:val="center"/>
          </w:tcPr>
          <w:p w:rsidR="00C25AEE" w:rsidRDefault="00673487">
            <w:pPr>
              <w:pStyle w:val="Text1"/>
              <w:spacing w:beforeLines="20" w:before="48" w:afterLines="20" w:after="48"/>
              <w:ind w:left="136"/>
              <w:jc w:val="left"/>
              <w:rPr>
                <w:b/>
                <w:noProof/>
                <w:sz w:val="16"/>
                <w:szCs w:val="16"/>
              </w:rPr>
            </w:pPr>
            <w:r>
              <w:rPr>
                <w:noProof/>
                <w:sz w:val="16"/>
              </w:rPr>
              <w:t>- в централата</w:t>
            </w:r>
          </w:p>
          <w:p w:rsidR="00C25AEE" w:rsidRDefault="00C25AEE">
            <w:pPr>
              <w:pStyle w:val="Text1"/>
              <w:spacing w:beforeLines="20" w:before="48" w:afterLines="20" w:after="48"/>
              <w:ind w:left="136"/>
              <w:jc w:val="left"/>
              <w:rPr>
                <w:b/>
                <w:noProof/>
                <w:sz w:val="16"/>
                <w:szCs w:val="16"/>
              </w:rPr>
            </w:pPr>
          </w:p>
        </w:tc>
        <w:tc>
          <w:tcPr>
            <w:tcW w:w="600" w:type="dxa"/>
            <w:shd w:val="clear" w:color="auto" w:fill="auto"/>
            <w:vAlign w:val="center"/>
          </w:tcPr>
          <w:p w:rsidR="00C25AEE" w:rsidRDefault="00C25AEE">
            <w:pPr>
              <w:pStyle w:val="Text1"/>
              <w:spacing w:beforeLines="20" w:before="48" w:afterLines="20" w:after="48"/>
              <w:ind w:left="0"/>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r>
      <w:tr w:rsidR="00C25AEE">
        <w:trPr>
          <w:gridBefore w:val="1"/>
          <w:wBefore w:w="13" w:type="dxa"/>
          <w:trHeight w:val="289"/>
          <w:jc w:val="center"/>
        </w:trPr>
        <w:tc>
          <w:tcPr>
            <w:tcW w:w="1952" w:type="dxa"/>
            <w:vMerge/>
            <w:shd w:val="clear" w:color="auto" w:fill="auto"/>
            <w:vAlign w:val="center"/>
          </w:tcPr>
          <w:p w:rsidR="00C25AEE" w:rsidRDefault="00C25AEE">
            <w:pPr>
              <w:pStyle w:val="Text1"/>
              <w:spacing w:beforeLines="20" w:before="48" w:afterLines="20" w:after="48"/>
              <w:ind w:left="136"/>
              <w:jc w:val="left"/>
              <w:rPr>
                <w:b/>
                <w:noProof/>
                <w:sz w:val="16"/>
                <w:szCs w:val="16"/>
              </w:rPr>
            </w:pPr>
          </w:p>
        </w:tc>
        <w:tc>
          <w:tcPr>
            <w:tcW w:w="1954" w:type="dxa"/>
            <w:shd w:val="clear" w:color="auto" w:fill="auto"/>
            <w:vAlign w:val="center"/>
          </w:tcPr>
          <w:p w:rsidR="00C25AEE" w:rsidRDefault="00673487">
            <w:pPr>
              <w:pStyle w:val="Text1"/>
              <w:spacing w:beforeLines="20" w:before="48" w:afterLines="20" w:after="48"/>
              <w:ind w:left="136"/>
              <w:jc w:val="left"/>
              <w:rPr>
                <w:b/>
                <w:noProof/>
                <w:sz w:val="16"/>
                <w:szCs w:val="16"/>
              </w:rPr>
            </w:pPr>
            <w:r>
              <w:rPr>
                <w:noProof/>
                <w:sz w:val="16"/>
              </w:rPr>
              <w:t xml:space="preserve">- в делегациите </w:t>
            </w:r>
          </w:p>
        </w:tc>
        <w:tc>
          <w:tcPr>
            <w:tcW w:w="600" w:type="dxa"/>
            <w:shd w:val="clear" w:color="auto" w:fill="auto"/>
            <w:vAlign w:val="center"/>
          </w:tcPr>
          <w:p w:rsidR="00C25AEE" w:rsidRDefault="00C25AEE">
            <w:pPr>
              <w:pStyle w:val="Text1"/>
              <w:spacing w:beforeLines="20" w:before="48" w:afterLines="20" w:after="48"/>
              <w:ind w:left="0"/>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r>
      <w:tr w:rsidR="00C25AEE">
        <w:trPr>
          <w:gridBefore w:val="1"/>
          <w:wBefore w:w="13" w:type="dxa"/>
          <w:trHeight w:val="289"/>
          <w:jc w:val="center"/>
        </w:trPr>
        <w:tc>
          <w:tcPr>
            <w:tcW w:w="3906" w:type="dxa"/>
            <w:gridSpan w:val="2"/>
            <w:shd w:val="clear" w:color="auto" w:fill="auto"/>
            <w:vAlign w:val="center"/>
          </w:tcPr>
          <w:p w:rsidR="00C25AEE" w:rsidRDefault="00673487">
            <w:pPr>
              <w:pStyle w:val="Text1"/>
              <w:spacing w:beforeLines="20" w:before="48" w:afterLines="20" w:after="48"/>
              <w:ind w:left="136"/>
              <w:jc w:val="left"/>
              <w:rPr>
                <w:noProof/>
                <w:sz w:val="16"/>
                <w:szCs w:val="16"/>
              </w:rPr>
            </w:pPr>
            <w:r>
              <w:rPr>
                <w:b/>
                <w:noProof/>
              </w:rPr>
              <w:t>XX</w:t>
            </w:r>
            <w:r>
              <w:rPr>
                <w:noProof/>
              </w:rPr>
              <w:t xml:space="preserve"> 01 05 02/12/22 (ДНП, КНЕ, ПНА — Непреки научни изследвания)</w:t>
            </w: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r>
      <w:tr w:rsidR="00C25AEE">
        <w:trPr>
          <w:gridBefore w:val="1"/>
          <w:wBefore w:w="13" w:type="dxa"/>
          <w:trHeight w:val="289"/>
          <w:jc w:val="center"/>
        </w:trPr>
        <w:tc>
          <w:tcPr>
            <w:tcW w:w="3906" w:type="dxa"/>
            <w:gridSpan w:val="2"/>
            <w:shd w:val="clear" w:color="auto" w:fill="auto"/>
            <w:vAlign w:val="center"/>
          </w:tcPr>
          <w:p w:rsidR="00C25AEE" w:rsidRDefault="00673487">
            <w:pPr>
              <w:pStyle w:val="Text1"/>
              <w:spacing w:beforeLines="20" w:before="48" w:afterLines="20" w:after="48"/>
              <w:ind w:left="136"/>
              <w:jc w:val="left"/>
              <w:rPr>
                <w:noProof/>
                <w:sz w:val="16"/>
                <w:szCs w:val="16"/>
              </w:rPr>
            </w:pPr>
            <w:r>
              <w:rPr>
                <w:noProof/>
                <w:sz w:val="16"/>
              </w:rPr>
              <w:t>10 01 05 02/12 (ДНП, КНЕ, ПНА — Преки научни изследвания)</w:t>
            </w: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c>
          <w:tcPr>
            <w:tcW w:w="600" w:type="dxa"/>
            <w:shd w:val="clear" w:color="auto" w:fill="auto"/>
            <w:vAlign w:val="center"/>
          </w:tcPr>
          <w:p w:rsidR="00C25AEE" w:rsidRDefault="00C25AEE">
            <w:pPr>
              <w:spacing w:beforeLines="20" w:before="48" w:afterLines="20" w:after="48"/>
              <w:jc w:val="center"/>
              <w:rPr>
                <w:noProof/>
                <w:sz w:val="16"/>
                <w:szCs w:val="16"/>
              </w:rPr>
            </w:pPr>
          </w:p>
        </w:tc>
      </w:tr>
      <w:tr w:rsidR="00C25AEE">
        <w:trPr>
          <w:gridBefore w:val="1"/>
          <w:wBefore w:w="13" w:type="dxa"/>
          <w:trHeight w:val="289"/>
          <w:jc w:val="center"/>
        </w:trPr>
        <w:tc>
          <w:tcPr>
            <w:tcW w:w="3906" w:type="dxa"/>
            <w:gridSpan w:val="2"/>
            <w:tcBorders>
              <w:bottom w:val="double" w:sz="4" w:space="0" w:color="auto"/>
            </w:tcBorders>
            <w:shd w:val="clear" w:color="auto" w:fill="auto"/>
            <w:vAlign w:val="center"/>
          </w:tcPr>
          <w:p w:rsidR="00C25AEE" w:rsidRDefault="00673487">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600" w:type="dxa"/>
            <w:tcBorders>
              <w:bottom w:val="double" w:sz="4" w:space="0" w:color="auto"/>
            </w:tcBorders>
            <w:shd w:val="clear" w:color="auto" w:fill="auto"/>
            <w:vAlign w:val="center"/>
          </w:tcPr>
          <w:p w:rsidR="00C25AEE" w:rsidRDefault="00C25AEE">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C25AEE" w:rsidRDefault="00C25AEE">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C25AEE" w:rsidRDefault="00C25AEE">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C25AEE" w:rsidRDefault="00C25AEE">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C25AEE" w:rsidRDefault="00C25AEE">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C25AEE" w:rsidRDefault="00C25AEE">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C25AEE" w:rsidRDefault="00C25AEE">
            <w:pPr>
              <w:spacing w:beforeLines="20" w:before="48" w:afterLines="20" w:after="48"/>
              <w:jc w:val="center"/>
              <w:rPr>
                <w:noProof/>
                <w:sz w:val="16"/>
                <w:szCs w:val="16"/>
              </w:rPr>
            </w:pPr>
          </w:p>
        </w:tc>
      </w:tr>
      <w:tr w:rsidR="00C25AEE">
        <w:trPr>
          <w:gridBefore w:val="1"/>
          <w:wBefore w:w="13" w:type="dxa"/>
          <w:trHeight w:val="289"/>
          <w:jc w:val="center"/>
        </w:trPr>
        <w:tc>
          <w:tcPr>
            <w:tcW w:w="3906" w:type="dxa"/>
            <w:gridSpan w:val="2"/>
            <w:tcBorders>
              <w:top w:val="double" w:sz="4" w:space="0" w:color="auto"/>
            </w:tcBorders>
            <w:shd w:val="clear" w:color="auto" w:fill="auto"/>
            <w:vAlign w:val="center"/>
          </w:tcPr>
          <w:p w:rsidR="00C25AEE" w:rsidRDefault="00673487">
            <w:pPr>
              <w:pStyle w:val="Text1"/>
              <w:spacing w:beforeLines="20" w:before="48" w:afterLines="20" w:after="48"/>
              <w:ind w:left="136"/>
              <w:jc w:val="left"/>
              <w:rPr>
                <w:noProof/>
                <w:sz w:val="16"/>
                <w:szCs w:val="16"/>
              </w:rPr>
            </w:pPr>
            <w:r>
              <w:rPr>
                <w:b/>
                <w:noProof/>
                <w:sz w:val="16"/>
              </w:rPr>
              <w:t>ОБЩО</w:t>
            </w:r>
          </w:p>
        </w:tc>
        <w:tc>
          <w:tcPr>
            <w:tcW w:w="600" w:type="dxa"/>
            <w:tcBorders>
              <w:top w:val="double" w:sz="4" w:space="0" w:color="auto"/>
            </w:tcBorders>
            <w:shd w:val="clear" w:color="auto" w:fill="auto"/>
            <w:vAlign w:val="center"/>
          </w:tcPr>
          <w:p w:rsidR="00C25AEE" w:rsidRDefault="00C25AEE">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C25AEE" w:rsidRDefault="00C25AEE">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C25AEE" w:rsidRDefault="00C25AEE">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C25AEE" w:rsidRDefault="00C25AEE">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C25AEE" w:rsidRDefault="00C25AEE">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C25AEE" w:rsidRDefault="00C25AEE">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C25AEE" w:rsidRDefault="00C25AEE">
            <w:pPr>
              <w:spacing w:beforeLines="20" w:before="48" w:afterLines="20" w:after="48"/>
              <w:jc w:val="center"/>
              <w:rPr>
                <w:b/>
                <w:noProof/>
                <w:sz w:val="16"/>
                <w:szCs w:val="16"/>
              </w:rPr>
            </w:pPr>
          </w:p>
        </w:tc>
      </w:tr>
    </w:tbl>
    <w:p w:rsidR="00C25AEE" w:rsidRDefault="00673487">
      <w:pPr>
        <w:pStyle w:val="Text1"/>
        <w:spacing w:before="60" w:after="60"/>
        <w:ind w:left="851"/>
        <w:rPr>
          <w:noProof/>
          <w:sz w:val="18"/>
          <w:szCs w:val="18"/>
        </w:rPr>
      </w:pPr>
      <w:r>
        <w:rPr>
          <w:b/>
          <w:noProof/>
          <w:sz w:val="18"/>
        </w:rPr>
        <w:t>XX</w:t>
      </w:r>
      <w:r>
        <w:rPr>
          <w:noProof/>
        </w:rPr>
        <w:t xml:space="preserve"> е съответната област на политика или бюджетен дял.</w:t>
      </w:r>
    </w:p>
    <w:p w:rsidR="00C25AEE" w:rsidRDefault="00673487">
      <w:pPr>
        <w:pStyle w:val="Text1"/>
        <w:rPr>
          <w:noProof/>
          <w:sz w:val="18"/>
          <w:szCs w:val="18"/>
        </w:rPr>
      </w:pPr>
      <w:r>
        <w:rPr>
          <w:noProof/>
          <w:sz w:val="18"/>
        </w:rPr>
        <w:t xml:space="preserve">Нуждите </w:t>
      </w:r>
      <w:r>
        <w:rPr>
          <w:noProof/>
          <w:sz w:val="18"/>
        </w:rPr>
        <w:t xml:space="preserve">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w:t>
      </w:r>
      <w:r>
        <w:rPr>
          <w:noProof/>
          <w:sz w:val="18"/>
        </w:rPr>
        <w:t>управляващата ГД в рамките на годишната процедура за отпускане на средства и като се имат предвид бюджетните ограничения.</w:t>
      </w:r>
    </w:p>
    <w:p w:rsidR="00C25AEE" w:rsidRDefault="00673487">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C25AEE">
        <w:tc>
          <w:tcPr>
            <w:tcW w:w="3240" w:type="dxa"/>
          </w:tcPr>
          <w:p w:rsidR="00C25AEE" w:rsidRDefault="00673487">
            <w:pPr>
              <w:rPr>
                <w:noProof/>
                <w:sz w:val="20"/>
              </w:rPr>
            </w:pPr>
            <w:r>
              <w:rPr>
                <w:noProof/>
                <w:sz w:val="20"/>
              </w:rPr>
              <w:t>Длъжностни лица и срочно наети служители</w:t>
            </w:r>
          </w:p>
        </w:tc>
        <w:tc>
          <w:tcPr>
            <w:tcW w:w="7200" w:type="dxa"/>
          </w:tcPr>
          <w:p w:rsidR="00C25AEE" w:rsidRDefault="00C25AEE">
            <w:pPr>
              <w:rPr>
                <w:noProof/>
                <w:sz w:val="20"/>
              </w:rPr>
            </w:pPr>
          </w:p>
        </w:tc>
      </w:tr>
      <w:tr w:rsidR="00C25AEE">
        <w:tc>
          <w:tcPr>
            <w:tcW w:w="3240" w:type="dxa"/>
          </w:tcPr>
          <w:p w:rsidR="00C25AEE" w:rsidRDefault="00673487">
            <w:pPr>
              <w:spacing w:before="60" w:after="60"/>
              <w:rPr>
                <w:noProof/>
                <w:sz w:val="20"/>
              </w:rPr>
            </w:pPr>
            <w:r>
              <w:rPr>
                <w:noProof/>
                <w:sz w:val="20"/>
              </w:rPr>
              <w:t>Външен персонал</w:t>
            </w:r>
          </w:p>
        </w:tc>
        <w:tc>
          <w:tcPr>
            <w:tcW w:w="7200" w:type="dxa"/>
          </w:tcPr>
          <w:p w:rsidR="00C25AEE" w:rsidRDefault="00C25AEE">
            <w:pPr>
              <w:rPr>
                <w:noProof/>
                <w:sz w:val="20"/>
              </w:rPr>
            </w:pPr>
          </w:p>
        </w:tc>
      </w:tr>
    </w:tbl>
    <w:p w:rsidR="00C25AEE" w:rsidRDefault="00C25AEE">
      <w:pPr>
        <w:rPr>
          <w:noProof/>
        </w:rPr>
        <w:sectPr w:rsidR="00C25AEE">
          <w:pgSz w:w="11907" w:h="16840"/>
          <w:pgMar w:top="1134" w:right="1418" w:bottom="1134" w:left="1418" w:header="709" w:footer="709" w:gutter="0"/>
          <w:cols w:space="708"/>
          <w:docGrid w:linePitch="360"/>
        </w:sectPr>
      </w:pPr>
    </w:p>
    <w:p w:rsidR="00C25AEE" w:rsidRDefault="00673487">
      <w:pPr>
        <w:pStyle w:val="ManualHeading3"/>
        <w:rPr>
          <w:noProof/>
        </w:rPr>
      </w:pPr>
      <w:bookmarkStart w:id="49" w:name="_Toc514938056"/>
      <w:bookmarkStart w:id="50" w:name="_Toc520485055"/>
      <w:r>
        <w:t>3.2.4.</w:t>
      </w:r>
      <w:r>
        <w:tab/>
      </w:r>
      <w:r>
        <w:rPr>
          <w:noProof/>
        </w:rPr>
        <w:t>Съвместимост с настоящата многогодишна финансова рамка</w:t>
      </w:r>
      <w:bookmarkEnd w:id="49"/>
      <w:bookmarkEnd w:id="50"/>
      <w:r>
        <w:rPr>
          <w:noProof/>
        </w:rPr>
        <w:t xml:space="preserve"> </w:t>
      </w:r>
    </w:p>
    <w:p w:rsidR="00C25AEE" w:rsidRDefault="00673487">
      <w:pPr>
        <w:pStyle w:val="Text1"/>
        <w:rPr>
          <w:noProof/>
        </w:rPr>
      </w:pPr>
      <w:r>
        <w:rPr>
          <w:noProof/>
        </w:rPr>
        <w:t>Предложението/инициативата:</w:t>
      </w:r>
    </w:p>
    <w:p w:rsidR="00C25AEE" w:rsidRDefault="00673487">
      <w:pPr>
        <w:pStyle w:val="ListDash1"/>
        <w:rPr>
          <w:noProof/>
        </w:rPr>
      </w:pPr>
      <w:r>
        <w:rPr>
          <w:b/>
          <w:noProof/>
        </w:rPr>
        <w:t>X</w:t>
      </w:r>
      <w:r>
        <w:rPr>
          <w:noProof/>
        </w:rPr>
        <w:tab/>
        <w:t>може да се финансира изцяло в рамките на съответната функция от многогодишната финансова рамка (МФР).</w:t>
      </w:r>
    </w:p>
    <w:p w:rsidR="00C25AEE" w:rsidRDefault="00673487">
      <w:pPr>
        <w:pStyle w:val="ListDash1"/>
        <w:rPr>
          <w:noProof/>
        </w:rPr>
      </w:pPr>
      <w:r>
        <w:rPr>
          <w:noProof/>
        </w:rPr>
        <w:sym w:font="Wingdings" w:char="F0A8"/>
      </w:r>
      <w:r>
        <w:rPr>
          <w:noProof/>
        </w:rPr>
        <w:t xml:space="preserve"> налага да се използват неразпределеният марж под съответнат</w:t>
      </w:r>
      <w:r>
        <w:rPr>
          <w:noProof/>
        </w:rPr>
        <w:t>а функция от МФР и/или специалните инструменти, предвидени в Регламента за МФР.</w:t>
      </w:r>
    </w:p>
    <w:p w:rsidR="00C25AEE" w:rsidRDefault="00673487">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стойности, както и инструментите, които се предлага да бъдат използвани.</w:t>
      </w:r>
    </w:p>
    <w:p w:rsidR="00C25AEE" w:rsidRDefault="00673487">
      <w:pPr>
        <w:pStyle w:val="ListDash1"/>
        <w:rPr>
          <w:noProof/>
        </w:rPr>
      </w:pPr>
      <w:r>
        <w:rPr>
          <w:noProof/>
        </w:rPr>
        <w:sym w:font="Wingdings" w:char="F0A8"/>
      </w:r>
      <w:r>
        <w:rPr>
          <w:noProof/>
        </w:rPr>
        <w:t xml:space="preserve"> налага преразглежда</w:t>
      </w:r>
      <w:r>
        <w:rPr>
          <w:noProof/>
        </w:rPr>
        <w:t>не на МФР.</w:t>
      </w:r>
    </w:p>
    <w:p w:rsidR="00C25AEE" w:rsidRDefault="00673487">
      <w:pPr>
        <w:pStyle w:val="Text1"/>
        <w:pBdr>
          <w:top w:val="single" w:sz="4" w:space="1" w:color="auto"/>
          <w:left w:val="single" w:sz="4" w:space="4" w:color="auto"/>
          <w:bottom w:val="single" w:sz="4" w:space="3"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стойности.</w:t>
      </w:r>
    </w:p>
    <w:p w:rsidR="00C25AEE" w:rsidRDefault="00673487">
      <w:pPr>
        <w:pStyle w:val="ManualHeading3"/>
        <w:rPr>
          <w:bCs/>
          <w:noProof/>
          <w:szCs w:val="24"/>
        </w:rPr>
      </w:pPr>
      <w:bookmarkStart w:id="51" w:name="_Toc514938058"/>
      <w:bookmarkStart w:id="52" w:name="_Toc520485056"/>
      <w:r>
        <w:t>3.2.5.</w:t>
      </w:r>
      <w:r>
        <w:tab/>
      </w:r>
      <w:r>
        <w:rPr>
          <w:noProof/>
        </w:rPr>
        <w:t>Участие на трети страни във финансирането</w:t>
      </w:r>
      <w:bookmarkEnd w:id="51"/>
      <w:bookmarkEnd w:id="52"/>
      <w:r>
        <w:rPr>
          <w:noProof/>
        </w:rPr>
        <w:t xml:space="preserve"> </w:t>
      </w:r>
    </w:p>
    <w:p w:rsidR="00C25AEE" w:rsidRDefault="00673487">
      <w:pPr>
        <w:pStyle w:val="Text1"/>
        <w:rPr>
          <w:noProof/>
        </w:rPr>
      </w:pPr>
      <w:r>
        <w:rPr>
          <w:noProof/>
        </w:rPr>
        <w:t>Предложението/инициативата:</w:t>
      </w:r>
    </w:p>
    <w:p w:rsidR="00C25AEE" w:rsidRDefault="00673487">
      <w:pPr>
        <w:pStyle w:val="ListDash1"/>
        <w:rPr>
          <w:noProof/>
        </w:rPr>
      </w:pPr>
      <w:r>
        <w:rPr>
          <w:b/>
          <w:noProof/>
        </w:rPr>
        <w:t xml:space="preserve">X </w:t>
      </w:r>
      <w:r>
        <w:rPr>
          <w:noProof/>
        </w:rPr>
        <w:t>не предвижда съфинансиране от трети страни</w:t>
      </w:r>
    </w:p>
    <w:p w:rsidR="00C25AEE" w:rsidRDefault="00673487">
      <w:pPr>
        <w:pStyle w:val="ListDash1"/>
        <w:rPr>
          <w:noProof/>
        </w:rPr>
      </w:pPr>
      <w:r>
        <w:rPr>
          <w:noProof/>
        </w:rPr>
        <w:tab/>
        <w:t xml:space="preserve">предвижда следното </w:t>
      </w:r>
      <w:r>
        <w:rPr>
          <w:noProof/>
        </w:rPr>
        <w:t>съфинансиране от трети страни, като оценките са дадени по-долу:</w:t>
      </w:r>
    </w:p>
    <w:p w:rsidR="00C25AEE" w:rsidRDefault="00673487">
      <w:pPr>
        <w:jc w:val="right"/>
        <w:rPr>
          <w:noProof/>
          <w:sz w:val="20"/>
        </w:rPr>
      </w:pPr>
      <w:r>
        <w:rPr>
          <w:noProof/>
          <w:sz w:val="20"/>
        </w:rPr>
        <w:t xml:space="preserve">Бюджетни кредити в евро </w:t>
      </w:r>
    </w:p>
    <w:p w:rsidR="00C25AEE" w:rsidRDefault="00C25AEE">
      <w:pPr>
        <w:jc w:val="right"/>
        <w:rPr>
          <w:noProof/>
          <w:sz w:val="20"/>
        </w:rPr>
      </w:pPr>
    </w:p>
    <w:p w:rsidR="00C25AEE" w:rsidRDefault="00673487">
      <w:pPr>
        <w:rPr>
          <w:noProof/>
        </w:rPr>
      </w:pPr>
      <w:r>
        <w:rPr>
          <w:noProof/>
        </w:rPr>
        <w:br/>
      </w:r>
    </w:p>
    <w:p w:rsidR="00C25AEE" w:rsidRDefault="00673487">
      <w:pPr>
        <w:pStyle w:val="ManualHeading2"/>
        <w:rPr>
          <w:bCs/>
          <w:noProof/>
          <w:szCs w:val="24"/>
        </w:rPr>
      </w:pPr>
      <w:r>
        <w:rPr>
          <w:noProof/>
        </w:rPr>
        <w:br w:type="page"/>
      </w:r>
      <w:bookmarkStart w:id="53" w:name="_Toc514938059"/>
      <w:bookmarkStart w:id="54" w:name="_Toc520485057"/>
      <w:r>
        <w:t>3.3.</w:t>
      </w:r>
      <w:r>
        <w:tab/>
      </w:r>
      <w:r>
        <w:rPr>
          <w:noProof/>
        </w:rPr>
        <w:t>Очаквано отражение върху приходите</w:t>
      </w:r>
      <w:bookmarkEnd w:id="53"/>
      <w:bookmarkEnd w:id="54"/>
      <w:r>
        <w:rPr>
          <w:noProof/>
        </w:rPr>
        <w:t xml:space="preserve"> </w:t>
      </w:r>
    </w:p>
    <w:p w:rsidR="00C25AEE" w:rsidRDefault="00673487">
      <w:pPr>
        <w:pStyle w:val="ListDash1"/>
        <w:rPr>
          <w:noProof/>
        </w:rPr>
      </w:pPr>
      <w:r>
        <w:rPr>
          <w:b/>
          <w:noProof/>
        </w:rPr>
        <w:t>X</w:t>
      </w:r>
      <w:r>
        <w:rPr>
          <w:noProof/>
        </w:rPr>
        <w:tab/>
        <w:t xml:space="preserve">Предложението/инициативата няма финансово отражение върху приходите. </w:t>
      </w:r>
    </w:p>
    <w:p w:rsidR="00C25AEE" w:rsidRDefault="00673487">
      <w:pPr>
        <w:pStyle w:val="ListDash1"/>
        <w:rPr>
          <w:noProof/>
        </w:rPr>
      </w:pPr>
      <w:r>
        <w:rPr>
          <w:noProof/>
        </w:rPr>
        <w:tab/>
        <w:t>Предложението/инициативата има следното финансово</w:t>
      </w:r>
      <w:r>
        <w:rPr>
          <w:noProof/>
        </w:rPr>
        <w:t xml:space="preserve"> отражение:</w:t>
      </w:r>
    </w:p>
    <w:p w:rsidR="00C25AEE" w:rsidRDefault="00673487">
      <w:pPr>
        <w:pStyle w:val="Tiret2"/>
        <w:numPr>
          <w:ilvl w:val="0"/>
          <w:numId w:val="16"/>
        </w:numPr>
        <w:rPr>
          <w:noProof/>
        </w:rPr>
      </w:pPr>
      <w:r>
        <w:rPr>
          <w:noProof/>
        </w:rPr>
        <w:sym w:font="Wingdings" w:char="F0A8"/>
      </w:r>
      <w:r>
        <w:rPr>
          <w:noProof/>
        </w:rPr>
        <w:t xml:space="preserve"> върху собствените ресурси </w:t>
      </w:r>
    </w:p>
    <w:p w:rsidR="00C25AEE" w:rsidRDefault="00673487">
      <w:pPr>
        <w:pStyle w:val="Tiret2"/>
        <w:rPr>
          <w:noProof/>
        </w:rPr>
      </w:pPr>
      <w:r>
        <w:rPr>
          <w:noProof/>
        </w:rPr>
        <w:sym w:font="Wingdings" w:char="F0A8"/>
      </w:r>
      <w:r>
        <w:rPr>
          <w:noProof/>
        </w:rPr>
        <w:t xml:space="preserve"> върху разните приходи</w:t>
      </w:r>
    </w:p>
    <w:p w:rsidR="00C25AEE" w:rsidRDefault="00673487">
      <w:pPr>
        <w:pStyle w:val="Tiret2"/>
        <w:rPr>
          <w:noProof/>
        </w:rPr>
      </w:pPr>
      <w:r>
        <w:rPr>
          <w:noProof/>
        </w:rPr>
        <w:t>моля, посочете дали приходите са записани по разходни бюджетни редове</w:t>
      </w:r>
      <w:r>
        <w:rPr>
          <w:noProof/>
        </w:rPr>
        <w:tab/>
      </w:r>
    </w:p>
    <w:p w:rsidR="00C25AEE" w:rsidRDefault="00C25AEE">
      <w:pPr>
        <w:pStyle w:val="ListNumberLevel3"/>
        <w:tabs>
          <w:tab w:val="clear" w:pos="2126"/>
        </w:tabs>
        <w:ind w:firstLine="0"/>
        <w:rPr>
          <w:noProof/>
        </w:rPr>
      </w:pPr>
    </w:p>
    <w:p w:rsidR="00C25AEE" w:rsidRDefault="00673487">
      <w:pPr>
        <w:ind w:left="4320"/>
        <w:rPr>
          <w:i/>
          <w:noProof/>
          <w:sz w:val="20"/>
        </w:rPr>
      </w:pPr>
      <w:r>
        <w:rPr>
          <w:noProof/>
        </w:rPr>
        <w:t xml:space="preserve">     EUR </w:t>
      </w:r>
    </w:p>
    <w:p w:rsidR="00C25AEE" w:rsidRDefault="00673487">
      <w:pPr>
        <w:pStyle w:val="Text1"/>
        <w:rPr>
          <w:noProof/>
          <w:sz w:val="20"/>
        </w:rPr>
      </w:pPr>
      <w:r>
        <w:rPr>
          <w:noProof/>
        </w:rPr>
        <w:br/>
      </w:r>
    </w:p>
    <w:p w:rsidR="00C25AEE" w:rsidRDefault="00673487">
      <w:pPr>
        <w:pStyle w:val="Text1"/>
        <w:rPr>
          <w:noProof/>
          <w:sz w:val="20"/>
        </w:rPr>
      </w:pPr>
      <w:r>
        <w:rPr>
          <w:noProof/>
          <w:sz w:val="20"/>
        </w:rPr>
        <w:t>За целевите приходи да се посочат съответните разходни бюджетни редове.</w:t>
      </w:r>
    </w:p>
    <w:p w:rsidR="00C25AEE" w:rsidRDefault="00673487">
      <w:pPr>
        <w:pStyle w:val="Text1"/>
        <w:pBdr>
          <w:top w:val="single" w:sz="4" w:space="1" w:color="auto"/>
          <w:left w:val="single" w:sz="4" w:space="4" w:color="auto"/>
          <w:bottom w:val="single" w:sz="4" w:space="1" w:color="auto"/>
          <w:right w:val="single" w:sz="4" w:space="4" w:color="auto"/>
        </w:pBdr>
        <w:rPr>
          <w:noProof/>
        </w:rPr>
      </w:pPr>
      <w:r>
        <w:t>N/A</w:t>
      </w:r>
    </w:p>
    <w:p w:rsidR="00C25AEE" w:rsidRDefault="00673487">
      <w:pPr>
        <w:pStyle w:val="Text1"/>
        <w:rPr>
          <w:noProof/>
        </w:rPr>
      </w:pPr>
      <w:r>
        <w:rPr>
          <w:noProof/>
          <w:sz w:val="20"/>
        </w:rPr>
        <w:t xml:space="preserve">Други забележки (например </w:t>
      </w:r>
      <w:r>
        <w:rPr>
          <w:noProof/>
          <w:sz w:val="20"/>
        </w:rPr>
        <w:t>метод/формула за изчисляване на отражението върху приходите или друга информация).</w:t>
      </w:r>
    </w:p>
    <w:sectPr w:rsidR="00C25AE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EE" w:rsidRDefault="00673487">
      <w:pPr>
        <w:spacing w:before="0" w:after="0"/>
      </w:pPr>
      <w:r>
        <w:separator/>
      </w:r>
    </w:p>
  </w:endnote>
  <w:endnote w:type="continuationSeparator" w:id="0">
    <w:p w:rsidR="00C25AEE" w:rsidRDefault="006734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EE" w:rsidRDefault="00673487">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EE" w:rsidRDefault="00673487">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EE" w:rsidRDefault="00C25A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EE" w:rsidRDefault="00673487">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EE" w:rsidRDefault="00C25AEE">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EE" w:rsidRDefault="00673487">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EE" w:rsidRDefault="00C25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EE" w:rsidRDefault="00673487">
      <w:pPr>
        <w:spacing w:before="0" w:after="0"/>
      </w:pPr>
      <w:r>
        <w:separator/>
      </w:r>
    </w:p>
  </w:footnote>
  <w:footnote w:type="continuationSeparator" w:id="0">
    <w:p w:rsidR="00C25AEE" w:rsidRDefault="00673487">
      <w:pPr>
        <w:spacing w:before="0" w:after="0"/>
      </w:pPr>
      <w:r>
        <w:continuationSeparator/>
      </w:r>
    </w:p>
  </w:footnote>
  <w:footnote w:id="1">
    <w:p w:rsidR="00C25AEE" w:rsidRDefault="00673487">
      <w:pPr>
        <w:pStyle w:val="FootnoteText"/>
        <w:rPr>
          <w:lang w:val="fr-BE"/>
        </w:rPr>
      </w:pPr>
      <w:r>
        <w:rPr>
          <w:rStyle w:val="FootnoteReference"/>
        </w:rPr>
        <w:footnoteRef/>
      </w:r>
      <w:r>
        <w:tab/>
      </w:r>
      <w:hyperlink r:id="rId1">
        <w:r>
          <w:rPr>
            <w:rStyle w:val="Hyperlink"/>
          </w:rPr>
          <w:t>https://ec.europa.eu/commission/sites/beta-political/fil</w:t>
        </w:r>
        <w:r>
          <w:rPr>
            <w:rStyle w:val="Hyperlink"/>
          </w:rPr>
          <w:t>es/draft_withdrawal_agreement_0.pdf</w:t>
        </w:r>
      </w:hyperlink>
      <w:r>
        <w:t>.</w:t>
      </w:r>
    </w:p>
  </w:footnote>
  <w:footnote w:id="2">
    <w:p w:rsidR="00C25AEE" w:rsidRDefault="00673487">
      <w:pPr>
        <w:pStyle w:val="FootnoteText"/>
      </w:pPr>
      <w:r>
        <w:rPr>
          <w:rStyle w:val="FootnoteReference"/>
        </w:rPr>
        <w:footnoteRef/>
      </w:r>
      <w:r>
        <w:tab/>
        <w:t>COM(2018)880 final, 13.11.2018 г.</w:t>
      </w:r>
    </w:p>
  </w:footnote>
  <w:footnote w:id="3">
    <w:p w:rsidR="00C25AEE" w:rsidRDefault="00673487">
      <w:pPr>
        <w:pStyle w:val="FootnoteText"/>
      </w:pPr>
      <w:r>
        <w:rPr>
          <w:rStyle w:val="FootnoteReference"/>
        </w:rPr>
        <w:footnoteRef/>
      </w:r>
      <w:r>
        <w:tab/>
        <w:t>Почерпени са идеи от Предложение за Регламент на Европейския парламент и на Съвета за изменение на Регламент (ЕС) № 1316/2013 с оглед на оттеглянето на Обединеното кралство от Съюза</w:t>
      </w:r>
      <w:r>
        <w:t>, COM(2018) 568 от 1.8.2018 г.</w:t>
      </w:r>
    </w:p>
  </w:footnote>
  <w:footnote w:id="4">
    <w:p w:rsidR="00C25AEE" w:rsidRDefault="00673487">
      <w:pPr>
        <w:pStyle w:val="FootnoteText"/>
      </w:pPr>
      <w:r>
        <w:rPr>
          <w:rStyle w:val="FootnoteReference"/>
        </w:rPr>
        <w:footnoteRef/>
      </w:r>
      <w:r>
        <w:tab/>
        <w:t>ОВ С ,  г., стр. .</w:t>
      </w:r>
    </w:p>
  </w:footnote>
  <w:footnote w:id="5">
    <w:p w:rsidR="00C25AEE" w:rsidRDefault="00673487">
      <w:pPr>
        <w:pStyle w:val="FootnoteText"/>
      </w:pPr>
      <w:r>
        <w:rPr>
          <w:rStyle w:val="FootnoteReference"/>
        </w:rPr>
        <w:footnoteRef/>
      </w:r>
      <w:r>
        <w:tab/>
        <w:t>ОВ С ,  г., стр. .</w:t>
      </w:r>
    </w:p>
  </w:footnote>
  <w:footnote w:id="6">
    <w:p w:rsidR="00C25AEE" w:rsidRDefault="00673487">
      <w:pPr>
        <w:pStyle w:val="FootnoteText"/>
      </w:pPr>
      <w:r>
        <w:rPr>
          <w:rStyle w:val="FootnoteReference"/>
        </w:rPr>
        <w:footnoteRef/>
      </w:r>
      <w:r>
        <w:tab/>
        <w:t>Регламент (ЕС) № 1299/2013 на Европейския парламент и на Съвета от 17 декември 2013 г. относно специални разпоредби за подкрепа от Европейския фонд за регионално развитие по цел „Ев</w:t>
      </w:r>
      <w:r>
        <w:t>ропейско териториално сътрудничество“ (OB L 347, 20.12.2013 г., стр. 259).</w:t>
      </w:r>
    </w:p>
  </w:footnote>
  <w:footnote w:id="7">
    <w:p w:rsidR="00C25AEE" w:rsidRDefault="00673487">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w:t>
      </w:r>
      <w:r>
        <w:t>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w:t>
      </w:r>
      <w:r>
        <w:t>онния фонд и Европейския фонд за морско дело и рибарство, и за отмяна на Регламент (ЕО) № 1083/2006 на Съвета (ОВ L 347, 20.12.2013 г., стр. 320).</w:t>
      </w:r>
    </w:p>
  </w:footnote>
  <w:footnote w:id="8">
    <w:p w:rsidR="00C25AEE" w:rsidRDefault="00673487">
      <w:pPr>
        <w:pStyle w:val="FootnoteText"/>
      </w:pPr>
      <w:r>
        <w:rPr>
          <w:rStyle w:val="FootnoteReference"/>
        </w:rPr>
        <w:footnoteRef/>
      </w:r>
      <w:r>
        <w:tab/>
        <w:t>Регламент (ЕС, Евратом) 2018/1046 на Европейския парламент и на Съвета от 18 юли 2018 г. за финансовите пра</w:t>
      </w:r>
      <w:r>
        <w:t>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w:t>
      </w:r>
      <w:r>
        <w:t>ламент (ЕС, Евратом) № 966/2012 (ОВ L 193, 30.7.2018 г., стр. 1).</w:t>
      </w:r>
    </w:p>
  </w:footnote>
  <w:footnote w:id="9">
    <w:p w:rsidR="00C25AEE" w:rsidRDefault="00673487">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r>
          <w:rPr>
            <w:rStyle w:val="Hyperlink"/>
          </w:rPr>
          <w:t>https://myintracomm.ec.europa.eu/budgweb/EN/man/budgmanag/Pages/budgmanag.aspx</w:t>
        </w:r>
      </w:hyperlink>
      <w:r>
        <w:t xml:space="preserve"> </w:t>
      </w:r>
    </w:p>
  </w:footnote>
  <w:footnote w:id="10">
    <w:p w:rsidR="00C25AEE" w:rsidRDefault="00673487">
      <w:pPr>
        <w:pStyle w:val="FootnoteText"/>
        <w:rPr>
          <w:szCs w:val="24"/>
        </w:rPr>
      </w:pPr>
      <w:r>
        <w:rPr>
          <w:rStyle w:val="FootnoteReference"/>
        </w:rPr>
        <w:footnoteRef/>
      </w:r>
      <w:r>
        <w:tab/>
        <w:t>МБК = многогодишни бюджетни кредити / ЕБК = едногодишни бюджетни кредити.</w:t>
      </w:r>
    </w:p>
  </w:footnote>
  <w:footnote w:id="11">
    <w:p w:rsidR="00C25AEE" w:rsidRDefault="00673487">
      <w:pPr>
        <w:pStyle w:val="FootnoteText"/>
        <w:rPr>
          <w:szCs w:val="24"/>
        </w:rPr>
      </w:pPr>
      <w:r>
        <w:rPr>
          <w:rStyle w:val="FootnoteReference"/>
        </w:rPr>
        <w:footnoteRef/>
      </w:r>
      <w:r>
        <w:tab/>
        <w:t xml:space="preserve">ЕАСТ: Европейска асоциация за свободна търговия. </w:t>
      </w:r>
    </w:p>
  </w:footnote>
  <w:footnote w:id="12">
    <w:p w:rsidR="00C25AEE" w:rsidRDefault="00673487">
      <w:pPr>
        <w:pStyle w:val="FootnoteText"/>
        <w:rPr>
          <w:szCs w:val="24"/>
        </w:rPr>
      </w:pPr>
      <w:r>
        <w:rPr>
          <w:rStyle w:val="FootnoteReference"/>
        </w:rPr>
        <w:footnoteRef/>
      </w:r>
      <w:r>
        <w:tab/>
        <w:t>Дър</w:t>
      </w:r>
      <w:r>
        <w:t>жавите кандидатки и, ако е приложимо, потенциалните кандидатки от Западните Балкани.</w:t>
      </w:r>
    </w:p>
  </w:footnote>
  <w:footnote w:id="13">
    <w:p w:rsidR="00C25AEE" w:rsidRDefault="00673487">
      <w:pPr>
        <w:pStyle w:val="FootnoteText"/>
        <w:rPr>
          <w:szCs w:val="24"/>
        </w:rPr>
      </w:pPr>
      <w:r>
        <w:rPr>
          <w:rStyle w:val="FootnoteReference"/>
        </w:rPr>
        <w:footnoteRef/>
      </w:r>
      <w:r>
        <w:tab/>
      </w:r>
      <w:r>
        <w:rPr>
          <w:sz w:val="18"/>
        </w:rPr>
        <w:t>Година N е годината, през която започва да се осъществява предложението/инициативата. Моля, заменете буквата N с очакваната първа година от изпълнението (например: 2021 </w:t>
      </w:r>
      <w:r>
        <w:rPr>
          <w:sz w:val="18"/>
        </w:rPr>
        <w:t>г.). Същото за следващите години.</w:t>
      </w:r>
    </w:p>
  </w:footnote>
  <w:footnote w:id="14">
    <w:p w:rsidR="00C25AEE" w:rsidRDefault="00673487">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5">
    <w:p w:rsidR="00C25AEE" w:rsidRDefault="00673487">
      <w:pPr>
        <w:pStyle w:val="FootnoteText"/>
        <w:rPr>
          <w:szCs w:val="24"/>
        </w:rPr>
      </w:pPr>
      <w:r>
        <w:rPr>
          <w:rStyle w:val="FootnoteReference"/>
        </w:rPr>
        <w:footnoteRef/>
      </w:r>
      <w:r>
        <w:tab/>
        <w:t xml:space="preserve">Съгласно описанието в точка 1.4.2. „Конкретни цели…“. </w:t>
      </w:r>
    </w:p>
  </w:footnote>
  <w:footnote w:id="16">
    <w:p w:rsidR="00C25AEE" w:rsidRDefault="00673487">
      <w:pPr>
        <w:pStyle w:val="FootnoteText"/>
        <w:rPr>
          <w:sz w:val="18"/>
          <w:szCs w:val="18"/>
        </w:rPr>
      </w:pPr>
      <w:r>
        <w:rPr>
          <w:rStyle w:val="FootnoteReference"/>
        </w:rPr>
        <w:footnoteRef/>
      </w:r>
      <w:r>
        <w:tab/>
      </w:r>
      <w:r>
        <w:rPr>
          <w:sz w:val="18"/>
        </w:rPr>
        <w:t>Година N е годината, през която започва да се осъществява предложението/инициативата. Моля, заменете буквата N с очакваната първа година от изпълнението (например: 2021 г.). Същото за следващите години.</w:t>
      </w:r>
    </w:p>
  </w:footnote>
  <w:footnote w:id="17">
    <w:p w:rsidR="00C25AEE" w:rsidRDefault="00673487">
      <w:pPr>
        <w:pStyle w:val="FootnoteText"/>
        <w:rPr>
          <w:szCs w:val="24"/>
        </w:rPr>
      </w:pPr>
      <w:r>
        <w:rPr>
          <w:rStyle w:val="FootnoteReference"/>
        </w:rPr>
        <w:footnoteRef/>
      </w:r>
      <w:r>
        <w:tab/>
      </w:r>
      <w:r>
        <w:rPr>
          <w:sz w:val="18"/>
        </w:rPr>
        <w:t xml:space="preserve">Техническа и/или административна помощ и разходи в </w:t>
      </w:r>
      <w:r>
        <w:rPr>
          <w:sz w:val="18"/>
        </w:rPr>
        <w:t>подкрепа на изпълнението на програми и/или дейности на ЕС (предишни редове BA), непреки научни изследвания, преки научни изследвания.</w:t>
      </w:r>
    </w:p>
  </w:footnote>
  <w:footnote w:id="18">
    <w:p w:rsidR="00C25AEE" w:rsidRDefault="00673487">
      <w:pPr>
        <w:pStyle w:val="FootnoteText"/>
        <w:rPr>
          <w:szCs w:val="24"/>
        </w:rPr>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w:t>
      </w:r>
      <w:r>
        <w:t xml:space="preserve">енции за временна заетост; МЕД = младши експерт в делегация. </w:t>
      </w:r>
    </w:p>
  </w:footnote>
  <w:footnote w:id="19">
    <w:p w:rsidR="00C25AEE" w:rsidRDefault="00673487">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EE" w:rsidRDefault="00C25AEE">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EE" w:rsidRDefault="00C25AEE">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EE" w:rsidRDefault="00C25A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EE" w:rsidRDefault="00C25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F40EEB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E42680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6A6D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804D4C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B8633F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8BC462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78C819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034533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13"/>
  </w:num>
  <w:num w:numId="12">
    <w:abstractNumId w:val="18"/>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num>
  <w:num w:numId="17">
    <w:abstractNumId w:val="22"/>
  </w:num>
  <w:num w:numId="18">
    <w:abstractNumId w:val="14"/>
  </w:num>
  <w:num w:numId="19">
    <w:abstractNumId w:val="24"/>
  </w:num>
  <w:num w:numId="20">
    <w:abstractNumId w:val="12"/>
  </w:num>
  <w:num w:numId="21">
    <w:abstractNumId w:val="15"/>
  </w:num>
  <w:num w:numId="22">
    <w:abstractNumId w:val="10"/>
  </w:num>
  <w:num w:numId="23">
    <w:abstractNumId w:val="23"/>
  </w:num>
  <w:num w:numId="24">
    <w:abstractNumId w:val="9"/>
  </w:num>
  <w:num w:numId="25">
    <w:abstractNumId w:val="16"/>
  </w:num>
  <w:num w:numId="26">
    <w:abstractNumId w:val="20"/>
  </w:num>
  <w:num w:numId="27">
    <w:abstractNumId w:val="21"/>
  </w:num>
  <w:num w:numId="28">
    <w:abstractNumId w:val="11"/>
  </w:num>
  <w:num w:numId="29">
    <w:abstractNumId w:val="19"/>
  </w:num>
  <w:num w:numId="30">
    <w:abstractNumId w:val="25"/>
  </w:num>
  <w:num w:numId="31">
    <w:abstractNumId w:val="22"/>
  </w:num>
  <w:num w:numId="32">
    <w:abstractNumId w:val="14"/>
  </w:num>
  <w:num w:numId="33">
    <w:abstractNumId w:val="24"/>
  </w:num>
  <w:num w:numId="34">
    <w:abstractNumId w:val="12"/>
  </w:num>
  <w:num w:numId="35">
    <w:abstractNumId w:val="15"/>
  </w:num>
  <w:num w:numId="36">
    <w:abstractNumId w:val="10"/>
  </w:num>
  <w:num w:numId="37">
    <w:abstractNumId w:val="23"/>
  </w:num>
  <w:num w:numId="38">
    <w:abstractNumId w:val="9"/>
  </w:num>
  <w:num w:numId="39">
    <w:abstractNumId w:val="16"/>
  </w:num>
  <w:num w:numId="40">
    <w:abstractNumId w:val="20"/>
  </w:num>
  <w:num w:numId="41">
    <w:abstractNumId w:val="21"/>
  </w:num>
  <w:num w:numId="42">
    <w:abstractNumId w:val="11"/>
  </w:num>
  <w:num w:numId="43">
    <w:abstractNumId w:val="19"/>
  </w:num>
  <w:num w:numId="44">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hideSpellingErrors/>
  <w:hideGrammaticalErrors/>
  <w:attachedTemplate r:id="rId1"/>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21 10:14: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Yellow"/>
    <w:docVar w:name="DQCVersion" w:val="3"/>
    <w:docVar w:name="DQCWithWarnings" w:val="0"/>
    <w:docVar w:name="FigNum" w:val="1"/>
    <w:docVar w:name="LW_CORRIGENDUM" w:val="&lt;UNUSED&gt;"/>
    <w:docVar w:name="LW_COVERPAGE_EXISTS" w:val="True"/>
    <w:docVar w:name="LW_COVERPAGE_GUID" w:val="9269CC7B-2504-43B2-9690-F600E2F9680F"/>
    <w:docVar w:name="LW_COVERPAGE_TYPE" w:val="1"/>
    <w:docVar w:name="LW_CROSSREFERENCE" w:val="&lt;UNUSED&gt;"/>
    <w:docVar w:name="LW_DocType" w:val="COM"/>
    <w:docVar w:name="LW_EMISSION" w:val="19.12.2018"/>
    <w:docVar w:name="LW_EMISSION_ISODATE" w:val="2018-12-1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32"/>
    <w:docVar w:name="LW_REF.II.NEW.CP_YEAR" w:val="2018"/>
    <w:docVar w:name="LW_REF.INST.NEW" w:val="COM"/>
    <w:docVar w:name="LW_REF.INST.NEW_ADOPTED" w:val="final"/>
    <w:docVar w:name="LW_REF.INST.NEW_TEXT" w:val="(2018) 8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9? \u1086?\u1075?\u1083?\u1077?\u1076? \u1085?\u1072? \u1087?\u1088?\u1086?\u1076?\u1098?\u1083?\u1078?\u1072?\u1074?\u1072?\u1085?\u1077?\u1090?\u1086?, \u1074? \u1082?\u1086?\u1085?\u1090?\u1077?\u1082?\u1089?\u1090?\u1072? \u1085?\u1072? \u1086?\u1090?\u1090?\u1077?\u1075?\u1083?\u1103?\u1085?\u1077?\u1090?\u1086? \u1085?\u1072? \u1054?\u1073?\u1077?\u1076?\u1080?\u1085?\u1077?\u1085?\u1086?\u1090?\u1086? \u1082?\u1088?\u1072?\u1083?\u1089?\u1090?\u1074?\u1086? \u1086?\u1090? \u1045?\u1074?\u1088?\u1086?\u1087?\u1077?\u1081?\u1089?\u1082?\u1080?\u1103? \u1089?\u1098?\u1102?\u1079?, \u1085?\u1072? \u1087?\u1088?\u1086?\u1075?\u1088?\u1072?\u1084?\u1080?\u1090?\u1077? \u1079?\u1072? \u1090?\u1077?\u1088?\u1080?\u1090?\u1086?\u1088?\u1080?\u1072?\u1083?\u1085?\u1086? \u1089?\u1098?\u1090?\u1088?\u1091?\u1076?\u1085?\u1080?\u1095?\u1077?\u1089?\u1090?\u1074?\u1086? PEACE IV (\u1084?\u1077?\u1078?\u1076?\u1091? \u1048?\u1088?\u1083?\u1072?\u1085?\u1076?\u1080?\u1103? \u1080? \u1054?\u1073?\u1077?\u1076?\u1080?\u1085?\u1077?\u1085?\u1086?\u1090?\u1086? \u1082?\u1088?\u1072?\u1083?\u1089?\u1090?\u1074?\u1086?) \u1080? \u8222?\u1054?\u1073?\u1077?\u1076?\u1080?\u1085?\u1077?\u1085?\u1086? \u1082?\u1088?\u1072?\u1083?\u1089?\u1090?\u1074?\u1086?\u8212?\u1048?\u1088?\u1083?\u1072?\u1085?\u1076?\u1080?\u1103?\u8220? (\u1048?\u1088?\u1083?\u1072?\u1085?\u1076?\u1080?\u1103?\u8211?\u1057?\u1077?\u1074?\u1077?\u1088?\u1085?\u1072? \u1048?\u1088?\u1083?\u1072?\u1085?\u1076?\u1080?\u1103?\u8211?\u1064?\u1086?\u1090?\u1083?\u1072?\u1085?\u1076?\u1080?\u1103?)"/>
    <w:docVar w:name="LW_TYPE.DOC.CP" w:val="\u1056?\u1045?\u1043?\u1051?\u1040?\u1052?\u1045?\u1053?\u1058? \u1053?\u1040? \u1045?\u1042?\u1056?\u1054?\u1055?\u1045?\u1049?\u1057?\u1050?\u1048?\u1071? \u1055?\u1040?\u1056?\u1051?\u1040?\u1052?\u1045?\u1053?\u1058? \u1048? \u1053?\u1040? \u1057?\u1066?\u1042?\u1045?\u1058?\u1040?"/>
  </w:docVars>
  <w:rsids>
    <w:rsidRoot w:val="00C25AEE"/>
    <w:rsid w:val="00673487"/>
    <w:rsid w:val="00C25AE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10"/>
      </w:numPr>
    </w:pPr>
  </w:style>
  <w:style w:type="paragraph" w:customStyle="1" w:styleId="ListDash">
    <w:name w:val="List Dash"/>
    <w:basedOn w:val="Normal"/>
    <w:pPr>
      <w:numPr>
        <w:numId w:val="11"/>
      </w:numPr>
    </w:pPr>
  </w:style>
  <w:style w:type="paragraph" w:customStyle="1" w:styleId="ListDash1">
    <w:name w:val="List Dash 1"/>
    <w:basedOn w:val="Normal"/>
    <w:pPr>
      <w:numPr>
        <w:numId w:val="12"/>
      </w:numPr>
    </w:pPr>
  </w:style>
  <w:style w:type="paragraph" w:customStyle="1" w:styleId="ListDash2">
    <w:name w:val="List Dash 2"/>
    <w:basedOn w:val="Normal"/>
    <w:pPr>
      <w:numPr>
        <w:numId w:val="13"/>
      </w:numPr>
    </w:pPr>
  </w:style>
  <w:style w:type="paragraph" w:customStyle="1" w:styleId="ListNumberLevel2">
    <w:name w:val="List Number (Level 2)"/>
    <w:basedOn w:val="Normal"/>
    <w:pPr>
      <w:tabs>
        <w:tab w:val="num" w:pos="1417"/>
      </w:tabs>
      <w:ind w:left="1417" w:hanging="708"/>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5442">
      <w:bodyDiv w:val="1"/>
      <w:marLeft w:val="0"/>
      <w:marRight w:val="0"/>
      <w:marTop w:val="0"/>
      <w:marBottom w:val="0"/>
      <w:divBdr>
        <w:top w:val="none" w:sz="0" w:space="0" w:color="auto"/>
        <w:left w:val="none" w:sz="0" w:space="0" w:color="auto"/>
        <w:bottom w:val="none" w:sz="0" w:space="0" w:color="auto"/>
        <w:right w:val="none" w:sz="0" w:space="0" w:color="auto"/>
      </w:divBdr>
    </w:div>
    <w:div w:id="909922137">
      <w:bodyDiv w:val="1"/>
      <w:marLeft w:val="0"/>
      <w:marRight w:val="0"/>
      <w:marTop w:val="0"/>
      <w:marBottom w:val="0"/>
      <w:divBdr>
        <w:top w:val="none" w:sz="0" w:space="0" w:color="auto"/>
        <w:left w:val="none" w:sz="0" w:space="0" w:color="auto"/>
        <w:bottom w:val="none" w:sz="0" w:space="0" w:color="auto"/>
        <w:right w:val="none" w:sz="0" w:space="0" w:color="auto"/>
      </w:divBdr>
    </w:div>
    <w:div w:id="1107970632">
      <w:bodyDiv w:val="1"/>
      <w:marLeft w:val="0"/>
      <w:marRight w:val="0"/>
      <w:marTop w:val="0"/>
      <w:marBottom w:val="0"/>
      <w:divBdr>
        <w:top w:val="none" w:sz="0" w:space="0" w:color="auto"/>
        <w:left w:val="none" w:sz="0" w:space="0" w:color="auto"/>
        <w:bottom w:val="none" w:sz="0" w:space="0" w:color="auto"/>
        <w:right w:val="none" w:sz="0" w:space="0" w:color="auto"/>
      </w:divBdr>
    </w:div>
    <w:div w:id="1344938254">
      <w:bodyDiv w:val="1"/>
      <w:marLeft w:val="0"/>
      <w:marRight w:val="0"/>
      <w:marTop w:val="0"/>
      <w:marBottom w:val="0"/>
      <w:divBdr>
        <w:top w:val="none" w:sz="0" w:space="0" w:color="auto"/>
        <w:left w:val="none" w:sz="0" w:space="0" w:color="auto"/>
        <w:bottom w:val="none" w:sz="0" w:space="0" w:color="auto"/>
        <w:right w:val="none" w:sz="0" w:space="0" w:color="auto"/>
      </w:divBdr>
    </w:div>
    <w:div w:id="1599363576">
      <w:bodyDiv w:val="1"/>
      <w:marLeft w:val="0"/>
      <w:marRight w:val="0"/>
      <w:marTop w:val="0"/>
      <w:marBottom w:val="0"/>
      <w:divBdr>
        <w:top w:val="none" w:sz="0" w:space="0" w:color="auto"/>
        <w:left w:val="none" w:sz="0" w:space="0" w:color="auto"/>
        <w:bottom w:val="none" w:sz="0" w:space="0" w:color="auto"/>
        <w:right w:val="none" w:sz="0" w:space="0" w:color="auto"/>
      </w:divBdr>
    </w:div>
    <w:div w:id="1819226502">
      <w:bodyDiv w:val="1"/>
      <w:marLeft w:val="0"/>
      <w:marRight w:val="0"/>
      <w:marTop w:val="0"/>
      <w:marBottom w:val="0"/>
      <w:divBdr>
        <w:top w:val="none" w:sz="0" w:space="0" w:color="auto"/>
        <w:left w:val="none" w:sz="0" w:space="0" w:color="auto"/>
        <w:bottom w:val="none" w:sz="0" w:space="0" w:color="auto"/>
        <w:right w:val="none" w:sz="0" w:space="0" w:color="auto"/>
      </w:divBdr>
    </w:div>
    <w:div w:id="20408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budgweb/EN/leg/internal/Documents/2016-5-legislative-financial-statement-ann-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0B0AC-03B6-4A47-A2F9-041C46CC9DCE}">
  <ds:schemaRefs>
    <ds:schemaRef ds:uri="http://schemas.microsoft.com/sharepoint/v3/contenttype/forms"/>
  </ds:schemaRefs>
</ds:datastoreItem>
</file>

<file path=customXml/itemProps2.xml><?xml version="1.0" encoding="utf-8"?>
<ds:datastoreItem xmlns:ds="http://schemas.openxmlformats.org/officeDocument/2006/customXml" ds:itemID="{C9EAE0B0-F058-49FE-8663-1102E71390BC}">
  <ds:schemaRefs>
    <ds:schemaRef ds:uri="office.server.policy"/>
  </ds:schemaRefs>
</ds:datastoreItem>
</file>

<file path=customXml/itemProps3.xml><?xml version="1.0" encoding="utf-8"?>
<ds:datastoreItem xmlns:ds="http://schemas.openxmlformats.org/officeDocument/2006/customXml" ds:itemID="{71AF0D82-652B-49F8-AE82-E378CACF6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B865B-36F0-4138-B199-ECE1D0A637C6}">
  <ds:schemaRefs>
    <ds:schemaRef ds:uri="http://purl.org/dc/elements/1.1/"/>
    <ds:schemaRef ds:uri="http://purl.org/dc/dcmitype/"/>
    <ds:schemaRef ds:uri="http://schemas.microsoft.com/sharepoint/v3/fields"/>
    <ds:schemaRef ds:uri="25173920-bf43-43cc-9123-1897e847dfc2"/>
    <ds:schemaRef ds:uri="http://schemas.microsoft.com/sharepoint/v3"/>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21F05841-DBFA-47D2-94FB-A4362FFE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21</Pages>
  <Words>3870</Words>
  <Characters>22875</Characters>
  <Application>Microsoft Office Word</Application>
  <DocSecurity>0</DocSecurity>
  <Lines>1270</Lines>
  <Paragraphs>399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2018-12-20T14:33:00Z</dcterms:created>
  <dcterms:modified xsi:type="dcterms:W3CDTF">2018-12-21T09:35:00Z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0x010100258AA79CEB83498886A3A0868112325000D33D44CF0C8FEB45875F235DEEF2E1B9</vt:lpwstr>
  </property>
  <property fmtid="{D5CDD505-2E9C-101B-9397-08002B2CF9AE}" pid="9" name="DQCStatus">
    <vt:lpwstr>Yellow (DQC version 03)</vt:lpwstr>
  </property>
</Properties>
</file>