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1838418-6ABA-45E9-A42B-E0406558BCB6" style="width:450.45pt;height:475.2pt">
            <v:imagedata r:id="rId8" o:title=""/>
          </v:shape>
        </w:pict>
      </w:r>
    </w:p>
    <w:bookmarkEnd w:id="0"/>
    <w:p>
      <w:pPr>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u w:val="single"/>
          <w:lang w:val="fr-BE"/>
        </w:rPr>
      </w:pPr>
      <w:bookmarkStart w:id="1" w:name="_GoBack"/>
      <w:bookmarkEnd w:id="1"/>
      <w:r>
        <w:rPr>
          <w:rFonts w:ascii="Times New Roman" w:hAnsi="Times New Roman"/>
          <w:b/>
          <w:noProof/>
          <w:u w:val="single"/>
          <w:lang w:val="fr-BE"/>
        </w:rPr>
        <w:lastRenderedPageBreak/>
        <w:t>ANNEXE</w:t>
      </w:r>
    </w:p>
    <w:p>
      <w:pPr>
        <w:pStyle w:val="Pa35"/>
        <w:rPr>
          <w:rFonts w:ascii="Times New Roman" w:hAnsi="Times New Roman" w:cs="Times New Roman"/>
          <w:noProof/>
          <w:color w:val="000000"/>
          <w:sz w:val="23"/>
          <w:szCs w:val="23"/>
          <w:lang w:val="fr-BE"/>
        </w:rPr>
      </w:pPr>
      <w:r>
        <w:rPr>
          <w:rStyle w:val="A13"/>
          <w:rFonts w:ascii="Times New Roman" w:hAnsi="Times New Roman"/>
          <w:noProof/>
          <w:sz w:val="23"/>
          <w:lang w:val="fr-BE"/>
        </w:rPr>
        <w:t>PROGRÈS RÉALISÉS DANS LA CONCRÉTISATION DES PRIORITÉS LÉGISLATIVES</w:t>
      </w:r>
      <w:r>
        <w:rPr>
          <w:rStyle w:val="A13"/>
          <w:rFonts w:ascii="Times New Roman" w:hAnsi="Times New Roman" w:cs="Times New Roman"/>
          <w:noProof/>
          <w:sz w:val="23"/>
          <w:szCs w:val="23"/>
          <w:lang w:val="fr-BE"/>
        </w:rPr>
        <w:br/>
      </w:r>
    </w:p>
    <w:tbl>
      <w:tblPr>
        <w:tblStyle w:val="TableGrid"/>
        <w:tblW w:w="11326" w:type="dxa"/>
        <w:tblInd w:w="250" w:type="dxa"/>
        <w:tblLook w:val="04A0" w:firstRow="1" w:lastRow="0" w:firstColumn="1" w:lastColumn="0" w:noHBand="0" w:noVBand="1"/>
      </w:tblPr>
      <w:tblGrid>
        <w:gridCol w:w="392"/>
        <w:gridCol w:w="10934"/>
      </w:tblGrid>
      <w:tr>
        <w:tc>
          <w:tcPr>
            <w:tcW w:w="392" w:type="dxa"/>
            <w:tcBorders>
              <w:right w:val="single" w:sz="4" w:space="0" w:color="auto"/>
            </w:tcBorders>
            <w:shd w:val="clear" w:color="auto" w:fill="00B050"/>
          </w:tcPr>
          <w:p>
            <w:pPr>
              <w:rPr>
                <w:rFonts w:ascii="Times New Roman" w:hAnsi="Times New Roman" w:cs="Times New Roman"/>
                <w:noProof/>
                <w:color w:val="000000"/>
                <w:szCs w:val="20"/>
                <w:lang w:val="fr-BE"/>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lang w:val="fr-BE"/>
              </w:rPr>
            </w:pPr>
            <w:r>
              <w:rPr>
                <w:rFonts w:ascii="Times New Roman" w:hAnsi="Times New Roman"/>
                <w:noProof/>
                <w:color w:val="000000"/>
                <w:lang w:val="fr-BE"/>
              </w:rPr>
              <w:t>Présentées et approuvées</w:t>
            </w:r>
          </w:p>
        </w:tc>
      </w:tr>
      <w:tr>
        <w:tc>
          <w:tcPr>
            <w:tcW w:w="392" w:type="dxa"/>
            <w:tcBorders>
              <w:right w:val="single" w:sz="4" w:space="0" w:color="auto"/>
            </w:tcBorders>
            <w:shd w:val="clear" w:color="auto" w:fill="FFFF00"/>
          </w:tcPr>
          <w:p>
            <w:pPr>
              <w:rPr>
                <w:rFonts w:ascii="Times New Roman" w:hAnsi="Times New Roman" w:cs="Times New Roman"/>
                <w:noProof/>
                <w:color w:val="000000"/>
                <w:szCs w:val="20"/>
                <w:lang w:val="fr-BE"/>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lang w:val="fr-BE"/>
              </w:rPr>
            </w:pPr>
            <w:r>
              <w:rPr>
                <w:rFonts w:ascii="Times New Roman" w:hAnsi="Times New Roman"/>
                <w:noProof/>
                <w:color w:val="000000"/>
                <w:lang w:val="fr-BE"/>
              </w:rPr>
              <w:t>Accord pouvant être dégagé rapidement suivant les procédures normales</w:t>
            </w:r>
          </w:p>
        </w:tc>
      </w:tr>
      <w:tr>
        <w:tc>
          <w:tcPr>
            <w:tcW w:w="392" w:type="dxa"/>
            <w:tcBorders>
              <w:right w:val="single" w:sz="4" w:space="0" w:color="auto"/>
            </w:tcBorders>
            <w:shd w:val="clear" w:color="auto" w:fill="F79646" w:themeFill="accent6"/>
          </w:tcPr>
          <w:p>
            <w:pPr>
              <w:rPr>
                <w:rFonts w:ascii="Times New Roman" w:hAnsi="Times New Roman" w:cs="Times New Roman"/>
                <w:noProof/>
                <w:color w:val="000000"/>
                <w:szCs w:val="20"/>
                <w:lang w:val="fr-BE"/>
              </w:rPr>
            </w:pPr>
          </w:p>
        </w:tc>
        <w:tc>
          <w:tcPr>
            <w:tcW w:w="10934" w:type="dxa"/>
            <w:tcBorders>
              <w:top w:val="nil"/>
              <w:left w:val="single" w:sz="4" w:space="0" w:color="auto"/>
              <w:bottom w:val="nil"/>
              <w:right w:val="nil"/>
            </w:tcBorders>
          </w:tcPr>
          <w:p>
            <w:pPr>
              <w:rPr>
                <w:rFonts w:ascii="Times New Roman" w:hAnsi="Times New Roman" w:cs="Times New Roman"/>
                <w:noProof/>
                <w:color w:val="000000"/>
                <w:szCs w:val="20"/>
                <w:lang w:val="fr-BE"/>
              </w:rPr>
            </w:pPr>
            <w:r>
              <w:rPr>
                <w:rFonts w:ascii="Times New Roman" w:hAnsi="Times New Roman"/>
                <w:noProof/>
                <w:color w:val="000000"/>
                <w:lang w:val="fr-BE"/>
              </w:rPr>
              <w:t>Accord possible si engagement politique fort de toutes les institutions de l’UE</w:t>
            </w:r>
          </w:p>
        </w:tc>
      </w:tr>
    </w:tbl>
    <w:p>
      <w:pPr>
        <w:pStyle w:val="Pa35"/>
        <w:rPr>
          <w:rStyle w:val="A13"/>
          <w:rFonts w:ascii="Times New Roman" w:hAnsi="Times New Roman" w:cs="Times New Roman"/>
          <w:noProof/>
          <w:sz w:val="23"/>
          <w:szCs w:val="23"/>
          <w:lang w:val="fr-BE"/>
        </w:rPr>
      </w:pPr>
    </w:p>
    <w:p>
      <w:pPr>
        <w:pStyle w:val="Pa35"/>
        <w:rPr>
          <w:rStyle w:val="A13"/>
          <w:rFonts w:ascii="Times New Roman" w:hAnsi="Times New Roman" w:cs="Times New Roman"/>
          <w:noProof/>
          <w:sz w:val="23"/>
          <w:szCs w:val="23"/>
          <w:lang w:val="fr-BE"/>
        </w:rPr>
      </w:pPr>
      <w:r>
        <w:rPr>
          <w:rStyle w:val="A13"/>
          <w:rFonts w:ascii="Times New Roman" w:hAnsi="Times New Roman"/>
          <w:noProof/>
          <w:sz w:val="23"/>
          <w:lang w:val="fr-BE"/>
        </w:rPr>
        <w:t>I) Initiatives lancées dans le cadre du discours sur l’état de l’Union en 2018</w:t>
      </w:r>
      <w:r>
        <w:rPr>
          <w:rStyle w:val="FootnoteReference"/>
          <w:rFonts w:ascii="Times New Roman" w:hAnsi="Times New Roman"/>
          <w:b/>
          <w:noProof/>
          <w:color w:val="000000"/>
          <w:sz w:val="23"/>
          <w:lang w:val="fr-BE"/>
        </w:rPr>
        <w:footnoteReference w:id="1"/>
      </w:r>
    </w:p>
    <w:p>
      <w:pPr>
        <w:rPr>
          <w:rFonts w:ascii="Times New Roman" w:hAnsi="Times New Roman" w:cs="Times New Roman"/>
          <w:noProof/>
          <w:lang w:val="fr-BE"/>
        </w:rPr>
      </w:pPr>
    </w:p>
    <w:tbl>
      <w:tblPr>
        <w:tblStyle w:val="TableGrid"/>
        <w:tblW w:w="0" w:type="auto"/>
        <w:jc w:val="center"/>
        <w:tblLook w:val="04A0" w:firstRow="1" w:lastRow="0" w:firstColumn="1" w:lastColumn="0" w:noHBand="0" w:noVBand="1"/>
      </w:tblPr>
      <w:tblGrid>
        <w:gridCol w:w="3085"/>
        <w:gridCol w:w="2521"/>
        <w:gridCol w:w="1378"/>
        <w:gridCol w:w="1276"/>
        <w:gridCol w:w="1304"/>
      </w:tblGrid>
      <w:tr>
        <w:trPr>
          <w:jc w:val="center"/>
        </w:trPr>
        <w:tc>
          <w:tcPr>
            <w:tcW w:w="3085" w:type="dxa"/>
            <w:vAlign w:val="center"/>
          </w:tcPr>
          <w:p>
            <w:pPr>
              <w:jc w:val="center"/>
              <w:rPr>
                <w:rFonts w:ascii="Times New Roman" w:hAnsi="Times New Roman" w:cs="Times New Roman"/>
                <w:b/>
                <w:noProof/>
                <w:lang w:val="fr-BE"/>
              </w:rPr>
            </w:pPr>
            <w:r>
              <w:rPr>
                <w:rFonts w:ascii="Times New Roman" w:hAnsi="Times New Roman"/>
                <w:b/>
                <w:noProof/>
                <w:lang w:val="fr-BE"/>
              </w:rPr>
              <w:t>Politique</w:t>
            </w:r>
          </w:p>
        </w:tc>
        <w:tc>
          <w:tcPr>
            <w:tcW w:w="2521" w:type="dxa"/>
            <w:vAlign w:val="center"/>
          </w:tcPr>
          <w:p>
            <w:pPr>
              <w:jc w:val="center"/>
              <w:rPr>
                <w:rFonts w:ascii="Times New Roman" w:hAnsi="Times New Roman" w:cs="Times New Roman"/>
                <w:b/>
                <w:noProof/>
                <w:lang w:val="fr-BE"/>
              </w:rPr>
            </w:pPr>
            <w:r>
              <w:rPr>
                <w:rFonts w:ascii="Times New Roman" w:hAnsi="Times New Roman"/>
                <w:b/>
                <w:noProof/>
                <w:lang w:val="fr-BE"/>
              </w:rPr>
              <w:t>Description</w:t>
            </w:r>
          </w:p>
        </w:tc>
        <w:tc>
          <w:tcPr>
            <w:tcW w:w="1378" w:type="dxa"/>
            <w:vAlign w:val="center"/>
          </w:tcPr>
          <w:p>
            <w:pPr>
              <w:jc w:val="center"/>
              <w:rPr>
                <w:rFonts w:ascii="Times New Roman" w:hAnsi="Times New Roman" w:cs="Times New Roman"/>
                <w:b/>
                <w:noProof/>
                <w:lang w:val="fr-BE"/>
              </w:rPr>
            </w:pPr>
            <w:r>
              <w:rPr>
                <w:rFonts w:ascii="Times New Roman" w:hAnsi="Times New Roman"/>
                <w:b/>
                <w:noProof/>
                <w:lang w:val="fr-BE"/>
              </w:rPr>
              <w:t>Commission européenne</w:t>
            </w:r>
          </w:p>
        </w:tc>
        <w:tc>
          <w:tcPr>
            <w:tcW w:w="1276" w:type="dxa"/>
            <w:vAlign w:val="center"/>
          </w:tcPr>
          <w:p>
            <w:pPr>
              <w:jc w:val="center"/>
              <w:rPr>
                <w:rFonts w:ascii="Times New Roman" w:hAnsi="Times New Roman" w:cs="Times New Roman"/>
                <w:b/>
                <w:noProof/>
                <w:lang w:val="fr-BE"/>
              </w:rPr>
            </w:pPr>
            <w:r>
              <w:rPr>
                <w:rFonts w:ascii="Times New Roman" w:hAnsi="Times New Roman"/>
                <w:b/>
                <w:noProof/>
                <w:lang w:val="fr-BE"/>
              </w:rPr>
              <w:t>Parlement européen</w:t>
            </w:r>
          </w:p>
        </w:tc>
        <w:tc>
          <w:tcPr>
            <w:tcW w:w="1146" w:type="dxa"/>
            <w:vAlign w:val="center"/>
          </w:tcPr>
          <w:p>
            <w:pPr>
              <w:jc w:val="center"/>
              <w:rPr>
                <w:rFonts w:ascii="Times New Roman" w:hAnsi="Times New Roman" w:cs="Times New Roman"/>
                <w:b/>
                <w:noProof/>
                <w:lang w:val="fr-BE"/>
              </w:rPr>
            </w:pPr>
            <w:r>
              <w:rPr>
                <w:rFonts w:ascii="Times New Roman" w:hAnsi="Times New Roman"/>
                <w:b/>
                <w:noProof/>
                <w:lang w:val="fr-BE"/>
              </w:rPr>
              <w:t>Conseil de l’Union européenne</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Prévention de la diffusion de contenus à caractère terroriste en ligne</w:t>
            </w:r>
            <w:r>
              <w:rPr>
                <w:rStyle w:val="FootnoteReference"/>
                <w:rFonts w:ascii="Times New Roman" w:hAnsi="Times New Roman"/>
                <w:noProof/>
                <w:sz w:val="20"/>
                <w:lang w:val="fr-BE"/>
              </w:rPr>
              <w:footnoteReference w:id="2"/>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2018; le Conseil a adopté son mandat le 6 décembre 2018.</w:t>
            </w:r>
          </w:p>
        </w:tc>
        <w:tc>
          <w:tcPr>
            <w:tcW w:w="1378" w:type="dxa"/>
            <w:shd w:val="clear" w:color="auto" w:fill="00B050"/>
            <w:vAlign w:val="center"/>
          </w:tcPr>
          <w:p>
            <w:pPr>
              <w:spacing w:before="180" w:after="180"/>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rPr>
                <w:rFonts w:ascii="Times New Roman" w:hAnsi="Times New Roman" w:cs="Times New Roman"/>
                <w:noProof/>
                <w:sz w:val="20"/>
                <w:szCs w:val="20"/>
                <w:lang w:val="fr-BE"/>
              </w:rPr>
            </w:pPr>
          </w:p>
        </w:tc>
        <w:tc>
          <w:tcPr>
            <w:tcW w:w="1146" w:type="dxa"/>
            <w:shd w:val="clear" w:color="auto" w:fill="FFFF0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Extension des compétences du Parquet européen aux infractions terroristes transfrontières</w:t>
            </w:r>
            <w:r>
              <w:rPr>
                <w:rStyle w:val="FootnoteReference"/>
                <w:rFonts w:ascii="Times New Roman" w:hAnsi="Times New Roman"/>
                <w:noProof/>
                <w:sz w:val="20"/>
                <w:lang w:val="fr-BE"/>
              </w:rPr>
              <w:footnoteReference w:id="3"/>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2018.</w:t>
            </w:r>
          </w:p>
        </w:tc>
        <w:tc>
          <w:tcPr>
            <w:tcW w:w="1378" w:type="dxa"/>
            <w:shd w:val="clear" w:color="auto" w:fill="00B050"/>
            <w:vAlign w:val="center"/>
          </w:tcPr>
          <w:p>
            <w:pPr>
              <w:spacing w:before="180" w:after="180"/>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rPr>
                <w:rFonts w:ascii="Times New Roman" w:hAnsi="Times New Roman" w:cs="Times New Roman"/>
                <w:noProof/>
                <w:sz w:val="20"/>
                <w:szCs w:val="20"/>
                <w:lang w:val="fr-BE"/>
              </w:rPr>
            </w:pPr>
          </w:p>
        </w:tc>
        <w:tc>
          <w:tcPr>
            <w:tcW w:w="1146" w:type="dxa"/>
            <w:shd w:val="clear" w:color="auto" w:fill="F79646" w:themeFill="accent6"/>
            <w:vAlign w:val="center"/>
          </w:tcPr>
          <w:p>
            <w:pPr>
              <w:spacing w:before="180" w:after="180"/>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Modification ciblée du règlement relatif au financement des partis politiques en ce qui concerne une procédure de vérification relative aux infractions aux règles de protection des données à caractère personnel dans le contexte des élections au Parlement européen</w:t>
            </w:r>
            <w:r>
              <w:rPr>
                <w:rStyle w:val="FootnoteReference"/>
                <w:rFonts w:ascii="Times New Roman" w:hAnsi="Times New Roman"/>
                <w:noProof/>
                <w:sz w:val="20"/>
                <w:lang w:val="fr-BE"/>
              </w:rPr>
              <w:footnoteReference w:id="4"/>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2018.</w:t>
            </w:r>
          </w:p>
        </w:tc>
        <w:tc>
          <w:tcPr>
            <w:tcW w:w="1378" w:type="dxa"/>
            <w:shd w:val="clear" w:color="auto" w:fill="00B050"/>
            <w:vAlign w:val="center"/>
          </w:tcPr>
          <w:p>
            <w:pPr>
              <w:spacing w:before="180" w:after="180"/>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rPr>
                <w:rFonts w:ascii="Times New Roman" w:hAnsi="Times New Roman" w:cs="Times New Roman"/>
                <w:noProof/>
                <w:sz w:val="20"/>
                <w:szCs w:val="20"/>
                <w:lang w:val="fr-BE"/>
              </w:rPr>
            </w:pPr>
          </w:p>
        </w:tc>
        <w:tc>
          <w:tcPr>
            <w:tcW w:w="1146" w:type="dxa"/>
            <w:shd w:val="clear" w:color="auto" w:fill="F79646" w:themeFill="accent6"/>
            <w:vAlign w:val="center"/>
          </w:tcPr>
          <w:p>
            <w:pPr>
              <w:spacing w:before="180" w:after="180"/>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Renforcement des capacités de l’Agence européenne de garde-frontières et de garde-côtes</w:t>
            </w:r>
            <w:r>
              <w:rPr>
                <w:rStyle w:val="FootnoteReference"/>
                <w:rFonts w:ascii="Times New Roman" w:hAnsi="Times New Roman"/>
                <w:noProof/>
                <w:sz w:val="20"/>
                <w:lang w:val="fr-BE"/>
              </w:rPr>
              <w:footnoteReference w:id="5"/>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2018.</w:t>
            </w:r>
          </w:p>
        </w:tc>
        <w:tc>
          <w:tcPr>
            <w:tcW w:w="1378" w:type="dxa"/>
            <w:shd w:val="clear" w:color="auto" w:fill="00B050"/>
            <w:vAlign w:val="center"/>
          </w:tcPr>
          <w:p>
            <w:pPr>
              <w:spacing w:before="180" w:after="180"/>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rPr>
                <w:rFonts w:ascii="Times New Roman" w:hAnsi="Times New Roman" w:cs="Times New Roman"/>
                <w:noProof/>
                <w:sz w:val="20"/>
                <w:szCs w:val="20"/>
                <w:lang w:val="fr-BE"/>
              </w:rPr>
            </w:pPr>
          </w:p>
        </w:tc>
        <w:tc>
          <w:tcPr>
            <w:tcW w:w="1146" w:type="dxa"/>
            <w:shd w:val="clear" w:color="auto" w:fill="F79646" w:themeFill="accent6"/>
            <w:vAlign w:val="center"/>
          </w:tcPr>
          <w:p>
            <w:pPr>
              <w:spacing w:before="180" w:after="180"/>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Centre européen de compétences industrielles, technologiques et de recherche en matière de cybersécurité</w:t>
            </w:r>
            <w:r>
              <w:rPr>
                <w:rStyle w:val="FootnoteReference"/>
                <w:rFonts w:ascii="Times New Roman" w:hAnsi="Times New Roman"/>
                <w:noProof/>
                <w:sz w:val="20"/>
                <w:lang w:val="fr-BE"/>
              </w:rPr>
              <w:footnoteReference w:id="6"/>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2018.</w:t>
            </w:r>
          </w:p>
        </w:tc>
        <w:tc>
          <w:tcPr>
            <w:tcW w:w="1378" w:type="dxa"/>
            <w:shd w:val="clear" w:color="auto" w:fill="00B050"/>
            <w:vAlign w:val="center"/>
          </w:tcPr>
          <w:p>
            <w:pPr>
              <w:spacing w:before="180" w:after="180"/>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rPr>
                <w:rFonts w:ascii="Times New Roman" w:hAnsi="Times New Roman" w:cs="Times New Roman"/>
                <w:noProof/>
                <w:sz w:val="20"/>
                <w:szCs w:val="20"/>
                <w:lang w:val="fr-BE"/>
              </w:rPr>
            </w:pPr>
          </w:p>
        </w:tc>
        <w:tc>
          <w:tcPr>
            <w:tcW w:w="1146" w:type="dxa"/>
            <w:shd w:val="clear" w:color="auto" w:fill="F79646" w:themeFill="accent6"/>
            <w:vAlign w:val="center"/>
          </w:tcPr>
          <w:p>
            <w:pPr>
              <w:spacing w:before="180" w:after="180"/>
              <w:rPr>
                <w:rFonts w:ascii="Times New Roman" w:hAnsi="Times New Roman" w:cs="Times New Roman"/>
                <w:noProof/>
                <w:sz w:val="20"/>
                <w:szCs w:val="20"/>
                <w:lang w:val="fr-BE"/>
              </w:rPr>
            </w:pPr>
          </w:p>
        </w:tc>
      </w:tr>
    </w:tbl>
    <w:p>
      <w:pPr>
        <w:rPr>
          <w:rStyle w:val="A13"/>
          <w:rFonts w:ascii="Times New Roman" w:hAnsi="Times New Roman" w:cs="Times New Roman"/>
          <w:noProof/>
          <w:color w:val="auto"/>
          <w:sz w:val="23"/>
          <w:szCs w:val="23"/>
          <w:lang w:val="fr-BE"/>
        </w:rPr>
      </w:pPr>
      <w:r>
        <w:rPr>
          <w:noProof/>
          <w:lang w:val="fr-BE"/>
        </w:rPr>
        <w:br w:type="page"/>
      </w:r>
    </w:p>
    <w:p>
      <w:pPr>
        <w:pStyle w:val="Pa35"/>
        <w:rPr>
          <w:rStyle w:val="A13"/>
          <w:rFonts w:ascii="Times New Roman" w:hAnsi="Times New Roman" w:cs="Times New Roman"/>
          <w:noProof/>
          <w:color w:val="auto"/>
          <w:sz w:val="23"/>
          <w:szCs w:val="23"/>
          <w:lang w:val="fr-BE"/>
        </w:rPr>
      </w:pPr>
    </w:p>
    <w:p>
      <w:pPr>
        <w:pStyle w:val="Pa35"/>
        <w:rPr>
          <w:rFonts w:ascii="Times New Roman" w:hAnsi="Times New Roman" w:cs="Times New Roman"/>
          <w:noProof/>
          <w:lang w:val="fr-BE"/>
        </w:rPr>
      </w:pPr>
      <w:r>
        <w:rPr>
          <w:rStyle w:val="A13"/>
          <w:rFonts w:ascii="Times New Roman" w:hAnsi="Times New Roman"/>
          <w:noProof/>
          <w:color w:val="auto"/>
          <w:sz w:val="23"/>
          <w:lang w:val="fr-BE"/>
        </w:rPr>
        <w:t>II) Priorités définies dans la déclaration commune</w:t>
      </w:r>
      <w:r>
        <w:rPr>
          <w:rStyle w:val="FootnoteReference"/>
          <w:rFonts w:ascii="Times New Roman" w:hAnsi="Times New Roman"/>
          <w:b/>
          <w:noProof/>
          <w:sz w:val="23"/>
          <w:lang w:val="fr-BE"/>
        </w:rPr>
        <w:footnoteReference w:id="7"/>
      </w:r>
      <w:r>
        <w:rPr>
          <w:rStyle w:val="A13"/>
          <w:rFonts w:ascii="Times New Roman" w:hAnsi="Times New Roman" w:cs="Times New Roman"/>
          <w:noProof/>
          <w:color w:val="auto"/>
          <w:sz w:val="23"/>
          <w:szCs w:val="23"/>
          <w:lang w:val="fr-BE"/>
        </w:rPr>
        <w:br/>
      </w:r>
    </w:p>
    <w:tbl>
      <w:tblPr>
        <w:tblStyle w:val="TableGrid"/>
        <w:tblW w:w="0" w:type="auto"/>
        <w:jc w:val="center"/>
        <w:tblLook w:val="04A0" w:firstRow="1" w:lastRow="0" w:firstColumn="1" w:lastColumn="0" w:noHBand="0" w:noVBand="1"/>
      </w:tblPr>
      <w:tblGrid>
        <w:gridCol w:w="3085"/>
        <w:gridCol w:w="2521"/>
        <w:gridCol w:w="1378"/>
        <w:gridCol w:w="1276"/>
        <w:gridCol w:w="1304"/>
      </w:tblGrid>
      <w:tr>
        <w:trPr>
          <w:tblHeader/>
          <w:jc w:val="center"/>
        </w:trPr>
        <w:tc>
          <w:tcPr>
            <w:tcW w:w="3085" w:type="dxa"/>
            <w:vAlign w:val="center"/>
          </w:tcPr>
          <w:p>
            <w:pPr>
              <w:jc w:val="center"/>
              <w:rPr>
                <w:rFonts w:ascii="Times New Roman" w:hAnsi="Times New Roman" w:cs="Times New Roman"/>
                <w:b/>
                <w:noProof/>
                <w:lang w:val="fr-BE"/>
              </w:rPr>
            </w:pPr>
            <w:r>
              <w:rPr>
                <w:rFonts w:ascii="Times New Roman" w:hAnsi="Times New Roman"/>
                <w:b/>
                <w:noProof/>
                <w:lang w:val="fr-BE"/>
              </w:rPr>
              <w:t>Politique</w:t>
            </w:r>
          </w:p>
        </w:tc>
        <w:tc>
          <w:tcPr>
            <w:tcW w:w="2521" w:type="dxa"/>
            <w:vAlign w:val="center"/>
          </w:tcPr>
          <w:p>
            <w:pPr>
              <w:jc w:val="center"/>
              <w:rPr>
                <w:rFonts w:ascii="Times New Roman" w:hAnsi="Times New Roman" w:cs="Times New Roman"/>
                <w:b/>
                <w:noProof/>
                <w:lang w:val="fr-BE"/>
              </w:rPr>
            </w:pPr>
            <w:r>
              <w:rPr>
                <w:rFonts w:ascii="Times New Roman" w:hAnsi="Times New Roman"/>
                <w:b/>
                <w:noProof/>
                <w:lang w:val="fr-BE"/>
              </w:rPr>
              <w:t>Description</w:t>
            </w:r>
          </w:p>
        </w:tc>
        <w:tc>
          <w:tcPr>
            <w:tcW w:w="1378" w:type="dxa"/>
            <w:vAlign w:val="center"/>
          </w:tcPr>
          <w:p>
            <w:pPr>
              <w:jc w:val="center"/>
              <w:rPr>
                <w:rFonts w:ascii="Times New Roman" w:hAnsi="Times New Roman" w:cs="Times New Roman"/>
                <w:b/>
                <w:noProof/>
                <w:lang w:val="fr-BE"/>
              </w:rPr>
            </w:pPr>
            <w:r>
              <w:rPr>
                <w:rFonts w:ascii="Times New Roman" w:hAnsi="Times New Roman"/>
                <w:b/>
                <w:noProof/>
                <w:lang w:val="fr-BE"/>
              </w:rPr>
              <w:t>Commission européenne</w:t>
            </w:r>
          </w:p>
        </w:tc>
        <w:tc>
          <w:tcPr>
            <w:tcW w:w="1276" w:type="dxa"/>
            <w:vAlign w:val="center"/>
          </w:tcPr>
          <w:p>
            <w:pPr>
              <w:jc w:val="center"/>
              <w:rPr>
                <w:rFonts w:ascii="Times New Roman" w:hAnsi="Times New Roman" w:cs="Times New Roman"/>
                <w:b/>
                <w:noProof/>
                <w:lang w:val="fr-BE"/>
              </w:rPr>
            </w:pPr>
            <w:r>
              <w:rPr>
                <w:rFonts w:ascii="Times New Roman" w:hAnsi="Times New Roman"/>
                <w:b/>
                <w:noProof/>
                <w:lang w:val="fr-BE"/>
              </w:rPr>
              <w:t>Parlement européen</w:t>
            </w:r>
          </w:p>
        </w:tc>
        <w:tc>
          <w:tcPr>
            <w:tcW w:w="1146" w:type="dxa"/>
            <w:vAlign w:val="center"/>
          </w:tcPr>
          <w:p>
            <w:pPr>
              <w:jc w:val="center"/>
              <w:rPr>
                <w:rFonts w:ascii="Times New Roman" w:hAnsi="Times New Roman" w:cs="Times New Roman"/>
                <w:b/>
                <w:noProof/>
                <w:lang w:val="fr-BE"/>
              </w:rPr>
            </w:pPr>
            <w:r>
              <w:rPr>
                <w:rFonts w:ascii="Times New Roman" w:hAnsi="Times New Roman"/>
                <w:b/>
                <w:noProof/>
                <w:lang w:val="fr-BE"/>
              </w:rPr>
              <w:t>Conseil de l’Union européenne</w:t>
            </w: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Système européen d’information et d’autorisation concernant les voyages</w:t>
            </w:r>
            <w:r>
              <w:rPr>
                <w:rStyle w:val="FootnoteReference"/>
                <w:rFonts w:ascii="Times New Roman" w:hAnsi="Times New Roman"/>
                <w:noProof/>
                <w:sz w:val="20"/>
                <w:lang w:val="fr-BE"/>
              </w:rPr>
              <w:footnoteReference w:id="8"/>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novembre 2016; accord entre les colégislateurs; adoption formelle à l’automne 2018.</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Agence européenne pour la gestion opérationnelle des systèmes d’information à grande échelle au sein de l’espace de liberté, de sécurité et de justice</w:t>
            </w:r>
            <w:r>
              <w:rPr>
                <w:rStyle w:val="FootnoteReference"/>
                <w:rFonts w:ascii="Times New Roman" w:hAnsi="Times New Roman"/>
                <w:noProof/>
                <w:sz w:val="20"/>
                <w:lang w:val="fr-BE"/>
              </w:rPr>
              <w:footnoteReference w:id="9"/>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juin 2017; accord entre les colégislateurs; adoption formelle à l’automne 2018.</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Renforcement du système d’information Schengen</w:t>
            </w:r>
            <w:r>
              <w:rPr>
                <w:rStyle w:val="FootnoteReference"/>
                <w:rFonts w:ascii="Times New Roman" w:hAnsi="Times New Roman"/>
                <w:noProof/>
                <w:sz w:val="20"/>
                <w:lang w:val="fr-BE"/>
              </w:rPr>
              <w:footnoteReference w:id="10"/>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décembre 2016; accord entre les colégislateurs; adoption formelle à l’automne 2018.</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Blanchiment de capitaux et financement du terrorisme</w:t>
            </w:r>
            <w:r>
              <w:rPr>
                <w:rStyle w:val="FootnoteReference"/>
                <w:rFonts w:ascii="Times New Roman" w:hAnsi="Times New Roman"/>
                <w:noProof/>
                <w:sz w:val="20"/>
                <w:lang w:val="fr-BE"/>
              </w:rPr>
              <w:footnoteReference w:id="11"/>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juillet 2016; adoption formelle en mai 2018.</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Système d’entrée/de sortie</w:t>
            </w:r>
            <w:r>
              <w:rPr>
                <w:rStyle w:val="FootnoteReference"/>
                <w:rFonts w:ascii="Times New Roman" w:hAnsi="Times New Roman"/>
                <w:noProof/>
                <w:sz w:val="20"/>
                <w:lang w:val="fr-BE"/>
              </w:rPr>
              <w:footnoteReference w:id="12"/>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avril 2016; adoption formelle en novembre 2017.</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Contrôle de l’acquisition et de la détention d’armes</w:t>
            </w:r>
            <w:r>
              <w:rPr>
                <w:rStyle w:val="FootnoteReference"/>
                <w:rFonts w:ascii="Times New Roman" w:hAnsi="Times New Roman"/>
                <w:noProof/>
                <w:sz w:val="20"/>
                <w:lang w:val="fr-BE"/>
              </w:rPr>
              <w:footnoteReference w:id="13"/>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novembre 2015; adoption formelle en mai 2017.</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Directive relative à la lutte contre le terrorisme</w:t>
            </w:r>
            <w:r>
              <w:rPr>
                <w:rStyle w:val="FootnoteReference"/>
                <w:rFonts w:ascii="Times New Roman" w:hAnsi="Times New Roman"/>
                <w:noProof/>
                <w:sz w:val="20"/>
                <w:lang w:val="fr-BE"/>
              </w:rPr>
              <w:footnoteReference w:id="14"/>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décembre 2015; adoption formelle en mars 2017.</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Acte législatif sur la cybersécurité</w:t>
            </w:r>
            <w:r>
              <w:rPr>
                <w:rStyle w:val="FootnoteReference"/>
                <w:rFonts w:ascii="Times New Roman" w:hAnsi="Times New Roman"/>
                <w:noProof/>
                <w:sz w:val="20"/>
                <w:lang w:val="fr-BE"/>
              </w:rPr>
              <w:footnoteReference w:id="15"/>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2017; accord entre les colégislateurs; adoption formelle en 2019.</w:t>
            </w:r>
          </w:p>
          <w:p>
            <w:pPr>
              <w:spacing w:before="180" w:after="180"/>
              <w:rPr>
                <w:rFonts w:ascii="Times New Roman" w:hAnsi="Times New Roman" w:cs="Times New Roman"/>
                <w:noProof/>
                <w:sz w:val="20"/>
                <w:szCs w:val="20"/>
                <w:lang w:val="fr-BE"/>
              </w:rPr>
            </w:pP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00B05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tcBorders>
              <w:bottom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Système européen d’information sur les casiers judiciaires</w:t>
            </w:r>
            <w:r>
              <w:rPr>
                <w:rStyle w:val="FootnoteReference"/>
                <w:rFonts w:ascii="Times New Roman" w:hAnsi="Times New Roman"/>
                <w:noProof/>
                <w:sz w:val="20"/>
                <w:lang w:val="fr-BE"/>
              </w:rPr>
              <w:footnoteReference w:id="16"/>
            </w:r>
          </w:p>
        </w:tc>
        <w:tc>
          <w:tcPr>
            <w:tcW w:w="2521" w:type="dxa"/>
            <w:tcBorders>
              <w:bottom w:val="single" w:sz="4" w:space="0" w:color="auto"/>
            </w:tcBorders>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janvier 2016 et complété en juin 2017; phase finale des discussions en trilogue.</w:t>
            </w:r>
          </w:p>
        </w:tc>
        <w:tc>
          <w:tcPr>
            <w:tcW w:w="1378" w:type="dxa"/>
            <w:tcBorders>
              <w:bottom w:val="single" w:sz="4" w:space="0" w:color="auto"/>
            </w:tcBorders>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lang w:val="fr-BE"/>
              </w:rPr>
            </w:pPr>
          </w:p>
        </w:tc>
        <w:tc>
          <w:tcPr>
            <w:tcW w:w="1146" w:type="dxa"/>
            <w:tcBorders>
              <w:bottom w:val="single" w:sz="4" w:space="0" w:color="auto"/>
            </w:tcBorders>
            <w:shd w:val="clear" w:color="auto" w:fill="FFFF0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tcBorders>
              <w:top w:val="single" w:sz="4" w:space="0" w:color="auto"/>
            </w:tcBorders>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Interopérabilité des systèmes d'information de l’Union en matière de sécurité et de gestion des frontières et des migrations</w:t>
            </w:r>
            <w:r>
              <w:rPr>
                <w:rStyle w:val="FootnoteReference"/>
                <w:rFonts w:ascii="Times New Roman" w:hAnsi="Times New Roman"/>
                <w:noProof/>
                <w:sz w:val="20"/>
                <w:lang w:val="fr-BE"/>
              </w:rPr>
              <w:footnoteReference w:id="17"/>
            </w:r>
          </w:p>
        </w:tc>
        <w:tc>
          <w:tcPr>
            <w:tcW w:w="2521" w:type="dxa"/>
            <w:tcBorders>
              <w:top w:val="single" w:sz="4" w:space="0" w:color="auto"/>
            </w:tcBorders>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décembre 2017 et modifié en juin 2018; phase finale des discussions en trilogue.</w:t>
            </w:r>
          </w:p>
        </w:tc>
        <w:tc>
          <w:tcPr>
            <w:tcW w:w="1378" w:type="dxa"/>
            <w:tcBorders>
              <w:top w:val="single" w:sz="4" w:space="0" w:color="auto"/>
            </w:tcBorders>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tcBorders>
              <w:top w:val="single" w:sz="4" w:space="0" w:color="auto"/>
            </w:tcBorders>
            <w:shd w:val="clear" w:color="auto" w:fill="FFFF00"/>
            <w:vAlign w:val="center"/>
          </w:tcPr>
          <w:p>
            <w:pPr>
              <w:spacing w:before="180" w:after="180"/>
              <w:jc w:val="center"/>
              <w:rPr>
                <w:rFonts w:ascii="Times New Roman" w:hAnsi="Times New Roman" w:cs="Times New Roman"/>
                <w:noProof/>
                <w:sz w:val="20"/>
                <w:szCs w:val="20"/>
                <w:lang w:val="fr-BE"/>
              </w:rPr>
            </w:pPr>
          </w:p>
        </w:tc>
        <w:tc>
          <w:tcPr>
            <w:tcW w:w="1146" w:type="dxa"/>
            <w:tcBorders>
              <w:top w:val="single" w:sz="4" w:space="0" w:color="auto"/>
            </w:tcBorders>
            <w:shd w:val="clear" w:color="auto" w:fill="FFFF0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Accès transfrontière des autorités répressives aux preuves électroniques</w:t>
            </w:r>
            <w:r>
              <w:rPr>
                <w:rStyle w:val="FootnoteReference"/>
                <w:rFonts w:ascii="Times New Roman" w:hAnsi="Times New Roman"/>
                <w:noProof/>
                <w:sz w:val="20"/>
                <w:lang w:val="fr-BE"/>
              </w:rPr>
              <w:footnoteReference w:id="18"/>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avril 2018; le Conseil a adopté son mandat de négociation; le Parlement européen doit adopter son mandat de négociation et entamer les discussions en trilogue.</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FFFF0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Accès transfrontière des services répressifs aux données financières et utilisation de celles-ci par ces services</w:t>
            </w:r>
            <w:r>
              <w:rPr>
                <w:rStyle w:val="FootnoteReference"/>
                <w:rFonts w:ascii="Times New Roman" w:hAnsi="Times New Roman"/>
                <w:noProof/>
                <w:sz w:val="20"/>
                <w:lang w:val="fr-BE"/>
              </w:rPr>
              <w:footnoteReference w:id="19"/>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avril 2018; le Conseil a adopté son mandat de négociation; les colégislateurs doivent entamer des discussions en trilogue.</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FFFF00"/>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FFFF00"/>
            <w:vAlign w:val="center"/>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Renforcement d’Eurodac</w:t>
            </w:r>
            <w:r>
              <w:rPr>
                <w:rStyle w:val="FootnoteReference"/>
                <w:rFonts w:ascii="Times New Roman" w:hAnsi="Times New Roman"/>
                <w:noProof/>
                <w:sz w:val="20"/>
                <w:lang w:val="fr-BE"/>
              </w:rPr>
              <w:footnoteReference w:id="20"/>
            </w:r>
          </w:p>
        </w:tc>
        <w:tc>
          <w:tcPr>
            <w:tcW w:w="2521" w:type="dxa"/>
            <w:vAlign w:val="center"/>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mai 2016; le Parlement européen et le Conseil doivent achever les discussions en trilogue.</w:t>
            </w:r>
          </w:p>
        </w:tc>
        <w:tc>
          <w:tcPr>
            <w:tcW w:w="1378" w:type="dxa"/>
            <w:shd w:val="clear" w:color="auto" w:fill="00B050"/>
            <w:vAlign w:val="center"/>
          </w:tcPr>
          <w:p>
            <w:pPr>
              <w:spacing w:before="180" w:after="180"/>
              <w:jc w:val="center"/>
              <w:rPr>
                <w:rFonts w:ascii="Times New Roman" w:hAnsi="Times New Roman" w:cs="Times New Roman"/>
                <w:noProof/>
                <w:sz w:val="20"/>
                <w:szCs w:val="20"/>
                <w:lang w:val="fr-BE"/>
              </w:rPr>
            </w:pPr>
          </w:p>
        </w:tc>
        <w:tc>
          <w:tcPr>
            <w:tcW w:w="1276" w:type="dxa"/>
            <w:shd w:val="clear" w:color="auto" w:fill="F79646" w:themeFill="accent6"/>
            <w:vAlign w:val="center"/>
          </w:tcPr>
          <w:p>
            <w:pPr>
              <w:spacing w:before="180" w:after="180"/>
              <w:jc w:val="center"/>
              <w:rPr>
                <w:rFonts w:ascii="Times New Roman" w:hAnsi="Times New Roman" w:cs="Times New Roman"/>
                <w:noProof/>
                <w:sz w:val="20"/>
                <w:szCs w:val="20"/>
                <w:lang w:val="fr-BE"/>
              </w:rPr>
            </w:pPr>
          </w:p>
        </w:tc>
        <w:tc>
          <w:tcPr>
            <w:tcW w:w="1146" w:type="dxa"/>
            <w:shd w:val="clear" w:color="auto" w:fill="F79646" w:themeFill="accent6"/>
            <w:vAlign w:val="center"/>
          </w:tcPr>
          <w:p>
            <w:pPr>
              <w:spacing w:before="180" w:after="180"/>
              <w:jc w:val="center"/>
              <w:rPr>
                <w:rFonts w:ascii="Times New Roman" w:hAnsi="Times New Roman" w:cs="Times New Roman"/>
                <w:noProof/>
                <w:sz w:val="20"/>
                <w:szCs w:val="20"/>
                <w:lang w:val="fr-BE"/>
              </w:rPr>
            </w:pPr>
          </w:p>
        </w:tc>
      </w:tr>
    </w:tbl>
    <w:p>
      <w:pPr>
        <w:rPr>
          <w:rFonts w:ascii="Times New Roman" w:hAnsi="Times New Roman" w:cs="Times New Roman"/>
          <w:noProof/>
          <w:lang w:val="fr-BE"/>
        </w:rPr>
      </w:pPr>
    </w:p>
    <w:p>
      <w:pPr>
        <w:rPr>
          <w:rStyle w:val="A13"/>
          <w:rFonts w:ascii="Times New Roman" w:hAnsi="Times New Roman" w:cs="Times New Roman"/>
          <w:noProof/>
          <w:sz w:val="23"/>
          <w:szCs w:val="23"/>
          <w:lang w:val="fr-BE"/>
        </w:rPr>
      </w:pPr>
      <w:r>
        <w:rPr>
          <w:noProof/>
          <w:lang w:val="fr-BE"/>
        </w:rPr>
        <w:br w:type="page"/>
      </w:r>
    </w:p>
    <w:p>
      <w:pPr>
        <w:pStyle w:val="Pa35"/>
        <w:rPr>
          <w:rFonts w:ascii="Times New Roman" w:hAnsi="Times New Roman" w:cs="Times New Roman"/>
          <w:noProof/>
          <w:lang w:val="fr-BE"/>
        </w:rPr>
      </w:pPr>
      <w:r>
        <w:rPr>
          <w:rStyle w:val="A13"/>
          <w:rFonts w:ascii="Times New Roman" w:hAnsi="Times New Roman"/>
          <w:noProof/>
          <w:sz w:val="23"/>
          <w:lang w:val="fr-BE"/>
        </w:rPr>
        <w:t xml:space="preserve">III) </w:t>
      </w:r>
      <w:r>
        <w:rPr>
          <w:rStyle w:val="A13"/>
          <w:rFonts w:ascii="Times New Roman" w:hAnsi="Times New Roman"/>
          <w:noProof/>
          <w:color w:val="auto"/>
          <w:sz w:val="23"/>
          <w:lang w:val="fr-BE"/>
        </w:rPr>
        <w:t>Autres initiatives législatives en cours d’examen relevant de l’union de la sécurité</w:t>
      </w:r>
      <w:r>
        <w:rPr>
          <w:rStyle w:val="A13"/>
          <w:rFonts w:ascii="Times New Roman" w:hAnsi="Times New Roman" w:cs="Times New Roman"/>
          <w:noProof/>
          <w:color w:val="auto"/>
          <w:sz w:val="23"/>
          <w:szCs w:val="23"/>
          <w:lang w:val="fr-BE"/>
        </w:rPr>
        <w:br/>
      </w:r>
    </w:p>
    <w:tbl>
      <w:tblPr>
        <w:tblStyle w:val="TableGrid"/>
        <w:tblW w:w="0" w:type="auto"/>
        <w:jc w:val="center"/>
        <w:tblLook w:val="04A0" w:firstRow="1" w:lastRow="0" w:firstColumn="1" w:lastColumn="0" w:noHBand="0" w:noVBand="1"/>
      </w:tblPr>
      <w:tblGrid>
        <w:gridCol w:w="3085"/>
        <w:gridCol w:w="2521"/>
        <w:gridCol w:w="1378"/>
        <w:gridCol w:w="1276"/>
        <w:gridCol w:w="1304"/>
      </w:tblGrid>
      <w:tr>
        <w:trPr>
          <w:jc w:val="center"/>
        </w:trPr>
        <w:tc>
          <w:tcPr>
            <w:tcW w:w="3085" w:type="dxa"/>
            <w:vAlign w:val="center"/>
          </w:tcPr>
          <w:p>
            <w:pPr>
              <w:jc w:val="center"/>
              <w:rPr>
                <w:rFonts w:ascii="Times New Roman" w:hAnsi="Times New Roman" w:cs="Times New Roman"/>
                <w:b/>
                <w:noProof/>
                <w:lang w:val="fr-BE"/>
              </w:rPr>
            </w:pPr>
            <w:r>
              <w:rPr>
                <w:rFonts w:ascii="Times New Roman" w:hAnsi="Times New Roman"/>
                <w:b/>
                <w:noProof/>
                <w:lang w:val="fr-BE"/>
              </w:rPr>
              <w:t>Politique</w:t>
            </w:r>
          </w:p>
        </w:tc>
        <w:tc>
          <w:tcPr>
            <w:tcW w:w="2521" w:type="dxa"/>
            <w:vAlign w:val="center"/>
          </w:tcPr>
          <w:p>
            <w:pPr>
              <w:jc w:val="center"/>
              <w:rPr>
                <w:rFonts w:ascii="Times New Roman" w:hAnsi="Times New Roman" w:cs="Times New Roman"/>
                <w:b/>
                <w:noProof/>
                <w:lang w:val="fr-BE"/>
              </w:rPr>
            </w:pPr>
            <w:r>
              <w:rPr>
                <w:rFonts w:ascii="Times New Roman" w:hAnsi="Times New Roman"/>
                <w:b/>
                <w:noProof/>
                <w:lang w:val="fr-BE"/>
              </w:rPr>
              <w:t>Description</w:t>
            </w:r>
          </w:p>
        </w:tc>
        <w:tc>
          <w:tcPr>
            <w:tcW w:w="1378" w:type="dxa"/>
            <w:vAlign w:val="center"/>
          </w:tcPr>
          <w:p>
            <w:pPr>
              <w:jc w:val="center"/>
              <w:rPr>
                <w:rFonts w:ascii="Times New Roman" w:hAnsi="Times New Roman" w:cs="Times New Roman"/>
                <w:b/>
                <w:noProof/>
                <w:lang w:val="fr-BE"/>
              </w:rPr>
            </w:pPr>
            <w:r>
              <w:rPr>
                <w:rFonts w:ascii="Times New Roman" w:hAnsi="Times New Roman"/>
                <w:b/>
                <w:noProof/>
                <w:lang w:val="fr-BE"/>
              </w:rPr>
              <w:t>Commission européenne</w:t>
            </w:r>
          </w:p>
        </w:tc>
        <w:tc>
          <w:tcPr>
            <w:tcW w:w="1276" w:type="dxa"/>
            <w:vAlign w:val="center"/>
          </w:tcPr>
          <w:p>
            <w:pPr>
              <w:jc w:val="center"/>
              <w:rPr>
                <w:rFonts w:ascii="Times New Roman" w:hAnsi="Times New Roman" w:cs="Times New Roman"/>
                <w:b/>
                <w:noProof/>
                <w:lang w:val="fr-BE"/>
              </w:rPr>
            </w:pPr>
            <w:r>
              <w:rPr>
                <w:rFonts w:ascii="Times New Roman" w:hAnsi="Times New Roman"/>
                <w:b/>
                <w:noProof/>
                <w:lang w:val="fr-BE"/>
              </w:rPr>
              <w:t>Parlement européen</w:t>
            </w:r>
          </w:p>
        </w:tc>
        <w:tc>
          <w:tcPr>
            <w:tcW w:w="1146" w:type="dxa"/>
            <w:vAlign w:val="center"/>
          </w:tcPr>
          <w:p>
            <w:pPr>
              <w:jc w:val="center"/>
              <w:rPr>
                <w:rFonts w:ascii="Times New Roman" w:hAnsi="Times New Roman" w:cs="Times New Roman"/>
                <w:b/>
                <w:noProof/>
                <w:lang w:val="fr-BE"/>
              </w:rPr>
            </w:pPr>
            <w:r>
              <w:rPr>
                <w:rFonts w:ascii="Times New Roman" w:hAnsi="Times New Roman"/>
                <w:b/>
                <w:noProof/>
                <w:lang w:val="fr-BE"/>
              </w:rPr>
              <w:t>Conseil de l’Union européenne</w:t>
            </w: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Lutte contre la fraude et la contrefaçon des moyens de paiement</w:t>
            </w:r>
            <w:r>
              <w:rPr>
                <w:rStyle w:val="FootnoteReference"/>
                <w:rFonts w:ascii="Times New Roman" w:hAnsi="Times New Roman"/>
                <w:noProof/>
                <w:sz w:val="20"/>
                <w:lang w:val="fr-BE"/>
              </w:rPr>
              <w:footnoteReference w:id="21"/>
            </w:r>
          </w:p>
        </w:tc>
        <w:tc>
          <w:tcPr>
            <w:tcW w:w="2521" w:type="dxa"/>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septembre 2017; les discussions en trilogue sont en cours.</w:t>
            </w:r>
          </w:p>
        </w:tc>
        <w:tc>
          <w:tcPr>
            <w:tcW w:w="1378" w:type="dxa"/>
            <w:shd w:val="clear" w:color="auto" w:fill="00B050"/>
          </w:tcPr>
          <w:p>
            <w:pPr>
              <w:spacing w:before="180" w:after="180"/>
              <w:jc w:val="center"/>
              <w:rPr>
                <w:rFonts w:ascii="Times New Roman" w:hAnsi="Times New Roman" w:cs="Times New Roman"/>
                <w:noProof/>
                <w:sz w:val="20"/>
                <w:szCs w:val="20"/>
                <w:lang w:val="fr-BE"/>
              </w:rPr>
            </w:pPr>
          </w:p>
        </w:tc>
        <w:tc>
          <w:tcPr>
            <w:tcW w:w="1276" w:type="dxa"/>
            <w:shd w:val="clear" w:color="auto" w:fill="FFFF00"/>
          </w:tcPr>
          <w:p>
            <w:pPr>
              <w:spacing w:before="180" w:after="180"/>
              <w:jc w:val="center"/>
              <w:rPr>
                <w:rFonts w:ascii="Times New Roman" w:hAnsi="Times New Roman" w:cs="Times New Roman"/>
                <w:noProof/>
                <w:sz w:val="20"/>
                <w:szCs w:val="20"/>
                <w:lang w:val="fr-BE"/>
              </w:rPr>
            </w:pPr>
          </w:p>
        </w:tc>
        <w:tc>
          <w:tcPr>
            <w:tcW w:w="1146" w:type="dxa"/>
            <w:shd w:val="clear" w:color="auto" w:fill="FFFF00"/>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Restriction de la commercialisation et de l’utilisation de précurseurs d’explosifs</w:t>
            </w:r>
            <w:r>
              <w:rPr>
                <w:rStyle w:val="FootnoteReference"/>
                <w:rFonts w:ascii="Times New Roman" w:hAnsi="Times New Roman"/>
                <w:noProof/>
                <w:sz w:val="20"/>
                <w:lang w:val="fr-BE"/>
              </w:rPr>
              <w:footnoteReference w:id="22"/>
            </w:r>
          </w:p>
        </w:tc>
        <w:tc>
          <w:tcPr>
            <w:tcW w:w="2521" w:type="dxa"/>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avril 2018; le Parlement européen et le Conseil doivent adopter leur mandat de négociation et entamer les discussions en trilogue.</w:t>
            </w:r>
          </w:p>
        </w:tc>
        <w:tc>
          <w:tcPr>
            <w:tcW w:w="1378" w:type="dxa"/>
            <w:shd w:val="clear" w:color="auto" w:fill="00B050"/>
          </w:tcPr>
          <w:p>
            <w:pPr>
              <w:spacing w:before="180" w:after="180"/>
              <w:jc w:val="center"/>
              <w:rPr>
                <w:rFonts w:ascii="Times New Roman" w:hAnsi="Times New Roman" w:cs="Times New Roman"/>
                <w:noProof/>
                <w:sz w:val="20"/>
                <w:szCs w:val="20"/>
                <w:lang w:val="fr-BE"/>
              </w:rPr>
            </w:pPr>
          </w:p>
        </w:tc>
        <w:tc>
          <w:tcPr>
            <w:tcW w:w="1276" w:type="dxa"/>
            <w:shd w:val="clear" w:color="auto" w:fill="F79646" w:themeFill="accent6"/>
          </w:tcPr>
          <w:p>
            <w:pPr>
              <w:spacing w:before="180" w:after="180"/>
              <w:jc w:val="center"/>
              <w:rPr>
                <w:rFonts w:ascii="Times New Roman" w:hAnsi="Times New Roman" w:cs="Times New Roman"/>
                <w:noProof/>
                <w:sz w:val="20"/>
                <w:szCs w:val="20"/>
                <w:lang w:val="fr-BE"/>
              </w:rPr>
            </w:pPr>
          </w:p>
        </w:tc>
        <w:tc>
          <w:tcPr>
            <w:tcW w:w="1146" w:type="dxa"/>
            <w:shd w:val="clear" w:color="auto" w:fill="F79646" w:themeFill="accent6"/>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Renforcement des éléments de sécurité des cartes nationales d’identité et des titres de séjour</w:t>
            </w:r>
            <w:r>
              <w:rPr>
                <w:rStyle w:val="FootnoteReference"/>
                <w:rFonts w:ascii="Times New Roman" w:hAnsi="Times New Roman"/>
                <w:noProof/>
                <w:sz w:val="20"/>
                <w:lang w:val="fr-BE"/>
              </w:rPr>
              <w:footnoteReference w:id="23"/>
            </w:r>
          </w:p>
        </w:tc>
        <w:tc>
          <w:tcPr>
            <w:tcW w:w="2521" w:type="dxa"/>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avril 2018; le Parlement européen et le Conseil ont adopté leur mandat de négociation et doivent entamer les discussions en trilogue.</w:t>
            </w:r>
          </w:p>
        </w:tc>
        <w:tc>
          <w:tcPr>
            <w:tcW w:w="1378" w:type="dxa"/>
            <w:shd w:val="clear" w:color="auto" w:fill="00B050"/>
          </w:tcPr>
          <w:p>
            <w:pPr>
              <w:spacing w:before="180" w:after="180"/>
              <w:jc w:val="center"/>
              <w:rPr>
                <w:rFonts w:ascii="Times New Roman" w:hAnsi="Times New Roman" w:cs="Times New Roman"/>
                <w:noProof/>
                <w:sz w:val="20"/>
                <w:szCs w:val="20"/>
                <w:lang w:val="fr-BE"/>
              </w:rPr>
            </w:pPr>
          </w:p>
        </w:tc>
        <w:tc>
          <w:tcPr>
            <w:tcW w:w="1276" w:type="dxa"/>
            <w:shd w:val="clear" w:color="auto" w:fill="FFFF00"/>
          </w:tcPr>
          <w:p>
            <w:pPr>
              <w:spacing w:before="180" w:after="180"/>
              <w:jc w:val="center"/>
              <w:rPr>
                <w:rFonts w:ascii="Times New Roman" w:hAnsi="Times New Roman" w:cs="Times New Roman"/>
                <w:noProof/>
                <w:sz w:val="20"/>
                <w:szCs w:val="20"/>
                <w:lang w:val="fr-BE"/>
              </w:rPr>
            </w:pPr>
          </w:p>
        </w:tc>
        <w:tc>
          <w:tcPr>
            <w:tcW w:w="1146" w:type="dxa"/>
            <w:shd w:val="clear" w:color="auto" w:fill="FFFF00"/>
          </w:tcPr>
          <w:p>
            <w:pPr>
              <w:spacing w:before="180" w:after="180"/>
              <w:jc w:val="center"/>
              <w:rPr>
                <w:rFonts w:ascii="Times New Roman" w:hAnsi="Times New Roman" w:cs="Times New Roman"/>
                <w:noProof/>
                <w:sz w:val="20"/>
                <w:szCs w:val="20"/>
                <w:lang w:val="fr-BE"/>
              </w:rPr>
            </w:pPr>
          </w:p>
        </w:tc>
      </w:tr>
      <w:tr>
        <w:trPr>
          <w:jc w:val="center"/>
        </w:trPr>
        <w:tc>
          <w:tcPr>
            <w:tcW w:w="3085" w:type="dxa"/>
            <w:shd w:val="clear" w:color="auto" w:fill="DBE5F1" w:themeFill="accent1" w:themeFillTint="33"/>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Renforcement du système d’information sur les visas</w:t>
            </w:r>
            <w:r>
              <w:rPr>
                <w:rStyle w:val="FootnoteReference"/>
                <w:rFonts w:ascii="Times New Roman" w:hAnsi="Times New Roman"/>
                <w:noProof/>
                <w:sz w:val="20"/>
                <w:lang w:val="fr-BE"/>
              </w:rPr>
              <w:footnoteReference w:id="24"/>
            </w:r>
          </w:p>
        </w:tc>
        <w:tc>
          <w:tcPr>
            <w:tcW w:w="2521" w:type="dxa"/>
          </w:tcPr>
          <w:p>
            <w:pPr>
              <w:spacing w:before="180" w:after="180"/>
              <w:rPr>
                <w:rFonts w:ascii="Times New Roman" w:hAnsi="Times New Roman" w:cs="Times New Roman"/>
                <w:noProof/>
                <w:sz w:val="20"/>
                <w:szCs w:val="20"/>
                <w:lang w:val="fr-BE"/>
              </w:rPr>
            </w:pPr>
            <w:r>
              <w:rPr>
                <w:rFonts w:ascii="Times New Roman" w:hAnsi="Times New Roman"/>
                <w:noProof/>
                <w:sz w:val="20"/>
                <w:lang w:val="fr-BE"/>
              </w:rPr>
              <w:t>Proposé en mai 2018; le Parlement européen et le Conseil doivent adopter leur mandat de négociation et entamer les discussions en trilogue.</w:t>
            </w:r>
          </w:p>
        </w:tc>
        <w:tc>
          <w:tcPr>
            <w:tcW w:w="1378" w:type="dxa"/>
            <w:shd w:val="clear" w:color="auto" w:fill="00B050"/>
          </w:tcPr>
          <w:p>
            <w:pPr>
              <w:spacing w:before="180" w:after="180"/>
              <w:jc w:val="center"/>
              <w:rPr>
                <w:rFonts w:ascii="Times New Roman" w:hAnsi="Times New Roman" w:cs="Times New Roman"/>
                <w:noProof/>
                <w:sz w:val="20"/>
                <w:szCs w:val="20"/>
                <w:lang w:val="fr-BE"/>
              </w:rPr>
            </w:pPr>
          </w:p>
        </w:tc>
        <w:tc>
          <w:tcPr>
            <w:tcW w:w="1276" w:type="dxa"/>
            <w:shd w:val="clear" w:color="auto" w:fill="F79646" w:themeFill="accent6"/>
          </w:tcPr>
          <w:p>
            <w:pPr>
              <w:spacing w:before="180" w:after="180"/>
              <w:jc w:val="center"/>
              <w:rPr>
                <w:rFonts w:ascii="Times New Roman" w:hAnsi="Times New Roman" w:cs="Times New Roman"/>
                <w:noProof/>
                <w:sz w:val="20"/>
                <w:szCs w:val="20"/>
                <w:lang w:val="fr-BE"/>
              </w:rPr>
            </w:pPr>
          </w:p>
        </w:tc>
        <w:tc>
          <w:tcPr>
            <w:tcW w:w="1146" w:type="dxa"/>
            <w:shd w:val="clear" w:color="auto" w:fill="F79646" w:themeFill="accent6"/>
          </w:tcPr>
          <w:p>
            <w:pPr>
              <w:spacing w:before="180" w:after="180"/>
              <w:jc w:val="center"/>
              <w:rPr>
                <w:rFonts w:ascii="Times New Roman" w:hAnsi="Times New Roman" w:cs="Times New Roman"/>
                <w:noProof/>
                <w:sz w:val="20"/>
                <w:szCs w:val="20"/>
                <w:lang w:val="fr-BE"/>
              </w:rPr>
            </w:pPr>
          </w:p>
        </w:tc>
      </w:tr>
    </w:tbl>
    <w:p>
      <w:pPr>
        <w:tabs>
          <w:tab w:val="left" w:pos="6345"/>
        </w:tabs>
        <w:rPr>
          <w:rFonts w:ascii="Times New Roman" w:hAnsi="Times New Roman" w:cs="Times New Roman"/>
          <w:noProof/>
          <w:sz w:val="2"/>
          <w:szCs w:val="2"/>
          <w:lang w:val="fr-BE"/>
        </w:rPr>
      </w:pPr>
    </w:p>
    <w:sectPr>
      <w:headerReference w:type="even" r:id="rId15"/>
      <w:headerReference w:type="default" r:id="rId16"/>
      <w:footerReference w:type="even" r:id="rId17"/>
      <w:footerReference w:type="default" r:id="rId18"/>
      <w:headerReference w:type="first" r:id="rId19"/>
      <w:footerReference w:type="first" r:id="rId20"/>
      <w:pgSz w:w="11910" w:h="16840"/>
      <w:pgMar w:top="1020" w:right="400" w:bottom="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17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hyperlink r:id="rId1">
        <w:r>
          <w:rPr>
            <w:rStyle w:val="Hyperlink"/>
            <w:rFonts w:ascii="Times New Roman" w:hAnsi="Times New Roman"/>
            <w:lang w:val="fr-BE"/>
          </w:rPr>
          <w:t>https://ec.europa.eu/commission/sites/beta-political/files/soteu2018-speech_fr.pdf</w:t>
        </w:r>
      </w:hyperlink>
      <w:r>
        <w:rPr>
          <w:rFonts w:ascii="Times New Roman" w:hAnsi="Times New Roman"/>
          <w:lang w:val="fr-BE"/>
        </w:rPr>
        <w:t xml:space="preserve">. Voir aussi la lettre d’intention du président Juncker: </w:t>
      </w:r>
      <w:hyperlink r:id="rId2">
        <w:r>
          <w:rPr>
            <w:rStyle w:val="Hyperlink"/>
            <w:rFonts w:ascii="Times New Roman" w:hAnsi="Times New Roman"/>
            <w:lang w:val="fr-BE"/>
          </w:rPr>
          <w:t>https://ec.europa.eu/commission/sites/beta-political/files/soteu2018-letter-of-intent_fr.pdf</w:t>
        </w:r>
      </w:hyperlink>
      <w:r>
        <w:rPr>
          <w:rFonts w:ascii="Times New Roman" w:hAnsi="Times New Roman"/>
          <w:lang w:val="fr-BE"/>
        </w:rPr>
        <w:t>.</w:t>
      </w:r>
    </w:p>
  </w:footnote>
  <w:footnote w:id="2">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640 final du 12.9.2018.</w:t>
      </w:r>
    </w:p>
  </w:footnote>
  <w:footnote w:id="3">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641 final du 12.9.2018.</w:t>
      </w:r>
    </w:p>
  </w:footnote>
  <w:footnote w:id="4">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636 final du 12.9.2018.</w:t>
      </w:r>
    </w:p>
  </w:footnote>
  <w:footnote w:id="5">
    <w:p>
      <w:pPr>
        <w:pStyle w:val="FootnoteText"/>
        <w:ind w:left="567" w:hanging="567"/>
        <w:jc w:val="both"/>
        <w:rPr>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631 final du 12.9.2018.</w:t>
      </w:r>
      <w:r>
        <w:rPr>
          <w:lang w:val="fr-BE"/>
        </w:rPr>
        <w:t xml:space="preserve">  </w:t>
      </w:r>
    </w:p>
  </w:footnote>
  <w:footnote w:id="6">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630 final du 12.9.2018.</w:t>
      </w:r>
    </w:p>
  </w:footnote>
  <w:footnote w:id="7">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hyperlink r:id="rId3">
        <w:r>
          <w:rPr>
            <w:rStyle w:val="Hyperlink"/>
            <w:rFonts w:ascii="Times New Roman" w:hAnsi="Times New Roman"/>
            <w:lang w:val="fr-BE"/>
          </w:rPr>
          <w:t>https://ec.europa.eu/commission/sites/beta-political/files/joint-declaration-eu-legislative-priorities-2018-19_en.pdf</w:t>
        </w:r>
      </w:hyperlink>
      <w:r>
        <w:rPr>
          <w:rFonts w:ascii="Times New Roman" w:hAnsi="Times New Roman"/>
          <w:lang w:val="fr-BE"/>
        </w:rPr>
        <w:t>.</w:t>
      </w:r>
    </w:p>
  </w:footnote>
  <w:footnote w:id="8">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COM(2016) 731 final du 16.11.2016.</w:t>
      </w:r>
    </w:p>
  </w:footnote>
  <w:footnote w:id="9">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COM(2017) 352 final du 29.6.2017.</w:t>
      </w:r>
    </w:p>
  </w:footnote>
  <w:footnote w:id="10">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COM(2016) 881 final du 21.12.2016, COM(2016) 882 final du 21.12.2016 et COM(2016) 883 final du 21.12.2016.</w:t>
      </w:r>
    </w:p>
  </w:footnote>
  <w:footnote w:id="11">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Directive (UE) 2018/841 du 30.5.2018.</w:t>
      </w:r>
    </w:p>
  </w:footnote>
  <w:footnote w:id="12">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Règlement (UE) 2017/2226 du 30.11.2017.</w:t>
      </w:r>
    </w:p>
  </w:footnote>
  <w:footnote w:id="13">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Directive (UE) 2017/853 du 17.5.2017.</w:t>
      </w:r>
    </w:p>
  </w:footnote>
  <w:footnote w:id="14">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Directive (UE) 2017/541 du 15.3.2017.</w:t>
      </w:r>
    </w:p>
  </w:footnote>
  <w:footnote w:id="15">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COM(2017) 477 final du 13.9.2017.</w:t>
      </w:r>
    </w:p>
  </w:footnote>
  <w:footnote w:id="16">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COM(2016) 7 final du 19.1.2016 et COM(2017) 344 final du 29.6.2017.</w:t>
      </w:r>
    </w:p>
  </w:footnote>
  <w:footnote w:id="17">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COM(2017) 793 final du 12.12.2017, COM(2017) 794 final du 12.12.2017, COM(2018) 478 final du 13.6.2018 et COM(2018) 480 final du 13.6.2018.</w:t>
      </w:r>
    </w:p>
  </w:footnote>
  <w:footnote w:id="18">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225 final du 17.4.2018 et COM(2018) 226 final du 17.4.2018.</w:t>
      </w:r>
    </w:p>
  </w:footnote>
  <w:footnote w:id="19">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213 final du 17.4.2018.</w:t>
      </w:r>
    </w:p>
  </w:footnote>
  <w:footnote w:id="20">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COM(2016) 272 final du 4.5.2016.</w:t>
      </w:r>
    </w:p>
  </w:footnote>
  <w:footnote w:id="21">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COM(2017) 489 final du 13.9.2017.</w:t>
      </w:r>
    </w:p>
  </w:footnote>
  <w:footnote w:id="22">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209 final du 17.4.2018.</w:t>
      </w:r>
    </w:p>
  </w:footnote>
  <w:footnote w:id="23">
    <w:p>
      <w:pPr>
        <w:pStyle w:val="FootnoteText"/>
        <w:ind w:left="567" w:hanging="567"/>
        <w:jc w:val="both"/>
        <w:rPr>
          <w:rFonts w:ascii="Times New Roman" w:hAnsi="Times New Roman" w:cs="Times New Roman"/>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lang w:val="fr-BE"/>
        </w:rPr>
        <w:t>COM(2018) 212 final du 17.4.2018.</w:t>
      </w:r>
    </w:p>
  </w:footnote>
  <w:footnote w:id="24">
    <w:p>
      <w:pPr>
        <w:tabs>
          <w:tab w:val="left" w:pos="567"/>
        </w:tabs>
        <w:rPr>
          <w:lang w:val="fr-BE"/>
        </w:rPr>
      </w:pPr>
      <w:r>
        <w:rPr>
          <w:rStyle w:val="FootnoteReference"/>
          <w:rFonts w:ascii="Times New Roman" w:hAnsi="Times New Roman"/>
          <w:lang w:val="fr-BE"/>
        </w:rPr>
        <w:footnoteRef/>
      </w:r>
      <w:r>
        <w:rPr>
          <w:rFonts w:ascii="Times New Roman" w:hAnsi="Times New Roman"/>
          <w:lang w:val="fr-BE"/>
        </w:rPr>
        <w:t xml:space="preserve"> </w:t>
      </w:r>
      <w:r>
        <w:rPr>
          <w:lang w:val="fr-BE"/>
        </w:rPr>
        <w:tab/>
      </w:r>
      <w:r>
        <w:rPr>
          <w:rFonts w:ascii="Times New Roman" w:hAnsi="Times New Roman"/>
          <w:sz w:val="20"/>
          <w:lang w:val="fr-BE"/>
        </w:rPr>
        <w:t>COM(2018) 302 final du 16.5.2018.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GL Julian (CAB-KING)">
    <w15:presenceInfo w15:providerId="None" w15:userId="SIEGL Julian (CAB-KING)"/>
  </w15:person>
  <w15:person w15:author="BESSOT Nicolas (HOME)">
    <w15:presenceInfo w15:providerId="None" w15:userId="BESSOT Nicola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A1838418-6ABA-45E9-A42B-E0406558BCB6"/>
    <w:docVar w:name="LW_COVERPAGE_TYPE" w:val="1"/>
    <w:docVar w:name="LW_CROSSREFERENCE" w:val="&lt;UNUSED&gt;"/>
    <w:docVar w:name="LW_DocType" w:val="NORMAL"/>
    <w:docVar w:name="LW_EMISSION" w:val="11.12.2018"/>
    <w:docVar w:name="LW_EMISSION_ISODATE" w:val="2018-12-11"/>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Dix-septième rapport sur les progrès accomplis dans la mise en place d'une union de la sécurité réelle et effective_x000b__x000b_Liste des initiatives législatives _x000b__x000b_"/>
    <w:docVar w:name="LW_PART_NBR" w:val="1"/>
    <w:docVar w:name="LW_PART_NBR_TOTAL" w:val="1"/>
    <w:docVar w:name="LW_REF.INST.NEW" w:val="COM"/>
    <w:docVar w:name="LW_REF.INST.NEW_ADOPTED" w:val="final"/>
    <w:docVar w:name="LW_REF.INST.NEW_TEXT" w:val="(2018) 8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ET AU CONSEIL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fr-FR" w:bidi="fr-FR"/>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fr-FR" w:bidi="fr-FR"/>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joint-declaration-eu-legislative-priorities-2018-19_en.pdf." TargetMode="External"/><Relationship Id="rId2" Type="http://schemas.openxmlformats.org/officeDocument/2006/relationships/hyperlink" Target="https://ec.europa.eu/commission/sites/beta-political/files/soteu2018-letter-of-intent_fr.pdf" TargetMode="External"/><Relationship Id="rId1" Type="http://schemas.openxmlformats.org/officeDocument/2006/relationships/hyperlink" Target="https://ec.europa.eu/commission/sites/beta-political/files/soteu2018-speech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011D30-0C57-4601-BB57-E1012239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643</Words>
  <Characters>3911</Characters>
  <Application>Microsoft Office Word</Application>
  <DocSecurity>0</DocSecurity>
  <Lines>279</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WES PDFC Administrator</cp:lastModifiedBy>
  <cp:revision>13</cp:revision>
  <cp:lastPrinted>2018-10-03T13:10:00Z</cp:lastPrinted>
  <dcterms:created xsi:type="dcterms:W3CDTF">2018-12-11T07:59:00Z</dcterms:created>
  <dcterms:modified xsi:type="dcterms:W3CDTF">2018-12-21T09:19:00Z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