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59C" w:rsidRDefault="008731A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536F20F-A887-4E13-ABAB-4EBA2644571D" style="width:451pt;height:389.45pt">
            <v:imagedata r:id="rId12" o:title=""/>
          </v:shape>
        </w:pict>
      </w:r>
    </w:p>
    <w:bookmarkEnd w:id="0"/>
    <w:p w:rsidR="00B6759C" w:rsidRDefault="00B6759C">
      <w:pPr>
        <w:jc w:val="both"/>
        <w:rPr>
          <w:noProof/>
        </w:rPr>
        <w:sectPr w:rsidR="00B6759C">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B6759C" w:rsidRDefault="00B6759C">
      <w:pPr>
        <w:jc w:val="right"/>
        <w:rPr>
          <w:rFonts w:ascii="Times New Roman" w:eastAsia="Times New Roman" w:hAnsi="Times New Roman"/>
          <w:i/>
          <w:noProof/>
          <w:sz w:val="24"/>
          <w:szCs w:val="24"/>
        </w:rPr>
      </w:pPr>
    </w:p>
    <w:p w:rsidR="00B6759C" w:rsidRDefault="008731AA">
      <w:pPr>
        <w:jc w:val="right"/>
        <w:rPr>
          <w:rFonts w:ascii="Times New Roman" w:eastAsia="Times New Roman" w:hAnsi="Times New Roman"/>
          <w:i/>
          <w:noProof/>
          <w:sz w:val="24"/>
          <w:szCs w:val="24"/>
          <w:highlight w:val="yellow"/>
        </w:rPr>
      </w:pPr>
      <w:r>
        <w:rPr>
          <w:rFonts w:ascii="Times New Roman" w:hAnsi="Times New Roman"/>
          <w:i/>
          <w:noProof/>
          <w:sz w:val="24"/>
        </w:rPr>
        <w:t xml:space="preserve">Европейският съвет призовава да бъде активизирана работата по подготовката на всички равнища, свързана с последиците от оттеглянето на Обединеното </w:t>
      </w:r>
      <w:r>
        <w:rPr>
          <w:rFonts w:ascii="Times New Roman" w:hAnsi="Times New Roman"/>
          <w:i/>
          <w:noProof/>
          <w:sz w:val="24"/>
        </w:rPr>
        <w:t>кралство, като се отчитат всички възможни сценарии.</w:t>
      </w:r>
    </w:p>
    <w:p w:rsidR="00B6759C" w:rsidRDefault="008731AA">
      <w:pPr>
        <w:jc w:val="right"/>
        <w:rPr>
          <w:rFonts w:ascii="Times New Roman" w:eastAsia="Times New Roman" w:hAnsi="Times New Roman"/>
          <w:noProof/>
          <w:sz w:val="16"/>
          <w:szCs w:val="16"/>
        </w:rPr>
      </w:pPr>
      <w:r>
        <w:rPr>
          <w:rFonts w:ascii="Times New Roman" w:hAnsi="Times New Roman"/>
          <w:noProof/>
          <w:sz w:val="16"/>
        </w:rPr>
        <w:t>Европейски съвет (член 50), 13 декември 2018 г.</w:t>
      </w:r>
      <w:r>
        <w:rPr>
          <w:rStyle w:val="FootnoteReference"/>
          <w:rFonts w:ascii="Times New Roman" w:hAnsi="Times New Roman"/>
          <w:noProof/>
          <w:sz w:val="18"/>
        </w:rPr>
        <w:footnoteReference w:id="2"/>
      </w:r>
    </w:p>
    <w:p w:rsidR="00B6759C" w:rsidRDefault="008731AA">
      <w:pPr>
        <w:pStyle w:val="ListParagraph"/>
        <w:numPr>
          <w:ilvl w:val="0"/>
          <w:numId w:val="41"/>
        </w:numPr>
        <w:spacing w:before="600" w:after="200"/>
        <w:ind w:left="714" w:hanging="357"/>
        <w:contextualSpacing/>
        <w:jc w:val="both"/>
        <w:rPr>
          <w:rFonts w:ascii="Times New Roman" w:eastAsia="Times New Roman" w:hAnsi="Times New Roman"/>
          <w:b/>
          <w:noProof/>
          <w:sz w:val="24"/>
          <w:szCs w:val="24"/>
        </w:rPr>
      </w:pPr>
      <w:r>
        <w:rPr>
          <w:rFonts w:ascii="Times New Roman" w:hAnsi="Times New Roman"/>
          <w:b/>
          <w:noProof/>
          <w:sz w:val="24"/>
        </w:rPr>
        <w:t>Въведение</w:t>
      </w:r>
    </w:p>
    <w:p w:rsidR="00B6759C" w:rsidRDefault="008731AA">
      <w:pPr>
        <w:spacing w:after="200"/>
        <w:jc w:val="both"/>
        <w:rPr>
          <w:rFonts w:ascii="Times New Roman" w:eastAsia="Times New Roman" w:hAnsi="Times New Roman"/>
          <w:noProof/>
          <w:sz w:val="24"/>
          <w:szCs w:val="24"/>
        </w:rPr>
      </w:pPr>
      <w:r>
        <w:rPr>
          <w:rFonts w:ascii="Times New Roman" w:hAnsi="Times New Roman"/>
          <w:noProof/>
          <w:sz w:val="24"/>
        </w:rPr>
        <w:t>Обединеното кралство реши да напусне Европейския съюз, като се позова на процедурата, предвидена в член 50 от Договора за Европейския съюз. Освен</w:t>
      </w:r>
      <w:r>
        <w:rPr>
          <w:rFonts w:ascii="Times New Roman" w:hAnsi="Times New Roman"/>
          <w:noProof/>
          <w:sz w:val="24"/>
        </w:rPr>
        <w:t xml:space="preserve"> ако решението не бъде оттеглено</w:t>
      </w:r>
      <w:r>
        <w:rPr>
          <w:rStyle w:val="FootnoteReference"/>
          <w:rFonts w:ascii="Times New Roman" w:hAnsi="Times New Roman"/>
          <w:noProof/>
        </w:rPr>
        <w:footnoteReference w:id="3"/>
      </w:r>
      <w:r>
        <w:rPr>
          <w:rFonts w:ascii="Times New Roman" w:hAnsi="Times New Roman"/>
          <w:noProof/>
          <w:sz w:val="24"/>
        </w:rPr>
        <w:t xml:space="preserve"> или срокът не бъде удължен с единодушие, то ще влезе в сила след малко повече от 100 дни. Комисията съжалява за това решение, но го уважава. Както бе подчертано в първото съобщение на Комисията относно готовността за Брексит от 19 юли 2018 г.</w:t>
      </w:r>
      <w:r>
        <w:rPr>
          <w:rStyle w:val="FootnoteReference"/>
          <w:rFonts w:ascii="Times New Roman" w:hAnsi="Times New Roman"/>
          <w:noProof/>
        </w:rPr>
        <w:footnoteReference w:id="4"/>
      </w:r>
      <w:r>
        <w:rPr>
          <w:rFonts w:ascii="Times New Roman" w:hAnsi="Times New Roman"/>
          <w:noProof/>
          <w:sz w:val="24"/>
        </w:rPr>
        <w:t>, независимо</w:t>
      </w:r>
      <w:r>
        <w:rPr>
          <w:rFonts w:ascii="Times New Roman" w:hAnsi="Times New Roman"/>
          <w:noProof/>
          <w:sz w:val="24"/>
        </w:rPr>
        <w:t xml:space="preserve"> от предвидения сценарий, изборът на Обединеното кралство ще предизвика значителни сътресения.</w:t>
      </w:r>
      <w:r>
        <w:rPr>
          <w:noProof/>
        </w:rPr>
        <w:t xml:space="preserve"> </w:t>
      </w:r>
      <w:r>
        <w:rPr>
          <w:rFonts w:ascii="Times New Roman" w:hAnsi="Times New Roman"/>
          <w:noProof/>
          <w:sz w:val="24"/>
        </w:rPr>
        <w:t>Поради това Комисията неотменно призоваваше европейските граждани и предприятия и държавите членки да се подготвят за всички възможни сценарии, да анализират съо</w:t>
      </w:r>
      <w:r>
        <w:rPr>
          <w:rFonts w:ascii="Times New Roman" w:hAnsi="Times New Roman"/>
          <w:noProof/>
          <w:sz w:val="24"/>
        </w:rPr>
        <w:t xml:space="preserve">тветните рискове и да планират ответни действия за смекчаването им. </w:t>
      </w:r>
    </w:p>
    <w:p w:rsidR="00B6759C" w:rsidRDefault="008731AA">
      <w:pPr>
        <w:spacing w:after="200"/>
        <w:jc w:val="both"/>
        <w:rPr>
          <w:rFonts w:ascii="Times New Roman" w:eastAsia="Times New Roman" w:hAnsi="Times New Roman"/>
          <w:noProof/>
          <w:sz w:val="24"/>
          <w:szCs w:val="24"/>
        </w:rPr>
      </w:pPr>
      <w:r>
        <w:rPr>
          <w:rFonts w:ascii="Times New Roman" w:hAnsi="Times New Roman"/>
          <w:noProof/>
          <w:sz w:val="24"/>
        </w:rPr>
        <w:t>На 13 ноември 2018 г. Комисията стартира план за извънредни действия в рамките на второто си съобщение относно готовността за Брексит</w:t>
      </w:r>
      <w:r>
        <w:rPr>
          <w:rStyle w:val="FootnoteReference"/>
          <w:rFonts w:ascii="Times New Roman" w:hAnsi="Times New Roman"/>
          <w:noProof/>
        </w:rPr>
        <w:footnoteReference w:id="5"/>
      </w:r>
      <w:r>
        <w:rPr>
          <w:rFonts w:ascii="Times New Roman" w:hAnsi="Times New Roman"/>
          <w:noProof/>
          <w:sz w:val="24"/>
        </w:rPr>
        <w:t>. Обявените в плана за действие извънредни мерки пред</w:t>
      </w:r>
      <w:r>
        <w:rPr>
          <w:rFonts w:ascii="Times New Roman" w:hAnsi="Times New Roman"/>
          <w:noProof/>
          <w:sz w:val="24"/>
        </w:rPr>
        <w:t>ставляват едностранни мерки за ограничаване на неблагоприятните ефекти и могат единствено да смекчат най-тежките последици от оттегляне без споразумение. На 14 ноември 2018 г. преговарящите от страна на Комисията и на Обединеното кралство постигнаха съглас</w:t>
      </w:r>
      <w:r>
        <w:rPr>
          <w:rFonts w:ascii="Times New Roman" w:hAnsi="Times New Roman"/>
          <w:noProof/>
          <w:sz w:val="24"/>
        </w:rPr>
        <w:t>ие относно условията на Споразумението за оттегляне</w:t>
      </w:r>
      <w:r>
        <w:rPr>
          <w:rStyle w:val="FootnoteReference"/>
          <w:rFonts w:ascii="Times New Roman" w:hAnsi="Times New Roman"/>
          <w:noProof/>
        </w:rPr>
        <w:footnoteReference w:id="6"/>
      </w:r>
      <w:r>
        <w:rPr>
          <w:rFonts w:ascii="Times New Roman" w:hAnsi="Times New Roman"/>
          <w:noProof/>
          <w:sz w:val="24"/>
        </w:rPr>
        <w:t>.</w:t>
      </w:r>
      <w:r>
        <w:rPr>
          <w:rFonts w:ascii="Verdana" w:hAnsi="Verdana"/>
          <w:noProof/>
          <w:color w:val="000000"/>
          <w:sz w:val="20"/>
        </w:rPr>
        <w:t xml:space="preserve"> </w:t>
      </w:r>
      <w:r>
        <w:rPr>
          <w:rFonts w:ascii="Times New Roman" w:hAnsi="Times New Roman"/>
          <w:noProof/>
          <w:sz w:val="24"/>
        </w:rPr>
        <w:t>На 22 ноември 2018 г. Комисията одобри завършеното Споразумение за оттегляне</w:t>
      </w:r>
      <w:r>
        <w:rPr>
          <w:rStyle w:val="FootnoteReference"/>
          <w:rFonts w:ascii="Times New Roman" w:hAnsi="Times New Roman"/>
          <w:noProof/>
        </w:rPr>
        <w:footnoteReference w:id="7"/>
      </w:r>
      <w:r>
        <w:rPr>
          <w:rFonts w:ascii="Times New Roman" w:hAnsi="Times New Roman"/>
          <w:noProof/>
          <w:sz w:val="24"/>
        </w:rPr>
        <w:t>. На 25 ноември 2018 г. Европейският съвет (член 50) одобри Споразумението за оттегляне и прикани Комисията, Европейския парл</w:t>
      </w:r>
      <w:r>
        <w:rPr>
          <w:rFonts w:ascii="Times New Roman" w:hAnsi="Times New Roman"/>
          <w:noProof/>
          <w:sz w:val="24"/>
        </w:rPr>
        <w:t>амент и Съвета да предприемат необходимите стъпки, за да гарантират, че Споразумението може да влезе в сила на 30 март 2019 г., така че да се осигури възможност за организирано оттегляне</w:t>
      </w:r>
      <w:r>
        <w:rPr>
          <w:rStyle w:val="FootnoteReference"/>
          <w:rFonts w:ascii="Times New Roman" w:hAnsi="Times New Roman"/>
          <w:noProof/>
        </w:rPr>
        <w:footnoteReference w:id="8"/>
      </w:r>
      <w:r>
        <w:rPr>
          <w:rFonts w:ascii="Times New Roman" w:hAnsi="Times New Roman"/>
          <w:noProof/>
          <w:sz w:val="24"/>
        </w:rPr>
        <w:t>.</w:t>
      </w:r>
    </w:p>
    <w:p w:rsidR="00B6759C" w:rsidRDefault="008731AA">
      <w:pPr>
        <w:spacing w:after="200"/>
        <w:jc w:val="both"/>
        <w:rPr>
          <w:rFonts w:ascii="Times New Roman" w:eastAsia="Times New Roman" w:hAnsi="Times New Roman"/>
          <w:noProof/>
          <w:sz w:val="24"/>
          <w:szCs w:val="24"/>
        </w:rPr>
      </w:pPr>
      <w:r>
        <w:rPr>
          <w:rFonts w:ascii="Times New Roman" w:hAnsi="Times New Roman"/>
          <w:noProof/>
          <w:sz w:val="24"/>
        </w:rPr>
        <w:t xml:space="preserve">На 5 декември 2018 г. Комисията прие две предложения за решения на </w:t>
      </w:r>
      <w:r>
        <w:rPr>
          <w:rFonts w:ascii="Times New Roman" w:hAnsi="Times New Roman"/>
          <w:noProof/>
          <w:sz w:val="24"/>
        </w:rPr>
        <w:t>Съвета относно подписването и сключването на Споразумението за оттегляне, за да се даде възможност за сключване и ратифициране от страна на ЕС през идните седмици. На заседанието си на 13 декември 2018 г. Европейският съвет (член 50) потвърди своето одобре</w:t>
      </w:r>
      <w:r>
        <w:rPr>
          <w:rFonts w:ascii="Times New Roman" w:hAnsi="Times New Roman"/>
          <w:noProof/>
          <w:sz w:val="24"/>
        </w:rPr>
        <w:t xml:space="preserve">ние за Споразумението за оттегляне и намерението си да пристъпи към ратифицирането му. Споразумението за оттегляне ще трябва да бъде ратифицирано от Обединеното </w:t>
      </w:r>
      <w:r>
        <w:rPr>
          <w:rFonts w:ascii="Times New Roman" w:hAnsi="Times New Roman"/>
          <w:noProof/>
          <w:sz w:val="24"/>
        </w:rPr>
        <w:lastRenderedPageBreak/>
        <w:t>кралство в съответствие със собствените му конституционни изисквания. Ратифицирането на Споразу</w:t>
      </w:r>
      <w:r>
        <w:rPr>
          <w:rFonts w:ascii="Times New Roman" w:hAnsi="Times New Roman"/>
          <w:noProof/>
          <w:sz w:val="24"/>
        </w:rPr>
        <w:t xml:space="preserve">мението за оттегляне от двете страни продължава да бъде цел и приоритет на Комисията. </w:t>
      </w:r>
    </w:p>
    <w:p w:rsidR="00B6759C" w:rsidRDefault="008731AA">
      <w:pPr>
        <w:jc w:val="both"/>
        <w:rPr>
          <w:rFonts w:ascii="Verdana" w:eastAsia="Times New Roman" w:hAnsi="Verdana"/>
          <w:noProof/>
          <w:color w:val="000000"/>
          <w:shd w:val="clear" w:color="auto" w:fill="FFFFFF"/>
        </w:rPr>
      </w:pPr>
      <w:r>
        <w:rPr>
          <w:rFonts w:ascii="Times New Roman" w:hAnsi="Times New Roman"/>
          <w:noProof/>
          <w:sz w:val="24"/>
        </w:rPr>
        <w:t>Европейският съвет (член 50) от 13 декември 2018 г. призова работата по подготовката, свързана с последиците от оттеглянето на Обединеното кралство, да бъде активизирана</w:t>
      </w:r>
      <w:r>
        <w:rPr>
          <w:rFonts w:ascii="Times New Roman" w:hAnsi="Times New Roman"/>
          <w:noProof/>
          <w:sz w:val="24"/>
        </w:rPr>
        <w:t xml:space="preserve"> на всички равнища и за всички възможни сценарии. В настоящото съобщение се обясняват мерките, приети от Комисията днес, 19 декември 2018 г., в отговор на този призив, както и други изключително важни стъпки за изпълнението на нейния план за извънредни дей</w:t>
      </w:r>
      <w:r>
        <w:rPr>
          <w:rFonts w:ascii="Times New Roman" w:hAnsi="Times New Roman"/>
          <w:noProof/>
          <w:sz w:val="24"/>
        </w:rPr>
        <w:t>ствия.</w:t>
      </w:r>
    </w:p>
    <w:p w:rsidR="00B6759C" w:rsidRDefault="008731AA">
      <w:pPr>
        <w:pStyle w:val="ListParagraph"/>
        <w:keepNext/>
        <w:numPr>
          <w:ilvl w:val="0"/>
          <w:numId w:val="41"/>
        </w:numPr>
        <w:spacing w:before="480" w:after="240"/>
        <w:ind w:left="714" w:hanging="357"/>
        <w:jc w:val="both"/>
        <w:rPr>
          <w:rFonts w:ascii="Times New Roman" w:eastAsia="Times New Roman" w:hAnsi="Times New Roman"/>
          <w:b/>
          <w:noProof/>
          <w:sz w:val="24"/>
          <w:szCs w:val="24"/>
        </w:rPr>
      </w:pPr>
      <w:r>
        <w:rPr>
          <w:rFonts w:ascii="Times New Roman" w:hAnsi="Times New Roman"/>
          <w:b/>
          <w:noProof/>
          <w:sz w:val="24"/>
        </w:rPr>
        <w:t>Планът на Комисията за извънредни действия</w:t>
      </w:r>
    </w:p>
    <w:p w:rsidR="00B6759C" w:rsidRDefault="008731AA">
      <w:pPr>
        <w:spacing w:after="200"/>
        <w:jc w:val="both"/>
        <w:rPr>
          <w:rFonts w:ascii="Times New Roman" w:eastAsia="Times New Roman" w:hAnsi="Times New Roman"/>
          <w:noProof/>
          <w:sz w:val="24"/>
          <w:szCs w:val="24"/>
        </w:rPr>
      </w:pPr>
      <w:r>
        <w:rPr>
          <w:rFonts w:ascii="Times New Roman" w:hAnsi="Times New Roman"/>
          <w:noProof/>
          <w:sz w:val="24"/>
        </w:rPr>
        <w:t xml:space="preserve">Предвид продължаващата несигурност около процеса на ратификация от страна на Обединеното кралство и в съответствие със Заключенията на Европейския съвет (член 50) от 13 декември, Комисията пристъпва спешно </w:t>
      </w:r>
      <w:r>
        <w:rPr>
          <w:rFonts w:ascii="Times New Roman" w:hAnsi="Times New Roman"/>
          <w:noProof/>
          <w:sz w:val="24"/>
        </w:rPr>
        <w:t>към изпълнението на своя план за извънредни действия. Днес Комисията прие всички законодателни предложения и делегирани актове, които бе обявила в този план за действие</w:t>
      </w:r>
      <w:r>
        <w:rPr>
          <w:rStyle w:val="FootnoteReference"/>
          <w:rFonts w:ascii="Times New Roman" w:hAnsi="Times New Roman"/>
          <w:noProof/>
        </w:rPr>
        <w:footnoteReference w:id="9"/>
      </w:r>
      <w:r>
        <w:rPr>
          <w:rFonts w:ascii="Times New Roman" w:hAnsi="Times New Roman"/>
          <w:noProof/>
          <w:sz w:val="24"/>
        </w:rPr>
        <w:t>. Останалите проекти на актове за изпълнение, обявени от Комисията, ще бъдат готови най</w:t>
      </w:r>
      <w:r>
        <w:rPr>
          <w:rFonts w:ascii="Times New Roman" w:hAnsi="Times New Roman"/>
          <w:noProof/>
          <w:sz w:val="24"/>
        </w:rPr>
        <w:t>-късно до 15 февруари 2019 г., така че да се даде възможност за навременно гласуване в компетентните комитети.</w:t>
      </w:r>
    </w:p>
    <w:p w:rsidR="00B6759C" w:rsidRDefault="008731AA">
      <w:pPr>
        <w:spacing w:before="360" w:after="200"/>
        <w:contextualSpacing/>
        <w:jc w:val="both"/>
        <w:rPr>
          <w:rFonts w:ascii="Times New Roman" w:eastAsia="Times New Roman" w:hAnsi="Times New Roman"/>
          <w:noProof/>
          <w:sz w:val="24"/>
          <w:szCs w:val="24"/>
        </w:rPr>
      </w:pPr>
      <w:r>
        <w:rPr>
          <w:rFonts w:ascii="Times New Roman" w:hAnsi="Times New Roman"/>
          <w:noProof/>
          <w:sz w:val="24"/>
        </w:rPr>
        <w:t>Успоредно с това Комисията продължи да работи в тясно сътрудничество с държавите членки с цел координиране на планирането на равнище ЕС и на наци</w:t>
      </w:r>
      <w:r>
        <w:rPr>
          <w:rFonts w:ascii="Times New Roman" w:hAnsi="Times New Roman"/>
          <w:noProof/>
          <w:sz w:val="24"/>
        </w:rPr>
        <w:t>онално равнище. В пакета от мерки, приет от Комисията и описан в настоящото съобщение, са взети предвид обсъжданията с държавите членки</w:t>
      </w:r>
      <w:r>
        <w:rPr>
          <w:rStyle w:val="FootnoteReference"/>
          <w:rFonts w:ascii="Times New Roman" w:hAnsi="Times New Roman"/>
          <w:noProof/>
        </w:rPr>
        <w:footnoteReference w:id="10"/>
      </w:r>
      <w:r>
        <w:rPr>
          <w:rFonts w:ascii="Times New Roman" w:hAnsi="Times New Roman"/>
          <w:noProof/>
          <w:sz w:val="24"/>
        </w:rPr>
        <w:t>. Това действие е в допълнение към мерките за готовност, които вече са предприети, както са изложени във второто съобщен</w:t>
      </w:r>
      <w:r>
        <w:rPr>
          <w:rFonts w:ascii="Times New Roman" w:hAnsi="Times New Roman"/>
          <w:noProof/>
          <w:sz w:val="24"/>
        </w:rPr>
        <w:t>ие относно готовността.</w:t>
      </w:r>
    </w:p>
    <w:p w:rsidR="00B6759C" w:rsidRDefault="00B6759C">
      <w:pPr>
        <w:spacing w:before="360" w:after="200"/>
        <w:contextualSpacing/>
        <w:jc w:val="both"/>
        <w:rPr>
          <w:rFonts w:ascii="Times New Roman" w:eastAsia="Times New Roman" w:hAnsi="Times New Roman"/>
          <w:noProof/>
          <w:sz w:val="24"/>
          <w:szCs w:val="24"/>
        </w:rPr>
      </w:pPr>
    </w:p>
    <w:p w:rsidR="00B6759C" w:rsidRDefault="008731AA">
      <w:pPr>
        <w:spacing w:before="360" w:after="200"/>
        <w:contextualSpacing/>
        <w:jc w:val="both"/>
        <w:rPr>
          <w:rFonts w:ascii="Times New Roman" w:eastAsia="Times New Roman" w:hAnsi="Times New Roman"/>
          <w:noProof/>
          <w:sz w:val="24"/>
          <w:szCs w:val="24"/>
        </w:rPr>
      </w:pPr>
      <w:r>
        <w:rPr>
          <w:rFonts w:ascii="Times New Roman" w:hAnsi="Times New Roman"/>
          <w:noProof/>
          <w:sz w:val="24"/>
        </w:rPr>
        <w:t xml:space="preserve">Комисията призовава Европейския парламент и Съвета спешно да приемат предложенията. Държавите членки следва да ускорят работата си за подготовка за всички сценарии във връзка с напускането на Обединеното кралство. </w:t>
      </w:r>
    </w:p>
    <w:p w:rsidR="00B6759C" w:rsidRDefault="00B6759C">
      <w:pPr>
        <w:spacing w:before="360" w:after="200"/>
        <w:contextualSpacing/>
        <w:jc w:val="both"/>
        <w:rPr>
          <w:rFonts w:ascii="Times New Roman" w:eastAsia="Times New Roman" w:hAnsi="Times New Roman"/>
          <w:noProof/>
          <w:sz w:val="24"/>
          <w:szCs w:val="24"/>
        </w:rPr>
      </w:pPr>
    </w:p>
    <w:p w:rsidR="00B6759C" w:rsidRDefault="008731AA">
      <w:pPr>
        <w:spacing w:before="360" w:after="200"/>
        <w:contextualSpacing/>
        <w:jc w:val="both"/>
        <w:rPr>
          <w:rFonts w:ascii="Times New Roman" w:eastAsia="Times New Roman" w:hAnsi="Times New Roman"/>
          <w:noProof/>
          <w:sz w:val="24"/>
          <w:szCs w:val="24"/>
        </w:rPr>
      </w:pPr>
      <w:r>
        <w:rPr>
          <w:rFonts w:ascii="Times New Roman" w:hAnsi="Times New Roman"/>
          <w:noProof/>
          <w:sz w:val="24"/>
        </w:rPr>
        <w:t xml:space="preserve">Комисията също </w:t>
      </w:r>
      <w:r>
        <w:rPr>
          <w:rFonts w:ascii="Times New Roman" w:hAnsi="Times New Roman"/>
          <w:noProof/>
          <w:sz w:val="24"/>
        </w:rPr>
        <w:t>така призовава държавите членки да се въздържат от сключване на двустранни споразумения и договорености и от започване на двустранни преговори с Обединеното кралство. Те биха подкопали процеса на ратификация, в повечето случаи не биха били съвместими с пра</w:t>
      </w:r>
      <w:r>
        <w:rPr>
          <w:rFonts w:ascii="Times New Roman" w:hAnsi="Times New Roman"/>
          <w:noProof/>
          <w:sz w:val="24"/>
        </w:rPr>
        <w:t>вото на Съюза и биха породили риск от създаване на условия на неравнопоставеност между държавите членки. Те също така биха усложнили бъдещите преговори на Съюза по ново партньорство с Обединеното кралство. Както и при Споразумението за оттегляне, от същест</w:t>
      </w:r>
      <w:r>
        <w:rPr>
          <w:rFonts w:ascii="Times New Roman" w:hAnsi="Times New Roman"/>
          <w:noProof/>
          <w:sz w:val="24"/>
        </w:rPr>
        <w:t xml:space="preserve">вено значение е да продължи да се прилага единен подход към работата, свързана с готовността и извънредните действия. </w:t>
      </w:r>
    </w:p>
    <w:p w:rsidR="00B6759C" w:rsidRDefault="008731AA">
      <w:pPr>
        <w:pStyle w:val="NormalWeb"/>
        <w:keepNext/>
        <w:numPr>
          <w:ilvl w:val="0"/>
          <w:numId w:val="41"/>
        </w:numPr>
        <w:spacing w:before="480" w:after="240"/>
        <w:ind w:left="714" w:hanging="357"/>
        <w:jc w:val="both"/>
        <w:rPr>
          <w:b/>
          <w:noProof/>
        </w:rPr>
      </w:pPr>
      <w:r>
        <w:rPr>
          <w:b/>
          <w:noProof/>
        </w:rPr>
        <w:t>Предприемане на действия</w:t>
      </w:r>
    </w:p>
    <w:p w:rsidR="00B6759C" w:rsidRDefault="008731AA">
      <w:pPr>
        <w:spacing w:after="200"/>
        <w:contextualSpacing/>
        <w:jc w:val="both"/>
        <w:rPr>
          <w:rFonts w:ascii="Times New Roman" w:eastAsia="Times New Roman" w:hAnsi="Times New Roman"/>
          <w:noProof/>
          <w:sz w:val="24"/>
          <w:szCs w:val="24"/>
        </w:rPr>
      </w:pPr>
      <w:r>
        <w:rPr>
          <w:rFonts w:ascii="Times New Roman" w:hAnsi="Times New Roman"/>
          <w:noProof/>
          <w:sz w:val="24"/>
        </w:rPr>
        <w:t>Така, както са изложени във второто съобщение относно готовността за Брексит, извънредните мерки</w:t>
      </w:r>
      <w:r>
        <w:rPr>
          <w:rStyle w:val="FootnoteReference"/>
          <w:rFonts w:ascii="Times New Roman" w:hAnsi="Times New Roman"/>
          <w:noProof/>
        </w:rPr>
        <w:footnoteReference w:id="11"/>
      </w:r>
      <w:r>
        <w:rPr>
          <w:rFonts w:ascii="Times New Roman" w:hAnsi="Times New Roman"/>
          <w:noProof/>
          <w:sz w:val="24"/>
        </w:rPr>
        <w:t>, приети на вси</w:t>
      </w:r>
      <w:r>
        <w:rPr>
          <w:rFonts w:ascii="Times New Roman" w:hAnsi="Times New Roman"/>
          <w:noProof/>
          <w:sz w:val="24"/>
        </w:rPr>
        <w:t>чки равнища, следва да бъдат съобразени със следните принципи:</w:t>
      </w:r>
    </w:p>
    <w:p w:rsidR="00B6759C" w:rsidRDefault="008731AA">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С извънредните мерки не следва да се повтарят ползите от членството в Съюза, нито условията на какъвто и да е преходен период, както са предвидени в проекта на споразумението за оттегляне;</w:t>
      </w:r>
    </w:p>
    <w:p w:rsidR="00B6759C" w:rsidRDefault="008731AA">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Те с</w:t>
      </w:r>
      <w:r>
        <w:rPr>
          <w:rFonts w:ascii="Times New Roman" w:hAnsi="Times New Roman"/>
          <w:noProof/>
          <w:sz w:val="24"/>
        </w:rPr>
        <w:t>ледва да имат временен характер. За приетите днес мерки Комисията, когато е уместно, предлага времеви ограничения, които са функция на специфичното положение в съответния сектор;</w:t>
      </w:r>
    </w:p>
    <w:p w:rsidR="00B6759C" w:rsidRDefault="008731AA">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Те следва да бъдат приети едностранно от Европейския съюз в негов интерес и д</w:t>
      </w:r>
      <w:r>
        <w:rPr>
          <w:rFonts w:ascii="Times New Roman" w:hAnsi="Times New Roman"/>
          <w:noProof/>
          <w:sz w:val="24"/>
        </w:rPr>
        <w:t xml:space="preserve">а могат да бъдат отменени по всяко време; </w:t>
      </w:r>
    </w:p>
    <w:p w:rsidR="00B6759C" w:rsidRDefault="008731AA">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Те следва да зачитат разделението на компетенциите, предвидено в Договорите;</w:t>
      </w:r>
    </w:p>
    <w:p w:rsidR="00B6759C" w:rsidRDefault="008731AA">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Национални извънредни мерки следва да бъдат съвместими с правото на ЕС;</w:t>
      </w:r>
    </w:p>
    <w:p w:rsidR="00B6759C" w:rsidRDefault="008731AA">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 xml:space="preserve">С тях не следва да се компенсират забавяния, които е можело да </w:t>
      </w:r>
      <w:r>
        <w:rPr>
          <w:rFonts w:ascii="Times New Roman" w:hAnsi="Times New Roman"/>
          <w:noProof/>
          <w:sz w:val="24"/>
        </w:rPr>
        <w:t>бъдат избегнати с мерки за готовност и навременни действия от съответните заинтересовани страни.</w:t>
      </w:r>
    </w:p>
    <w:p w:rsidR="00B6759C" w:rsidRDefault="008731AA">
      <w:pPr>
        <w:spacing w:before="360" w:after="200"/>
        <w:contextualSpacing/>
        <w:jc w:val="both"/>
        <w:rPr>
          <w:rFonts w:ascii="Times New Roman" w:eastAsia="Times New Roman" w:hAnsi="Times New Roman"/>
          <w:noProof/>
          <w:sz w:val="24"/>
          <w:szCs w:val="24"/>
        </w:rPr>
      </w:pPr>
      <w:r>
        <w:rPr>
          <w:rFonts w:ascii="Times New Roman" w:hAnsi="Times New Roman"/>
          <w:noProof/>
          <w:sz w:val="24"/>
        </w:rPr>
        <w:t>По силата на член 355, параграф 3 от ДФЕС и до степента, предвидена в Акта за присъединяване на Обединеното кралство към Европейските общности от 1972 г., зако</w:t>
      </w:r>
      <w:r>
        <w:rPr>
          <w:rFonts w:ascii="Times New Roman" w:hAnsi="Times New Roman"/>
          <w:noProof/>
          <w:sz w:val="24"/>
        </w:rPr>
        <w:t xml:space="preserve">нодателството на Съюза се прилага за Гибралтар в качеството му на европейска територия, за чиито външни отношения отговаря държава членка. Когато Обединеното кралство престане да бъде държава членка, член 355, параграф 3 от ДФЕС вече няма да се прилага за </w:t>
      </w:r>
      <w:r>
        <w:rPr>
          <w:rFonts w:ascii="Times New Roman" w:hAnsi="Times New Roman"/>
          <w:noProof/>
          <w:sz w:val="24"/>
        </w:rPr>
        <w:t xml:space="preserve">Гибралтар. Вследствие на това извънредните мерки няма да се прилагат за Гибралтар. </w:t>
      </w:r>
    </w:p>
    <w:p w:rsidR="00B6759C" w:rsidRDefault="008731AA">
      <w:pPr>
        <w:pStyle w:val="ListParagraph"/>
        <w:keepNext/>
        <w:numPr>
          <w:ilvl w:val="0"/>
          <w:numId w:val="41"/>
        </w:numPr>
        <w:spacing w:before="480" w:after="240"/>
        <w:ind w:left="714" w:hanging="357"/>
        <w:jc w:val="both"/>
        <w:rPr>
          <w:rFonts w:ascii="Times New Roman" w:hAnsi="Times New Roman"/>
          <w:b/>
          <w:noProof/>
          <w:sz w:val="24"/>
        </w:rPr>
      </w:pPr>
      <w:r>
        <w:rPr>
          <w:rFonts w:ascii="Times New Roman" w:hAnsi="Times New Roman"/>
          <w:b/>
          <w:noProof/>
          <w:sz w:val="24"/>
        </w:rPr>
        <w:t>Граждани</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 xml:space="preserve">Ако Споразумението за оттегляне не бъде ратифицирано, гражданите на ЕС, пребиваващи в Обединеното кралство, повече няма да бъдат защитени от правилата на ЕС </w:t>
      </w:r>
      <w:r>
        <w:rPr>
          <w:rFonts w:ascii="Times New Roman" w:hAnsi="Times New Roman"/>
          <w:noProof/>
          <w:sz w:val="24"/>
        </w:rPr>
        <w:t>относно свободното движение. Считано от датата на оттегляне, спрямо лицата с националност на Обединеното кралство в Европейския съюз ще се прилагат общите правила, приложими по отношение на гражданите на трети държави в ЕС. Това ще има отражение върху прав</w:t>
      </w:r>
      <w:r>
        <w:rPr>
          <w:rFonts w:ascii="Times New Roman" w:hAnsi="Times New Roman"/>
          <w:noProof/>
          <w:sz w:val="24"/>
        </w:rPr>
        <w:t>ото им да пребивават и да работят там, където понастоящем живеят, както и върху социалната закрила, от която се ползват.</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Комисията последователно е заявявала, че закрилата на гражданите на ЕС в Обединеното кралство, както и на гражданите на Обединеното кра</w:t>
      </w:r>
      <w:r>
        <w:rPr>
          <w:rFonts w:ascii="Times New Roman" w:hAnsi="Times New Roman"/>
          <w:noProof/>
          <w:sz w:val="24"/>
        </w:rPr>
        <w:t>лство в Европейския съюз представлява приоритет. Тя призовава държавите членки да възприемат либерален подход по отношение на лицата с националност на Обединеното кралство, които вече пребивават на тяхна територия</w:t>
      </w:r>
      <w:r>
        <w:rPr>
          <w:rStyle w:val="FootnoteReference"/>
          <w:rFonts w:ascii="Times New Roman" w:hAnsi="Times New Roman"/>
          <w:noProof/>
        </w:rPr>
        <w:footnoteReference w:id="12"/>
      </w:r>
      <w:r>
        <w:rPr>
          <w:rFonts w:ascii="Times New Roman" w:hAnsi="Times New Roman"/>
          <w:noProof/>
          <w:sz w:val="24"/>
        </w:rPr>
        <w:t>. В Съобщението си от 13 ноември Комисията</w:t>
      </w:r>
      <w:r>
        <w:rPr>
          <w:rFonts w:ascii="Times New Roman" w:hAnsi="Times New Roman"/>
          <w:noProof/>
          <w:sz w:val="24"/>
        </w:rPr>
        <w:t xml:space="preserve"> приветства дадените от министър-председателя Мей уверения</w:t>
      </w:r>
      <w:r>
        <w:rPr>
          <w:rStyle w:val="FootnoteReference"/>
          <w:rFonts w:ascii="Times New Roman" w:hAnsi="Times New Roman"/>
          <w:noProof/>
        </w:rPr>
        <w:footnoteReference w:id="13"/>
      </w:r>
      <w:r>
        <w:rPr>
          <w:rFonts w:ascii="Times New Roman" w:hAnsi="Times New Roman"/>
          <w:noProof/>
          <w:sz w:val="24"/>
        </w:rPr>
        <w:t>, че дори да не бъде постигнато споразумение, правата на гражданите на ЕС в Обединеното кралство ще бъдат защитени по сходен начин. Комисията очаква това уверение скоро да получи официален характер</w:t>
      </w:r>
      <w:r>
        <w:rPr>
          <w:rFonts w:ascii="Times New Roman" w:hAnsi="Times New Roman"/>
          <w:noProof/>
          <w:sz w:val="24"/>
        </w:rPr>
        <w:t>, за да могат гражданите да разчитат на него.</w:t>
      </w:r>
    </w:p>
    <w:p w:rsidR="00B6759C" w:rsidRDefault="008731AA">
      <w:pPr>
        <w:keepNext/>
        <w:spacing w:before="360" w:after="240"/>
        <w:jc w:val="both"/>
        <w:rPr>
          <w:rFonts w:ascii="Times New Roman" w:eastAsia="Times New Roman" w:hAnsi="Times New Roman"/>
          <w:i/>
          <w:noProof/>
          <w:sz w:val="24"/>
          <w:szCs w:val="24"/>
        </w:rPr>
      </w:pPr>
      <w:r>
        <w:rPr>
          <w:rFonts w:ascii="Times New Roman" w:hAnsi="Times New Roman"/>
          <w:i/>
          <w:noProof/>
          <w:sz w:val="24"/>
        </w:rPr>
        <w:t>Право на престой</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Във връзка с правото им на влизане, пребиваване и работа в държави — членки на ЕС, спрямо лицата с националност на Обединеното кралство, които пребивават в Европейския съюз, ще се прилагат прав</w:t>
      </w:r>
      <w:r>
        <w:rPr>
          <w:rFonts w:ascii="Times New Roman" w:hAnsi="Times New Roman"/>
          <w:noProof/>
          <w:sz w:val="24"/>
        </w:rPr>
        <w:t>илата на ЕС, както и националните правила относно гражданите на трети държави. По отношение на краткия престой (до 90 дни в рамките на 180-дневен период) Комисията прие предложение за регламент</w:t>
      </w:r>
      <w:r>
        <w:rPr>
          <w:rStyle w:val="FootnoteReference"/>
          <w:rFonts w:ascii="Times New Roman" w:hAnsi="Times New Roman"/>
          <w:noProof/>
        </w:rPr>
        <w:footnoteReference w:id="14"/>
      </w:r>
      <w:r>
        <w:rPr>
          <w:rFonts w:ascii="Times New Roman" w:hAnsi="Times New Roman"/>
          <w:noProof/>
          <w:sz w:val="24"/>
        </w:rPr>
        <w:t>, който освобождава от изискването за виза лицата с национално</w:t>
      </w:r>
      <w:r>
        <w:rPr>
          <w:rFonts w:ascii="Times New Roman" w:hAnsi="Times New Roman"/>
          <w:noProof/>
          <w:sz w:val="24"/>
        </w:rPr>
        <w:t>ст на Обединеното кралство, при положение че всички граждани на Съюза също бъдат освободени от изискването за виза за Обединеното кралство. Гражданите на трети държави, които искат да пребивават в държава — членка на ЕС, над 90 дни с каквато и да било цел,</w:t>
      </w:r>
      <w:r>
        <w:rPr>
          <w:rFonts w:ascii="Times New Roman" w:hAnsi="Times New Roman"/>
          <w:noProof/>
          <w:sz w:val="24"/>
        </w:rPr>
        <w:t xml:space="preserve"> трябва да получат разрешение за пребиваване или виза за дългосрочно пребиваване от националните органи по миграцията. На гражданите на трети държави, които са пребивавали законно в държава членка за период от пет години, трябва да бъде предоставен, при по</w:t>
      </w:r>
      <w:r>
        <w:rPr>
          <w:rFonts w:ascii="Times New Roman" w:hAnsi="Times New Roman"/>
          <w:noProof/>
          <w:sz w:val="24"/>
        </w:rPr>
        <w:t>ложение че са изпълнени определени условия, статут на дългосрочно пребиваващи в тази държава членка в съответствие с правилата на Съюза. Във второто си съобщение относно готовността за Брексит Комисията поясни, че според нея периодите на законно пребиваван</w:t>
      </w:r>
      <w:r>
        <w:rPr>
          <w:rFonts w:ascii="Times New Roman" w:hAnsi="Times New Roman"/>
          <w:noProof/>
          <w:sz w:val="24"/>
        </w:rPr>
        <w:t xml:space="preserve">е на лица с националност на Обединеното кралство в дадена държава членка преди оттеглянето следва да бъдат взети под внимание за тези цели. </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 xml:space="preserve">В този контекст Комисията призовава държавите членки: </w:t>
      </w:r>
    </w:p>
    <w:p w:rsidR="00B6759C" w:rsidRDefault="008731AA">
      <w:pPr>
        <w:pStyle w:val="ListParagraph"/>
        <w:numPr>
          <w:ilvl w:val="0"/>
          <w:numId w:val="34"/>
        </w:numPr>
        <w:spacing w:before="240" w:after="120"/>
        <w:contextualSpacing/>
        <w:jc w:val="both"/>
        <w:rPr>
          <w:rFonts w:ascii="Times New Roman" w:eastAsia="Times New Roman" w:hAnsi="Times New Roman"/>
          <w:noProof/>
          <w:sz w:val="24"/>
          <w:szCs w:val="24"/>
        </w:rPr>
      </w:pPr>
      <w:r>
        <w:rPr>
          <w:rFonts w:ascii="Times New Roman" w:hAnsi="Times New Roman"/>
          <w:noProof/>
          <w:sz w:val="24"/>
        </w:rPr>
        <w:t>да предприемат мерки в съответствие с правото на Съюза, така</w:t>
      </w:r>
      <w:r>
        <w:rPr>
          <w:rFonts w:ascii="Times New Roman" w:hAnsi="Times New Roman"/>
          <w:noProof/>
          <w:sz w:val="24"/>
        </w:rPr>
        <w:t xml:space="preserve"> че всички лица с националност на Обединеното кралство, които пребивават законно в държава членка към 29 март 2019 г., да продължават да се считат без прекъсване за лица, пребиваващи законно в тази държава членка;</w:t>
      </w:r>
    </w:p>
    <w:p w:rsidR="00B6759C" w:rsidRDefault="008731AA">
      <w:pPr>
        <w:pStyle w:val="ListParagraph"/>
        <w:numPr>
          <w:ilvl w:val="0"/>
          <w:numId w:val="34"/>
        </w:numPr>
        <w:spacing w:before="240" w:after="120"/>
        <w:contextualSpacing/>
        <w:jc w:val="both"/>
        <w:rPr>
          <w:rFonts w:ascii="Times New Roman" w:eastAsia="Times New Roman" w:hAnsi="Times New Roman"/>
          <w:noProof/>
          <w:sz w:val="24"/>
          <w:szCs w:val="24"/>
        </w:rPr>
      </w:pPr>
      <w:r>
        <w:rPr>
          <w:rFonts w:ascii="Times New Roman" w:hAnsi="Times New Roman"/>
          <w:noProof/>
          <w:sz w:val="24"/>
        </w:rPr>
        <w:t>да имат готовност да издават разрешения за</w:t>
      </w:r>
      <w:r>
        <w:rPr>
          <w:rFonts w:ascii="Times New Roman" w:hAnsi="Times New Roman"/>
          <w:noProof/>
          <w:sz w:val="24"/>
        </w:rPr>
        <w:t xml:space="preserve"> пребиваване на въпросните лица с националност на Обединеното кралство като доказателство за законния им престой и правото им да работят. Държавите членки, особено тези, в които броят на тези лица е най-голям, се приканват да възприемат прагматичен подход,</w:t>
      </w:r>
      <w:r>
        <w:rPr>
          <w:rFonts w:ascii="Times New Roman" w:hAnsi="Times New Roman"/>
          <w:noProof/>
          <w:sz w:val="24"/>
        </w:rPr>
        <w:t xml:space="preserve"> в съответствие с правото на Съюза, за издаване на временни документи за пребиваване, докато стане възможно издаването на окончателни разрешения за пребиваване</w:t>
      </w:r>
      <w:r>
        <w:rPr>
          <w:rStyle w:val="FootnoteReference"/>
          <w:rFonts w:ascii="Times New Roman" w:hAnsi="Times New Roman"/>
          <w:noProof/>
          <w:sz w:val="24"/>
        </w:rPr>
        <w:footnoteReference w:id="15"/>
      </w:r>
      <w:r>
        <w:rPr>
          <w:rFonts w:ascii="Times New Roman" w:hAnsi="Times New Roman"/>
          <w:noProof/>
          <w:sz w:val="24"/>
        </w:rPr>
        <w:t>. С оглед на конкретните ситуации в отделните държави членки могат да се използват няколко техни</w:t>
      </w:r>
      <w:r>
        <w:rPr>
          <w:rFonts w:ascii="Times New Roman" w:hAnsi="Times New Roman"/>
          <w:noProof/>
          <w:sz w:val="24"/>
        </w:rPr>
        <w:t>чески варианта, като например национални законодателни мерки, издаване на временни документи или признаване на вече съществуващи документи; и</w:t>
      </w:r>
    </w:p>
    <w:p w:rsidR="00B6759C" w:rsidRDefault="008731AA">
      <w:pPr>
        <w:pStyle w:val="ListParagraph"/>
        <w:numPr>
          <w:ilvl w:val="0"/>
          <w:numId w:val="34"/>
        </w:numPr>
        <w:spacing w:before="240" w:after="120"/>
        <w:ind w:left="714" w:hanging="357"/>
        <w:contextualSpacing/>
        <w:jc w:val="both"/>
        <w:rPr>
          <w:rFonts w:ascii="Times New Roman" w:eastAsia="Times New Roman" w:hAnsi="Times New Roman"/>
          <w:noProof/>
          <w:sz w:val="24"/>
          <w:szCs w:val="24"/>
        </w:rPr>
      </w:pPr>
      <w:r>
        <w:rPr>
          <w:rFonts w:ascii="Times New Roman" w:hAnsi="Times New Roman"/>
          <w:noProof/>
          <w:sz w:val="24"/>
        </w:rPr>
        <w:t xml:space="preserve">да предприемат всички необходими законодателни и административни мерки, за да могат да издават временни документи </w:t>
      </w:r>
      <w:r>
        <w:rPr>
          <w:rFonts w:ascii="Times New Roman" w:hAnsi="Times New Roman"/>
          <w:noProof/>
          <w:sz w:val="24"/>
        </w:rPr>
        <w:t>за пребиваване към датата на оттеглянето, както и да могат да обработят заявленията за окончателни разрешения за пребиваване съгласно единния формат</w:t>
      </w:r>
      <w:r>
        <w:rPr>
          <w:rStyle w:val="FootnoteReference"/>
          <w:rFonts w:ascii="Times New Roman" w:hAnsi="Times New Roman"/>
          <w:noProof/>
        </w:rPr>
        <w:footnoteReference w:id="16"/>
      </w:r>
      <w:r>
        <w:rPr>
          <w:rFonts w:ascii="Times New Roman" w:hAnsi="Times New Roman"/>
          <w:noProof/>
          <w:sz w:val="24"/>
        </w:rPr>
        <w:t xml:space="preserve"> до края на 2019 г.</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Комисията ще обсъди допълнително практическите въпроси с държавите членки (ЕС-27) на 20</w:t>
      </w:r>
      <w:r>
        <w:rPr>
          <w:rFonts w:ascii="Times New Roman" w:hAnsi="Times New Roman"/>
          <w:noProof/>
          <w:sz w:val="24"/>
        </w:rPr>
        <w:t xml:space="preserve"> декември 2018 г. с цел да се гарантира съгласуван подход.</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гражданите на ЕС, които пребивават в Обединеното кралство</w:t>
      </w:r>
      <w:r>
        <w:rPr>
          <w:rFonts w:ascii="Times New Roman" w:hAnsi="Times New Roman"/>
          <w:noProof/>
          <w:sz w:val="24"/>
        </w:rPr>
        <w:t>, в допълнение към усилията на дипломатическите представителства на държавите членки в Обединеното кралство представителства</w:t>
      </w:r>
      <w:r>
        <w:rPr>
          <w:rFonts w:ascii="Times New Roman" w:hAnsi="Times New Roman"/>
          <w:noProof/>
          <w:sz w:val="24"/>
        </w:rPr>
        <w:t>та на Комисията в Обединеното кралство ще продължат да следят внимателно позицията на Обединеното кралство по отношение на трайното пребиваване на граждани на Съюза в Обединеното кралство. Комисията ще предоставя информация и експертен опит на заинтересова</w:t>
      </w:r>
      <w:r>
        <w:rPr>
          <w:rFonts w:ascii="Times New Roman" w:hAnsi="Times New Roman"/>
          <w:noProof/>
          <w:sz w:val="24"/>
        </w:rPr>
        <w:t xml:space="preserve">ните граждани в тази връзка. </w:t>
      </w:r>
    </w:p>
    <w:p w:rsidR="00B6759C" w:rsidRDefault="008731AA">
      <w:pPr>
        <w:keepNext/>
        <w:spacing w:before="360" w:after="240"/>
        <w:jc w:val="both"/>
        <w:rPr>
          <w:rFonts w:ascii="Times New Roman" w:eastAsia="Times New Roman" w:hAnsi="Times New Roman"/>
          <w:i/>
          <w:noProof/>
          <w:sz w:val="24"/>
          <w:szCs w:val="24"/>
        </w:rPr>
      </w:pPr>
      <w:r>
        <w:rPr>
          <w:rFonts w:ascii="Times New Roman" w:hAnsi="Times New Roman"/>
          <w:i/>
          <w:noProof/>
          <w:sz w:val="24"/>
        </w:rPr>
        <w:t>Координация на системите за социална сигурност</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Правото на Съюза предвижда общи правила за координация на социалната сигурност с цел защита на</w:t>
      </w:r>
      <w:r>
        <w:rPr>
          <w:rFonts w:ascii="Times New Roman" w:hAnsi="Times New Roman"/>
          <w:b/>
          <w:noProof/>
          <w:sz w:val="24"/>
        </w:rPr>
        <w:t xml:space="preserve"> социалноосигурителните права на гражданите на ЕС</w:t>
      </w:r>
      <w:r>
        <w:rPr>
          <w:rFonts w:ascii="Times New Roman" w:hAnsi="Times New Roman"/>
          <w:noProof/>
          <w:sz w:val="24"/>
        </w:rPr>
        <w:t>, които упражняват основното си прав</w:t>
      </w:r>
      <w:r>
        <w:rPr>
          <w:rFonts w:ascii="Times New Roman" w:hAnsi="Times New Roman"/>
          <w:noProof/>
          <w:sz w:val="24"/>
        </w:rPr>
        <w:t>о да се преместят в друга държава членка. Правилата на Съюза за координация на системите за социална сигурност обхващат правата, произтичащи от националното законодателство, свързани с болест, майчинство и бащинство, пенсии, инвалидност, безработица, семей</w:t>
      </w:r>
      <w:r>
        <w:rPr>
          <w:rFonts w:ascii="Times New Roman" w:hAnsi="Times New Roman"/>
          <w:noProof/>
          <w:sz w:val="24"/>
        </w:rPr>
        <w:t>ни обезщетения, трудови злополуки и професионални заболявания</w:t>
      </w:r>
      <w:r>
        <w:rPr>
          <w:rStyle w:val="FootnoteReference"/>
          <w:rFonts w:ascii="Times New Roman" w:hAnsi="Times New Roman"/>
          <w:noProof/>
        </w:rPr>
        <w:footnoteReference w:id="17"/>
      </w:r>
      <w:r>
        <w:rPr>
          <w:rFonts w:ascii="Times New Roman" w:hAnsi="Times New Roman"/>
          <w:noProof/>
          <w:sz w:val="24"/>
        </w:rPr>
        <w:t>. Принципите, които са в основата на правилата за координация на системите за социална сигурност, гарантират, че гражданите са обхванати от законодателството само на една държава членка (единств</w:t>
      </w:r>
      <w:r>
        <w:rPr>
          <w:rFonts w:ascii="Times New Roman" w:hAnsi="Times New Roman"/>
          <w:noProof/>
          <w:sz w:val="24"/>
        </w:rPr>
        <w:t>еност) и че имат същите права и задължения като гражданите на държавата членка, в която са обхванати (равно третиране). Принципите също така гарантират, че предишни осигурителни периоди, трудов стаж или пребиваване в други държави членки се вземат предвид,</w:t>
      </w:r>
      <w:r>
        <w:rPr>
          <w:rFonts w:ascii="Times New Roman" w:hAnsi="Times New Roman"/>
          <w:noProof/>
          <w:sz w:val="24"/>
        </w:rPr>
        <w:t xml:space="preserve"> когато органите определят допустимостта на дадено лице за обезщетение (сумиране), както и че гражданите могат като правило да получават полагащи им се парични обезщетения дори ако живеят в друга държава членка (прехвърляемост).</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Ако Споразумението за оттег</w:t>
      </w:r>
      <w:r>
        <w:rPr>
          <w:rFonts w:ascii="Times New Roman" w:hAnsi="Times New Roman"/>
          <w:noProof/>
          <w:sz w:val="24"/>
        </w:rPr>
        <w:t>ляне не бъде ратифицирано, правилата на Съюза за координация на системите за социална сигурност повече няма да се прилагат за Обединеното кралство. Това повдига въпроси за гражданите на ЕС, които понастоящем работят или пребивават в Обединеното кралство ил</w:t>
      </w:r>
      <w:r>
        <w:rPr>
          <w:rFonts w:ascii="Times New Roman" w:hAnsi="Times New Roman"/>
          <w:noProof/>
          <w:sz w:val="24"/>
        </w:rPr>
        <w:t xml:space="preserve">и са работили или пребивавали там в миналото, относно техните социалноосигурителни права. Същото се отнася и за лицата с националност на Обединеното кралство, които понастоящем работят или пребивават в друга държава членка. </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Комисията призовава държавите ч</w:t>
      </w:r>
      <w:r>
        <w:rPr>
          <w:rFonts w:ascii="Times New Roman" w:hAnsi="Times New Roman"/>
          <w:noProof/>
          <w:sz w:val="24"/>
        </w:rPr>
        <w:t xml:space="preserve">ленки да предприемат всички възможни стъпки, за да изяснят тези въпроси и да гарантират правна сигурност и защита на социалноосигурителните права, придобити от граждани, които са упражнявали правото си на свободно движение преди 30 март 2019 г. </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В този кон</w:t>
      </w:r>
      <w:r>
        <w:rPr>
          <w:rFonts w:ascii="Times New Roman" w:hAnsi="Times New Roman"/>
          <w:noProof/>
          <w:sz w:val="24"/>
        </w:rPr>
        <w:t>текст Комисията призовава държавите членки:</w:t>
      </w:r>
    </w:p>
    <w:p w:rsidR="00B6759C" w:rsidRDefault="008731AA">
      <w:pPr>
        <w:pStyle w:val="ListParagraph"/>
        <w:numPr>
          <w:ilvl w:val="0"/>
          <w:numId w:val="35"/>
        </w:numPr>
        <w:spacing w:before="240" w:after="120"/>
        <w:jc w:val="both"/>
        <w:rPr>
          <w:rFonts w:ascii="Times New Roman" w:eastAsia="Times New Roman" w:hAnsi="Times New Roman"/>
          <w:noProof/>
          <w:sz w:val="24"/>
          <w:szCs w:val="24"/>
        </w:rPr>
      </w:pPr>
      <w:r>
        <w:rPr>
          <w:rFonts w:ascii="Times New Roman" w:hAnsi="Times New Roman"/>
          <w:noProof/>
          <w:sz w:val="24"/>
        </w:rPr>
        <w:t>да вземат под внимание, по отношение на гражданите на ЕС-27 и на лицата с националност на Обединеното кралство, периодите на заетост/осигуряване в Обединеното кралство преди оттеглянето;</w:t>
      </w:r>
    </w:p>
    <w:p w:rsidR="00B6759C" w:rsidRDefault="008731AA">
      <w:pPr>
        <w:pStyle w:val="ListParagraph"/>
        <w:numPr>
          <w:ilvl w:val="0"/>
          <w:numId w:val="35"/>
        </w:numPr>
        <w:spacing w:before="240" w:after="120"/>
        <w:jc w:val="both"/>
        <w:rPr>
          <w:rFonts w:ascii="Times New Roman" w:eastAsia="Times New Roman" w:hAnsi="Times New Roman"/>
          <w:noProof/>
          <w:sz w:val="24"/>
          <w:szCs w:val="24"/>
        </w:rPr>
      </w:pPr>
      <w:r>
        <w:rPr>
          <w:rFonts w:ascii="Times New Roman" w:hAnsi="Times New Roman"/>
          <w:noProof/>
          <w:sz w:val="24"/>
        </w:rPr>
        <w:t>да информират гражданите,</w:t>
      </w:r>
      <w:r>
        <w:rPr>
          <w:rFonts w:ascii="Times New Roman" w:hAnsi="Times New Roman"/>
          <w:noProof/>
          <w:sz w:val="24"/>
        </w:rPr>
        <w:t xml:space="preserve"> че следва да пазят съответната документация, удостоверяваща тези периоди;</w:t>
      </w:r>
    </w:p>
    <w:p w:rsidR="00B6759C" w:rsidRDefault="008731AA">
      <w:pPr>
        <w:pStyle w:val="ListParagraph"/>
        <w:numPr>
          <w:ilvl w:val="0"/>
          <w:numId w:val="35"/>
        </w:numPr>
        <w:spacing w:before="240" w:after="120"/>
        <w:jc w:val="both"/>
        <w:rPr>
          <w:rFonts w:ascii="Times New Roman" w:eastAsia="Times New Roman" w:hAnsi="Times New Roman"/>
          <w:noProof/>
          <w:sz w:val="24"/>
          <w:szCs w:val="24"/>
        </w:rPr>
      </w:pPr>
      <w:r>
        <w:rPr>
          <w:rFonts w:ascii="Times New Roman" w:hAnsi="Times New Roman"/>
          <w:noProof/>
          <w:sz w:val="24"/>
        </w:rPr>
        <w:t xml:space="preserve">да гарантира, че „сумирането“ на периоди, приключили преди оттеглянето, е от полза и за лицата, които продължат да живеят в Обединеното кралство; </w:t>
      </w:r>
    </w:p>
    <w:p w:rsidR="00B6759C" w:rsidRDefault="008731AA">
      <w:pPr>
        <w:pStyle w:val="ListParagraph"/>
        <w:numPr>
          <w:ilvl w:val="0"/>
          <w:numId w:val="35"/>
        </w:numPr>
        <w:spacing w:before="240" w:after="120"/>
        <w:jc w:val="both"/>
        <w:rPr>
          <w:rFonts w:ascii="Times New Roman" w:eastAsia="Times New Roman" w:hAnsi="Times New Roman"/>
          <w:noProof/>
          <w:sz w:val="24"/>
          <w:szCs w:val="24"/>
        </w:rPr>
      </w:pPr>
      <w:r>
        <w:rPr>
          <w:rFonts w:ascii="Times New Roman" w:hAnsi="Times New Roman"/>
          <w:noProof/>
          <w:sz w:val="24"/>
        </w:rPr>
        <w:t xml:space="preserve">да прехвърлят пенсии за старост </w:t>
      </w:r>
      <w:r>
        <w:rPr>
          <w:rFonts w:ascii="Times New Roman" w:hAnsi="Times New Roman"/>
          <w:noProof/>
          <w:sz w:val="24"/>
        </w:rPr>
        <w:t>към Обединеното кралство, въпреки че то ще бъде трета държава. Това ще се прилага за онези граждани, които продължат да пребивават в Обединеното кралство след датата на оттеглянето, но също и за лицата с националност на Обединеното кралство, които са придо</w:t>
      </w:r>
      <w:r>
        <w:rPr>
          <w:rFonts w:ascii="Times New Roman" w:hAnsi="Times New Roman"/>
          <w:noProof/>
          <w:sz w:val="24"/>
        </w:rPr>
        <w:t>били права за пенсия за старост в рамките на ЕС-27 преди датата на оттеглянето.</w:t>
      </w:r>
      <w:r>
        <w:rPr>
          <w:noProof/>
        </w:rPr>
        <w:t xml:space="preserve"> </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На 20 декември 2018 г. Комисията ще предостави на държавите членки (ЕС-27) конкретни и подробни съвети относно начините за постигане на съгласуван подход при извънредните дейс</w:t>
      </w:r>
      <w:r>
        <w:rPr>
          <w:rFonts w:ascii="Times New Roman" w:hAnsi="Times New Roman"/>
          <w:noProof/>
          <w:sz w:val="24"/>
        </w:rPr>
        <w:t xml:space="preserve">твия по отношение на координацията на социалната сигурност, който държавите членки следва да прилагат, считано от датата на оттеглянето. </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Комисията припомня, че Съюзът разполага с изключителна компетентност в областта на координацията на социалната сигурно</w:t>
      </w:r>
      <w:r>
        <w:rPr>
          <w:rFonts w:ascii="Times New Roman" w:hAnsi="Times New Roman"/>
          <w:noProof/>
          <w:sz w:val="24"/>
        </w:rPr>
        <w:t xml:space="preserve">ст по отношение на приключилите периоди и фактите и събитията, настъпили преди датата на оттеглянето. </w:t>
      </w:r>
    </w:p>
    <w:p w:rsidR="00B6759C" w:rsidRDefault="008731AA">
      <w:pPr>
        <w:pStyle w:val="ListParagraph"/>
        <w:keepNext/>
        <w:numPr>
          <w:ilvl w:val="0"/>
          <w:numId w:val="41"/>
        </w:numPr>
        <w:spacing w:before="480" w:after="240"/>
        <w:ind w:left="714" w:hanging="357"/>
        <w:rPr>
          <w:rFonts w:ascii="Times New Roman" w:eastAsia="Times New Roman" w:hAnsi="Times New Roman"/>
          <w:b/>
          <w:noProof/>
          <w:sz w:val="24"/>
          <w:szCs w:val="24"/>
        </w:rPr>
      </w:pPr>
      <w:r>
        <w:rPr>
          <w:rFonts w:ascii="Times New Roman" w:hAnsi="Times New Roman"/>
          <w:b/>
          <w:noProof/>
          <w:sz w:val="24"/>
        </w:rPr>
        <w:t>Регулиране по сектори</w:t>
      </w:r>
    </w:p>
    <w:p w:rsidR="00B6759C" w:rsidRDefault="008731AA">
      <w:pPr>
        <w:keepNext/>
        <w:spacing w:before="360" w:after="240"/>
        <w:rPr>
          <w:rFonts w:ascii="Times New Roman" w:eastAsia="Times New Roman" w:hAnsi="Times New Roman"/>
          <w:b/>
          <w:i/>
          <w:noProof/>
          <w:sz w:val="24"/>
          <w:szCs w:val="24"/>
        </w:rPr>
      </w:pPr>
      <w:r>
        <w:rPr>
          <w:rFonts w:ascii="Times New Roman" w:hAnsi="Times New Roman"/>
          <w:b/>
          <w:i/>
          <w:noProof/>
          <w:sz w:val="24"/>
        </w:rPr>
        <w:t>Финансови услуги</w:t>
      </w:r>
    </w:p>
    <w:p w:rsidR="00B6759C" w:rsidRDefault="008731AA">
      <w:pPr>
        <w:jc w:val="both"/>
        <w:rPr>
          <w:rFonts w:ascii="Times New Roman" w:eastAsia="Times New Roman" w:hAnsi="Times New Roman"/>
          <w:noProof/>
          <w:sz w:val="24"/>
          <w:szCs w:val="24"/>
        </w:rPr>
      </w:pPr>
      <w:r>
        <w:rPr>
          <w:rFonts w:ascii="Times New Roman" w:hAnsi="Times New Roman"/>
          <w:noProof/>
          <w:sz w:val="24"/>
        </w:rPr>
        <w:t>Ако Споразумението за оттегляне не бъде ратифицирано, финансовите оператори, установени в Обединеното кралство, ще</w:t>
      </w:r>
      <w:r>
        <w:rPr>
          <w:rFonts w:ascii="Times New Roman" w:hAnsi="Times New Roman"/>
          <w:noProof/>
          <w:sz w:val="24"/>
        </w:rPr>
        <w:t xml:space="preserve"> загубят, считано от датата на оттеглянето, правото да предоставят услугите си в държавите от ЕС-27 съгласно паспортите на ЕС за финансови услуги. Ето защо операторите от Обединеното кралство и техните партньори в ЕС-27 трябва да предприемат действия, за д</w:t>
      </w:r>
      <w:r>
        <w:rPr>
          <w:rFonts w:ascii="Times New Roman" w:hAnsi="Times New Roman"/>
          <w:noProof/>
          <w:sz w:val="24"/>
        </w:rPr>
        <w:t>а се съобразят с правото на Съюза при всички сценарии и навреме за оттеглянето на Обединеното кралство, както Комисията е посочила в публикуваните в тази област известия за заинтересованите страни</w:t>
      </w:r>
      <w:r>
        <w:rPr>
          <w:rStyle w:val="FootnoteReference"/>
          <w:rFonts w:ascii="Times New Roman" w:hAnsi="Times New Roman"/>
          <w:noProof/>
          <w:sz w:val="24"/>
        </w:rPr>
        <w:footnoteReference w:id="18"/>
      </w:r>
      <w:r>
        <w:rPr>
          <w:rFonts w:ascii="Times New Roman" w:hAnsi="Times New Roman"/>
          <w:noProof/>
          <w:sz w:val="24"/>
        </w:rPr>
        <w:t>.</w:t>
      </w:r>
    </w:p>
    <w:p w:rsidR="00B6759C" w:rsidRDefault="008731AA">
      <w:pPr>
        <w:spacing w:before="240" w:after="120"/>
        <w:jc w:val="both"/>
        <w:rPr>
          <w:noProof/>
        </w:rPr>
      </w:pPr>
      <w:r>
        <w:rPr>
          <w:rFonts w:ascii="Times New Roman" w:hAnsi="Times New Roman"/>
          <w:noProof/>
          <w:sz w:val="24"/>
        </w:rPr>
        <w:t xml:space="preserve">След като разгледа рисковете, свързани със сценарий, при </w:t>
      </w:r>
      <w:r>
        <w:rPr>
          <w:rFonts w:ascii="Times New Roman" w:hAnsi="Times New Roman"/>
          <w:noProof/>
          <w:sz w:val="24"/>
        </w:rPr>
        <w:t>който не се постигне споразумение във финансовия сектор, и като взе предвид становищата на Европейската централна банка и европейските надзорни органи, Комисията стигна до заключението, че за гарантирането на финансовата стабилност в ЕС-27 са нужни само ог</w:t>
      </w:r>
      <w:r>
        <w:rPr>
          <w:rFonts w:ascii="Times New Roman" w:hAnsi="Times New Roman"/>
          <w:noProof/>
          <w:sz w:val="24"/>
        </w:rPr>
        <w:t>раничен брой извънредни мерки. С тези мерки се смекчават рисковете за финансовата стабилност само в онези области, в които действията за подготвеност, предприети от пазарните участници, сами по себе си не са достатъчни за преодоляване на тези рискове до да</w:t>
      </w:r>
      <w:r>
        <w:rPr>
          <w:rFonts w:ascii="Times New Roman" w:hAnsi="Times New Roman"/>
          <w:noProof/>
          <w:sz w:val="24"/>
        </w:rPr>
        <w:t>тата на оттеглянето. Поради това Комисията прие днес следните актове, които ще се прилагат от датата на оттеглянето, в случай че Споразумението за оттегляне не бъде ратифицирано:</w:t>
      </w:r>
    </w:p>
    <w:p w:rsidR="00B6759C" w:rsidRDefault="008731AA">
      <w:pPr>
        <w:pStyle w:val="ListParagraph"/>
        <w:numPr>
          <w:ilvl w:val="0"/>
          <w:numId w:val="33"/>
        </w:numPr>
        <w:spacing w:before="360" w:after="120"/>
        <w:contextualSpacing/>
        <w:jc w:val="both"/>
        <w:rPr>
          <w:rFonts w:ascii="Times New Roman" w:eastAsia="Times New Roman" w:hAnsi="Times New Roman"/>
          <w:b/>
          <w:i/>
          <w:noProof/>
          <w:sz w:val="24"/>
          <w:szCs w:val="24"/>
        </w:rPr>
      </w:pPr>
      <w:r>
        <w:rPr>
          <w:rFonts w:ascii="Times New Roman" w:hAnsi="Times New Roman"/>
          <w:noProof/>
          <w:sz w:val="24"/>
        </w:rPr>
        <w:t>Временно и условно решение за еквивалентност</w:t>
      </w:r>
      <w:r>
        <w:rPr>
          <w:rStyle w:val="EndnoteReference"/>
          <w:rFonts w:ascii="Times New Roman" w:hAnsi="Times New Roman"/>
          <w:noProof/>
          <w:sz w:val="24"/>
        </w:rPr>
        <w:endnoteReference w:id="2"/>
      </w:r>
      <w:r>
        <w:rPr>
          <w:rFonts w:ascii="Times New Roman" w:hAnsi="Times New Roman"/>
          <w:noProof/>
          <w:sz w:val="24"/>
        </w:rPr>
        <w:t xml:space="preserve"> за период от 12 месеца, за да с</w:t>
      </w:r>
      <w:r>
        <w:rPr>
          <w:rFonts w:ascii="Times New Roman" w:hAnsi="Times New Roman"/>
          <w:noProof/>
          <w:sz w:val="24"/>
        </w:rPr>
        <w:t xml:space="preserve">е гарантира, че няма да има прекъсване на </w:t>
      </w:r>
      <w:r>
        <w:rPr>
          <w:rFonts w:ascii="Times New Roman" w:hAnsi="Times New Roman"/>
          <w:b/>
          <w:noProof/>
          <w:sz w:val="24"/>
        </w:rPr>
        <w:t>централизирания клиринг</w:t>
      </w:r>
      <w:r>
        <w:rPr>
          <w:rFonts w:ascii="Times New Roman" w:hAnsi="Times New Roman"/>
          <w:noProof/>
          <w:sz w:val="24"/>
        </w:rPr>
        <w:t xml:space="preserve"> </w:t>
      </w:r>
      <w:r>
        <w:rPr>
          <w:rFonts w:ascii="Times New Roman" w:hAnsi="Times New Roman"/>
          <w:b/>
          <w:noProof/>
          <w:sz w:val="24"/>
        </w:rPr>
        <w:t>на</w:t>
      </w:r>
      <w:r>
        <w:rPr>
          <w:rFonts w:ascii="Times New Roman" w:hAnsi="Times New Roman"/>
          <w:noProof/>
          <w:sz w:val="24"/>
        </w:rPr>
        <w:t xml:space="preserve"> </w:t>
      </w:r>
      <w:r>
        <w:rPr>
          <w:rFonts w:ascii="Times New Roman" w:hAnsi="Times New Roman"/>
          <w:b/>
          <w:noProof/>
          <w:sz w:val="24"/>
        </w:rPr>
        <w:t>деривати</w:t>
      </w:r>
      <w:r>
        <w:rPr>
          <w:rFonts w:ascii="Times New Roman" w:hAnsi="Times New Roman"/>
          <w:noProof/>
          <w:sz w:val="24"/>
        </w:rPr>
        <w:t>. Това ще даде възможност на Европейския орган за ценни книжа и пазари да признае временно централни контрагенти, установени понастоящем в Обединеното кралство, което ще им позвол</w:t>
      </w:r>
      <w:r>
        <w:rPr>
          <w:rFonts w:ascii="Times New Roman" w:hAnsi="Times New Roman"/>
          <w:noProof/>
          <w:sz w:val="24"/>
        </w:rPr>
        <w:t>и временно да продължат да предоставят услуги в Съюза. Комисията заключи, че дружествата от ЕС-27 се нуждаят от това време, за да установят напълно жизнеспособни алтернативи на операторите от Обединеното кралство.</w:t>
      </w:r>
    </w:p>
    <w:p w:rsidR="00B6759C" w:rsidRDefault="008731AA">
      <w:pPr>
        <w:pStyle w:val="ListParagraph"/>
        <w:numPr>
          <w:ilvl w:val="0"/>
          <w:numId w:val="33"/>
        </w:numPr>
        <w:spacing w:before="360" w:after="120"/>
        <w:jc w:val="both"/>
        <w:rPr>
          <w:rFonts w:ascii="Times New Roman" w:eastAsia="Times New Roman" w:hAnsi="Times New Roman"/>
          <w:b/>
          <w:i/>
          <w:noProof/>
          <w:sz w:val="24"/>
          <w:szCs w:val="24"/>
        </w:rPr>
      </w:pPr>
      <w:r>
        <w:rPr>
          <w:rFonts w:ascii="Times New Roman" w:hAnsi="Times New Roman"/>
          <w:noProof/>
          <w:sz w:val="24"/>
        </w:rPr>
        <w:t>Временно и условно решение за еквивалентно</w:t>
      </w:r>
      <w:r>
        <w:rPr>
          <w:rFonts w:ascii="Times New Roman" w:hAnsi="Times New Roman"/>
          <w:noProof/>
          <w:sz w:val="24"/>
        </w:rPr>
        <w:t>ст</w:t>
      </w:r>
      <w:r>
        <w:rPr>
          <w:rStyle w:val="EndnoteReference"/>
          <w:rFonts w:ascii="Times New Roman" w:hAnsi="Times New Roman"/>
          <w:noProof/>
          <w:sz w:val="24"/>
        </w:rPr>
        <w:endnoteReference w:id="3"/>
      </w:r>
      <w:r>
        <w:rPr>
          <w:rFonts w:ascii="Times New Roman" w:hAnsi="Times New Roman"/>
          <w:noProof/>
          <w:sz w:val="24"/>
        </w:rPr>
        <w:t xml:space="preserve"> за период от 24 месеца, за да се гарантира, че няма да има прекъсване на услугите, предоставяни от </w:t>
      </w:r>
      <w:r>
        <w:rPr>
          <w:rFonts w:ascii="Times New Roman" w:hAnsi="Times New Roman"/>
          <w:b/>
          <w:noProof/>
          <w:sz w:val="24"/>
        </w:rPr>
        <w:t>централни депозитари на ценни книжа</w:t>
      </w:r>
      <w:r>
        <w:rPr>
          <w:rFonts w:ascii="Times New Roman" w:hAnsi="Times New Roman"/>
          <w:noProof/>
          <w:sz w:val="24"/>
        </w:rPr>
        <w:t xml:space="preserve"> от Обединеното кралство. Това ще им даде временно възможност да продължат да предоставят регистрационни услуги и услу</w:t>
      </w:r>
      <w:r>
        <w:rPr>
          <w:rFonts w:ascii="Times New Roman" w:hAnsi="Times New Roman"/>
          <w:noProof/>
          <w:sz w:val="24"/>
        </w:rPr>
        <w:t>ги по централно поддържане на оператори в Съюза. Това също така ще даде възможност на оператори от ЕС-27, които понастоящем не разполагат с налична незабавно алтернатива в ЕС-27, да изпълняват задълженията си съгласно законодателството на ЕС.</w:t>
      </w:r>
    </w:p>
    <w:p w:rsidR="00B6759C" w:rsidRDefault="008731AA">
      <w:pPr>
        <w:pStyle w:val="ListParagraph"/>
        <w:numPr>
          <w:ilvl w:val="0"/>
          <w:numId w:val="33"/>
        </w:numPr>
        <w:spacing w:before="360" w:after="120"/>
        <w:jc w:val="both"/>
        <w:rPr>
          <w:rFonts w:ascii="Times New Roman" w:eastAsia="Times New Roman" w:hAnsi="Times New Roman"/>
          <w:noProof/>
          <w:sz w:val="24"/>
          <w:szCs w:val="24"/>
        </w:rPr>
      </w:pPr>
      <w:r>
        <w:rPr>
          <w:rFonts w:ascii="Times New Roman" w:hAnsi="Times New Roman"/>
          <w:noProof/>
          <w:sz w:val="24"/>
        </w:rPr>
        <w:t>Два делегиран</w:t>
      </w:r>
      <w:r>
        <w:rPr>
          <w:rFonts w:ascii="Times New Roman" w:hAnsi="Times New Roman"/>
          <w:noProof/>
          <w:sz w:val="24"/>
        </w:rPr>
        <w:t>и регламента</w:t>
      </w:r>
      <w:r>
        <w:rPr>
          <w:rStyle w:val="EndnoteReference"/>
          <w:rFonts w:ascii="Times New Roman" w:hAnsi="Times New Roman"/>
          <w:noProof/>
          <w:sz w:val="24"/>
        </w:rPr>
        <w:endnoteReference w:id="4"/>
      </w:r>
      <w:r>
        <w:rPr>
          <w:rFonts w:ascii="Times New Roman" w:hAnsi="Times New Roman"/>
          <w:noProof/>
          <w:sz w:val="24"/>
          <w:vertAlign w:val="superscript"/>
        </w:rPr>
        <w:t>,</w:t>
      </w:r>
      <w:r>
        <w:rPr>
          <w:rStyle w:val="EndnoteReference"/>
          <w:rFonts w:ascii="Times New Roman" w:hAnsi="Times New Roman"/>
          <w:noProof/>
          <w:sz w:val="24"/>
        </w:rPr>
        <w:endnoteReference w:id="5"/>
      </w:r>
      <w:r>
        <w:rPr>
          <w:rFonts w:ascii="Times New Roman" w:hAnsi="Times New Roman"/>
          <w:noProof/>
          <w:sz w:val="24"/>
        </w:rPr>
        <w:t xml:space="preserve"> улесняващи новацията за определен период на </w:t>
      </w:r>
      <w:r>
        <w:rPr>
          <w:rFonts w:ascii="Times New Roman" w:hAnsi="Times New Roman"/>
          <w:b/>
          <w:noProof/>
          <w:sz w:val="24"/>
        </w:rPr>
        <w:t>някои договори за извънборсови деривати с контрагент, установен в Обединеното кралство</w:t>
      </w:r>
      <w:r>
        <w:rPr>
          <w:rFonts w:ascii="Times New Roman" w:hAnsi="Times New Roman"/>
          <w:noProof/>
          <w:sz w:val="24"/>
        </w:rPr>
        <w:t>, за да се замени този контрагент с контрагент, установен в Съюза. Това дава възможност такива договори да бъд</w:t>
      </w:r>
      <w:r>
        <w:rPr>
          <w:rFonts w:ascii="Times New Roman" w:hAnsi="Times New Roman"/>
          <w:noProof/>
          <w:sz w:val="24"/>
        </w:rPr>
        <w:t>ат прехвърлени на контрагент от ЕС27, като се запази тяхното освобождаване, и следователно спрямо тях няма да се прилагат задълженията за клиринг и гарантиране по силата на Регламента за европейската пазарна инфраструктура. Такива договори, датиращи отпред</w:t>
      </w:r>
      <w:r>
        <w:rPr>
          <w:rFonts w:ascii="Times New Roman" w:hAnsi="Times New Roman"/>
          <w:noProof/>
          <w:sz w:val="24"/>
        </w:rPr>
        <w:t>и Регламента за европейската пазарна инфраструктура, са освободени от изискванията на този регламент. Този акт ще гарантира, че промяната на контрагента няма да доведе до промяна в освобождаването.</w:t>
      </w:r>
    </w:p>
    <w:p w:rsidR="00B6759C" w:rsidRDefault="008731AA">
      <w:pPr>
        <w:spacing w:before="360" w:after="120"/>
        <w:jc w:val="both"/>
        <w:rPr>
          <w:rFonts w:ascii="Times New Roman" w:eastAsia="Times New Roman" w:hAnsi="Times New Roman"/>
          <w:noProof/>
          <w:sz w:val="24"/>
          <w:szCs w:val="24"/>
        </w:rPr>
      </w:pPr>
      <w:r>
        <w:rPr>
          <w:rFonts w:ascii="Times New Roman" w:hAnsi="Times New Roman"/>
          <w:noProof/>
          <w:sz w:val="24"/>
        </w:rPr>
        <w:t xml:space="preserve">Във всички сфери на финансовите услуги дружествата следва </w:t>
      </w:r>
      <w:r>
        <w:rPr>
          <w:rFonts w:ascii="Times New Roman" w:hAnsi="Times New Roman"/>
          <w:noProof/>
          <w:sz w:val="24"/>
        </w:rPr>
        <w:t>да продължат да предприемат необходимите действия за намаляване на рисковете и за гарантиране на това, че клиентите ще продължат да бъдат обслужвани. Дружествата следва активно да уведомяват клиентите за предприетите мерки и за начина, по който ги прилагат</w:t>
      </w:r>
      <w:r>
        <w:rPr>
          <w:rFonts w:ascii="Times New Roman" w:hAnsi="Times New Roman"/>
          <w:noProof/>
          <w:sz w:val="24"/>
        </w:rPr>
        <w:t xml:space="preserve">. От своя страна, намиращите се в Европейския съюз клиенти на дружества от Обединеното кралство трябва да се подготвят за сценарий, при който законодателството на ЕС вече няма да се прилага за техния доставчик. </w:t>
      </w:r>
    </w:p>
    <w:p w:rsidR="00B6759C" w:rsidRDefault="008731AA">
      <w:pPr>
        <w:keepNext/>
        <w:spacing w:before="360" w:after="240"/>
        <w:jc w:val="both"/>
        <w:rPr>
          <w:rFonts w:ascii="Times New Roman" w:eastAsia="Times New Roman" w:hAnsi="Times New Roman"/>
          <w:b/>
          <w:i/>
          <w:noProof/>
          <w:sz w:val="24"/>
          <w:szCs w:val="24"/>
        </w:rPr>
      </w:pPr>
      <w:r>
        <w:rPr>
          <w:rFonts w:ascii="Times New Roman" w:hAnsi="Times New Roman"/>
          <w:b/>
          <w:i/>
          <w:noProof/>
          <w:sz w:val="24"/>
        </w:rPr>
        <w:t>Въздушен транспорт</w:t>
      </w:r>
    </w:p>
    <w:p w:rsidR="00B6759C" w:rsidRDefault="008731AA">
      <w:pPr>
        <w:spacing w:before="240" w:after="200"/>
        <w:jc w:val="both"/>
        <w:rPr>
          <w:rFonts w:ascii="Times New Roman" w:eastAsia="Times New Roman" w:hAnsi="Times New Roman"/>
          <w:noProof/>
          <w:sz w:val="24"/>
          <w:szCs w:val="24"/>
        </w:rPr>
      </w:pPr>
      <w:r>
        <w:rPr>
          <w:rFonts w:ascii="Times New Roman" w:hAnsi="Times New Roman"/>
          <w:noProof/>
          <w:sz w:val="24"/>
        </w:rPr>
        <w:t xml:space="preserve">Ако Споразумението за </w:t>
      </w:r>
      <w:r>
        <w:rPr>
          <w:rFonts w:ascii="Times New Roman" w:hAnsi="Times New Roman"/>
          <w:noProof/>
          <w:sz w:val="24"/>
        </w:rPr>
        <w:t>оттегляне не бъде ратифицирано, въздушният трафик между ЕС и Обединеното кралство ще бъде прекъснат, считано от датата на оттегляне. Комисията прие днес две временни мерки, за да се предотврати пълното прекъсване на въздушния трафик между Съюза и Обединено</w:t>
      </w:r>
      <w:r>
        <w:rPr>
          <w:rFonts w:ascii="Times New Roman" w:hAnsi="Times New Roman"/>
          <w:noProof/>
          <w:sz w:val="24"/>
        </w:rPr>
        <w:t>то кралство и за да се осигурят основни въздушни връзки:</w:t>
      </w:r>
    </w:p>
    <w:p w:rsidR="00B6759C" w:rsidRDefault="008731AA">
      <w:pPr>
        <w:pStyle w:val="ListParagraph"/>
        <w:numPr>
          <w:ilvl w:val="0"/>
          <w:numId w:val="4"/>
        </w:numPr>
        <w:spacing w:before="100" w:beforeAutospacing="1" w:after="120"/>
        <w:rPr>
          <w:rFonts w:ascii="Times New Roman" w:eastAsia="Times New Roman" w:hAnsi="Times New Roman"/>
          <w:noProof/>
          <w:sz w:val="24"/>
          <w:szCs w:val="24"/>
        </w:rPr>
      </w:pPr>
      <w:r>
        <w:rPr>
          <w:rFonts w:ascii="Times New Roman" w:hAnsi="Times New Roman"/>
          <w:noProof/>
          <w:sz w:val="24"/>
        </w:rPr>
        <w:t>Предложение за регламент</w:t>
      </w:r>
      <w:r>
        <w:rPr>
          <w:rStyle w:val="EndnoteReference"/>
          <w:rFonts w:ascii="Times New Roman" w:hAnsi="Times New Roman"/>
          <w:noProof/>
          <w:sz w:val="24"/>
        </w:rPr>
        <w:endnoteReference w:id="6"/>
      </w:r>
      <w:r>
        <w:rPr>
          <w:rFonts w:ascii="Times New Roman" w:hAnsi="Times New Roman"/>
          <w:noProof/>
          <w:sz w:val="24"/>
        </w:rPr>
        <w:t xml:space="preserve"> за временно гарантиране за период от 12 месеца на </w:t>
      </w:r>
      <w:r>
        <w:rPr>
          <w:rFonts w:ascii="Times New Roman" w:hAnsi="Times New Roman"/>
          <w:b/>
          <w:noProof/>
          <w:sz w:val="24"/>
        </w:rPr>
        <w:t>предоставянето на някои въздушни услуги между Обединеното кралство и държавите — членки на ЕС-27</w:t>
      </w:r>
      <w:r>
        <w:rPr>
          <w:rFonts w:ascii="Times New Roman" w:hAnsi="Times New Roman"/>
          <w:noProof/>
          <w:sz w:val="24"/>
        </w:rPr>
        <w:t>, което ще позволи на възду</w:t>
      </w:r>
      <w:r>
        <w:rPr>
          <w:rFonts w:ascii="Times New Roman" w:hAnsi="Times New Roman"/>
          <w:noProof/>
          <w:sz w:val="24"/>
        </w:rPr>
        <w:t>шните превозвачи от Обединеното кралство да прелитат над територията на Съюза, без да кацат, да спират в Съюза с нетърговска цел и да извършват услуги по редовен и извънреден международен въздушен транспорт на пътници и товари. Това зависи от условието Обе</w:t>
      </w:r>
      <w:r>
        <w:rPr>
          <w:rFonts w:ascii="Times New Roman" w:hAnsi="Times New Roman"/>
          <w:noProof/>
          <w:sz w:val="24"/>
        </w:rPr>
        <w:t xml:space="preserve">диненото кралство да предостави еквивалентни права на въздушните превозвачи от Съюза, както и от условието Обединеното кралство да осигури условия за лоялна конкуренция. </w:t>
      </w:r>
    </w:p>
    <w:p w:rsidR="00B6759C" w:rsidRDefault="008731AA">
      <w:pPr>
        <w:pStyle w:val="ListParagraph"/>
        <w:numPr>
          <w:ilvl w:val="0"/>
          <w:numId w:val="4"/>
        </w:numPr>
        <w:spacing w:before="100" w:beforeAutospacing="1" w:after="120"/>
        <w:ind w:left="714" w:hanging="357"/>
        <w:rPr>
          <w:rFonts w:ascii="Times New Roman" w:eastAsia="Times New Roman" w:hAnsi="Times New Roman"/>
          <w:noProof/>
          <w:sz w:val="24"/>
          <w:szCs w:val="24"/>
        </w:rPr>
      </w:pPr>
      <w:r>
        <w:rPr>
          <w:rFonts w:ascii="Times New Roman" w:hAnsi="Times New Roman"/>
          <w:noProof/>
          <w:sz w:val="24"/>
        </w:rPr>
        <w:t>Предложение за регламент</w:t>
      </w:r>
      <w:r>
        <w:rPr>
          <w:rStyle w:val="EndnoteReference"/>
          <w:rFonts w:ascii="Times New Roman" w:hAnsi="Times New Roman"/>
          <w:noProof/>
          <w:sz w:val="24"/>
        </w:rPr>
        <w:endnoteReference w:id="7"/>
      </w:r>
      <w:r>
        <w:rPr>
          <w:rFonts w:ascii="Times New Roman" w:hAnsi="Times New Roman"/>
          <w:noProof/>
          <w:sz w:val="24"/>
        </w:rPr>
        <w:t xml:space="preserve"> относно </w:t>
      </w:r>
      <w:r>
        <w:rPr>
          <w:rFonts w:ascii="Times New Roman" w:hAnsi="Times New Roman"/>
          <w:b/>
          <w:noProof/>
          <w:sz w:val="24"/>
        </w:rPr>
        <w:t>авиационната безопасност</w:t>
      </w:r>
      <w:r>
        <w:rPr>
          <w:rFonts w:ascii="Times New Roman" w:hAnsi="Times New Roman"/>
          <w:noProof/>
          <w:sz w:val="24"/>
        </w:rPr>
        <w:t xml:space="preserve"> за временно удължаване за </w:t>
      </w:r>
      <w:r>
        <w:rPr>
          <w:rFonts w:ascii="Times New Roman" w:hAnsi="Times New Roman"/>
          <w:noProof/>
          <w:sz w:val="24"/>
        </w:rPr>
        <w:t>9 месеца на валидността на някои действащи лицензи с цел справяне с конкретната ситуация в областта на авиационната безопасност, при която Агенцията на Европейския съюз за авиационна безопасност (EASA) може да издава само някои сертификати въз основа на ли</w:t>
      </w:r>
      <w:r>
        <w:rPr>
          <w:rFonts w:ascii="Times New Roman" w:hAnsi="Times New Roman"/>
          <w:noProof/>
          <w:sz w:val="24"/>
        </w:rPr>
        <w:t>ценз, издаден в трета държава, докато Обединеното кралство може само да издава лицензи, считано от датата на оттегляне, когато бъде възстановен статутът му на държава на проектиране.</w:t>
      </w:r>
    </w:p>
    <w:p w:rsidR="00B6759C" w:rsidRDefault="008731AA">
      <w:pPr>
        <w:spacing w:before="100" w:beforeAutospacing="1" w:after="240"/>
        <w:jc w:val="both"/>
        <w:rPr>
          <w:rFonts w:ascii="Times New Roman" w:eastAsia="Times New Roman" w:hAnsi="Times New Roman"/>
          <w:noProof/>
          <w:sz w:val="24"/>
          <w:szCs w:val="24"/>
        </w:rPr>
      </w:pPr>
      <w:r>
        <w:rPr>
          <w:rFonts w:ascii="Times New Roman" w:hAnsi="Times New Roman"/>
          <w:noProof/>
          <w:sz w:val="24"/>
        </w:rPr>
        <w:t xml:space="preserve">Необходими и възможни са единствено извънредни мерки на равнището на ЕС, </w:t>
      </w:r>
      <w:r>
        <w:rPr>
          <w:rFonts w:ascii="Times New Roman" w:hAnsi="Times New Roman"/>
          <w:noProof/>
          <w:sz w:val="24"/>
        </w:rPr>
        <w:t>за да се осигури нужната правна уредба за предотвратяване на прекъсването на дейностите в областта на въздушния транспорт</w:t>
      </w:r>
      <w:r>
        <w:rPr>
          <w:rStyle w:val="FootnoteReference"/>
          <w:rFonts w:ascii="Times New Roman" w:hAnsi="Times New Roman"/>
          <w:noProof/>
        </w:rPr>
        <w:footnoteReference w:id="19"/>
      </w:r>
      <w:r>
        <w:rPr>
          <w:rFonts w:ascii="Times New Roman" w:hAnsi="Times New Roman"/>
          <w:noProof/>
          <w:sz w:val="24"/>
        </w:rPr>
        <w:t>. Не са необходими допълнителни национални мерки.</w:t>
      </w:r>
    </w:p>
    <w:p w:rsidR="00B6759C" w:rsidRDefault="008731AA">
      <w:pPr>
        <w:keepNext/>
        <w:spacing w:before="360" w:after="240"/>
        <w:rPr>
          <w:rFonts w:ascii="Times New Roman" w:hAnsi="Times New Roman"/>
          <w:b/>
          <w:i/>
          <w:noProof/>
          <w:sz w:val="24"/>
          <w:szCs w:val="24"/>
        </w:rPr>
      </w:pPr>
      <w:r>
        <w:rPr>
          <w:rFonts w:ascii="Times New Roman" w:hAnsi="Times New Roman"/>
          <w:b/>
          <w:i/>
          <w:noProof/>
          <w:sz w:val="24"/>
        </w:rPr>
        <w:t>Автомобилен превоз на товари</w:t>
      </w:r>
    </w:p>
    <w:p w:rsidR="00B6759C" w:rsidRDefault="008731AA">
      <w:pPr>
        <w:spacing w:before="240" w:after="240"/>
        <w:jc w:val="both"/>
        <w:rPr>
          <w:rFonts w:ascii="Times New Roman" w:hAnsi="Times New Roman"/>
          <w:noProof/>
          <w:sz w:val="24"/>
          <w:szCs w:val="24"/>
        </w:rPr>
      </w:pPr>
      <w:r>
        <w:rPr>
          <w:rFonts w:ascii="Times New Roman" w:hAnsi="Times New Roman"/>
          <w:noProof/>
          <w:sz w:val="24"/>
        </w:rPr>
        <w:t xml:space="preserve">Ако Споразумението за оттегляне не бъде ратифицирано, автомобилният превоз на товари между ЕС и Обединеното кралство ще бъде сериозно ограничен до международна система от ограничени квоти. Комисията прие днес мярка за гарантирането на основни връзки. Това </w:t>
      </w:r>
      <w:r>
        <w:rPr>
          <w:rFonts w:ascii="Times New Roman" w:hAnsi="Times New Roman"/>
          <w:noProof/>
          <w:sz w:val="24"/>
        </w:rPr>
        <w:t xml:space="preserve">ще позволи на операторите от Обединеното кралство временно да внасят стоки в Съюза, при положение че Обединеното кралство предостави еквивалентни права на операторите на автомобилен превоз на товари от Съюза и при условия, гарантиращи лоялна конкуренция: </w:t>
      </w:r>
    </w:p>
    <w:p w:rsidR="00B6759C" w:rsidRDefault="008731AA">
      <w:pPr>
        <w:pStyle w:val="ListParagraph"/>
        <w:numPr>
          <w:ilvl w:val="0"/>
          <w:numId w:val="43"/>
        </w:numPr>
        <w:spacing w:before="240" w:after="240"/>
        <w:jc w:val="both"/>
        <w:rPr>
          <w:rFonts w:ascii="Times New Roman" w:eastAsia="Times New Roman" w:hAnsi="Times New Roman"/>
          <w:noProof/>
          <w:sz w:val="24"/>
          <w:szCs w:val="24"/>
        </w:rPr>
      </w:pPr>
      <w:r>
        <w:rPr>
          <w:rFonts w:ascii="Times New Roman" w:hAnsi="Times New Roman"/>
          <w:noProof/>
          <w:sz w:val="24"/>
        </w:rPr>
        <w:t>Предложение за регламент</w:t>
      </w:r>
      <w:r>
        <w:rPr>
          <w:rStyle w:val="EndnoteReference"/>
          <w:rFonts w:ascii="Times New Roman" w:hAnsi="Times New Roman"/>
          <w:noProof/>
          <w:sz w:val="24"/>
        </w:rPr>
        <w:endnoteReference w:id="8"/>
      </w:r>
      <w:r>
        <w:rPr>
          <w:rFonts w:ascii="Times New Roman" w:hAnsi="Times New Roman"/>
          <w:noProof/>
          <w:sz w:val="24"/>
        </w:rPr>
        <w:t xml:space="preserve"> за временно разрешаване за период от 9 месеца на достъп на лицензирани в Обединеното кралство автомобилни превозвачи на товари до автомобилно превозване на товари между територията на Обединеното кралство и държавите — членки на Е</w:t>
      </w:r>
      <w:r>
        <w:rPr>
          <w:rFonts w:ascii="Times New Roman" w:hAnsi="Times New Roman"/>
          <w:noProof/>
          <w:sz w:val="24"/>
        </w:rPr>
        <w:t xml:space="preserve">С-27. </w:t>
      </w:r>
    </w:p>
    <w:p w:rsidR="00B6759C" w:rsidRDefault="008731AA">
      <w:pPr>
        <w:spacing w:before="240" w:after="240"/>
        <w:jc w:val="both"/>
        <w:rPr>
          <w:rFonts w:ascii="Times New Roman" w:eastAsia="Times New Roman" w:hAnsi="Times New Roman"/>
          <w:noProof/>
          <w:sz w:val="24"/>
          <w:szCs w:val="24"/>
        </w:rPr>
      </w:pPr>
      <w:r>
        <w:rPr>
          <w:rFonts w:ascii="Times New Roman" w:hAnsi="Times New Roman"/>
          <w:noProof/>
          <w:sz w:val="24"/>
        </w:rPr>
        <w:t xml:space="preserve">Необходими са извънредни действия на равнището на ЕС, за да се осигури нужната правна уредба в областта на автомобилния превоз на товари. Законодателството на ЕС замени старите двустранни споразумения относно правата за автомобилен превоз на товари </w:t>
      </w:r>
      <w:r>
        <w:rPr>
          <w:rFonts w:ascii="Times New Roman" w:hAnsi="Times New Roman"/>
          <w:noProof/>
          <w:sz w:val="24"/>
        </w:rPr>
        <w:t>и тези споразумения не могат да бъдат възобновени. Всяко ново двустранно споразумение ще породи въпроси за компетентността и няма да позволи оператор от друга държава членка да извършва автомобилен превоз на товари към Обединеното кралство (транспорт между</w:t>
      </w:r>
      <w:r>
        <w:rPr>
          <w:rFonts w:ascii="Times New Roman" w:hAnsi="Times New Roman"/>
          <w:noProof/>
          <w:sz w:val="24"/>
        </w:rPr>
        <w:t xml:space="preserve"> трети държави). Следователно двустранните споразумения не са практично решение. </w:t>
      </w:r>
    </w:p>
    <w:p w:rsidR="00B6759C" w:rsidRDefault="008731AA">
      <w:pPr>
        <w:keepNext/>
        <w:spacing w:before="360" w:after="240"/>
        <w:rPr>
          <w:rFonts w:ascii="Times New Roman" w:eastAsia="Times New Roman" w:hAnsi="Times New Roman"/>
          <w:b/>
          <w:i/>
          <w:noProof/>
          <w:sz w:val="24"/>
          <w:szCs w:val="24"/>
        </w:rPr>
      </w:pPr>
      <w:r>
        <w:rPr>
          <w:rFonts w:ascii="Times New Roman" w:hAnsi="Times New Roman"/>
          <w:b/>
          <w:i/>
          <w:noProof/>
          <w:sz w:val="24"/>
        </w:rPr>
        <w:t>Митници и износ на стоки</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Ако Споразумението за оттегляне не бъде ратифицирано, цялото законодателство на ЕС относно внесените и изнесените стоки ще се прилага, считано от дат</w:t>
      </w:r>
      <w:r>
        <w:rPr>
          <w:rFonts w:ascii="Times New Roman" w:hAnsi="Times New Roman"/>
          <w:noProof/>
          <w:sz w:val="24"/>
        </w:rPr>
        <w:t xml:space="preserve">ата на оттегляне. Това включва събирането на мита и такси, спазването на формалности и извършването на контрол, изисквани от действащата правна уредба с цел да се осигурят еднакви условия на конкуренция. </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Действията на държавите членки продължават да бъдат</w:t>
      </w:r>
      <w:r>
        <w:rPr>
          <w:rFonts w:ascii="Times New Roman" w:hAnsi="Times New Roman"/>
          <w:noProof/>
          <w:sz w:val="24"/>
        </w:rPr>
        <w:t xml:space="preserve"> от основно значение. Държавите членки трябва да предприемат всички необходими действия, за да могат от датата на оттеглянето, в случай че Споразумението за оттегляне не бъде ратифицирано, да прилагат Митническия кодекс на Съюза и съответните правила относ</w:t>
      </w:r>
      <w:r>
        <w:rPr>
          <w:rFonts w:ascii="Times New Roman" w:hAnsi="Times New Roman"/>
          <w:noProof/>
          <w:sz w:val="24"/>
        </w:rPr>
        <w:t>но косвеното данъчно облагане към целия внос от Обединеното кралство и целия износ към Обединеното кралство. Те следва да използват съществуващите възможности, за да издават разрешения за мерки за улесняване, предвидени в Митническия кодекс на Съюза. По вр</w:t>
      </w:r>
      <w:r>
        <w:rPr>
          <w:rFonts w:ascii="Times New Roman" w:hAnsi="Times New Roman"/>
          <w:noProof/>
          <w:sz w:val="24"/>
        </w:rPr>
        <w:t>еме на срещите си с държавите членки Комисията предостави подробна информация за наличните възможности по силата на Митническия кодекс на Съюза.</w:t>
      </w:r>
    </w:p>
    <w:p w:rsidR="00B6759C" w:rsidRDefault="008731AA">
      <w:pPr>
        <w:spacing w:before="240" w:after="120"/>
        <w:jc w:val="both"/>
        <w:rPr>
          <w:rFonts w:ascii="Times New Roman" w:eastAsia="Times New Roman" w:hAnsi="Times New Roman"/>
          <w:noProof/>
          <w:sz w:val="24"/>
          <w:szCs w:val="24"/>
        </w:rPr>
      </w:pPr>
      <w:r>
        <w:rPr>
          <w:rFonts w:ascii="Times New Roman" w:hAnsi="Times New Roman"/>
          <w:noProof/>
          <w:sz w:val="24"/>
        </w:rPr>
        <w:t xml:space="preserve">Комисията също така прие днес следната техническа мярка: </w:t>
      </w:r>
    </w:p>
    <w:p w:rsidR="00B6759C" w:rsidRDefault="008731AA">
      <w:pPr>
        <w:pStyle w:val="ListParagraph"/>
        <w:numPr>
          <w:ilvl w:val="0"/>
          <w:numId w:val="42"/>
        </w:numPr>
        <w:spacing w:before="240" w:after="120"/>
        <w:jc w:val="both"/>
        <w:rPr>
          <w:rFonts w:ascii="Times New Roman" w:eastAsia="Times New Roman" w:hAnsi="Times New Roman"/>
          <w:noProof/>
          <w:sz w:val="24"/>
          <w:szCs w:val="24"/>
        </w:rPr>
      </w:pPr>
      <w:r>
        <w:rPr>
          <w:rFonts w:ascii="Times New Roman" w:hAnsi="Times New Roman"/>
          <w:noProof/>
          <w:sz w:val="24"/>
        </w:rPr>
        <w:t>Делегиран регламент</w:t>
      </w:r>
      <w:r>
        <w:rPr>
          <w:rStyle w:val="EndnoteReference"/>
          <w:rFonts w:ascii="Times New Roman" w:hAnsi="Times New Roman"/>
          <w:noProof/>
          <w:sz w:val="24"/>
        </w:rPr>
        <w:endnoteReference w:id="9"/>
      </w:r>
      <w:r>
        <w:rPr>
          <w:rFonts w:ascii="Times New Roman" w:hAnsi="Times New Roman"/>
          <w:noProof/>
          <w:sz w:val="24"/>
        </w:rPr>
        <w:t xml:space="preserve"> за включване на моретата, огражд</w:t>
      </w:r>
      <w:r>
        <w:rPr>
          <w:rFonts w:ascii="Times New Roman" w:hAnsi="Times New Roman"/>
          <w:noProof/>
          <w:sz w:val="24"/>
        </w:rPr>
        <w:t>ащи Обединеното кралство, в разпоредбите относно сроковете, в които трябва да бъдат подадени обобщени декларации за въвеждане и предварителни декларации за заминаване преди влизане на митническата територия на Съюза или излизане от нея.</w:t>
      </w:r>
    </w:p>
    <w:p w:rsidR="00B6759C" w:rsidRDefault="008731AA">
      <w:pPr>
        <w:pStyle w:val="NormalWeb"/>
        <w:spacing w:before="360" w:after="240"/>
        <w:jc w:val="both"/>
        <w:rPr>
          <w:noProof/>
        </w:rPr>
      </w:pPr>
      <w:r>
        <w:rPr>
          <w:noProof/>
        </w:rPr>
        <w:t xml:space="preserve">Ако Споразумението </w:t>
      </w:r>
      <w:r>
        <w:rPr>
          <w:noProof/>
        </w:rPr>
        <w:t xml:space="preserve">за оттегляне не бъде ратифицирано, за </w:t>
      </w:r>
      <w:r>
        <w:rPr>
          <w:b/>
          <w:noProof/>
        </w:rPr>
        <w:t>износа на изделия с двойна употреба</w:t>
      </w:r>
      <w:r>
        <w:rPr>
          <w:noProof/>
        </w:rPr>
        <w:t xml:space="preserve"> от ЕС към Обединеното кралство ще се изискват индивидуални лицензи, считано от датата на оттегляне. Изделията с двойна употреба са стоки, софтуер и технологии, които могат да бъдат използвани както за граждански, така и за военни цели. Съюзът контролира и</w:t>
      </w:r>
      <w:r>
        <w:rPr>
          <w:noProof/>
        </w:rPr>
        <w:t>зноса, транзита и брокерската дейност по отношение на изделия с двойна употреба с цел принос към международния мир и сигурност и предотвратяване на разпространението на оръжия за масово унищожение. Генералните разрешения на Съюза за износ позволяват при оп</w:t>
      </w:r>
      <w:r>
        <w:rPr>
          <w:noProof/>
        </w:rPr>
        <w:t>ределени условия износа на изделия с двойна употреба за определени местоназначения</w:t>
      </w:r>
      <w:r>
        <w:rPr>
          <w:rStyle w:val="FootnoteReference"/>
          <w:noProof/>
        </w:rPr>
        <w:footnoteReference w:id="20"/>
      </w:r>
      <w:r>
        <w:rPr>
          <w:noProof/>
        </w:rPr>
        <w:t xml:space="preserve">. За да улесни контрола на износа на изделия с двойна употреба за Обединеното кралство, считано от датата на оттегляне, ако Споразумението за оттегляне не е ратифицирано, и </w:t>
      </w:r>
      <w:r>
        <w:rPr>
          <w:noProof/>
        </w:rPr>
        <w:t>за да осигури доброто функциониране на разрешителния режим за износ за всичките 27 държави — членки на ЕС, Комисията прие следния акт:</w:t>
      </w:r>
    </w:p>
    <w:p w:rsidR="00B6759C" w:rsidRDefault="008731AA">
      <w:pPr>
        <w:pStyle w:val="NormalWeb"/>
        <w:numPr>
          <w:ilvl w:val="0"/>
          <w:numId w:val="36"/>
        </w:numPr>
        <w:ind w:left="714" w:hanging="357"/>
        <w:jc w:val="both"/>
        <w:rPr>
          <w:noProof/>
        </w:rPr>
      </w:pPr>
      <w:r>
        <w:rPr>
          <w:noProof/>
        </w:rPr>
        <w:t>Предложение за регламент</w:t>
      </w:r>
      <w:r>
        <w:rPr>
          <w:rStyle w:val="EndnoteReference"/>
          <w:noProof/>
        </w:rPr>
        <w:endnoteReference w:id="10"/>
      </w:r>
      <w:r>
        <w:rPr>
          <w:noProof/>
        </w:rPr>
        <w:t xml:space="preserve"> за добавяне на Обединеното кралство в списъка на държавите, за които се прилага генерално разре</w:t>
      </w:r>
      <w:r>
        <w:rPr>
          <w:noProof/>
        </w:rPr>
        <w:t>шение за износ на изделия с двойна употреба, валидно за целия ЕС.</w:t>
      </w:r>
    </w:p>
    <w:p w:rsidR="00B6759C" w:rsidRDefault="008731AA">
      <w:pPr>
        <w:keepNext/>
        <w:spacing w:before="360" w:after="240"/>
        <w:jc w:val="both"/>
        <w:rPr>
          <w:rFonts w:ascii="Times New Roman" w:eastAsia="Times New Roman" w:hAnsi="Times New Roman"/>
          <w:noProof/>
          <w:sz w:val="24"/>
          <w:szCs w:val="24"/>
        </w:rPr>
      </w:pPr>
      <w:r>
        <w:rPr>
          <w:rFonts w:ascii="Times New Roman" w:hAnsi="Times New Roman"/>
          <w:b/>
          <w:i/>
          <w:noProof/>
          <w:sz w:val="24"/>
        </w:rPr>
        <w:t>Политика на Европейския съюз в областта на климата</w:t>
      </w:r>
    </w:p>
    <w:p w:rsidR="00B6759C" w:rsidRDefault="008731AA">
      <w:pPr>
        <w:pStyle w:val="NormalWeb"/>
        <w:spacing w:after="240"/>
        <w:jc w:val="both"/>
        <w:rPr>
          <w:noProof/>
        </w:rPr>
      </w:pPr>
      <w:r>
        <w:rPr>
          <w:noProof/>
        </w:rPr>
        <w:t>Политиката на Европейския съюз в областта на климата се състои от различни инструменти, по-специално системата за търговия с емисии, и сист</w:t>
      </w:r>
      <w:r>
        <w:rPr>
          <w:noProof/>
        </w:rPr>
        <w:t xml:space="preserve">ема от квоти за пускането на пазара на флуоровъглеводороди. </w:t>
      </w:r>
      <w:r>
        <w:rPr>
          <w:b/>
          <w:noProof/>
        </w:rPr>
        <w:t>Системата за търговия с емисии</w:t>
      </w:r>
      <w:r>
        <w:rPr>
          <w:noProof/>
        </w:rPr>
        <w:t xml:space="preserve"> функционира на базата на пазарни механизми за предлагането на квоти за емисии. Ако Споразумението за оттегляне не бъде ратифицирано, Обединеното кралство вече няма д</w:t>
      </w:r>
      <w:r>
        <w:rPr>
          <w:noProof/>
        </w:rPr>
        <w:t>а участва в системата и квотите, които е предоставило, могат да доведат до свръхпредлагане. За да предотврати нарушаването на пазара, което би се получило, и за да осигури безпроблемното функциониране и екологосъобразността на системата за търговия с емиси</w:t>
      </w:r>
      <w:r>
        <w:rPr>
          <w:noProof/>
        </w:rPr>
        <w:t>и, Комисията прие следния акт:</w:t>
      </w:r>
    </w:p>
    <w:p w:rsidR="00B6759C" w:rsidRDefault="008731AA">
      <w:pPr>
        <w:pStyle w:val="NormalWeb"/>
        <w:numPr>
          <w:ilvl w:val="0"/>
          <w:numId w:val="36"/>
        </w:numPr>
        <w:spacing w:before="120" w:after="120"/>
        <w:jc w:val="both"/>
        <w:rPr>
          <w:noProof/>
        </w:rPr>
      </w:pPr>
      <w:r>
        <w:rPr>
          <w:noProof/>
        </w:rPr>
        <w:t>Решение на Комисията</w:t>
      </w:r>
      <w:r>
        <w:rPr>
          <w:rStyle w:val="EndnoteReference"/>
          <w:noProof/>
        </w:rPr>
        <w:endnoteReference w:id="11"/>
      </w:r>
      <w:r>
        <w:rPr>
          <w:noProof/>
        </w:rPr>
        <w:t xml:space="preserve"> за </w:t>
      </w:r>
      <w:r>
        <w:rPr>
          <w:b/>
          <w:noProof/>
        </w:rPr>
        <w:t>временно спиране</w:t>
      </w:r>
      <w:r>
        <w:rPr>
          <w:noProof/>
        </w:rPr>
        <w:t xml:space="preserve"> за Обединеното кралство на безплатното разпределяне на квоти за емисии, тръжната продажба и обмена на международни кредити, считано от 1 януари 2019 г.</w:t>
      </w:r>
    </w:p>
    <w:p w:rsidR="00B6759C" w:rsidRDefault="008731AA">
      <w:pPr>
        <w:pStyle w:val="NormalWeb"/>
        <w:spacing w:before="240" w:after="240"/>
        <w:jc w:val="both"/>
        <w:rPr>
          <w:noProof/>
        </w:rPr>
      </w:pPr>
      <w:r>
        <w:rPr>
          <w:noProof/>
        </w:rPr>
        <w:t xml:space="preserve">Освен това, ако Споразумението </w:t>
      </w:r>
      <w:r>
        <w:rPr>
          <w:noProof/>
        </w:rPr>
        <w:t xml:space="preserve">за оттегляне не бъде ратифицирано, Обединеното кралство вече няма да участва в системата от квоти за пускането на пазара на </w:t>
      </w:r>
      <w:r>
        <w:rPr>
          <w:b/>
          <w:noProof/>
        </w:rPr>
        <w:t>флуоровъглеводороди</w:t>
      </w:r>
      <w:r>
        <w:rPr>
          <w:noProof/>
        </w:rPr>
        <w:t xml:space="preserve">. Поради тази причина Комисията прие следните мерки: </w:t>
      </w:r>
    </w:p>
    <w:p w:rsidR="00B6759C" w:rsidRDefault="008731AA">
      <w:pPr>
        <w:pStyle w:val="NormalWeb"/>
        <w:numPr>
          <w:ilvl w:val="0"/>
          <w:numId w:val="36"/>
        </w:numPr>
        <w:spacing w:before="120" w:after="120"/>
        <w:ind w:left="714" w:hanging="357"/>
        <w:jc w:val="both"/>
        <w:rPr>
          <w:noProof/>
        </w:rPr>
      </w:pPr>
      <w:r>
        <w:rPr>
          <w:noProof/>
        </w:rPr>
        <w:t>Решение за изпълнение</w:t>
      </w:r>
      <w:r>
        <w:rPr>
          <w:rStyle w:val="EndnoteReference"/>
          <w:noProof/>
        </w:rPr>
        <w:endnoteReference w:id="12"/>
      </w:r>
      <w:r>
        <w:rPr>
          <w:noProof/>
        </w:rPr>
        <w:t xml:space="preserve"> с цел целесъобразно разпределение на годишните квоти за дружества от Обединеното кралство, за да могат те да имат достъп до пазара на ЕС-27.</w:t>
      </w:r>
    </w:p>
    <w:p w:rsidR="00B6759C" w:rsidRDefault="008731AA">
      <w:pPr>
        <w:pStyle w:val="NormalWeb"/>
        <w:numPr>
          <w:ilvl w:val="0"/>
          <w:numId w:val="25"/>
        </w:numPr>
        <w:spacing w:before="120" w:after="120"/>
        <w:ind w:left="714" w:hanging="357"/>
        <w:jc w:val="both"/>
        <w:rPr>
          <w:noProof/>
        </w:rPr>
      </w:pPr>
      <w:r>
        <w:rPr>
          <w:noProof/>
        </w:rPr>
        <w:t>Регламент за изпълнение</w:t>
      </w:r>
      <w:r>
        <w:rPr>
          <w:rStyle w:val="EndnoteReference"/>
          <w:noProof/>
        </w:rPr>
        <w:endnoteReference w:id="13"/>
      </w:r>
      <w:r>
        <w:rPr>
          <w:noProof/>
        </w:rPr>
        <w:t>, с който се гарантира, че при отчитането по дружества се прави разлика между пазара на ЕС</w:t>
      </w:r>
      <w:r>
        <w:rPr>
          <w:noProof/>
        </w:rPr>
        <w:t xml:space="preserve"> и пазара на Обединеното кралство с цел да се даде възможност за правилно разпределение на квотите в бъдеще. </w:t>
      </w:r>
    </w:p>
    <w:p w:rsidR="00B6759C" w:rsidRDefault="008731AA">
      <w:pPr>
        <w:pStyle w:val="NormalWeb"/>
        <w:keepNext/>
        <w:spacing w:before="360" w:after="240"/>
        <w:jc w:val="both"/>
        <w:rPr>
          <w:b/>
          <w:i/>
          <w:noProof/>
        </w:rPr>
      </w:pPr>
      <w:r>
        <w:rPr>
          <w:b/>
          <w:i/>
          <w:noProof/>
        </w:rPr>
        <w:t>Други сектори</w:t>
      </w:r>
    </w:p>
    <w:p w:rsidR="00B6759C" w:rsidRDefault="008731AA">
      <w:pPr>
        <w:pStyle w:val="NormalWeb"/>
        <w:spacing w:after="240"/>
        <w:jc w:val="both"/>
        <w:rPr>
          <w:noProof/>
        </w:rPr>
      </w:pPr>
      <w:r>
        <w:rPr>
          <w:noProof/>
        </w:rPr>
        <w:t xml:space="preserve">Комисията потвърждава ангажимента си да гарантира, че </w:t>
      </w:r>
      <w:r>
        <w:rPr>
          <w:b/>
          <w:noProof/>
        </w:rPr>
        <w:t>текущите програми между граничните части на Ирландия и Северна Ирландия</w:t>
      </w:r>
      <w:r>
        <w:rPr>
          <w:noProof/>
        </w:rPr>
        <w:t xml:space="preserve"> продъл</w:t>
      </w:r>
      <w:r>
        <w:rPr>
          <w:noProof/>
        </w:rPr>
        <w:t>жават при всички сценарии с оглед на специалното значение на регионалното сътрудничество в района. За тази цел Комисията прие днес следния акт:</w:t>
      </w:r>
    </w:p>
    <w:p w:rsidR="00B6759C" w:rsidRDefault="008731AA">
      <w:pPr>
        <w:pStyle w:val="NormalWeb"/>
        <w:numPr>
          <w:ilvl w:val="0"/>
          <w:numId w:val="37"/>
        </w:numPr>
        <w:jc w:val="both"/>
        <w:rPr>
          <w:noProof/>
        </w:rPr>
      </w:pPr>
      <w:r>
        <w:rPr>
          <w:noProof/>
        </w:rPr>
        <w:t>Предложение за регламент</w:t>
      </w:r>
      <w:r>
        <w:rPr>
          <w:rStyle w:val="EndnoteReference"/>
          <w:noProof/>
        </w:rPr>
        <w:endnoteReference w:id="14"/>
      </w:r>
      <w:r>
        <w:rPr>
          <w:noProof/>
        </w:rPr>
        <w:t xml:space="preserve"> с цел осигуряване на продължаването на програмите PEACE IV (между Ирландия и Обединено</w:t>
      </w:r>
      <w:r>
        <w:rPr>
          <w:noProof/>
        </w:rPr>
        <w:t xml:space="preserve">то кралство) и „Обединено кралство—Ирландия“ (Ирландия–Северна Ирландия–Шотландия) до края на 2020 г. </w:t>
      </w:r>
    </w:p>
    <w:p w:rsidR="00B6759C" w:rsidRDefault="008731AA">
      <w:pPr>
        <w:pStyle w:val="NormalWeb"/>
        <w:spacing w:before="240" w:after="240"/>
        <w:jc w:val="both"/>
        <w:rPr>
          <w:noProof/>
        </w:rPr>
      </w:pPr>
      <w:r>
        <w:rPr>
          <w:noProof/>
        </w:rPr>
        <w:t>Комисията подчерта, че за следващата многогодишна финансова рамка тя е предложила трансграничната подкрепа за мир и помирение в граничните части на Ирлан</w:t>
      </w:r>
      <w:r>
        <w:rPr>
          <w:noProof/>
        </w:rPr>
        <w:t>дия и Северна Ирландия да бъде продължена и засилена</w:t>
      </w:r>
      <w:r>
        <w:rPr>
          <w:rStyle w:val="FootnoteReference"/>
          <w:noProof/>
        </w:rPr>
        <w:footnoteReference w:id="21"/>
      </w:r>
      <w:r>
        <w:rPr>
          <w:noProof/>
        </w:rPr>
        <w:t>.</w:t>
      </w:r>
    </w:p>
    <w:p w:rsidR="00B6759C" w:rsidRDefault="008731AA">
      <w:pPr>
        <w:pStyle w:val="NormalWeb"/>
        <w:spacing w:before="240" w:after="240"/>
        <w:jc w:val="both"/>
        <w:rPr>
          <w:noProof/>
        </w:rPr>
      </w:pPr>
      <w:r>
        <w:rPr>
          <w:noProof/>
        </w:rPr>
        <w:t xml:space="preserve">И накрая, вследствие на оттеглянето на Обединеното кралство са необходими някои адаптации на правилата относно </w:t>
      </w:r>
      <w:r>
        <w:rPr>
          <w:b/>
          <w:noProof/>
        </w:rPr>
        <w:t>статистиката</w:t>
      </w:r>
      <w:r>
        <w:rPr>
          <w:noProof/>
        </w:rPr>
        <w:t>. В тази връзка Комисията прие днес следния акт:</w:t>
      </w:r>
    </w:p>
    <w:p w:rsidR="00B6759C" w:rsidRDefault="008731AA">
      <w:pPr>
        <w:pStyle w:val="NormalWeb"/>
        <w:numPr>
          <w:ilvl w:val="0"/>
          <w:numId w:val="37"/>
        </w:numPr>
        <w:jc w:val="both"/>
        <w:rPr>
          <w:noProof/>
        </w:rPr>
      </w:pPr>
      <w:r>
        <w:rPr>
          <w:noProof/>
        </w:rPr>
        <w:t>Делегиран регламент на Комиси</w:t>
      </w:r>
      <w:r>
        <w:rPr>
          <w:noProof/>
        </w:rPr>
        <w:t>ята</w:t>
      </w:r>
      <w:r>
        <w:rPr>
          <w:rStyle w:val="EndnoteReference"/>
          <w:noProof/>
        </w:rPr>
        <w:endnoteReference w:id="15"/>
      </w:r>
      <w:r>
        <w:rPr>
          <w:noProof/>
        </w:rPr>
        <w:t xml:space="preserve"> относно включването на Обединеното кралство в статистиката относно платежния баланс, международната търговия с услуги и преките чуждестранни инвестиции.</w:t>
      </w:r>
    </w:p>
    <w:p w:rsidR="00B6759C" w:rsidRDefault="008731AA">
      <w:pPr>
        <w:pStyle w:val="NormalWeb"/>
        <w:numPr>
          <w:ilvl w:val="0"/>
          <w:numId w:val="29"/>
        </w:numPr>
        <w:spacing w:before="480"/>
        <w:ind w:hanging="720"/>
        <w:jc w:val="both"/>
        <w:rPr>
          <w:b/>
          <w:noProof/>
        </w:rPr>
      </w:pPr>
      <w:r>
        <w:rPr>
          <w:b/>
          <w:noProof/>
        </w:rPr>
        <w:t>Следващи стъпки във връзка с извънредните мерки</w:t>
      </w:r>
    </w:p>
    <w:p w:rsidR="00B6759C" w:rsidRDefault="008731AA">
      <w:pPr>
        <w:spacing w:before="120" w:after="200"/>
        <w:jc w:val="both"/>
        <w:rPr>
          <w:rFonts w:ascii="Times New Roman" w:eastAsia="Times New Roman" w:hAnsi="Times New Roman"/>
          <w:noProof/>
          <w:sz w:val="24"/>
          <w:szCs w:val="24"/>
        </w:rPr>
      </w:pPr>
      <w:r>
        <w:rPr>
          <w:rFonts w:ascii="Times New Roman" w:hAnsi="Times New Roman"/>
          <w:noProof/>
          <w:sz w:val="24"/>
        </w:rPr>
        <w:t>През идните седмици Комисията ще продължи да изпъл</w:t>
      </w:r>
      <w:r>
        <w:rPr>
          <w:rFonts w:ascii="Times New Roman" w:hAnsi="Times New Roman"/>
          <w:noProof/>
          <w:sz w:val="24"/>
        </w:rPr>
        <w:t>нява плана си за извънредни действия. Тя ще продължи да следи нуждата от допълнителни действия.</w:t>
      </w:r>
    </w:p>
    <w:p w:rsidR="00B6759C" w:rsidRDefault="008731AA">
      <w:pPr>
        <w:spacing w:before="120" w:after="200"/>
        <w:jc w:val="both"/>
        <w:rPr>
          <w:rFonts w:ascii="Times New Roman" w:eastAsia="Times New Roman" w:hAnsi="Times New Roman"/>
          <w:noProof/>
          <w:sz w:val="24"/>
          <w:szCs w:val="24"/>
        </w:rPr>
      </w:pPr>
      <w:r>
        <w:rPr>
          <w:rFonts w:ascii="Times New Roman" w:hAnsi="Times New Roman"/>
          <w:noProof/>
          <w:sz w:val="24"/>
        </w:rPr>
        <w:t>Тясното сътрудничество с държавите членки ще продължи, включително в семинарите по сектори в Работната група на Съвета (член 50). Комисията ще участва в заседан</w:t>
      </w:r>
      <w:r>
        <w:rPr>
          <w:rFonts w:ascii="Times New Roman" w:hAnsi="Times New Roman"/>
          <w:noProof/>
          <w:sz w:val="24"/>
        </w:rPr>
        <w:t xml:space="preserve">ията на Европейския парламент и Съвета по въпросите на готовността и извънредните действия толкова често, колкото е необходимо. </w:t>
      </w:r>
    </w:p>
    <w:p w:rsidR="00B6759C" w:rsidRDefault="008731AA">
      <w:pPr>
        <w:spacing w:before="240" w:after="200"/>
        <w:jc w:val="both"/>
        <w:rPr>
          <w:rFonts w:ascii="Times New Roman" w:eastAsia="Times New Roman" w:hAnsi="Times New Roman"/>
          <w:noProof/>
          <w:sz w:val="24"/>
          <w:szCs w:val="24"/>
        </w:rPr>
      </w:pPr>
      <w:r>
        <w:rPr>
          <w:rFonts w:ascii="Times New Roman" w:hAnsi="Times New Roman"/>
          <w:noProof/>
          <w:sz w:val="24"/>
        </w:rPr>
        <w:t xml:space="preserve">Комисията призовава съзаконодателите да </w:t>
      </w:r>
      <w:r>
        <w:rPr>
          <w:rFonts w:ascii="Times New Roman" w:hAnsi="Times New Roman"/>
          <w:b/>
          <w:noProof/>
          <w:sz w:val="24"/>
        </w:rPr>
        <w:t>осигурят приемането на предлаганите законодателни актове</w:t>
      </w:r>
      <w:r>
        <w:rPr>
          <w:rFonts w:ascii="Times New Roman" w:hAnsi="Times New Roman"/>
          <w:noProof/>
          <w:sz w:val="24"/>
        </w:rPr>
        <w:t xml:space="preserve">, за да могат те да бъдат в сила към датата на оттегляне на Обединеното кралство. Също така Комисията подчерта пред Европейския парламент и Съвета, че е важно делегираните актове да влязат в сила възможно най-бързо. </w:t>
      </w:r>
    </w:p>
    <w:p w:rsidR="00B6759C" w:rsidRDefault="008731AA">
      <w:pPr>
        <w:spacing w:before="240" w:after="200"/>
        <w:jc w:val="both"/>
        <w:rPr>
          <w:rFonts w:ascii="Times New Roman" w:eastAsia="Times New Roman" w:hAnsi="Times New Roman"/>
          <w:noProof/>
          <w:sz w:val="24"/>
          <w:szCs w:val="24"/>
        </w:rPr>
      </w:pPr>
      <w:r>
        <w:rPr>
          <w:rFonts w:ascii="Times New Roman" w:hAnsi="Times New Roman"/>
          <w:noProof/>
          <w:sz w:val="24"/>
        </w:rPr>
        <w:t>И накрая, Комисията отново приканва дър</w:t>
      </w:r>
      <w:r>
        <w:rPr>
          <w:rFonts w:ascii="Times New Roman" w:hAnsi="Times New Roman"/>
          <w:noProof/>
          <w:sz w:val="24"/>
        </w:rPr>
        <w:t xml:space="preserve">жавите членки да </w:t>
      </w:r>
      <w:r>
        <w:rPr>
          <w:rFonts w:ascii="Times New Roman" w:hAnsi="Times New Roman"/>
          <w:b/>
          <w:noProof/>
          <w:sz w:val="24"/>
        </w:rPr>
        <w:t>останат единни и в контекста на извънредните действия</w:t>
      </w:r>
      <w:r>
        <w:rPr>
          <w:rFonts w:ascii="Times New Roman" w:hAnsi="Times New Roman"/>
          <w:noProof/>
          <w:sz w:val="24"/>
        </w:rPr>
        <w:t xml:space="preserve"> и да се въздържат от двустранни договорености, които ще биха били несъвместими със законодателството на ЕС и не могат да постигнат същите резултати като действие на равнището на ЕС. Так</w:t>
      </w:r>
      <w:r>
        <w:rPr>
          <w:rFonts w:ascii="Times New Roman" w:hAnsi="Times New Roman"/>
          <w:noProof/>
          <w:sz w:val="24"/>
        </w:rPr>
        <w:t xml:space="preserve">ива договорености също така ще затруднят установяването на бъдещи отношения между ЕС и Обединеното кралство. </w:t>
      </w:r>
    </w:p>
    <w:p w:rsidR="00B6759C" w:rsidRDefault="008731AA">
      <w:pPr>
        <w:spacing w:after="200"/>
        <w:jc w:val="center"/>
        <w:rPr>
          <w:rFonts w:ascii="Times New Roman" w:hAnsi="Times New Roman"/>
          <w:b/>
          <w:noProof/>
        </w:rPr>
      </w:pPr>
      <w:r>
        <w:rPr>
          <w:noProof/>
        </w:rPr>
        <w:br w:type="page"/>
      </w:r>
    </w:p>
    <w:p w:rsidR="00B6759C" w:rsidRDefault="008731AA">
      <w:pPr>
        <w:spacing w:after="200"/>
        <w:jc w:val="center"/>
        <w:rPr>
          <w:rFonts w:ascii="Times New Roman" w:eastAsia="Times New Roman" w:hAnsi="Times New Roman"/>
          <w:b/>
          <w:noProof/>
          <w:sz w:val="24"/>
          <w:szCs w:val="24"/>
        </w:rPr>
      </w:pPr>
      <w:r>
        <w:rPr>
          <w:rFonts w:ascii="Times New Roman" w:hAnsi="Times New Roman"/>
          <w:b/>
          <w:noProof/>
        </w:rPr>
        <w:t>Списък на правните актове, приети от Комисията</w:t>
      </w:r>
    </w:p>
    <w:sectPr w:rsidR="00B6759C">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9C" w:rsidRDefault="008731AA">
      <w:r>
        <w:separator/>
      </w:r>
    </w:p>
  </w:endnote>
  <w:endnote w:type="continuationSeparator" w:id="0">
    <w:p w:rsidR="00B6759C" w:rsidRDefault="008731AA">
      <w:r>
        <w:continuationSeparator/>
      </w:r>
    </w:p>
  </w:endnote>
  <w:endnote w:type="continuationNotice" w:id="1">
    <w:p w:rsidR="00B6759C" w:rsidRDefault="00B6759C"/>
  </w:endnote>
  <w:endnote w:id="2">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Решение за изпълнение (ЕС) на Комисията за определяне за ограничен период от време на еквивалентността на регулаторната уредба, приложима по отношение на централните контрагенти от Обед</w:t>
      </w:r>
      <w:r>
        <w:rPr>
          <w:rFonts w:ascii="Times New Roman" w:hAnsi="Times New Roman"/>
        </w:rPr>
        <w:t>иненото кралство Великобритания и Северна Ирландия, в съответствие с Регламент (ЕС) № 648/2012 на Европейския парламент и на Съвета (C(2018)</w:t>
      </w:r>
      <w:r>
        <w:rPr>
          <w:rFonts w:ascii="Times New Roman" w:hAnsi="Times New Roman"/>
          <w:lang w:val="fr-BE"/>
        </w:rPr>
        <w:t xml:space="preserve"> </w:t>
      </w:r>
      <w:r>
        <w:rPr>
          <w:rFonts w:ascii="Times New Roman" w:hAnsi="Times New Roman"/>
        </w:rPr>
        <w:t>9139).</w:t>
      </w:r>
    </w:p>
  </w:endnote>
  <w:endnote w:id="3">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 xml:space="preserve">Решение за изпълнение (ЕС) на Комисията за определяне за ограничен период от време на еквивалентността на </w:t>
      </w:r>
      <w:r>
        <w:rPr>
          <w:rFonts w:ascii="Times New Roman" w:hAnsi="Times New Roman"/>
        </w:rPr>
        <w:t>регулаторната уредба, приложима по отношение на централните депозитари на ценни книжа от Обединеното кралство Великобритания и Северна Ирландия, в съответствие с Регламент (ЕС) № 909/2014 на Европейския парламент и на Съвета (C(2018)</w:t>
      </w:r>
      <w:r w:rsidRPr="008731AA">
        <w:rPr>
          <w:rFonts w:ascii="Times New Roman" w:hAnsi="Times New Roman"/>
          <w:lang w:val="en-GB"/>
        </w:rPr>
        <w:t xml:space="preserve"> </w:t>
      </w:r>
      <w:r>
        <w:rPr>
          <w:rFonts w:ascii="Times New Roman" w:hAnsi="Times New Roman"/>
        </w:rPr>
        <w:t>9138).</w:t>
      </w:r>
    </w:p>
  </w:endnote>
  <w:endnote w:id="4">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 xml:space="preserve">Делегиран </w:t>
      </w:r>
      <w:r>
        <w:rPr>
          <w:rFonts w:ascii="Times New Roman" w:hAnsi="Times New Roman"/>
        </w:rPr>
        <w:t>регламент (ЕС) на Комисията за изменение на Делегиран регламент (ЕС) 2015/2205 на Комисията, Делегиран регламент (ЕС) 2016/592 на Комисията и Делегиран регламент (ЕС) 2016/1178 на Комисията, допълващи Регламент (ЕС) № 648/2012 на Европейския парламент и на</w:t>
      </w:r>
      <w:r>
        <w:rPr>
          <w:rFonts w:ascii="Times New Roman" w:hAnsi="Times New Roman"/>
        </w:rPr>
        <w:t xml:space="preserve"> Съвета, по отношение на датата, на която задължението за клиринг поражда действие за някои видове договори (C(2018)</w:t>
      </w:r>
      <w:r w:rsidRPr="008731AA">
        <w:rPr>
          <w:rFonts w:ascii="Times New Roman" w:hAnsi="Times New Roman"/>
          <w:lang w:val="en-GB"/>
        </w:rPr>
        <w:t xml:space="preserve"> </w:t>
      </w:r>
      <w:r>
        <w:rPr>
          <w:rFonts w:ascii="Times New Roman" w:hAnsi="Times New Roman"/>
        </w:rPr>
        <w:t>9122).</w:t>
      </w:r>
    </w:p>
  </w:endnote>
  <w:endnote w:id="5">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Делегиран регламент (ЕС) на Комисията за изменение на Делегиран регламент (ЕС) 2016/2251, допълващ Регламент (ЕС) № 648/2012 на Ев</w:t>
      </w:r>
      <w:r>
        <w:rPr>
          <w:rFonts w:ascii="Times New Roman" w:hAnsi="Times New Roman"/>
        </w:rPr>
        <w:t>ропейския парламент и на Съвета, по отношение на датата, до която централните контрагенти могат да продължат да прилагат процедурите си за управление на риска спрямо някои договори за извънборсови деривати, за които не е извършен клиринг чрез централен кон</w:t>
      </w:r>
      <w:r>
        <w:rPr>
          <w:rFonts w:ascii="Times New Roman" w:hAnsi="Times New Roman"/>
        </w:rPr>
        <w:t>трагент (C(2018)</w:t>
      </w:r>
      <w:r w:rsidRPr="008731AA">
        <w:rPr>
          <w:rFonts w:ascii="Times New Roman" w:hAnsi="Times New Roman"/>
          <w:lang w:val="en-GB"/>
        </w:rPr>
        <w:t xml:space="preserve"> </w:t>
      </w:r>
      <w:r>
        <w:rPr>
          <w:rFonts w:ascii="Times New Roman" w:hAnsi="Times New Roman"/>
        </w:rPr>
        <w:t>9118).</w:t>
      </w:r>
    </w:p>
  </w:endnote>
  <w:endnote w:id="6">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Предложение на Комисията за регламент на Европейския парламент и на Съвета относно общи правила за осигуряването на основни въздушни връзки предвид оттеглянето на Обединеното кралство Великобритания и Северна Ирландия от Съюза (CO</w:t>
      </w:r>
      <w:r>
        <w:rPr>
          <w:rFonts w:ascii="Times New Roman" w:hAnsi="Times New Roman"/>
        </w:rPr>
        <w:t>M(2018) 893 final).</w:t>
      </w:r>
    </w:p>
  </w:endnote>
  <w:endnote w:id="7">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Предложение на Комисията за регламент на Европейския парламент и на Съвета относно някои аспекти на авиационната безопасност с оглед на оттеглянето на Обединено кралство Великобритания и Северна Ирландия от Съюза (COM</w:t>
      </w:r>
      <w:r w:rsidRPr="008731AA">
        <w:rPr>
          <w:rFonts w:ascii="Times New Roman" w:hAnsi="Times New Roman"/>
          <w:lang w:val="en-GB"/>
        </w:rPr>
        <w:t>(</w:t>
      </w:r>
      <w:r>
        <w:rPr>
          <w:rFonts w:ascii="Times New Roman" w:hAnsi="Times New Roman"/>
        </w:rPr>
        <w:t>2018) 894 final</w:t>
      </w:r>
      <w:r>
        <w:rPr>
          <w:rFonts w:ascii="Times New Roman" w:hAnsi="Times New Roman"/>
        </w:rPr>
        <w:t>).</w:t>
      </w:r>
    </w:p>
  </w:endnote>
  <w:endnote w:id="8">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Предложение на Комисията за Регламент на Европейския парламент и на Съвета относно общи правила за гарантиране на основна свързаност на автомобилния товарен транспорт във връзка с оттеглянето на Обединеното кралство Великобритания и Северна Ирландия от Съюза (COM(</w:t>
      </w:r>
      <w:r>
        <w:rPr>
          <w:rFonts w:ascii="Times New Roman" w:hAnsi="Times New Roman"/>
        </w:rPr>
        <w:t>2018) 895 final).</w:t>
      </w:r>
    </w:p>
  </w:endnote>
  <w:endnote w:id="9">
    <w:p w:rsidR="00B6759C" w:rsidRDefault="008731AA">
      <w:pPr>
        <w:pStyle w:val="EndnoteText"/>
        <w:ind w:left="720" w:hanging="720"/>
        <w:jc w:val="both"/>
        <w:rPr>
          <w:lang w:val="en-GB"/>
        </w:rPr>
      </w:pPr>
      <w:r>
        <w:rPr>
          <w:rStyle w:val="EndnoteReference"/>
        </w:rPr>
        <w:endnoteRef/>
      </w:r>
      <w:r>
        <w:t xml:space="preserve"> </w:t>
      </w:r>
      <w:r>
        <w:tab/>
      </w:r>
      <w:r>
        <w:rPr>
          <w:rFonts w:ascii="Times New Roman" w:hAnsi="Times New Roman"/>
        </w:rPr>
        <w:t>Делегиран регламент на Комисията за изменение на Делегиран регламент (ЕС) 2015/2446 по отношение на сроковете за подаване на обобщени декларации за въвеждане и предварителни декларации за заминаване в случай на морски тра</w:t>
      </w:r>
      <w:r>
        <w:rPr>
          <w:rFonts w:ascii="Times New Roman" w:hAnsi="Times New Roman"/>
        </w:rPr>
        <w:t>нспорт от и за Обединеното кралство Великобритания и Северна Ирландия, Англо-нормандските острови и остров Ман (C(2018)</w:t>
      </w:r>
      <w:r w:rsidRPr="008731AA">
        <w:rPr>
          <w:rFonts w:ascii="Times New Roman" w:hAnsi="Times New Roman"/>
          <w:lang w:val="en-GB"/>
        </w:rPr>
        <w:t xml:space="preserve"> </w:t>
      </w:r>
      <w:bookmarkStart w:id="1" w:name="_GoBack"/>
      <w:bookmarkEnd w:id="1"/>
      <w:r>
        <w:rPr>
          <w:rFonts w:ascii="Times New Roman" w:hAnsi="Times New Roman"/>
        </w:rPr>
        <w:t>9094).</w:t>
      </w:r>
    </w:p>
  </w:endnote>
  <w:endnote w:id="10">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 xml:space="preserve">Предложение на Комисията за регламент на Европейския парламент и на Съвета за изменение на Регламент (ЕО) № 428/2009 на Съвета </w:t>
      </w:r>
      <w:r>
        <w:rPr>
          <w:rFonts w:ascii="Times New Roman" w:hAnsi="Times New Roman"/>
        </w:rPr>
        <w:t>чрез издаване на генерално разрешение на Съюза за износ на определени изделия с двойна употреба от Съюза за Обединеното кралство Великобритания и Северна Ирландия (COM(2018) 891 final).</w:t>
      </w:r>
    </w:p>
  </w:endnote>
  <w:endnote w:id="11">
    <w:p w:rsidR="00B6759C" w:rsidRDefault="008731AA">
      <w:pPr>
        <w:pStyle w:val="EndnoteText"/>
        <w:spacing w:before="120" w:after="120"/>
        <w:ind w:left="720" w:hanging="720"/>
        <w:jc w:val="both"/>
        <w:rPr>
          <w:lang w:val="en-GB"/>
        </w:rPr>
      </w:pPr>
      <w:r>
        <w:rPr>
          <w:rStyle w:val="EndnoteReference"/>
        </w:rPr>
        <w:endnoteRef/>
      </w:r>
      <w:r>
        <w:t xml:space="preserve"> </w:t>
      </w:r>
      <w:r>
        <w:tab/>
      </w:r>
      <w:r>
        <w:rPr>
          <w:rFonts w:ascii="Times New Roman" w:hAnsi="Times New Roman"/>
        </w:rPr>
        <w:t>Решение на Комисията от 17 декември 2018 г. относно даване на указа</w:t>
      </w:r>
      <w:r>
        <w:rPr>
          <w:rFonts w:ascii="Times New Roman" w:hAnsi="Times New Roman"/>
        </w:rPr>
        <w:t>ния на централния администратор за временно спиране на приемането от Дневника на Европейския съюз на съответните обработвания за Обединеното кралство, свързани с безплатното разпределяне, тръжната продажба и обмена на международни кредити (C(2018)</w:t>
      </w:r>
      <w:r>
        <w:t> </w:t>
      </w:r>
      <w:r>
        <w:rPr>
          <w:rFonts w:ascii="Times New Roman" w:hAnsi="Times New Roman"/>
        </w:rPr>
        <w:t>8707).</w:t>
      </w:r>
    </w:p>
  </w:endnote>
  <w:endnote w:id="12">
    <w:p w:rsidR="00B6759C" w:rsidRDefault="008731AA">
      <w:pPr>
        <w:pStyle w:val="EndnoteText"/>
        <w:spacing w:after="120"/>
        <w:ind w:left="720" w:hanging="720"/>
        <w:jc w:val="both"/>
        <w:rPr>
          <w:lang w:val="en-GB"/>
        </w:rPr>
      </w:pPr>
      <w:r>
        <w:rPr>
          <w:rStyle w:val="EndnoteReference"/>
        </w:rPr>
        <w:endnoteRef/>
      </w:r>
      <w:r>
        <w:t xml:space="preserve"> </w:t>
      </w:r>
      <w:r>
        <w:tab/>
      </w:r>
      <w:r>
        <w:rPr>
          <w:rFonts w:ascii="Times New Roman" w:hAnsi="Times New Roman"/>
        </w:rPr>
        <w:t>Решение за изпълнение на Комисията от 17 декември 2018 г. за изменение на Решение за изпълнение (ЕС) 2017/1984 на Комисията за определяне, в съответствие с Регламент (ЕС) № 517/2014 на Европейския парламент и на Съвета за флуорсъдържащите парникови газов</w:t>
      </w:r>
      <w:r>
        <w:rPr>
          <w:rFonts w:ascii="Times New Roman" w:hAnsi="Times New Roman"/>
        </w:rPr>
        <w:t>е, на референтни стойности по отношение на референтните стойности за периода от 30 март 2019 г. до 31 декември 2020 г. за производители или вносители, установени в Обединеното кралство, които законно са пускали на пазара флуоровъглеводороди в периода, запо</w:t>
      </w:r>
      <w:r>
        <w:rPr>
          <w:rFonts w:ascii="Times New Roman" w:hAnsi="Times New Roman"/>
        </w:rPr>
        <w:t>чващ от 1 януари 2015 г., както е докладвано съгласно горепосочения регламент (C(2018) 8801).</w:t>
      </w:r>
    </w:p>
  </w:endnote>
  <w:endnote w:id="13">
    <w:p w:rsidR="00B6759C" w:rsidRDefault="008731AA">
      <w:pPr>
        <w:pStyle w:val="EndnoteText"/>
        <w:ind w:left="720" w:hanging="720"/>
        <w:jc w:val="both"/>
        <w:rPr>
          <w:lang w:val="en-GB"/>
        </w:rPr>
      </w:pPr>
      <w:r>
        <w:rPr>
          <w:rStyle w:val="EndnoteReference"/>
        </w:rPr>
        <w:endnoteRef/>
      </w:r>
      <w:r>
        <w:t xml:space="preserve"> </w:t>
      </w:r>
      <w:r>
        <w:tab/>
      </w:r>
      <w:r>
        <w:rPr>
          <w:rFonts w:ascii="Times New Roman" w:hAnsi="Times New Roman"/>
        </w:rPr>
        <w:t xml:space="preserve">Регламент за изпълнение на Комисията от 14 декември 2018 г. за изменение на Регламент за изпълнение (ЕС) № 1191/2014 по отношение на предвиденото в член 19 от </w:t>
      </w:r>
      <w:r>
        <w:rPr>
          <w:rFonts w:ascii="Times New Roman" w:hAnsi="Times New Roman"/>
        </w:rPr>
        <w:t>Регламент (ЕС) № 517/2014 докладване на данни за флуоровъглеводородите, пускани на пазара в Обединеното кралство и в Съюз, съставен от 27 държави членки (C(2018) 8575).</w:t>
      </w:r>
    </w:p>
  </w:endnote>
  <w:endnote w:id="14">
    <w:p w:rsidR="00B6759C" w:rsidRDefault="008731AA">
      <w:pPr>
        <w:pStyle w:val="EndnoteText"/>
        <w:spacing w:before="120" w:after="120"/>
        <w:ind w:left="720" w:hanging="720"/>
        <w:jc w:val="both"/>
        <w:rPr>
          <w:rFonts w:ascii="Times New Roman" w:hAnsi="Times New Roman"/>
          <w:lang w:val="en-GB"/>
        </w:rPr>
      </w:pPr>
      <w:r>
        <w:rPr>
          <w:rStyle w:val="EndnoteReference"/>
        </w:rPr>
        <w:endnoteRef/>
      </w:r>
      <w:r>
        <w:t xml:space="preserve"> </w:t>
      </w:r>
      <w:r>
        <w:tab/>
      </w:r>
      <w:r>
        <w:rPr>
          <w:rFonts w:ascii="Times New Roman" w:hAnsi="Times New Roman"/>
        </w:rPr>
        <w:t xml:space="preserve">Предложение на Комисията за регламент на Европейският парламент и на Съвета с оглед </w:t>
      </w:r>
      <w:r>
        <w:rPr>
          <w:rFonts w:ascii="Times New Roman" w:hAnsi="Times New Roman"/>
        </w:rPr>
        <w:t>на продължаването, в контекста на оттеглянето на Обединеното кралство от Европейския съюз, на програмите за териториално сътрудничество PEACE IV (между Ирландия и Обединеното кралство) и „Обединено кралство—Ирландия“ (Ирландия–Северна Ирландия–Шотландия) (</w:t>
      </w:r>
      <w:r>
        <w:rPr>
          <w:rFonts w:ascii="Times New Roman" w:hAnsi="Times New Roman"/>
        </w:rPr>
        <w:t>COM(2018) 892 final).</w:t>
      </w:r>
    </w:p>
  </w:endnote>
  <w:endnote w:id="15">
    <w:p w:rsidR="00B6759C" w:rsidRDefault="008731AA">
      <w:pPr>
        <w:pStyle w:val="EndnoteText"/>
        <w:ind w:left="720" w:hanging="720"/>
        <w:jc w:val="both"/>
        <w:rPr>
          <w:rFonts w:ascii="Times New Roman" w:hAnsi="Times New Roman"/>
          <w:lang w:val="en-GB"/>
        </w:rPr>
      </w:pPr>
      <w:r>
        <w:rPr>
          <w:rStyle w:val="EndnoteReference"/>
        </w:rPr>
        <w:endnoteRef/>
      </w:r>
      <w:r>
        <w:t xml:space="preserve"> </w:t>
      </w:r>
      <w:r>
        <w:tab/>
      </w:r>
      <w:r>
        <w:rPr>
          <w:rFonts w:ascii="Times New Roman" w:hAnsi="Times New Roman"/>
        </w:rPr>
        <w:t>Делегиран регламент на Комисията (ЕС) от 19 декември 2018 г. за изменение на приложение I към Регламент (ЕО) № 184/2005 на Европейския парламент и на Съвета по отношение на нивата на географска разбивка (C(2018) 8872).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B6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8731AA">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B6759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B675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39287"/>
      <w:docPartObj>
        <w:docPartGallery w:val="Page Numbers (Bottom of Page)"/>
        <w:docPartUnique/>
      </w:docPartObj>
    </w:sdtPr>
    <w:sdtEndPr>
      <w:rPr>
        <w:rFonts w:ascii="Times New Roman" w:hAnsi="Times New Roman"/>
        <w:noProof/>
      </w:rPr>
    </w:sdtEndPr>
    <w:sdtContent>
      <w:p w:rsidR="00B6759C" w:rsidRDefault="008731AA">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12</w:t>
        </w:r>
        <w:r>
          <w:rPr>
            <w:rFonts w:ascii="Times New Roman" w:hAnsi="Times New Roman"/>
            <w:noProof/>
          </w:rPr>
          <w:fldChar w:fldCharType="end"/>
        </w:r>
      </w:p>
    </w:sdtContent>
  </w:sdt>
  <w:p w:rsidR="00B6759C" w:rsidRDefault="00B675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B6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9C" w:rsidRDefault="008731AA">
      <w:r>
        <w:separator/>
      </w:r>
    </w:p>
  </w:footnote>
  <w:footnote w:type="continuationSeparator" w:id="0">
    <w:p w:rsidR="00B6759C" w:rsidRDefault="008731AA">
      <w:r>
        <w:continuationSeparator/>
      </w:r>
    </w:p>
  </w:footnote>
  <w:footnote w:type="continuationNotice" w:id="1">
    <w:p w:rsidR="00B6759C" w:rsidRDefault="00B6759C"/>
  </w:footnote>
  <w:footnote w:id="2">
    <w:p w:rsidR="00B6759C" w:rsidRDefault="008731AA">
      <w:pPr>
        <w:pStyle w:val="FootnoteText"/>
        <w:jc w:val="both"/>
        <w:rPr>
          <w:rFonts w:ascii="Times New Roman" w:eastAsia="Times New Roman" w:hAnsi="Times New Roman"/>
          <w:lang w:val="en-GB"/>
        </w:rPr>
      </w:pPr>
      <w:r>
        <w:rPr>
          <w:rStyle w:val="FootnoteReference"/>
          <w:rFonts w:ascii="Times New Roman" w:hAnsi="Times New Roman"/>
        </w:rPr>
        <w:footnoteRef/>
      </w:r>
      <w:r>
        <w:tab/>
      </w:r>
      <w:hyperlink r:id="rId1">
        <w:r>
          <w:rPr>
            <w:rStyle w:val="Hyperlink"/>
            <w:rFonts w:ascii="Times New Roman" w:hAnsi="Times New Roman"/>
          </w:rPr>
          <w:t>https://www.consilium.europa.eu/media/37508/13-euco-art-50-conclusions-en.pdf</w:t>
        </w:r>
      </w:hyperlink>
      <w:r>
        <w:rPr>
          <w:rStyle w:val="Hyperlink"/>
          <w:rFonts w:ascii="Times New Roman" w:hAnsi="Times New Roman"/>
        </w:rPr>
        <w:t xml:space="preserve"> </w:t>
      </w:r>
    </w:p>
  </w:footnote>
  <w:footnote w:id="3">
    <w:p w:rsidR="00B6759C" w:rsidRDefault="008731AA">
      <w:pPr>
        <w:pStyle w:val="FootnoteText"/>
        <w:ind w:left="720" w:hanging="720"/>
        <w:jc w:val="both"/>
        <w:rPr>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Обединеното кралство може да оттегли едностранно — по недвусмислен и безусловен</w:t>
      </w:r>
      <w:r>
        <w:rPr>
          <w:rFonts w:ascii="Times New Roman" w:hAnsi="Times New Roman"/>
        </w:rPr>
        <w:t xml:space="preserve"> начин — нотификацията за намерението си да се оттегли от ЕС (дело C-621/18 Wightman и др. / Secretary of State for Exiting the European Union).</w:t>
      </w:r>
    </w:p>
  </w:footnote>
  <w:footnote w:id="4">
    <w:p w:rsidR="00B6759C" w:rsidRDefault="008731AA">
      <w:pPr>
        <w:pStyle w:val="FootnoteText"/>
        <w:ind w:left="720" w:hanging="720"/>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https://ec.europa.eu/info/publications/preparing-withdrawal-united-kingdom-european-union-30-march-2019_bg</w:t>
        </w:r>
      </w:hyperlink>
    </w:p>
  </w:footnote>
  <w:footnote w:id="5">
    <w:p w:rsidR="00B6759C" w:rsidRDefault="008731AA">
      <w:pPr>
        <w:pStyle w:val="FootnoteText"/>
        <w:ind w:left="720" w:hanging="720"/>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https://ec.europa.eu/info/publications/communication-preparing-withdrawal-united-kingdom-european-union-30-march-2019-contingency-action-plan-13-11-2018_bg</w:t>
        </w:r>
      </w:hyperlink>
      <w:r>
        <w:rPr>
          <w:rFonts w:ascii="Times New Roman" w:hAnsi="Times New Roman"/>
        </w:rPr>
        <w:t xml:space="preserve"> </w:t>
      </w:r>
    </w:p>
  </w:footnote>
  <w:footnote w:id="6">
    <w:p w:rsidR="00B6759C" w:rsidRDefault="008731AA">
      <w:pPr>
        <w:pStyle w:val="FootnoteText"/>
        <w:ind w:left="720" w:hanging="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https://ec.europa.eu/commission/sites/beta-political/files/joint_report_0.pdf</w:t>
        </w:r>
      </w:hyperlink>
      <w:r>
        <w:rPr>
          <w:rStyle w:val="Hyperlink"/>
          <w:rFonts w:ascii="Times New Roman" w:hAnsi="Times New Roman"/>
          <w:u w:val="none"/>
        </w:rPr>
        <w:t xml:space="preserve">; </w:t>
      </w:r>
      <w:hyperlink r:id="rId5">
        <w:r>
          <w:rPr>
            <w:rStyle w:val="Hyperlink"/>
            <w:rFonts w:ascii="Times New Roman" w:hAnsi="Times New Roman"/>
          </w:rPr>
          <w:t>https://ec.europa.</w:t>
        </w:r>
        <w:r>
          <w:rPr>
            <w:rStyle w:val="Hyperlink"/>
            <w:rFonts w:ascii="Times New Roman" w:hAnsi="Times New Roman"/>
          </w:rPr>
          <w:t>eu/commission/sites/beta-political/files/draft_withdrawal_agreement_0.pdf</w:t>
        </w:r>
      </w:hyperlink>
      <w:r>
        <w:rPr>
          <w:rStyle w:val="Hyperlink"/>
          <w:rFonts w:ascii="Times New Roman" w:hAnsi="Times New Roman"/>
          <w:color w:val="auto"/>
          <w:u w:val="none"/>
        </w:rPr>
        <w:t xml:space="preserve"> </w:t>
      </w:r>
    </w:p>
  </w:footnote>
  <w:footnote w:id="7">
    <w:p w:rsidR="00B6759C" w:rsidRDefault="008731AA">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Съобщение на Комисията, одобрено на 22 ноември 2018 г., C(2018)9001.</w:t>
      </w:r>
    </w:p>
  </w:footnote>
  <w:footnote w:id="8">
    <w:p w:rsidR="00B6759C" w:rsidRDefault="008731AA">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ht</w:t>
        </w:r>
        <w:r>
          <w:rPr>
            <w:rStyle w:val="Hyperlink"/>
            <w:rFonts w:ascii="Times New Roman" w:hAnsi="Times New Roman"/>
          </w:rPr>
          <w:t>tps://www.consilium.europa.eu/media/37103/25-special-euco-final-conclusions-en.pdf</w:t>
        </w:r>
      </w:hyperlink>
      <w:r>
        <w:rPr>
          <w:rFonts w:ascii="Times New Roman" w:hAnsi="Times New Roman"/>
        </w:rPr>
        <w:t xml:space="preserve"> </w:t>
      </w:r>
    </w:p>
  </w:footnote>
  <w:footnote w:id="9">
    <w:p w:rsidR="00B6759C" w:rsidRDefault="008731AA">
      <w:pPr>
        <w:pStyle w:val="FootnoteText"/>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приложения I и II към второто съобщение относно готовността за Брексит.</w:t>
      </w:r>
    </w:p>
  </w:footnote>
  <w:footnote w:id="10">
    <w:p w:rsidR="00B6759C" w:rsidRDefault="008731AA">
      <w:pPr>
        <w:pStyle w:val="FootnoteText"/>
        <w:ind w:left="720" w:hanging="720"/>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 държавите членки (ЕС-27) бяха проведени редица семинари за готовност по сектори, които с</w:t>
      </w:r>
      <w:r>
        <w:rPr>
          <w:rFonts w:ascii="Times New Roman" w:hAnsi="Times New Roman"/>
        </w:rPr>
        <w:t>а изброени в приложение 6 към второто съобщение относно готовността за Брексит.</w:t>
      </w:r>
    </w:p>
  </w:footnote>
  <w:footnote w:id="11">
    <w:p w:rsidR="00B6759C" w:rsidRDefault="008731AA">
      <w:pPr>
        <w:pStyle w:val="FootnoteText"/>
        <w:ind w:left="720" w:hanging="720"/>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Списъкът с действия не засяга допълнителните действия, които може да бъдат счетени за необходими на по-късен етап.</w:t>
      </w:r>
    </w:p>
  </w:footnote>
  <w:footnote w:id="12">
    <w:p w:rsidR="00B6759C" w:rsidRDefault="008731AA">
      <w:pPr>
        <w:pStyle w:val="FootnoteText"/>
        <w:ind w:left="720" w:hanging="720"/>
        <w:jc w:val="both"/>
        <w:rPr>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Терминът „лица с националност на Обединеното кралство“,</w:t>
      </w:r>
      <w:r>
        <w:rPr>
          <w:rFonts w:ascii="Times New Roman" w:hAnsi="Times New Roman"/>
        </w:rPr>
        <w:t xml:space="preserve"> използван в настоящото съобщение, следва да се разбира като обхващащ също и членовете на техните семейства от трети държави, вече пребиваващи в съответната приемаща държава към момента на оттеглянето.</w:t>
      </w:r>
    </w:p>
  </w:footnote>
  <w:footnote w:id="13">
    <w:p w:rsidR="00B6759C" w:rsidRDefault="008731AA">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https://www.gov.uk/government/news/pm-brexit-negoti</w:t>
      </w:r>
      <w:r>
        <w:rPr>
          <w:rFonts w:ascii="Times New Roman" w:hAnsi="Times New Roman"/>
        </w:rPr>
        <w:t>ations-statement-21-september-2018.</w:t>
      </w:r>
    </w:p>
  </w:footnote>
  <w:footnote w:id="14">
    <w:p w:rsidR="00B6759C" w:rsidRDefault="008731AA">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745 final.</w:t>
      </w:r>
    </w:p>
  </w:footnote>
  <w:footnote w:id="15">
    <w:p w:rsidR="00B6759C" w:rsidRDefault="008731AA">
      <w:pPr>
        <w:pStyle w:val="FootnoteText"/>
        <w:ind w:left="720" w:hanging="720"/>
        <w:jc w:val="both"/>
        <w:rPr>
          <w:rFonts w:ascii="Times New Roman" w:eastAsia="Times New Roman" w:hAnsi="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да продължат да пребивават и работят в държава — членка на ЕС, лицата с националност на Обединеното кралство, пребиваващи в държава членка към момента на оттеглянето, ще трябва да притежават</w:t>
      </w:r>
      <w:r>
        <w:rPr>
          <w:rFonts w:ascii="Times New Roman" w:hAnsi="Times New Roman"/>
        </w:rPr>
        <w:t xml:space="preserve"> разрешение за пребиваване, подходящо за граждани на трети държави, което е издадено от националните органи по миграцията.</w:t>
      </w:r>
    </w:p>
  </w:footnote>
  <w:footnote w:id="16">
    <w:p w:rsidR="00B6759C" w:rsidRDefault="008731AA">
      <w:pPr>
        <w:pStyle w:val="FootnoteText"/>
        <w:ind w:left="720" w:hanging="720"/>
        <w:jc w:val="both"/>
        <w:rPr>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Съгласно предвиденото в Регламент (ЕО) № 1030/2002 на Съвета от 13 юни 2002 г. относно единния формат на разрешенията за </w:t>
      </w:r>
      <w:r>
        <w:rPr>
          <w:rFonts w:ascii="Times New Roman" w:hAnsi="Times New Roman"/>
        </w:rPr>
        <w:t>пребиваване за гражданите на трети страни (ОВ L 157, 15.6.2002 г., стр. 1).</w:t>
      </w:r>
    </w:p>
  </w:footnote>
  <w:footnote w:id="17">
    <w:p w:rsidR="00B6759C" w:rsidRDefault="008731AA">
      <w:pPr>
        <w:pStyle w:val="FootnoteText"/>
        <w:ind w:left="720" w:hanging="720"/>
        <w:jc w:val="both"/>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(ЕО) № 883/2004 на Европейския парламент и на Съвета от 29 април 2004 г. за координация на системите за социална сигурност (OВ L 166, 30.4.2004 г., стр.1) и Регламент </w:t>
      </w:r>
      <w:r>
        <w:rPr>
          <w:rFonts w:ascii="Times New Roman" w:hAnsi="Times New Roman"/>
        </w:rPr>
        <w:t>(ЕО)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 (OВ L 284, 30.10.2009 г., стр.1).</w:t>
      </w:r>
    </w:p>
  </w:footnote>
  <w:footnote w:id="18">
    <w:p w:rsidR="00B6759C" w:rsidRDefault="008731AA">
      <w:pPr>
        <w:ind w:left="720" w:hanging="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tab/>
      </w:r>
      <w:hyperlink r:id="rId7" w:anchor="fisma">
        <w:r>
          <w:rPr>
            <w:rStyle w:val="Hyperlink"/>
            <w:rFonts w:ascii="Times New Roman" w:hAnsi="Times New Roman"/>
          </w:rPr>
          <w:t>https://ec.europa.eu/info/brexit/brexit-preparedness/preparedness-notices_en#fisma</w:t>
        </w:r>
      </w:hyperlink>
      <w:r>
        <w:rPr>
          <w:rFonts w:ascii="Times New Roman" w:hAnsi="Times New Roman"/>
        </w:rPr>
        <w:t xml:space="preserve"> </w:t>
      </w:r>
    </w:p>
  </w:footnote>
  <w:footnote w:id="19">
    <w:p w:rsidR="00B6759C" w:rsidRDefault="008731AA">
      <w:pPr>
        <w:pStyle w:val="FootnoteText"/>
        <w:ind w:left="720" w:hanging="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Що се отнася до заинтересованите страни, Комисията изтъкна необходимостта въздушните</w:t>
      </w:r>
      <w:r>
        <w:rPr>
          <w:rFonts w:ascii="Times New Roman" w:hAnsi="Times New Roman"/>
        </w:rPr>
        <w:t xml:space="preserve"> превозвачи, организациите за производство и поддръжка и лицензираният персонал да се сдобият с нужните лицензи, сертификати и одобрения възможно най-рано. Комисията също така отново отбеляза, че е нужно дружествата, които желаят да бъдат признати като въз</w:t>
      </w:r>
      <w:r>
        <w:rPr>
          <w:rFonts w:ascii="Times New Roman" w:hAnsi="Times New Roman"/>
        </w:rPr>
        <w:t>душни превозвачи от ЕС, да предприемат необходимите действия, за да могат към 30 март 2019 г. да изпълнят това изискване.</w:t>
      </w:r>
    </w:p>
  </w:footnote>
  <w:footnote w:id="20">
    <w:p w:rsidR="00B6759C" w:rsidRDefault="008731AA">
      <w:pPr>
        <w:pStyle w:val="FootnoteText"/>
        <w:ind w:left="720" w:hanging="72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износа за Австралия, Канада, Япония, Нова Зеландия, Норвегия, Швейцария, Лихтенщайн и Съединените американски щати се прилага ге</w:t>
      </w:r>
      <w:r>
        <w:rPr>
          <w:rFonts w:ascii="Times New Roman" w:hAnsi="Times New Roman"/>
        </w:rPr>
        <w:t>нерално разрешение на Съюза за износ.</w:t>
      </w:r>
    </w:p>
  </w:footnote>
  <w:footnote w:id="21">
    <w:p w:rsidR="00B6759C" w:rsidRDefault="008731AA">
      <w:pPr>
        <w:pStyle w:val="FootnoteText"/>
        <w:rPr>
          <w:rFonts w:ascii="Times New Roman" w:hAnsi="Times New Roman"/>
          <w:lang w:val="da-DK"/>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374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B6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B6759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B6759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8731AA">
    <w:pPr>
      <w:pStyle w:val="Header"/>
    </w:pPr>
    <w:r>
      <w:rPr>
        <w:noProof/>
        <w:sz w:val="20"/>
        <w:lang w:val="fr-BE" w:eastAsia="fr-BE" w:bidi="ar-S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WordArt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1F3D97" id="_x0000_t202" coordsize="21600,21600" o:spt="202" path="m,l,21600r21600,l21600,xe">
              <v:stroke joinstyle="miter"/>
              <v:path gradientshapeok="t" o:connecttype="rect"/>
            </v:shapetype>
            <v:shape id="WordArt 7"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BZ3moRfwIAAPgEAAAO&#10;AAAAAAAAAAAAAAAAAC4CAABkcnMvZTJvRG9jLnhtbFBLAQItABQABgAIAAAAIQAj7kal2AAAAAUB&#10;AAAPAAAAAAAAAAAAAAAAANkEAABkcnMvZG93bnJldi54bWxQSwUGAAAAAAQABADzAAAA3gUAAAAA&#10;" filled="f" stroked="f">
              <v:stroke joinstyle="round"/>
              <o:lock v:ext="edit" selection="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8731AA">
    <w:pPr>
      <w:pStyle w:val="Header"/>
    </w:pPr>
    <w:r>
      <w:rPr>
        <w:noProof/>
        <w:sz w:val="20"/>
        <w:lang w:val="fr-BE" w:eastAsia="fr-BE" w:bidi="ar-SA"/>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3F0ADD" id="_x0000_t202" coordsize="21600,21600" o:spt="202" path="m,l,21600r21600,l21600,xe">
              <v:stroke joinstyle="miter"/>
              <v:path gradientshapeok="t" o:connecttype="rect"/>
            </v:shapetype>
            <v:shape id="WordArt 6"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A/spd7fwIAAPgEAAAO&#10;AAAAAAAAAAAAAAAAAC4CAABkcnMvZTJvRG9jLnhtbFBLAQItABQABgAIAAAAIQAj7kal2AAAAAUB&#10;AAAPAAAAAAAAAAAAAAAAANkEAABkcnMvZG93bnJldi54bWxQSwUGAAAAAAQABADzAAAA3gUAAAAA&#10;" filled="f" stroked="f">
              <v:stroke joinstyle="round"/>
              <o:lock v:ext="edit" selection="t" text="t" shapetype="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9C" w:rsidRDefault="008731AA">
    <w:pPr>
      <w:pStyle w:val="Header"/>
    </w:pPr>
    <w:r>
      <w:rPr>
        <w:noProof/>
        <w:sz w:val="20"/>
        <w:lang w:val="fr-BE" w:eastAsia="fr-BE"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2A479F" id="_x0000_t202" coordsize="21600,21600" o:spt="202" path="m,l,21600r21600,l21600,xe">
              <v:stroke joinstyle="miter"/>
              <v:path gradientshapeok="t" o:connecttype="rect"/>
            </v:shapetype>
            <v:shape id="WordArt 5"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" filled="f" stroked="f">
              <v:stroke joinstyle="round"/>
              <o:lock v:ext="edit" selection="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1E8A"/>
    <w:multiLevelType w:val="hybridMultilevel"/>
    <w:tmpl w:val="7EDEAB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C4E93"/>
    <w:multiLevelType w:val="hybridMultilevel"/>
    <w:tmpl w:val="ED7C5248"/>
    <w:lvl w:ilvl="0" w:tplc="415CB20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20707"/>
    <w:multiLevelType w:val="hybridMultilevel"/>
    <w:tmpl w:val="A4EC8AD2"/>
    <w:lvl w:ilvl="0" w:tplc="3E3AA8C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74002"/>
    <w:multiLevelType w:val="hybridMultilevel"/>
    <w:tmpl w:val="77AA1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B7CB5"/>
    <w:multiLevelType w:val="hybridMultilevel"/>
    <w:tmpl w:val="0DA8653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126792"/>
    <w:multiLevelType w:val="hybridMultilevel"/>
    <w:tmpl w:val="28C0D6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10F9B"/>
    <w:multiLevelType w:val="hybridMultilevel"/>
    <w:tmpl w:val="7AA4440C"/>
    <w:lvl w:ilvl="0" w:tplc="0406000D">
      <w:start w:val="1"/>
      <w:numFmt w:val="bullet"/>
      <w:lvlText w:val=""/>
      <w:lvlJc w:val="left"/>
      <w:pPr>
        <w:ind w:left="720" w:hanging="360"/>
      </w:pPr>
      <w:rPr>
        <w:rFonts w:ascii="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93A37"/>
    <w:multiLevelType w:val="hybridMultilevel"/>
    <w:tmpl w:val="FB7204CE"/>
    <w:lvl w:ilvl="0" w:tplc="91B65EB6">
      <w:start w:val="1"/>
      <w:numFmt w:val="bullet"/>
      <w:lvlText w:val=""/>
      <w:lvlJc w:val="left"/>
      <w:pPr>
        <w:ind w:left="837" w:hanging="360"/>
      </w:pPr>
      <w:rPr>
        <w:rFonts w:ascii="Symbol" w:eastAsia="Symbol" w:hAnsi="Symbol" w:hint="default"/>
        <w:sz w:val="20"/>
        <w:szCs w:val="20"/>
      </w:rPr>
    </w:lvl>
    <w:lvl w:ilvl="1" w:tplc="0B1200E4">
      <w:start w:val="1"/>
      <w:numFmt w:val="bullet"/>
      <w:lvlText w:val="•"/>
      <w:lvlJc w:val="left"/>
      <w:pPr>
        <w:ind w:left="1328" w:hanging="360"/>
      </w:pPr>
      <w:rPr>
        <w:rFonts w:hint="default"/>
      </w:rPr>
    </w:lvl>
    <w:lvl w:ilvl="2" w:tplc="67940BF6">
      <w:start w:val="1"/>
      <w:numFmt w:val="bullet"/>
      <w:lvlText w:val="•"/>
      <w:lvlJc w:val="left"/>
      <w:pPr>
        <w:ind w:left="1819" w:hanging="360"/>
      </w:pPr>
      <w:rPr>
        <w:rFonts w:hint="default"/>
      </w:rPr>
    </w:lvl>
    <w:lvl w:ilvl="3" w:tplc="4F30418C">
      <w:start w:val="1"/>
      <w:numFmt w:val="bullet"/>
      <w:lvlText w:val="•"/>
      <w:lvlJc w:val="left"/>
      <w:pPr>
        <w:ind w:left="2311" w:hanging="360"/>
      </w:pPr>
      <w:rPr>
        <w:rFonts w:hint="default"/>
      </w:rPr>
    </w:lvl>
    <w:lvl w:ilvl="4" w:tplc="0684663E">
      <w:start w:val="1"/>
      <w:numFmt w:val="bullet"/>
      <w:lvlText w:val="•"/>
      <w:lvlJc w:val="left"/>
      <w:pPr>
        <w:ind w:left="2802" w:hanging="360"/>
      </w:pPr>
      <w:rPr>
        <w:rFonts w:hint="default"/>
      </w:rPr>
    </w:lvl>
    <w:lvl w:ilvl="5" w:tplc="B5D8A86A">
      <w:start w:val="1"/>
      <w:numFmt w:val="bullet"/>
      <w:lvlText w:val="•"/>
      <w:lvlJc w:val="left"/>
      <w:pPr>
        <w:ind w:left="3293" w:hanging="360"/>
      </w:pPr>
      <w:rPr>
        <w:rFonts w:hint="default"/>
      </w:rPr>
    </w:lvl>
    <w:lvl w:ilvl="6" w:tplc="82CEB95A">
      <w:start w:val="1"/>
      <w:numFmt w:val="bullet"/>
      <w:lvlText w:val="•"/>
      <w:lvlJc w:val="left"/>
      <w:pPr>
        <w:ind w:left="3784" w:hanging="360"/>
      </w:pPr>
      <w:rPr>
        <w:rFonts w:hint="default"/>
      </w:rPr>
    </w:lvl>
    <w:lvl w:ilvl="7" w:tplc="2F703F5C">
      <w:start w:val="1"/>
      <w:numFmt w:val="bullet"/>
      <w:lvlText w:val="•"/>
      <w:lvlJc w:val="left"/>
      <w:pPr>
        <w:ind w:left="4275" w:hanging="360"/>
      </w:pPr>
      <w:rPr>
        <w:rFonts w:hint="default"/>
      </w:rPr>
    </w:lvl>
    <w:lvl w:ilvl="8" w:tplc="190A06A2">
      <w:start w:val="1"/>
      <w:numFmt w:val="bullet"/>
      <w:lvlText w:val="•"/>
      <w:lvlJc w:val="left"/>
      <w:pPr>
        <w:ind w:left="4766" w:hanging="360"/>
      </w:pPr>
      <w:rPr>
        <w:rFonts w:hint="default"/>
      </w:rPr>
    </w:lvl>
  </w:abstractNum>
  <w:abstractNum w:abstractNumId="8" w15:restartNumberingAfterBreak="0">
    <w:nsid w:val="23DE2C08"/>
    <w:multiLevelType w:val="hybridMultilevel"/>
    <w:tmpl w:val="F8C2EB56"/>
    <w:lvl w:ilvl="0" w:tplc="D57453C6">
      <w:start w:val="5"/>
      <w:numFmt w:val="decimal"/>
      <w:lvlText w:val="%1."/>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143BC"/>
    <w:multiLevelType w:val="hybridMultilevel"/>
    <w:tmpl w:val="1F5A45A2"/>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5B7098B"/>
    <w:multiLevelType w:val="hybridMultilevel"/>
    <w:tmpl w:val="70C6FF5C"/>
    <w:lvl w:ilvl="0" w:tplc="0406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59300CEE">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42773"/>
    <w:multiLevelType w:val="hybridMultilevel"/>
    <w:tmpl w:val="D4FC441E"/>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CA3D9A"/>
    <w:multiLevelType w:val="hybridMultilevel"/>
    <w:tmpl w:val="FC62E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E76CB3"/>
    <w:multiLevelType w:val="hybridMultilevel"/>
    <w:tmpl w:val="A81CC340"/>
    <w:lvl w:ilvl="0" w:tplc="007A9126">
      <w:start w:val="1"/>
      <w:numFmt w:val="bullet"/>
      <w:lvlText w:val=""/>
      <w:lvlJc w:val="left"/>
      <w:pPr>
        <w:ind w:left="822" w:hanging="360"/>
      </w:pPr>
      <w:rPr>
        <w:rFonts w:ascii="Symbol" w:eastAsia="Symbol" w:hAnsi="Symbol" w:hint="default"/>
        <w:sz w:val="20"/>
        <w:szCs w:val="20"/>
      </w:rPr>
    </w:lvl>
    <w:lvl w:ilvl="1" w:tplc="FEC0A35A">
      <w:start w:val="1"/>
      <w:numFmt w:val="bullet"/>
      <w:lvlText w:val="•"/>
      <w:lvlJc w:val="left"/>
      <w:pPr>
        <w:ind w:left="1314" w:hanging="360"/>
      </w:pPr>
      <w:rPr>
        <w:rFonts w:hint="default"/>
      </w:rPr>
    </w:lvl>
    <w:lvl w:ilvl="2" w:tplc="61F2DC82">
      <w:start w:val="1"/>
      <w:numFmt w:val="bullet"/>
      <w:lvlText w:val="•"/>
      <w:lvlJc w:val="left"/>
      <w:pPr>
        <w:ind w:left="1807" w:hanging="360"/>
      </w:pPr>
      <w:rPr>
        <w:rFonts w:hint="default"/>
      </w:rPr>
    </w:lvl>
    <w:lvl w:ilvl="3" w:tplc="F86AAE34">
      <w:start w:val="1"/>
      <w:numFmt w:val="bullet"/>
      <w:lvlText w:val="•"/>
      <w:lvlJc w:val="left"/>
      <w:pPr>
        <w:ind w:left="2300" w:hanging="360"/>
      </w:pPr>
      <w:rPr>
        <w:rFonts w:hint="default"/>
      </w:rPr>
    </w:lvl>
    <w:lvl w:ilvl="4" w:tplc="B636D728">
      <w:start w:val="1"/>
      <w:numFmt w:val="bullet"/>
      <w:lvlText w:val="•"/>
      <w:lvlJc w:val="left"/>
      <w:pPr>
        <w:ind w:left="2792" w:hanging="360"/>
      </w:pPr>
      <w:rPr>
        <w:rFonts w:hint="default"/>
      </w:rPr>
    </w:lvl>
    <w:lvl w:ilvl="5" w:tplc="B64ACE04">
      <w:start w:val="1"/>
      <w:numFmt w:val="bullet"/>
      <w:lvlText w:val="•"/>
      <w:lvlJc w:val="left"/>
      <w:pPr>
        <w:ind w:left="3285" w:hanging="360"/>
      </w:pPr>
      <w:rPr>
        <w:rFonts w:hint="default"/>
      </w:rPr>
    </w:lvl>
    <w:lvl w:ilvl="6" w:tplc="E3745C3E">
      <w:start w:val="1"/>
      <w:numFmt w:val="bullet"/>
      <w:lvlText w:val="•"/>
      <w:lvlJc w:val="left"/>
      <w:pPr>
        <w:ind w:left="3777" w:hanging="360"/>
      </w:pPr>
      <w:rPr>
        <w:rFonts w:hint="default"/>
      </w:rPr>
    </w:lvl>
    <w:lvl w:ilvl="7" w:tplc="351A9BAC">
      <w:start w:val="1"/>
      <w:numFmt w:val="bullet"/>
      <w:lvlText w:val="•"/>
      <w:lvlJc w:val="left"/>
      <w:pPr>
        <w:ind w:left="4270" w:hanging="360"/>
      </w:pPr>
      <w:rPr>
        <w:rFonts w:hint="default"/>
      </w:rPr>
    </w:lvl>
    <w:lvl w:ilvl="8" w:tplc="8F6A7888">
      <w:start w:val="1"/>
      <w:numFmt w:val="bullet"/>
      <w:lvlText w:val="•"/>
      <w:lvlJc w:val="left"/>
      <w:pPr>
        <w:ind w:left="4763" w:hanging="360"/>
      </w:pPr>
      <w:rPr>
        <w:rFonts w:hint="default"/>
      </w:rPr>
    </w:lvl>
  </w:abstractNum>
  <w:abstractNum w:abstractNumId="14" w15:restartNumberingAfterBreak="0">
    <w:nsid w:val="2DAA114E"/>
    <w:multiLevelType w:val="hybridMultilevel"/>
    <w:tmpl w:val="FCE68DB4"/>
    <w:lvl w:ilvl="0" w:tplc="B3789BEE">
      <w:start w:val="1"/>
      <w:numFmt w:val="bullet"/>
      <w:lvlText w:val=""/>
      <w:lvlJc w:val="left"/>
      <w:pPr>
        <w:ind w:left="822" w:hanging="360"/>
      </w:pPr>
      <w:rPr>
        <w:rFonts w:ascii="Symbol" w:eastAsia="Symbol" w:hAnsi="Symbol" w:hint="default"/>
        <w:sz w:val="20"/>
        <w:szCs w:val="20"/>
      </w:rPr>
    </w:lvl>
    <w:lvl w:ilvl="1" w:tplc="695C7888">
      <w:start w:val="1"/>
      <w:numFmt w:val="bullet"/>
      <w:lvlText w:val="•"/>
      <w:lvlJc w:val="left"/>
      <w:pPr>
        <w:ind w:left="1314" w:hanging="360"/>
      </w:pPr>
      <w:rPr>
        <w:rFonts w:hint="default"/>
      </w:rPr>
    </w:lvl>
    <w:lvl w:ilvl="2" w:tplc="93FA5522">
      <w:start w:val="1"/>
      <w:numFmt w:val="bullet"/>
      <w:lvlText w:val="•"/>
      <w:lvlJc w:val="left"/>
      <w:pPr>
        <w:ind w:left="1807" w:hanging="360"/>
      </w:pPr>
      <w:rPr>
        <w:rFonts w:hint="default"/>
      </w:rPr>
    </w:lvl>
    <w:lvl w:ilvl="3" w:tplc="838AB1F4">
      <w:start w:val="1"/>
      <w:numFmt w:val="bullet"/>
      <w:lvlText w:val="•"/>
      <w:lvlJc w:val="left"/>
      <w:pPr>
        <w:ind w:left="2300" w:hanging="360"/>
      </w:pPr>
      <w:rPr>
        <w:rFonts w:hint="default"/>
      </w:rPr>
    </w:lvl>
    <w:lvl w:ilvl="4" w:tplc="8660836A">
      <w:start w:val="1"/>
      <w:numFmt w:val="bullet"/>
      <w:lvlText w:val="•"/>
      <w:lvlJc w:val="left"/>
      <w:pPr>
        <w:ind w:left="2792" w:hanging="360"/>
      </w:pPr>
      <w:rPr>
        <w:rFonts w:hint="default"/>
      </w:rPr>
    </w:lvl>
    <w:lvl w:ilvl="5" w:tplc="20B0411C">
      <w:start w:val="1"/>
      <w:numFmt w:val="bullet"/>
      <w:lvlText w:val="•"/>
      <w:lvlJc w:val="left"/>
      <w:pPr>
        <w:ind w:left="3285" w:hanging="360"/>
      </w:pPr>
      <w:rPr>
        <w:rFonts w:hint="default"/>
      </w:rPr>
    </w:lvl>
    <w:lvl w:ilvl="6" w:tplc="433A6CE0">
      <w:start w:val="1"/>
      <w:numFmt w:val="bullet"/>
      <w:lvlText w:val="•"/>
      <w:lvlJc w:val="left"/>
      <w:pPr>
        <w:ind w:left="3777" w:hanging="360"/>
      </w:pPr>
      <w:rPr>
        <w:rFonts w:hint="default"/>
      </w:rPr>
    </w:lvl>
    <w:lvl w:ilvl="7" w:tplc="36D4B2A2">
      <w:start w:val="1"/>
      <w:numFmt w:val="bullet"/>
      <w:lvlText w:val="•"/>
      <w:lvlJc w:val="left"/>
      <w:pPr>
        <w:ind w:left="4270" w:hanging="360"/>
      </w:pPr>
      <w:rPr>
        <w:rFonts w:hint="default"/>
      </w:rPr>
    </w:lvl>
    <w:lvl w:ilvl="8" w:tplc="79288C6E">
      <w:start w:val="1"/>
      <w:numFmt w:val="bullet"/>
      <w:lvlText w:val="•"/>
      <w:lvlJc w:val="left"/>
      <w:pPr>
        <w:ind w:left="4763" w:hanging="360"/>
      </w:pPr>
      <w:rPr>
        <w:rFonts w:hint="default"/>
      </w:rPr>
    </w:lvl>
  </w:abstractNum>
  <w:abstractNum w:abstractNumId="15" w15:restartNumberingAfterBreak="0">
    <w:nsid w:val="2F00000B"/>
    <w:multiLevelType w:val="hybridMultilevel"/>
    <w:tmpl w:val="1116FB26"/>
    <w:lvl w:ilvl="0" w:tplc="0406000D">
      <w:start w:val="1"/>
      <w:numFmt w:val="bullet"/>
      <w:lvlText w:val=""/>
      <w:lvlJc w:val="left"/>
      <w:pPr>
        <w:ind w:left="720" w:hanging="360"/>
        <w:jc w:val="both"/>
      </w:pPr>
      <w:rPr>
        <w:rFonts w:ascii="Wingdings" w:hAnsi="Wingdings" w:hint="default"/>
        <w:w w:val="100"/>
        <w:sz w:val="20"/>
        <w:szCs w:val="20"/>
        <w:shd w:val="clear" w:color="auto" w:fill="auto"/>
      </w:rPr>
    </w:lvl>
    <w:lvl w:ilvl="1" w:tplc="779E689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72328924">
      <w:start w:val="1"/>
      <w:numFmt w:val="bullet"/>
      <w:lvlText w:val="§"/>
      <w:lvlJc w:val="left"/>
      <w:pPr>
        <w:ind w:left="2160" w:hanging="360"/>
        <w:jc w:val="both"/>
      </w:pPr>
      <w:rPr>
        <w:rFonts w:ascii="Wingdings" w:eastAsia="Wingdings" w:hAnsi="Wingdings"/>
        <w:w w:val="100"/>
        <w:sz w:val="20"/>
        <w:szCs w:val="20"/>
        <w:shd w:val="clear" w:color="auto" w:fill="auto"/>
      </w:rPr>
    </w:lvl>
    <w:lvl w:ilvl="3" w:tplc="93DE21BE">
      <w:start w:val="1"/>
      <w:numFmt w:val="bullet"/>
      <w:lvlText w:val="·"/>
      <w:lvlJc w:val="left"/>
      <w:pPr>
        <w:ind w:left="2880" w:hanging="360"/>
        <w:jc w:val="both"/>
      </w:pPr>
      <w:rPr>
        <w:rFonts w:ascii="Symbol" w:eastAsia="Symbol" w:hAnsi="Symbol"/>
        <w:w w:val="100"/>
        <w:sz w:val="20"/>
        <w:szCs w:val="20"/>
        <w:shd w:val="clear" w:color="auto" w:fill="auto"/>
      </w:rPr>
    </w:lvl>
    <w:lvl w:ilvl="4" w:tplc="DB2A910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30860D6">
      <w:start w:val="1"/>
      <w:numFmt w:val="bullet"/>
      <w:lvlText w:val="§"/>
      <w:lvlJc w:val="left"/>
      <w:pPr>
        <w:ind w:left="4320" w:hanging="360"/>
        <w:jc w:val="both"/>
      </w:pPr>
      <w:rPr>
        <w:rFonts w:ascii="Wingdings" w:eastAsia="Wingdings" w:hAnsi="Wingdings"/>
        <w:w w:val="100"/>
        <w:sz w:val="20"/>
        <w:szCs w:val="20"/>
        <w:shd w:val="clear" w:color="auto" w:fill="auto"/>
      </w:rPr>
    </w:lvl>
    <w:lvl w:ilvl="6" w:tplc="4E6866E4">
      <w:start w:val="1"/>
      <w:numFmt w:val="bullet"/>
      <w:lvlText w:val="·"/>
      <w:lvlJc w:val="left"/>
      <w:pPr>
        <w:ind w:left="5040" w:hanging="360"/>
        <w:jc w:val="both"/>
      </w:pPr>
      <w:rPr>
        <w:rFonts w:ascii="Symbol" w:eastAsia="Symbol" w:hAnsi="Symbol"/>
        <w:w w:val="100"/>
        <w:sz w:val="20"/>
        <w:szCs w:val="20"/>
        <w:shd w:val="clear" w:color="auto" w:fill="auto"/>
      </w:rPr>
    </w:lvl>
    <w:lvl w:ilvl="7" w:tplc="D278CAD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FD62564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15:restartNumberingAfterBreak="0">
    <w:nsid w:val="2F000012"/>
    <w:multiLevelType w:val="hybridMultilevel"/>
    <w:tmpl w:val="3795C8F2"/>
    <w:lvl w:ilvl="0" w:tplc="6FBA9A0A">
      <w:start w:val="1"/>
      <w:numFmt w:val="decimal"/>
      <w:lvlText w:val="%1."/>
      <w:lvlJc w:val="left"/>
      <w:pPr>
        <w:ind w:left="360" w:hanging="360"/>
        <w:jc w:val="both"/>
      </w:pPr>
    </w:lvl>
    <w:lvl w:ilvl="1" w:tplc="0BF415D4">
      <w:start w:val="1"/>
      <w:numFmt w:val="lowerLetter"/>
      <w:lvlText w:val="%2."/>
      <w:lvlJc w:val="left"/>
      <w:pPr>
        <w:ind w:left="1080" w:hanging="360"/>
        <w:jc w:val="both"/>
      </w:pPr>
    </w:lvl>
    <w:lvl w:ilvl="2" w:tplc="CB8C58E6">
      <w:start w:val="1"/>
      <w:numFmt w:val="lowerRoman"/>
      <w:lvlText w:val="%3."/>
      <w:lvlJc w:val="right"/>
      <w:pPr>
        <w:ind w:left="1800" w:hanging="180"/>
        <w:jc w:val="both"/>
      </w:pPr>
    </w:lvl>
    <w:lvl w:ilvl="3" w:tplc="C13EF79E">
      <w:start w:val="1"/>
      <w:numFmt w:val="decimal"/>
      <w:lvlText w:val="%4."/>
      <w:lvlJc w:val="left"/>
      <w:pPr>
        <w:ind w:left="2520" w:hanging="360"/>
        <w:jc w:val="both"/>
      </w:pPr>
    </w:lvl>
    <w:lvl w:ilvl="4" w:tplc="0F92C9C0">
      <w:start w:val="1"/>
      <w:numFmt w:val="lowerLetter"/>
      <w:lvlText w:val="%5."/>
      <w:lvlJc w:val="left"/>
      <w:pPr>
        <w:ind w:left="3240" w:hanging="360"/>
        <w:jc w:val="both"/>
      </w:pPr>
    </w:lvl>
    <w:lvl w:ilvl="5" w:tplc="4BD23052">
      <w:start w:val="1"/>
      <w:numFmt w:val="lowerRoman"/>
      <w:lvlText w:val="%6."/>
      <w:lvlJc w:val="right"/>
      <w:pPr>
        <w:ind w:left="3960" w:hanging="180"/>
        <w:jc w:val="both"/>
      </w:pPr>
    </w:lvl>
    <w:lvl w:ilvl="6" w:tplc="42D439CC">
      <w:start w:val="1"/>
      <w:numFmt w:val="decimal"/>
      <w:lvlText w:val="%7."/>
      <w:lvlJc w:val="left"/>
      <w:pPr>
        <w:ind w:left="4680" w:hanging="360"/>
        <w:jc w:val="both"/>
      </w:pPr>
    </w:lvl>
    <w:lvl w:ilvl="7" w:tplc="926CDB90">
      <w:start w:val="1"/>
      <w:numFmt w:val="lowerLetter"/>
      <w:lvlText w:val="%8."/>
      <w:lvlJc w:val="left"/>
      <w:pPr>
        <w:ind w:left="5400" w:hanging="360"/>
        <w:jc w:val="both"/>
      </w:pPr>
    </w:lvl>
    <w:lvl w:ilvl="8" w:tplc="B77488F0">
      <w:start w:val="1"/>
      <w:numFmt w:val="lowerRoman"/>
      <w:lvlText w:val="%9."/>
      <w:lvlJc w:val="right"/>
      <w:pPr>
        <w:ind w:left="6120" w:hanging="180"/>
        <w:jc w:val="both"/>
      </w:pPr>
    </w:lvl>
  </w:abstractNum>
  <w:abstractNum w:abstractNumId="17" w15:restartNumberingAfterBreak="0">
    <w:nsid w:val="2F000022"/>
    <w:multiLevelType w:val="hybridMultilevel"/>
    <w:tmpl w:val="4D6D2672"/>
    <w:lvl w:ilvl="0" w:tplc="48869F76">
      <w:start w:val="1"/>
      <w:numFmt w:val="bullet"/>
      <w:lvlText w:val="·"/>
      <w:lvlJc w:val="left"/>
      <w:pPr>
        <w:ind w:left="720" w:hanging="360"/>
        <w:jc w:val="both"/>
      </w:pPr>
      <w:rPr>
        <w:rFonts w:ascii="Symbol" w:eastAsia="Symbol" w:hAnsi="Symbol"/>
        <w:w w:val="100"/>
        <w:sz w:val="20"/>
        <w:szCs w:val="20"/>
        <w:shd w:val="clear" w:color="auto" w:fill="auto"/>
      </w:rPr>
    </w:lvl>
    <w:lvl w:ilvl="1" w:tplc="13B8DDB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6A9A2344">
      <w:start w:val="1"/>
      <w:numFmt w:val="bullet"/>
      <w:lvlText w:val="§"/>
      <w:lvlJc w:val="left"/>
      <w:pPr>
        <w:ind w:left="2160" w:hanging="360"/>
        <w:jc w:val="both"/>
      </w:pPr>
      <w:rPr>
        <w:rFonts w:ascii="Wingdings" w:eastAsia="Wingdings" w:hAnsi="Wingdings"/>
        <w:w w:val="100"/>
        <w:sz w:val="20"/>
        <w:szCs w:val="20"/>
        <w:shd w:val="clear" w:color="auto" w:fill="auto"/>
      </w:rPr>
    </w:lvl>
    <w:lvl w:ilvl="3" w:tplc="354C19D2">
      <w:start w:val="1"/>
      <w:numFmt w:val="bullet"/>
      <w:lvlText w:val="·"/>
      <w:lvlJc w:val="left"/>
      <w:pPr>
        <w:ind w:left="2880" w:hanging="360"/>
        <w:jc w:val="both"/>
      </w:pPr>
      <w:rPr>
        <w:rFonts w:ascii="Symbol" w:eastAsia="Symbol" w:hAnsi="Symbol"/>
        <w:w w:val="100"/>
        <w:sz w:val="20"/>
        <w:szCs w:val="20"/>
        <w:shd w:val="clear" w:color="auto" w:fill="auto"/>
      </w:rPr>
    </w:lvl>
    <w:lvl w:ilvl="4" w:tplc="E9C26CE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C41E4222">
      <w:start w:val="1"/>
      <w:numFmt w:val="bullet"/>
      <w:lvlText w:val="§"/>
      <w:lvlJc w:val="left"/>
      <w:pPr>
        <w:ind w:left="4320" w:hanging="360"/>
        <w:jc w:val="both"/>
      </w:pPr>
      <w:rPr>
        <w:rFonts w:ascii="Wingdings" w:eastAsia="Wingdings" w:hAnsi="Wingdings"/>
        <w:w w:val="100"/>
        <w:sz w:val="20"/>
        <w:szCs w:val="20"/>
        <w:shd w:val="clear" w:color="auto" w:fill="auto"/>
      </w:rPr>
    </w:lvl>
    <w:lvl w:ilvl="6" w:tplc="832807FC">
      <w:start w:val="1"/>
      <w:numFmt w:val="bullet"/>
      <w:lvlText w:val="·"/>
      <w:lvlJc w:val="left"/>
      <w:pPr>
        <w:ind w:left="5040" w:hanging="360"/>
        <w:jc w:val="both"/>
      </w:pPr>
      <w:rPr>
        <w:rFonts w:ascii="Symbol" w:eastAsia="Symbol" w:hAnsi="Symbol"/>
        <w:w w:val="100"/>
        <w:sz w:val="20"/>
        <w:szCs w:val="20"/>
        <w:shd w:val="clear" w:color="auto" w:fill="auto"/>
      </w:rPr>
    </w:lvl>
    <w:lvl w:ilvl="7" w:tplc="B4B2ADC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1A03A7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8" w15:restartNumberingAfterBreak="0">
    <w:nsid w:val="2F000024"/>
    <w:multiLevelType w:val="hybridMultilevel"/>
    <w:tmpl w:val="57DE5DFD"/>
    <w:lvl w:ilvl="0" w:tplc="4ECA2BC2">
      <w:start w:val="1"/>
      <w:numFmt w:val="bullet"/>
      <w:lvlText w:val="·"/>
      <w:lvlJc w:val="left"/>
      <w:pPr>
        <w:ind w:left="780" w:hanging="360"/>
        <w:jc w:val="both"/>
      </w:pPr>
      <w:rPr>
        <w:rFonts w:ascii="Symbol" w:eastAsia="Symbol" w:hAnsi="Symbol"/>
        <w:w w:val="100"/>
        <w:sz w:val="20"/>
        <w:szCs w:val="20"/>
        <w:shd w:val="clear" w:color="auto" w:fill="auto"/>
      </w:rPr>
    </w:lvl>
    <w:lvl w:ilvl="1" w:tplc="32705334">
      <w:start w:val="1"/>
      <w:numFmt w:val="bullet"/>
      <w:lvlText w:val="o"/>
      <w:lvlJc w:val="left"/>
      <w:pPr>
        <w:ind w:left="1500" w:hanging="360"/>
        <w:jc w:val="both"/>
      </w:pPr>
      <w:rPr>
        <w:rFonts w:ascii="Courier New" w:eastAsia="Courier New" w:hAnsi="Courier New"/>
        <w:w w:val="100"/>
        <w:sz w:val="20"/>
        <w:szCs w:val="20"/>
        <w:shd w:val="clear" w:color="auto" w:fill="auto"/>
      </w:rPr>
    </w:lvl>
    <w:lvl w:ilvl="2" w:tplc="8B74730E">
      <w:start w:val="1"/>
      <w:numFmt w:val="bullet"/>
      <w:lvlText w:val="§"/>
      <w:lvlJc w:val="left"/>
      <w:pPr>
        <w:ind w:left="2220" w:hanging="360"/>
        <w:jc w:val="both"/>
      </w:pPr>
      <w:rPr>
        <w:rFonts w:ascii="Wingdings" w:eastAsia="Wingdings" w:hAnsi="Wingdings"/>
        <w:w w:val="100"/>
        <w:sz w:val="20"/>
        <w:szCs w:val="20"/>
        <w:shd w:val="clear" w:color="auto" w:fill="auto"/>
      </w:rPr>
    </w:lvl>
    <w:lvl w:ilvl="3" w:tplc="51BA9F8E">
      <w:start w:val="1"/>
      <w:numFmt w:val="bullet"/>
      <w:lvlText w:val="·"/>
      <w:lvlJc w:val="left"/>
      <w:pPr>
        <w:ind w:left="2940" w:hanging="360"/>
        <w:jc w:val="both"/>
      </w:pPr>
      <w:rPr>
        <w:rFonts w:ascii="Symbol" w:eastAsia="Symbol" w:hAnsi="Symbol"/>
        <w:w w:val="100"/>
        <w:sz w:val="20"/>
        <w:szCs w:val="20"/>
        <w:shd w:val="clear" w:color="auto" w:fill="auto"/>
      </w:rPr>
    </w:lvl>
    <w:lvl w:ilvl="4" w:tplc="7C5A0CBC">
      <w:start w:val="1"/>
      <w:numFmt w:val="bullet"/>
      <w:lvlText w:val="o"/>
      <w:lvlJc w:val="left"/>
      <w:pPr>
        <w:ind w:left="3660" w:hanging="360"/>
        <w:jc w:val="both"/>
      </w:pPr>
      <w:rPr>
        <w:rFonts w:ascii="Courier New" w:eastAsia="Courier New" w:hAnsi="Courier New"/>
        <w:w w:val="100"/>
        <w:sz w:val="20"/>
        <w:szCs w:val="20"/>
        <w:shd w:val="clear" w:color="auto" w:fill="auto"/>
      </w:rPr>
    </w:lvl>
    <w:lvl w:ilvl="5" w:tplc="FC68B310">
      <w:start w:val="1"/>
      <w:numFmt w:val="bullet"/>
      <w:lvlText w:val="§"/>
      <w:lvlJc w:val="left"/>
      <w:pPr>
        <w:ind w:left="4380" w:hanging="360"/>
        <w:jc w:val="both"/>
      </w:pPr>
      <w:rPr>
        <w:rFonts w:ascii="Wingdings" w:eastAsia="Wingdings" w:hAnsi="Wingdings"/>
        <w:w w:val="100"/>
        <w:sz w:val="20"/>
        <w:szCs w:val="20"/>
        <w:shd w:val="clear" w:color="auto" w:fill="auto"/>
      </w:rPr>
    </w:lvl>
    <w:lvl w:ilvl="6" w:tplc="13109602">
      <w:start w:val="1"/>
      <w:numFmt w:val="bullet"/>
      <w:lvlText w:val="·"/>
      <w:lvlJc w:val="left"/>
      <w:pPr>
        <w:ind w:left="5100" w:hanging="360"/>
        <w:jc w:val="both"/>
      </w:pPr>
      <w:rPr>
        <w:rFonts w:ascii="Symbol" w:eastAsia="Symbol" w:hAnsi="Symbol"/>
        <w:w w:val="100"/>
        <w:sz w:val="20"/>
        <w:szCs w:val="20"/>
        <w:shd w:val="clear" w:color="auto" w:fill="auto"/>
      </w:rPr>
    </w:lvl>
    <w:lvl w:ilvl="7" w:tplc="624C5734">
      <w:start w:val="1"/>
      <w:numFmt w:val="bullet"/>
      <w:lvlText w:val="o"/>
      <w:lvlJc w:val="left"/>
      <w:pPr>
        <w:ind w:left="5820" w:hanging="360"/>
        <w:jc w:val="both"/>
      </w:pPr>
      <w:rPr>
        <w:rFonts w:ascii="Courier New" w:eastAsia="Courier New" w:hAnsi="Courier New"/>
        <w:w w:val="100"/>
        <w:sz w:val="20"/>
        <w:szCs w:val="20"/>
        <w:shd w:val="clear" w:color="auto" w:fill="auto"/>
      </w:rPr>
    </w:lvl>
    <w:lvl w:ilvl="8" w:tplc="D91EE372">
      <w:start w:val="1"/>
      <w:numFmt w:val="bullet"/>
      <w:lvlText w:val="§"/>
      <w:lvlJc w:val="left"/>
      <w:pPr>
        <w:ind w:left="6540" w:hanging="360"/>
        <w:jc w:val="both"/>
      </w:pPr>
      <w:rPr>
        <w:rFonts w:ascii="Wingdings" w:eastAsia="Wingdings" w:hAnsi="Wingdings"/>
        <w:w w:val="100"/>
        <w:sz w:val="20"/>
        <w:szCs w:val="20"/>
        <w:shd w:val="clear" w:color="auto" w:fill="auto"/>
      </w:rPr>
    </w:lvl>
  </w:abstractNum>
  <w:abstractNum w:abstractNumId="19" w15:restartNumberingAfterBreak="0">
    <w:nsid w:val="2F00002F"/>
    <w:multiLevelType w:val="hybridMultilevel"/>
    <w:tmpl w:val="41633036"/>
    <w:lvl w:ilvl="0" w:tplc="32D6B342">
      <w:start w:val="1"/>
      <w:numFmt w:val="bullet"/>
      <w:lvlText w:val="Ø"/>
      <w:lvlJc w:val="left"/>
      <w:pPr>
        <w:ind w:left="720" w:hanging="360"/>
        <w:jc w:val="both"/>
      </w:pPr>
      <w:rPr>
        <w:rFonts w:ascii="Wingdings" w:eastAsia="Wingdings" w:hAnsi="Wingdings"/>
        <w:w w:val="100"/>
        <w:sz w:val="20"/>
        <w:szCs w:val="20"/>
        <w:shd w:val="clear" w:color="auto" w:fill="auto"/>
      </w:rPr>
    </w:lvl>
    <w:lvl w:ilvl="1" w:tplc="58F29FD4">
      <w:start w:val="1"/>
      <w:numFmt w:val="lowerLetter"/>
      <w:lvlText w:val="%2."/>
      <w:lvlJc w:val="left"/>
      <w:pPr>
        <w:ind w:left="1440" w:hanging="360"/>
        <w:jc w:val="both"/>
      </w:pPr>
    </w:lvl>
    <w:lvl w:ilvl="2" w:tplc="39FE156E">
      <w:start w:val="1"/>
      <w:numFmt w:val="lowerRoman"/>
      <w:lvlText w:val="%3."/>
      <w:lvlJc w:val="right"/>
      <w:pPr>
        <w:ind w:left="2160" w:hanging="180"/>
        <w:jc w:val="both"/>
      </w:pPr>
    </w:lvl>
    <w:lvl w:ilvl="3" w:tplc="A14EBC4C">
      <w:start w:val="1"/>
      <w:numFmt w:val="decimal"/>
      <w:lvlText w:val="%4."/>
      <w:lvlJc w:val="left"/>
      <w:pPr>
        <w:ind w:left="2880" w:hanging="360"/>
        <w:jc w:val="both"/>
      </w:pPr>
    </w:lvl>
    <w:lvl w:ilvl="4" w:tplc="2A6E34FA">
      <w:start w:val="1"/>
      <w:numFmt w:val="lowerLetter"/>
      <w:lvlText w:val="%5."/>
      <w:lvlJc w:val="left"/>
      <w:pPr>
        <w:ind w:left="3600" w:hanging="360"/>
        <w:jc w:val="both"/>
      </w:pPr>
    </w:lvl>
    <w:lvl w:ilvl="5" w:tplc="EAE27978">
      <w:start w:val="1"/>
      <w:numFmt w:val="lowerRoman"/>
      <w:lvlText w:val="%6."/>
      <w:lvlJc w:val="right"/>
      <w:pPr>
        <w:ind w:left="4320" w:hanging="180"/>
        <w:jc w:val="both"/>
      </w:pPr>
    </w:lvl>
    <w:lvl w:ilvl="6" w:tplc="805A73FC">
      <w:start w:val="1"/>
      <w:numFmt w:val="decimal"/>
      <w:lvlText w:val="%7."/>
      <w:lvlJc w:val="left"/>
      <w:pPr>
        <w:ind w:left="5040" w:hanging="360"/>
        <w:jc w:val="both"/>
      </w:pPr>
    </w:lvl>
    <w:lvl w:ilvl="7" w:tplc="03B6A842">
      <w:start w:val="1"/>
      <w:numFmt w:val="lowerLetter"/>
      <w:lvlText w:val="%8."/>
      <w:lvlJc w:val="left"/>
      <w:pPr>
        <w:ind w:left="5760" w:hanging="360"/>
        <w:jc w:val="both"/>
      </w:pPr>
    </w:lvl>
    <w:lvl w:ilvl="8" w:tplc="7DCECFF0">
      <w:start w:val="1"/>
      <w:numFmt w:val="lowerRoman"/>
      <w:lvlText w:val="%9."/>
      <w:lvlJc w:val="right"/>
      <w:pPr>
        <w:ind w:left="6480" w:hanging="180"/>
        <w:jc w:val="both"/>
      </w:pPr>
    </w:lvl>
  </w:abstractNum>
  <w:abstractNum w:abstractNumId="20" w15:restartNumberingAfterBreak="0">
    <w:nsid w:val="405362A1"/>
    <w:multiLevelType w:val="hybridMultilevel"/>
    <w:tmpl w:val="189A4D3C"/>
    <w:lvl w:ilvl="0" w:tplc="753E6B9A">
      <w:start w:val="1"/>
      <w:numFmt w:val="bullet"/>
      <w:lvlText w:val=""/>
      <w:lvlJc w:val="left"/>
      <w:pPr>
        <w:ind w:left="822" w:hanging="360"/>
      </w:pPr>
      <w:rPr>
        <w:rFonts w:ascii="Symbol" w:eastAsia="Symbol" w:hAnsi="Symbol" w:hint="default"/>
        <w:sz w:val="20"/>
        <w:szCs w:val="20"/>
      </w:rPr>
    </w:lvl>
    <w:lvl w:ilvl="1" w:tplc="76B20318">
      <w:start w:val="1"/>
      <w:numFmt w:val="bullet"/>
      <w:lvlText w:val="•"/>
      <w:lvlJc w:val="left"/>
      <w:pPr>
        <w:ind w:left="1314" w:hanging="360"/>
      </w:pPr>
      <w:rPr>
        <w:rFonts w:hint="default"/>
      </w:rPr>
    </w:lvl>
    <w:lvl w:ilvl="2" w:tplc="1BC6DD0E">
      <w:start w:val="1"/>
      <w:numFmt w:val="bullet"/>
      <w:lvlText w:val="•"/>
      <w:lvlJc w:val="left"/>
      <w:pPr>
        <w:ind w:left="1807" w:hanging="360"/>
      </w:pPr>
      <w:rPr>
        <w:rFonts w:hint="default"/>
      </w:rPr>
    </w:lvl>
    <w:lvl w:ilvl="3" w:tplc="DD221D90">
      <w:start w:val="1"/>
      <w:numFmt w:val="bullet"/>
      <w:lvlText w:val="•"/>
      <w:lvlJc w:val="left"/>
      <w:pPr>
        <w:ind w:left="2300" w:hanging="360"/>
      </w:pPr>
      <w:rPr>
        <w:rFonts w:hint="default"/>
      </w:rPr>
    </w:lvl>
    <w:lvl w:ilvl="4" w:tplc="8CECB3A2">
      <w:start w:val="1"/>
      <w:numFmt w:val="bullet"/>
      <w:lvlText w:val="•"/>
      <w:lvlJc w:val="left"/>
      <w:pPr>
        <w:ind w:left="2792" w:hanging="360"/>
      </w:pPr>
      <w:rPr>
        <w:rFonts w:hint="default"/>
      </w:rPr>
    </w:lvl>
    <w:lvl w:ilvl="5" w:tplc="F9CA8236">
      <w:start w:val="1"/>
      <w:numFmt w:val="bullet"/>
      <w:lvlText w:val="•"/>
      <w:lvlJc w:val="left"/>
      <w:pPr>
        <w:ind w:left="3285" w:hanging="360"/>
      </w:pPr>
      <w:rPr>
        <w:rFonts w:hint="default"/>
      </w:rPr>
    </w:lvl>
    <w:lvl w:ilvl="6" w:tplc="F2E837B0">
      <w:start w:val="1"/>
      <w:numFmt w:val="bullet"/>
      <w:lvlText w:val="•"/>
      <w:lvlJc w:val="left"/>
      <w:pPr>
        <w:ind w:left="3777" w:hanging="360"/>
      </w:pPr>
      <w:rPr>
        <w:rFonts w:hint="default"/>
      </w:rPr>
    </w:lvl>
    <w:lvl w:ilvl="7" w:tplc="E42028A2">
      <w:start w:val="1"/>
      <w:numFmt w:val="bullet"/>
      <w:lvlText w:val="•"/>
      <w:lvlJc w:val="left"/>
      <w:pPr>
        <w:ind w:left="4270" w:hanging="360"/>
      </w:pPr>
      <w:rPr>
        <w:rFonts w:hint="default"/>
      </w:rPr>
    </w:lvl>
    <w:lvl w:ilvl="8" w:tplc="2E32A776">
      <w:start w:val="1"/>
      <w:numFmt w:val="bullet"/>
      <w:lvlText w:val="•"/>
      <w:lvlJc w:val="left"/>
      <w:pPr>
        <w:ind w:left="4763" w:hanging="360"/>
      </w:pPr>
      <w:rPr>
        <w:rFonts w:hint="default"/>
      </w:rPr>
    </w:lvl>
  </w:abstractNum>
  <w:abstractNum w:abstractNumId="21" w15:restartNumberingAfterBreak="0">
    <w:nsid w:val="40814570"/>
    <w:multiLevelType w:val="hybridMultilevel"/>
    <w:tmpl w:val="1B3ADCA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B2E2219E">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32A4B"/>
    <w:multiLevelType w:val="hybridMultilevel"/>
    <w:tmpl w:val="4594D5A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FE68B4"/>
    <w:multiLevelType w:val="hybridMultilevel"/>
    <w:tmpl w:val="15248ED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A0589E"/>
    <w:multiLevelType w:val="hybridMultilevel"/>
    <w:tmpl w:val="D4EABB88"/>
    <w:lvl w:ilvl="0" w:tplc="E4E011CC">
      <w:start w:val="1"/>
      <w:numFmt w:val="bullet"/>
      <w:lvlText w:val=""/>
      <w:lvlJc w:val="left"/>
      <w:pPr>
        <w:ind w:left="837" w:hanging="360"/>
      </w:pPr>
      <w:rPr>
        <w:rFonts w:ascii="Symbol" w:eastAsia="Symbol" w:hAnsi="Symbol" w:hint="default"/>
        <w:sz w:val="20"/>
        <w:szCs w:val="20"/>
      </w:rPr>
    </w:lvl>
    <w:lvl w:ilvl="1" w:tplc="3A8A2E2C">
      <w:start w:val="1"/>
      <w:numFmt w:val="bullet"/>
      <w:lvlText w:val="•"/>
      <w:lvlJc w:val="left"/>
      <w:pPr>
        <w:ind w:left="1328" w:hanging="360"/>
      </w:pPr>
      <w:rPr>
        <w:rFonts w:hint="default"/>
      </w:rPr>
    </w:lvl>
    <w:lvl w:ilvl="2" w:tplc="C6FA162C">
      <w:start w:val="1"/>
      <w:numFmt w:val="bullet"/>
      <w:lvlText w:val="•"/>
      <w:lvlJc w:val="left"/>
      <w:pPr>
        <w:ind w:left="1819" w:hanging="360"/>
      </w:pPr>
      <w:rPr>
        <w:rFonts w:hint="default"/>
      </w:rPr>
    </w:lvl>
    <w:lvl w:ilvl="3" w:tplc="FB84A93C">
      <w:start w:val="1"/>
      <w:numFmt w:val="bullet"/>
      <w:lvlText w:val="•"/>
      <w:lvlJc w:val="left"/>
      <w:pPr>
        <w:ind w:left="2311" w:hanging="360"/>
      </w:pPr>
      <w:rPr>
        <w:rFonts w:hint="default"/>
      </w:rPr>
    </w:lvl>
    <w:lvl w:ilvl="4" w:tplc="D666BC68">
      <w:start w:val="1"/>
      <w:numFmt w:val="bullet"/>
      <w:lvlText w:val="•"/>
      <w:lvlJc w:val="left"/>
      <w:pPr>
        <w:ind w:left="2802" w:hanging="360"/>
      </w:pPr>
      <w:rPr>
        <w:rFonts w:hint="default"/>
      </w:rPr>
    </w:lvl>
    <w:lvl w:ilvl="5" w:tplc="61EC0F04">
      <w:start w:val="1"/>
      <w:numFmt w:val="bullet"/>
      <w:lvlText w:val="•"/>
      <w:lvlJc w:val="left"/>
      <w:pPr>
        <w:ind w:left="3293" w:hanging="360"/>
      </w:pPr>
      <w:rPr>
        <w:rFonts w:hint="default"/>
      </w:rPr>
    </w:lvl>
    <w:lvl w:ilvl="6" w:tplc="8BEC7D84">
      <w:start w:val="1"/>
      <w:numFmt w:val="bullet"/>
      <w:lvlText w:val="•"/>
      <w:lvlJc w:val="left"/>
      <w:pPr>
        <w:ind w:left="3784" w:hanging="360"/>
      </w:pPr>
      <w:rPr>
        <w:rFonts w:hint="default"/>
      </w:rPr>
    </w:lvl>
    <w:lvl w:ilvl="7" w:tplc="BE94E0FE">
      <w:start w:val="1"/>
      <w:numFmt w:val="bullet"/>
      <w:lvlText w:val="•"/>
      <w:lvlJc w:val="left"/>
      <w:pPr>
        <w:ind w:left="4275" w:hanging="360"/>
      </w:pPr>
      <w:rPr>
        <w:rFonts w:hint="default"/>
      </w:rPr>
    </w:lvl>
    <w:lvl w:ilvl="8" w:tplc="FB54898C">
      <w:start w:val="1"/>
      <w:numFmt w:val="bullet"/>
      <w:lvlText w:val="•"/>
      <w:lvlJc w:val="left"/>
      <w:pPr>
        <w:ind w:left="4766" w:hanging="360"/>
      </w:pPr>
      <w:rPr>
        <w:rFonts w:hint="default"/>
      </w:rPr>
    </w:lvl>
  </w:abstractNum>
  <w:abstractNum w:abstractNumId="25" w15:restartNumberingAfterBreak="0">
    <w:nsid w:val="51892F82"/>
    <w:multiLevelType w:val="multilevel"/>
    <w:tmpl w:val="AE8CA1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666EDD"/>
    <w:multiLevelType w:val="hybridMultilevel"/>
    <w:tmpl w:val="C2E2D7EC"/>
    <w:lvl w:ilvl="0" w:tplc="FA9615A8">
      <w:start w:val="1"/>
      <w:numFmt w:val="bullet"/>
      <w:lvlText w:val=""/>
      <w:lvlJc w:val="left"/>
      <w:pPr>
        <w:ind w:left="822" w:hanging="360"/>
      </w:pPr>
      <w:rPr>
        <w:rFonts w:ascii="Symbol" w:eastAsia="Symbol" w:hAnsi="Symbol" w:hint="default"/>
        <w:sz w:val="20"/>
        <w:szCs w:val="20"/>
      </w:rPr>
    </w:lvl>
    <w:lvl w:ilvl="1" w:tplc="11DEC7D6">
      <w:start w:val="1"/>
      <w:numFmt w:val="bullet"/>
      <w:lvlText w:val="•"/>
      <w:lvlJc w:val="left"/>
      <w:pPr>
        <w:ind w:left="1314" w:hanging="360"/>
      </w:pPr>
      <w:rPr>
        <w:rFonts w:hint="default"/>
      </w:rPr>
    </w:lvl>
    <w:lvl w:ilvl="2" w:tplc="F9BC24EA">
      <w:start w:val="1"/>
      <w:numFmt w:val="bullet"/>
      <w:lvlText w:val="•"/>
      <w:lvlJc w:val="left"/>
      <w:pPr>
        <w:ind w:left="1807" w:hanging="360"/>
      </w:pPr>
      <w:rPr>
        <w:rFonts w:hint="default"/>
      </w:rPr>
    </w:lvl>
    <w:lvl w:ilvl="3" w:tplc="A8A651A6">
      <w:start w:val="1"/>
      <w:numFmt w:val="bullet"/>
      <w:lvlText w:val="•"/>
      <w:lvlJc w:val="left"/>
      <w:pPr>
        <w:ind w:left="2300" w:hanging="360"/>
      </w:pPr>
      <w:rPr>
        <w:rFonts w:hint="default"/>
      </w:rPr>
    </w:lvl>
    <w:lvl w:ilvl="4" w:tplc="DFF69166">
      <w:start w:val="1"/>
      <w:numFmt w:val="bullet"/>
      <w:lvlText w:val="•"/>
      <w:lvlJc w:val="left"/>
      <w:pPr>
        <w:ind w:left="2792" w:hanging="360"/>
      </w:pPr>
      <w:rPr>
        <w:rFonts w:hint="default"/>
      </w:rPr>
    </w:lvl>
    <w:lvl w:ilvl="5" w:tplc="77685444">
      <w:start w:val="1"/>
      <w:numFmt w:val="bullet"/>
      <w:lvlText w:val="•"/>
      <w:lvlJc w:val="left"/>
      <w:pPr>
        <w:ind w:left="3285" w:hanging="360"/>
      </w:pPr>
      <w:rPr>
        <w:rFonts w:hint="default"/>
      </w:rPr>
    </w:lvl>
    <w:lvl w:ilvl="6" w:tplc="2AE034AA">
      <w:start w:val="1"/>
      <w:numFmt w:val="bullet"/>
      <w:lvlText w:val="•"/>
      <w:lvlJc w:val="left"/>
      <w:pPr>
        <w:ind w:left="3777" w:hanging="360"/>
      </w:pPr>
      <w:rPr>
        <w:rFonts w:hint="default"/>
      </w:rPr>
    </w:lvl>
    <w:lvl w:ilvl="7" w:tplc="A7527772">
      <w:start w:val="1"/>
      <w:numFmt w:val="bullet"/>
      <w:lvlText w:val="•"/>
      <w:lvlJc w:val="left"/>
      <w:pPr>
        <w:ind w:left="4270" w:hanging="360"/>
      </w:pPr>
      <w:rPr>
        <w:rFonts w:hint="default"/>
      </w:rPr>
    </w:lvl>
    <w:lvl w:ilvl="8" w:tplc="BB2AD232">
      <w:start w:val="1"/>
      <w:numFmt w:val="bullet"/>
      <w:lvlText w:val="•"/>
      <w:lvlJc w:val="left"/>
      <w:pPr>
        <w:ind w:left="4763" w:hanging="360"/>
      </w:pPr>
      <w:rPr>
        <w:rFonts w:hint="default"/>
      </w:rPr>
    </w:lvl>
  </w:abstractNum>
  <w:abstractNum w:abstractNumId="27" w15:restartNumberingAfterBreak="0">
    <w:nsid w:val="5BD36A94"/>
    <w:multiLevelType w:val="hybridMultilevel"/>
    <w:tmpl w:val="8228DD16"/>
    <w:lvl w:ilvl="0" w:tplc="57D04E1A">
      <w:start w:val="3"/>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28" w15:restartNumberingAfterBreak="0">
    <w:nsid w:val="64027D2E"/>
    <w:multiLevelType w:val="hybridMultilevel"/>
    <w:tmpl w:val="3336E4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6C2463"/>
    <w:multiLevelType w:val="hybridMultilevel"/>
    <w:tmpl w:val="20689D4A"/>
    <w:lvl w:ilvl="0" w:tplc="85FED7B2">
      <w:start w:val="1"/>
      <w:numFmt w:val="bullet"/>
      <w:lvlText w:val=""/>
      <w:lvlJc w:val="left"/>
      <w:pPr>
        <w:ind w:left="837" w:hanging="360"/>
      </w:pPr>
      <w:rPr>
        <w:rFonts w:ascii="Symbol" w:eastAsia="Symbol" w:hAnsi="Symbol" w:hint="default"/>
        <w:sz w:val="20"/>
        <w:szCs w:val="20"/>
      </w:rPr>
    </w:lvl>
    <w:lvl w:ilvl="1" w:tplc="4E4AEA7A">
      <w:start w:val="1"/>
      <w:numFmt w:val="bullet"/>
      <w:lvlText w:val="•"/>
      <w:lvlJc w:val="left"/>
      <w:pPr>
        <w:ind w:left="1328" w:hanging="360"/>
      </w:pPr>
      <w:rPr>
        <w:rFonts w:hint="default"/>
      </w:rPr>
    </w:lvl>
    <w:lvl w:ilvl="2" w:tplc="D0A60460">
      <w:start w:val="1"/>
      <w:numFmt w:val="bullet"/>
      <w:lvlText w:val="•"/>
      <w:lvlJc w:val="left"/>
      <w:pPr>
        <w:ind w:left="1819" w:hanging="360"/>
      </w:pPr>
      <w:rPr>
        <w:rFonts w:hint="default"/>
      </w:rPr>
    </w:lvl>
    <w:lvl w:ilvl="3" w:tplc="50565586">
      <w:start w:val="1"/>
      <w:numFmt w:val="bullet"/>
      <w:lvlText w:val="•"/>
      <w:lvlJc w:val="left"/>
      <w:pPr>
        <w:ind w:left="2311" w:hanging="360"/>
      </w:pPr>
      <w:rPr>
        <w:rFonts w:hint="default"/>
      </w:rPr>
    </w:lvl>
    <w:lvl w:ilvl="4" w:tplc="4F40C57E">
      <w:start w:val="1"/>
      <w:numFmt w:val="bullet"/>
      <w:lvlText w:val="•"/>
      <w:lvlJc w:val="left"/>
      <w:pPr>
        <w:ind w:left="2802" w:hanging="360"/>
      </w:pPr>
      <w:rPr>
        <w:rFonts w:hint="default"/>
      </w:rPr>
    </w:lvl>
    <w:lvl w:ilvl="5" w:tplc="E560424A">
      <w:start w:val="1"/>
      <w:numFmt w:val="bullet"/>
      <w:lvlText w:val="•"/>
      <w:lvlJc w:val="left"/>
      <w:pPr>
        <w:ind w:left="3293" w:hanging="360"/>
      </w:pPr>
      <w:rPr>
        <w:rFonts w:hint="default"/>
      </w:rPr>
    </w:lvl>
    <w:lvl w:ilvl="6" w:tplc="5DE46E90">
      <w:start w:val="1"/>
      <w:numFmt w:val="bullet"/>
      <w:lvlText w:val="•"/>
      <w:lvlJc w:val="left"/>
      <w:pPr>
        <w:ind w:left="3784" w:hanging="360"/>
      </w:pPr>
      <w:rPr>
        <w:rFonts w:hint="default"/>
      </w:rPr>
    </w:lvl>
    <w:lvl w:ilvl="7" w:tplc="F628FECC">
      <w:start w:val="1"/>
      <w:numFmt w:val="bullet"/>
      <w:lvlText w:val="•"/>
      <w:lvlJc w:val="left"/>
      <w:pPr>
        <w:ind w:left="4275" w:hanging="360"/>
      </w:pPr>
      <w:rPr>
        <w:rFonts w:hint="default"/>
      </w:rPr>
    </w:lvl>
    <w:lvl w:ilvl="8" w:tplc="5F5CCFC8">
      <w:start w:val="1"/>
      <w:numFmt w:val="bullet"/>
      <w:lvlText w:val="•"/>
      <w:lvlJc w:val="left"/>
      <w:pPr>
        <w:ind w:left="4766" w:hanging="360"/>
      </w:pPr>
      <w:rPr>
        <w:rFonts w:hint="default"/>
      </w:rPr>
    </w:lvl>
  </w:abstractNum>
  <w:abstractNum w:abstractNumId="30" w15:restartNumberingAfterBreak="0">
    <w:nsid w:val="6C233DA2"/>
    <w:multiLevelType w:val="hybridMultilevel"/>
    <w:tmpl w:val="5186F232"/>
    <w:lvl w:ilvl="0" w:tplc="01462338">
      <w:start w:val="1"/>
      <w:numFmt w:val="bullet"/>
      <w:lvlText w:val=""/>
      <w:lvlJc w:val="left"/>
      <w:pPr>
        <w:ind w:left="837" w:hanging="360"/>
      </w:pPr>
      <w:rPr>
        <w:rFonts w:ascii="Symbol" w:eastAsia="Symbol" w:hAnsi="Symbol" w:hint="default"/>
        <w:sz w:val="20"/>
        <w:szCs w:val="20"/>
      </w:rPr>
    </w:lvl>
    <w:lvl w:ilvl="1" w:tplc="96CCA3F2">
      <w:start w:val="1"/>
      <w:numFmt w:val="bullet"/>
      <w:lvlText w:val="•"/>
      <w:lvlJc w:val="left"/>
      <w:pPr>
        <w:ind w:left="1328" w:hanging="360"/>
      </w:pPr>
      <w:rPr>
        <w:rFonts w:hint="default"/>
      </w:rPr>
    </w:lvl>
    <w:lvl w:ilvl="2" w:tplc="11F67A38">
      <w:start w:val="1"/>
      <w:numFmt w:val="bullet"/>
      <w:lvlText w:val="•"/>
      <w:lvlJc w:val="left"/>
      <w:pPr>
        <w:ind w:left="1819" w:hanging="360"/>
      </w:pPr>
      <w:rPr>
        <w:rFonts w:hint="default"/>
      </w:rPr>
    </w:lvl>
    <w:lvl w:ilvl="3" w:tplc="3DFA2070">
      <w:start w:val="1"/>
      <w:numFmt w:val="bullet"/>
      <w:lvlText w:val="•"/>
      <w:lvlJc w:val="left"/>
      <w:pPr>
        <w:ind w:left="2311" w:hanging="360"/>
      </w:pPr>
      <w:rPr>
        <w:rFonts w:hint="default"/>
      </w:rPr>
    </w:lvl>
    <w:lvl w:ilvl="4" w:tplc="DE0866FC">
      <w:start w:val="1"/>
      <w:numFmt w:val="bullet"/>
      <w:lvlText w:val="•"/>
      <w:lvlJc w:val="left"/>
      <w:pPr>
        <w:ind w:left="2802" w:hanging="360"/>
      </w:pPr>
      <w:rPr>
        <w:rFonts w:hint="default"/>
      </w:rPr>
    </w:lvl>
    <w:lvl w:ilvl="5" w:tplc="4710B3E2">
      <w:start w:val="1"/>
      <w:numFmt w:val="bullet"/>
      <w:lvlText w:val="•"/>
      <w:lvlJc w:val="left"/>
      <w:pPr>
        <w:ind w:left="3293" w:hanging="360"/>
      </w:pPr>
      <w:rPr>
        <w:rFonts w:hint="default"/>
      </w:rPr>
    </w:lvl>
    <w:lvl w:ilvl="6" w:tplc="5300BB36">
      <w:start w:val="1"/>
      <w:numFmt w:val="bullet"/>
      <w:lvlText w:val="•"/>
      <w:lvlJc w:val="left"/>
      <w:pPr>
        <w:ind w:left="3784" w:hanging="360"/>
      </w:pPr>
      <w:rPr>
        <w:rFonts w:hint="default"/>
      </w:rPr>
    </w:lvl>
    <w:lvl w:ilvl="7" w:tplc="849E1368">
      <w:start w:val="1"/>
      <w:numFmt w:val="bullet"/>
      <w:lvlText w:val="•"/>
      <w:lvlJc w:val="left"/>
      <w:pPr>
        <w:ind w:left="4275" w:hanging="360"/>
      </w:pPr>
      <w:rPr>
        <w:rFonts w:hint="default"/>
      </w:rPr>
    </w:lvl>
    <w:lvl w:ilvl="8" w:tplc="C0B69BB2">
      <w:start w:val="1"/>
      <w:numFmt w:val="bullet"/>
      <w:lvlText w:val="•"/>
      <w:lvlJc w:val="left"/>
      <w:pPr>
        <w:ind w:left="4766" w:hanging="360"/>
      </w:pPr>
      <w:rPr>
        <w:rFonts w:hint="default"/>
      </w:rPr>
    </w:lvl>
  </w:abstractNum>
  <w:abstractNum w:abstractNumId="31" w15:restartNumberingAfterBreak="0">
    <w:nsid w:val="6CE843B2"/>
    <w:multiLevelType w:val="hybridMultilevel"/>
    <w:tmpl w:val="1F6CDDDC"/>
    <w:lvl w:ilvl="0" w:tplc="CFCA365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A1D7B"/>
    <w:multiLevelType w:val="hybridMultilevel"/>
    <w:tmpl w:val="8326E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7F3B74"/>
    <w:multiLevelType w:val="hybridMultilevel"/>
    <w:tmpl w:val="1664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947EF"/>
    <w:multiLevelType w:val="hybridMultilevel"/>
    <w:tmpl w:val="D166AFFE"/>
    <w:lvl w:ilvl="0" w:tplc="4DB6D934">
      <w:start w:val="1"/>
      <w:numFmt w:val="bullet"/>
      <w:lvlText w:val=""/>
      <w:lvlJc w:val="left"/>
      <w:pPr>
        <w:ind w:left="822" w:hanging="360"/>
      </w:pPr>
      <w:rPr>
        <w:rFonts w:ascii="Symbol" w:eastAsia="Symbol" w:hAnsi="Symbol" w:hint="default"/>
        <w:sz w:val="20"/>
        <w:szCs w:val="20"/>
      </w:rPr>
    </w:lvl>
    <w:lvl w:ilvl="1" w:tplc="61685A7A">
      <w:start w:val="1"/>
      <w:numFmt w:val="bullet"/>
      <w:lvlText w:val="•"/>
      <w:lvlJc w:val="left"/>
      <w:pPr>
        <w:ind w:left="1314" w:hanging="360"/>
      </w:pPr>
      <w:rPr>
        <w:rFonts w:hint="default"/>
      </w:rPr>
    </w:lvl>
    <w:lvl w:ilvl="2" w:tplc="4E6E5FB8">
      <w:start w:val="1"/>
      <w:numFmt w:val="bullet"/>
      <w:lvlText w:val="•"/>
      <w:lvlJc w:val="left"/>
      <w:pPr>
        <w:ind w:left="1807" w:hanging="360"/>
      </w:pPr>
      <w:rPr>
        <w:rFonts w:hint="default"/>
      </w:rPr>
    </w:lvl>
    <w:lvl w:ilvl="3" w:tplc="A96051E0">
      <w:start w:val="1"/>
      <w:numFmt w:val="bullet"/>
      <w:lvlText w:val="•"/>
      <w:lvlJc w:val="left"/>
      <w:pPr>
        <w:ind w:left="2300" w:hanging="360"/>
      </w:pPr>
      <w:rPr>
        <w:rFonts w:hint="default"/>
      </w:rPr>
    </w:lvl>
    <w:lvl w:ilvl="4" w:tplc="54E40526">
      <w:start w:val="1"/>
      <w:numFmt w:val="bullet"/>
      <w:lvlText w:val="•"/>
      <w:lvlJc w:val="left"/>
      <w:pPr>
        <w:ind w:left="2792" w:hanging="360"/>
      </w:pPr>
      <w:rPr>
        <w:rFonts w:hint="default"/>
      </w:rPr>
    </w:lvl>
    <w:lvl w:ilvl="5" w:tplc="D466089E">
      <w:start w:val="1"/>
      <w:numFmt w:val="bullet"/>
      <w:lvlText w:val="•"/>
      <w:lvlJc w:val="left"/>
      <w:pPr>
        <w:ind w:left="3285" w:hanging="360"/>
      </w:pPr>
      <w:rPr>
        <w:rFonts w:hint="default"/>
      </w:rPr>
    </w:lvl>
    <w:lvl w:ilvl="6" w:tplc="DB74A708">
      <w:start w:val="1"/>
      <w:numFmt w:val="bullet"/>
      <w:lvlText w:val="•"/>
      <w:lvlJc w:val="left"/>
      <w:pPr>
        <w:ind w:left="3777" w:hanging="360"/>
      </w:pPr>
      <w:rPr>
        <w:rFonts w:hint="default"/>
      </w:rPr>
    </w:lvl>
    <w:lvl w:ilvl="7" w:tplc="6128C99E">
      <w:start w:val="1"/>
      <w:numFmt w:val="bullet"/>
      <w:lvlText w:val="•"/>
      <w:lvlJc w:val="left"/>
      <w:pPr>
        <w:ind w:left="4270" w:hanging="360"/>
      </w:pPr>
      <w:rPr>
        <w:rFonts w:hint="default"/>
      </w:rPr>
    </w:lvl>
    <w:lvl w:ilvl="8" w:tplc="2FD458D6">
      <w:start w:val="1"/>
      <w:numFmt w:val="bullet"/>
      <w:lvlText w:val="•"/>
      <w:lvlJc w:val="left"/>
      <w:pPr>
        <w:ind w:left="4763" w:hanging="360"/>
      </w:pPr>
      <w:rPr>
        <w:rFonts w:hint="default"/>
      </w:rPr>
    </w:lvl>
  </w:abstractNum>
  <w:abstractNum w:abstractNumId="35" w15:restartNumberingAfterBreak="0">
    <w:nsid w:val="728F350E"/>
    <w:multiLevelType w:val="hybridMultilevel"/>
    <w:tmpl w:val="E4D42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C6CC7"/>
    <w:multiLevelType w:val="hybridMultilevel"/>
    <w:tmpl w:val="C3BEFDF8"/>
    <w:lvl w:ilvl="0" w:tplc="AC12CDC4">
      <w:start w:val="1"/>
      <w:numFmt w:val="bullet"/>
      <w:lvlText w:val=""/>
      <w:lvlJc w:val="left"/>
      <w:pPr>
        <w:ind w:left="837" w:hanging="360"/>
      </w:pPr>
      <w:rPr>
        <w:rFonts w:ascii="Symbol" w:eastAsia="Symbol" w:hAnsi="Symbol" w:hint="default"/>
        <w:sz w:val="20"/>
        <w:szCs w:val="20"/>
      </w:rPr>
    </w:lvl>
    <w:lvl w:ilvl="1" w:tplc="7BB8AA76">
      <w:start w:val="1"/>
      <w:numFmt w:val="bullet"/>
      <w:lvlText w:val="•"/>
      <w:lvlJc w:val="left"/>
      <w:pPr>
        <w:ind w:left="1328" w:hanging="360"/>
      </w:pPr>
      <w:rPr>
        <w:rFonts w:hint="default"/>
      </w:rPr>
    </w:lvl>
    <w:lvl w:ilvl="2" w:tplc="F684E530">
      <w:start w:val="1"/>
      <w:numFmt w:val="bullet"/>
      <w:lvlText w:val="•"/>
      <w:lvlJc w:val="left"/>
      <w:pPr>
        <w:ind w:left="1819" w:hanging="360"/>
      </w:pPr>
      <w:rPr>
        <w:rFonts w:hint="default"/>
      </w:rPr>
    </w:lvl>
    <w:lvl w:ilvl="3" w:tplc="FDB01404">
      <w:start w:val="1"/>
      <w:numFmt w:val="bullet"/>
      <w:lvlText w:val="•"/>
      <w:lvlJc w:val="left"/>
      <w:pPr>
        <w:ind w:left="2311" w:hanging="360"/>
      </w:pPr>
      <w:rPr>
        <w:rFonts w:hint="default"/>
      </w:rPr>
    </w:lvl>
    <w:lvl w:ilvl="4" w:tplc="2A9ADFA8">
      <w:start w:val="1"/>
      <w:numFmt w:val="bullet"/>
      <w:lvlText w:val="•"/>
      <w:lvlJc w:val="left"/>
      <w:pPr>
        <w:ind w:left="2802" w:hanging="360"/>
      </w:pPr>
      <w:rPr>
        <w:rFonts w:hint="default"/>
      </w:rPr>
    </w:lvl>
    <w:lvl w:ilvl="5" w:tplc="DCB6D8DE">
      <w:start w:val="1"/>
      <w:numFmt w:val="bullet"/>
      <w:lvlText w:val="•"/>
      <w:lvlJc w:val="left"/>
      <w:pPr>
        <w:ind w:left="3293" w:hanging="360"/>
      </w:pPr>
      <w:rPr>
        <w:rFonts w:hint="default"/>
      </w:rPr>
    </w:lvl>
    <w:lvl w:ilvl="6" w:tplc="4CAAA8FC">
      <w:start w:val="1"/>
      <w:numFmt w:val="bullet"/>
      <w:lvlText w:val="•"/>
      <w:lvlJc w:val="left"/>
      <w:pPr>
        <w:ind w:left="3784" w:hanging="360"/>
      </w:pPr>
      <w:rPr>
        <w:rFonts w:hint="default"/>
      </w:rPr>
    </w:lvl>
    <w:lvl w:ilvl="7" w:tplc="64769AD6">
      <w:start w:val="1"/>
      <w:numFmt w:val="bullet"/>
      <w:lvlText w:val="•"/>
      <w:lvlJc w:val="left"/>
      <w:pPr>
        <w:ind w:left="4275" w:hanging="360"/>
      </w:pPr>
      <w:rPr>
        <w:rFonts w:hint="default"/>
      </w:rPr>
    </w:lvl>
    <w:lvl w:ilvl="8" w:tplc="A50C4C4A">
      <w:start w:val="1"/>
      <w:numFmt w:val="bullet"/>
      <w:lvlText w:val="•"/>
      <w:lvlJc w:val="left"/>
      <w:pPr>
        <w:ind w:left="4766" w:hanging="360"/>
      </w:pPr>
      <w:rPr>
        <w:rFonts w:hint="default"/>
      </w:rPr>
    </w:lvl>
  </w:abstractNum>
  <w:abstractNum w:abstractNumId="37" w15:restartNumberingAfterBreak="0">
    <w:nsid w:val="764740A8"/>
    <w:multiLevelType w:val="hybridMultilevel"/>
    <w:tmpl w:val="81C85900"/>
    <w:lvl w:ilvl="0" w:tplc="C2BE7B3E">
      <w:start w:val="1"/>
      <w:numFmt w:val="bullet"/>
      <w:lvlText w:val=""/>
      <w:lvlJc w:val="left"/>
      <w:pPr>
        <w:ind w:left="837" w:hanging="360"/>
      </w:pPr>
      <w:rPr>
        <w:rFonts w:ascii="Symbol" w:eastAsia="Symbol" w:hAnsi="Symbol" w:hint="default"/>
        <w:sz w:val="20"/>
        <w:szCs w:val="20"/>
      </w:rPr>
    </w:lvl>
    <w:lvl w:ilvl="1" w:tplc="7A908526">
      <w:start w:val="1"/>
      <w:numFmt w:val="bullet"/>
      <w:lvlText w:val="•"/>
      <w:lvlJc w:val="left"/>
      <w:pPr>
        <w:ind w:left="1328" w:hanging="360"/>
      </w:pPr>
      <w:rPr>
        <w:rFonts w:hint="default"/>
      </w:rPr>
    </w:lvl>
    <w:lvl w:ilvl="2" w:tplc="865C116E">
      <w:start w:val="1"/>
      <w:numFmt w:val="bullet"/>
      <w:lvlText w:val="•"/>
      <w:lvlJc w:val="left"/>
      <w:pPr>
        <w:ind w:left="1819" w:hanging="360"/>
      </w:pPr>
      <w:rPr>
        <w:rFonts w:hint="default"/>
      </w:rPr>
    </w:lvl>
    <w:lvl w:ilvl="3" w:tplc="E690BB72">
      <w:start w:val="1"/>
      <w:numFmt w:val="bullet"/>
      <w:lvlText w:val="•"/>
      <w:lvlJc w:val="left"/>
      <w:pPr>
        <w:ind w:left="2311" w:hanging="360"/>
      </w:pPr>
      <w:rPr>
        <w:rFonts w:hint="default"/>
      </w:rPr>
    </w:lvl>
    <w:lvl w:ilvl="4" w:tplc="A82E73B0">
      <w:start w:val="1"/>
      <w:numFmt w:val="bullet"/>
      <w:lvlText w:val="•"/>
      <w:lvlJc w:val="left"/>
      <w:pPr>
        <w:ind w:left="2802" w:hanging="360"/>
      </w:pPr>
      <w:rPr>
        <w:rFonts w:hint="default"/>
      </w:rPr>
    </w:lvl>
    <w:lvl w:ilvl="5" w:tplc="965CD92E">
      <w:start w:val="1"/>
      <w:numFmt w:val="bullet"/>
      <w:lvlText w:val="•"/>
      <w:lvlJc w:val="left"/>
      <w:pPr>
        <w:ind w:left="3293" w:hanging="360"/>
      </w:pPr>
      <w:rPr>
        <w:rFonts w:hint="default"/>
      </w:rPr>
    </w:lvl>
    <w:lvl w:ilvl="6" w:tplc="5D00447E">
      <w:start w:val="1"/>
      <w:numFmt w:val="bullet"/>
      <w:lvlText w:val="•"/>
      <w:lvlJc w:val="left"/>
      <w:pPr>
        <w:ind w:left="3784" w:hanging="360"/>
      </w:pPr>
      <w:rPr>
        <w:rFonts w:hint="default"/>
      </w:rPr>
    </w:lvl>
    <w:lvl w:ilvl="7" w:tplc="089A683C">
      <w:start w:val="1"/>
      <w:numFmt w:val="bullet"/>
      <w:lvlText w:val="•"/>
      <w:lvlJc w:val="left"/>
      <w:pPr>
        <w:ind w:left="4275" w:hanging="360"/>
      </w:pPr>
      <w:rPr>
        <w:rFonts w:hint="default"/>
      </w:rPr>
    </w:lvl>
    <w:lvl w:ilvl="8" w:tplc="2A7C3836">
      <w:start w:val="1"/>
      <w:numFmt w:val="bullet"/>
      <w:lvlText w:val="•"/>
      <w:lvlJc w:val="left"/>
      <w:pPr>
        <w:ind w:left="4766" w:hanging="360"/>
      </w:pPr>
      <w:rPr>
        <w:rFonts w:hint="default"/>
      </w:rPr>
    </w:lvl>
  </w:abstractNum>
  <w:abstractNum w:abstractNumId="38" w15:restartNumberingAfterBreak="0">
    <w:nsid w:val="7D213592"/>
    <w:multiLevelType w:val="hybridMultilevel"/>
    <w:tmpl w:val="A852F52E"/>
    <w:lvl w:ilvl="0" w:tplc="760647C4">
      <w:start w:val="1"/>
      <w:numFmt w:val="bullet"/>
      <w:lvlText w:val=""/>
      <w:lvlJc w:val="left"/>
      <w:pPr>
        <w:ind w:left="822" w:hanging="360"/>
      </w:pPr>
      <w:rPr>
        <w:rFonts w:ascii="Symbol" w:eastAsia="Symbol" w:hAnsi="Symbol" w:hint="default"/>
        <w:sz w:val="20"/>
        <w:szCs w:val="20"/>
      </w:rPr>
    </w:lvl>
    <w:lvl w:ilvl="1" w:tplc="777C3988">
      <w:start w:val="1"/>
      <w:numFmt w:val="bullet"/>
      <w:lvlText w:val="•"/>
      <w:lvlJc w:val="left"/>
      <w:pPr>
        <w:ind w:left="1314" w:hanging="360"/>
      </w:pPr>
      <w:rPr>
        <w:rFonts w:hint="default"/>
      </w:rPr>
    </w:lvl>
    <w:lvl w:ilvl="2" w:tplc="9D5AEF6C">
      <w:start w:val="1"/>
      <w:numFmt w:val="bullet"/>
      <w:lvlText w:val="•"/>
      <w:lvlJc w:val="left"/>
      <w:pPr>
        <w:ind w:left="1807" w:hanging="360"/>
      </w:pPr>
      <w:rPr>
        <w:rFonts w:hint="default"/>
      </w:rPr>
    </w:lvl>
    <w:lvl w:ilvl="3" w:tplc="96769268">
      <w:start w:val="1"/>
      <w:numFmt w:val="bullet"/>
      <w:lvlText w:val="•"/>
      <w:lvlJc w:val="left"/>
      <w:pPr>
        <w:ind w:left="2300" w:hanging="360"/>
      </w:pPr>
      <w:rPr>
        <w:rFonts w:hint="default"/>
      </w:rPr>
    </w:lvl>
    <w:lvl w:ilvl="4" w:tplc="1954E970">
      <w:start w:val="1"/>
      <w:numFmt w:val="bullet"/>
      <w:lvlText w:val="•"/>
      <w:lvlJc w:val="left"/>
      <w:pPr>
        <w:ind w:left="2792" w:hanging="360"/>
      </w:pPr>
      <w:rPr>
        <w:rFonts w:hint="default"/>
      </w:rPr>
    </w:lvl>
    <w:lvl w:ilvl="5" w:tplc="2D7094C6">
      <w:start w:val="1"/>
      <w:numFmt w:val="bullet"/>
      <w:lvlText w:val="•"/>
      <w:lvlJc w:val="left"/>
      <w:pPr>
        <w:ind w:left="3285" w:hanging="360"/>
      </w:pPr>
      <w:rPr>
        <w:rFonts w:hint="default"/>
      </w:rPr>
    </w:lvl>
    <w:lvl w:ilvl="6" w:tplc="1D48B446">
      <w:start w:val="1"/>
      <w:numFmt w:val="bullet"/>
      <w:lvlText w:val="•"/>
      <w:lvlJc w:val="left"/>
      <w:pPr>
        <w:ind w:left="3777" w:hanging="360"/>
      </w:pPr>
      <w:rPr>
        <w:rFonts w:hint="default"/>
      </w:rPr>
    </w:lvl>
    <w:lvl w:ilvl="7" w:tplc="850CB8A4">
      <w:start w:val="1"/>
      <w:numFmt w:val="bullet"/>
      <w:lvlText w:val="•"/>
      <w:lvlJc w:val="left"/>
      <w:pPr>
        <w:ind w:left="4270" w:hanging="360"/>
      </w:pPr>
      <w:rPr>
        <w:rFonts w:hint="default"/>
      </w:rPr>
    </w:lvl>
    <w:lvl w:ilvl="8" w:tplc="11A2F50E">
      <w:start w:val="1"/>
      <w:numFmt w:val="bullet"/>
      <w:lvlText w:val="•"/>
      <w:lvlJc w:val="left"/>
      <w:pPr>
        <w:ind w:left="4763" w:hanging="360"/>
      </w:pPr>
      <w:rPr>
        <w:rFonts w:hint="default"/>
      </w:rPr>
    </w:lvl>
  </w:abstractNum>
  <w:num w:numId="1">
    <w:abstractNumId w:val="16"/>
  </w:num>
  <w:num w:numId="2">
    <w:abstractNumId w:val="17"/>
  </w:num>
  <w:num w:numId="3">
    <w:abstractNumId w:val="19"/>
  </w:num>
  <w:num w:numId="4">
    <w:abstractNumId w:val="15"/>
  </w:num>
  <w:num w:numId="5">
    <w:abstractNumId w:val="18"/>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38"/>
  </w:num>
  <w:num w:numId="14">
    <w:abstractNumId w:val="26"/>
  </w:num>
  <w:num w:numId="15">
    <w:abstractNumId w:val="7"/>
  </w:num>
  <w:num w:numId="16">
    <w:abstractNumId w:val="29"/>
  </w:num>
  <w:num w:numId="17">
    <w:abstractNumId w:val="34"/>
  </w:num>
  <w:num w:numId="18">
    <w:abstractNumId w:val="20"/>
  </w:num>
  <w:num w:numId="19">
    <w:abstractNumId w:val="37"/>
  </w:num>
  <w:num w:numId="20">
    <w:abstractNumId w:val="30"/>
  </w:num>
  <w:num w:numId="21">
    <w:abstractNumId w:val="24"/>
  </w:num>
  <w:num w:numId="22">
    <w:abstractNumId w:val="13"/>
  </w:num>
  <w:num w:numId="23">
    <w:abstractNumId w:val="14"/>
  </w:num>
  <w:num w:numId="24">
    <w:abstractNumId w:val="36"/>
  </w:num>
  <w:num w:numId="25">
    <w:abstractNumId w:val="10"/>
  </w:num>
  <w:num w:numId="26">
    <w:abstractNumId w:val="5"/>
  </w:num>
  <w:num w:numId="27">
    <w:abstractNumId w:val="1"/>
  </w:num>
  <w:num w:numId="28">
    <w:abstractNumId w:val="2"/>
  </w:num>
  <w:num w:numId="29">
    <w:abstractNumId w:val="31"/>
  </w:num>
  <w:num w:numId="30">
    <w:abstractNumId w:val="28"/>
  </w:num>
  <w:num w:numId="31">
    <w:abstractNumId w:val="33"/>
  </w:num>
  <w:num w:numId="32">
    <w:abstractNumId w:val="21"/>
  </w:num>
  <w:num w:numId="33">
    <w:abstractNumId w:val="6"/>
  </w:num>
  <w:num w:numId="34">
    <w:abstractNumId w:val="11"/>
  </w:num>
  <w:num w:numId="35">
    <w:abstractNumId w:val="4"/>
  </w:num>
  <w:num w:numId="36">
    <w:abstractNumId w:val="23"/>
  </w:num>
  <w:num w:numId="37">
    <w:abstractNumId w:val="22"/>
  </w:num>
  <w:num w:numId="38">
    <w:abstractNumId w:val="32"/>
  </w:num>
  <w:num w:numId="39">
    <w:abstractNumId w:val="3"/>
  </w:num>
  <w:num w:numId="40">
    <w:abstractNumId w:val="35"/>
  </w:num>
  <w:num w:numId="41">
    <w:abstractNumId w:val="12"/>
  </w:num>
  <w:num w:numId="42">
    <w:abstractNumId w:val="9"/>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defaultTabStop w:val="720"/>
  <w:hyphenationZone w:val="425"/>
  <w:displayHorizontalDrawingGridEvery w:val="0"/>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536F20F-A887-4E13-ABAB-4EBA2644571D"/>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Bold&gt;\u1043?\u1086?\u1090?\u1086?\u1074?\u1085?\u1086?\u1089?\u1090? \u1079?\u1072? \u1086?\u1090?\u1090?\u1077?\u1075?\u1083?\u1103?\u1085?\u1077?\u1090?\u1086? \u1085?\u1072? \u1054?\u1073?\u1077?\u1076?\u1080?\u1085?\u1077?\u1085?\u1086?\u1090?\u1086? \u1082?\u1088?\u1072?\u1083?\u1089?\u1090?\u1074?\u1086? \u1086?\u1090? \u1045?\u1074?\u1088?\u1086?\u1087?\u1077?\u1081?\u1089?\u1082?\u1080?\u1103? \u1089?\u1098?\u1102?\u1079? \u1085?\u1072? 30 \u1084?\u1072?\u1088?\u1090? 2019 \u1075?.: \u1048?\u1079?\u1087?\u1098?\u1083?\u1085?\u1077?\u1085?\u1080?\u1077? \u1085?\u1072? \u1087?\u1083?\u1072?\u1085?\u1072? \u1079?\u1072? \u1080?\u1079?\u1074?\u1098?\u1085?\u1088?\u1077?\u1076?\u1085?\u1080? \u1076?\u1077?\u1081?\u1089?\u1090?\u1074?\u1080?\u1103? \u1085?\u1072? \u1050?\u1086?\u1084?\u1080?\u1089?\u1080?\u1103?\u1090?\u1072?&lt;/FMT&gt;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_x000b__x000b_"/>
  </w:docVars>
  <w:rsids>
    <w:rsidRoot w:val="00B6759C"/>
    <w:rsid w:val="008731AA"/>
    <w:rsid w:val="00B6759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E1BDC08"/>
  <w15:docId w15:val="{CD9C24C3-7E6A-4536-B1E6-B9C7C3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bg-BG"/>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7"/>
    <w:qFormat/>
    <w:pPr>
      <w:ind w:left="99"/>
      <w:outlineLvl w:val="0"/>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ind w:left="720"/>
    </w:pPr>
  </w:style>
  <w:style w:type="table" w:styleId="TableGrid">
    <w:name w:val="Table Grid"/>
    <w:basedOn w:val="TableNormal"/>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jc w:val="center"/>
    </w:pPr>
    <w:rPr>
      <w:rFonts w:ascii="Times New Roman" w:eastAsia="Times New Roman" w:hAnsi="Times New Roman"/>
      <w:b/>
      <w:sz w:val="24"/>
      <w:szCs w:val="24"/>
    </w:rPr>
  </w:style>
  <w:style w:type="paragraph" w:customStyle="1" w:styleId="Titreobjet">
    <w:name w:val="Titre objet"/>
    <w:basedOn w:val="Normal"/>
    <w:next w:val="Normal"/>
    <w:pPr>
      <w:jc w:val="center"/>
    </w:pPr>
    <w:rPr>
      <w:rFonts w:ascii="Times New Roman" w:eastAsia="Times New Roman" w:hAnsi="Times New Roman"/>
      <w:b/>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w w:val="100"/>
      <w:sz w:val="24"/>
      <w:szCs w:val="24"/>
      <w:shd w:val="clear" w:color="auto" w:fill="auto"/>
    </w:rPr>
  </w:style>
  <w:style w:type="character" w:customStyle="1" w:styleId="FooterCoverPageChar">
    <w:name w:val="Footer Cover Page Char"/>
    <w:basedOn w:val="TypedudocumentChar"/>
    <w:link w:val="FooterCoverPage"/>
    <w:rPr>
      <w:rFonts w:ascii="Times New Roman" w:eastAsia="Times New Roman" w:hAnsi="Times New Roman"/>
      <w:b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TypedudocumentChar"/>
    <w:link w:val="FooterSensitivity"/>
    <w:rPr>
      <w:rFonts w:ascii="Times New Roman" w:eastAsia="Times New Roman" w:hAnsi="Times New Roman"/>
      <w:b/>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TypedudocumentChar"/>
    <w:link w:val="HeaderSensitivity"/>
    <w:rPr>
      <w:rFonts w:ascii="Times New Roman" w:eastAsia="Times New Roman" w:hAnsi="Times New Roman"/>
      <w:b/>
      <w:w w:val="100"/>
      <w:sz w:val="32"/>
      <w:szCs w:val="24"/>
      <w:shd w:val="clear" w:color="auto" w:fill="auto"/>
    </w:rPr>
  </w:style>
  <w:style w:type="paragraph" w:styleId="NormalWeb">
    <w:name w:val="Normal (Web)"/>
    <w:basedOn w:val="Normal"/>
    <w:uiPriority w:val="99"/>
    <w:unhideWhenUsed/>
    <w:rPr>
      <w:rFonts w:ascii="Times New Roman" w:eastAsia="Times New Roman" w:hAnsi="Times New Roman"/>
      <w:sz w:val="24"/>
      <w:szCs w:val="24"/>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w w:val="100"/>
      <w:sz w:val="20"/>
      <w:szCs w:val="20"/>
      <w:shd w:val="clear" w:color="auto" w:fill="auto"/>
    </w:rPr>
  </w:style>
  <w:style w:type="character" w:styleId="FootnoteReference">
    <w:name w:val="footnote reference"/>
    <w:basedOn w:val="DefaultParagraphFont"/>
    <w:unhideWhenUsed/>
    <w:rPr>
      <w:w w:val="100"/>
      <w:sz w:val="20"/>
      <w:szCs w:val="20"/>
      <w:shd w:val="clear" w:color="auto" w:fill="auto"/>
      <w:vertAlign w:val="superscript"/>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style>
  <w:style w:type="paragraph" w:customStyle="1" w:styleId="Briefingtext">
    <w:name w:val="Briefing text"/>
    <w:basedOn w:val="Normal"/>
    <w:link w:val="BriefingtextChar"/>
    <w:pPr>
      <w:jc w:val="both"/>
    </w:pPr>
    <w:rPr>
      <w:rFonts w:ascii="Arial" w:eastAsia="Arial" w:hAnsi="Arial"/>
      <w:sz w:val="20"/>
      <w:szCs w:val="20"/>
    </w:rPr>
  </w:style>
  <w:style w:type="character" w:customStyle="1" w:styleId="BriefingtextChar">
    <w:name w:val="Briefing text Char"/>
    <w:link w:val="Briefingtext"/>
    <w:rPr>
      <w:rFonts w:ascii="Arial" w:eastAsia="Arial" w:hAnsi="Arial"/>
      <w:w w:val="100"/>
      <w:sz w:val="20"/>
      <w:szCs w:val="20"/>
      <w:shd w:val="clear" w:color="auto" w:fill="auto"/>
    </w:rPr>
  </w:style>
  <w:style w:type="paragraph" w:customStyle="1" w:styleId="Default">
    <w:name w:val="Default"/>
    <w:pPr>
      <w:autoSpaceDE w:val="0"/>
      <w:autoSpaceDN w:val="0"/>
    </w:pPr>
    <w:rPr>
      <w:rFonts w:ascii="Times New Roman" w:eastAsia="Times New Roman" w:hAnsi="Times New Roman"/>
      <w:color w:val="000000"/>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statut">
    <w:name w:val="statut"/>
    <w:basedOn w:val="Normal"/>
    <w:rPr>
      <w:rFonts w:ascii="Times New Roman" w:eastAsia="Times New Roman" w:hAnsi="Times New Roman"/>
      <w:sz w:val="24"/>
      <w:szCs w:val="24"/>
    </w:rPr>
  </w:style>
  <w:style w:type="character" w:customStyle="1" w:styleId="truncate">
    <w:name w:val="truncate"/>
    <w:basedOn w:val="DefaultParagraphFont"/>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character" w:styleId="FollowedHyperlink">
    <w:name w:val="FollowedHyperlink"/>
    <w:basedOn w:val="DefaultParagraphFont"/>
    <w:semiHidden/>
    <w:unhideWhenUsed/>
    <w:rPr>
      <w:color w:val="800080" w:themeColor="followedHyperlink"/>
      <w:w w:val="100"/>
      <w:sz w:val="20"/>
      <w:szCs w:val="20"/>
      <w:u w:val="single"/>
      <w:shd w:val="clear" w:color="auto" w:fill="auto"/>
    </w:rPr>
  </w:style>
  <w:style w:type="character" w:customStyle="1" w:styleId="UnresolvedMention">
    <w:name w:val="Unresolved Mention"/>
    <w:basedOn w:val="DefaultParagraphFont"/>
    <w:semiHidden/>
    <w:unhideWhenUsed/>
    <w:rPr>
      <w:color w:val="605E5C"/>
      <w:w w:val="100"/>
      <w:sz w:val="20"/>
      <w:szCs w:val="20"/>
      <w:shd w:val="clear" w:color="000000" w:fill="E1DFDD"/>
    </w:rPr>
  </w:style>
  <w:style w:type="paragraph" w:styleId="Revision">
    <w:name w:val="Revision"/>
    <w:semiHidden/>
  </w:style>
  <w:style w:type="character" w:customStyle="1" w:styleId="Heading1Char">
    <w:name w:val="Heading 1 Char"/>
    <w:basedOn w:val="DefaultParagraphFont"/>
    <w:link w:val="Heading1"/>
    <w:rPr>
      <w:rFonts w:ascii="Times New Roman" w:eastAsia="Times New Roman" w:hAnsi="Times New Roman"/>
      <w:w w:val="100"/>
      <w:sz w:val="24"/>
      <w:szCs w:val="24"/>
      <w:u w:val="single"/>
      <w:shd w:val="clear" w:color="auto" w:fill="auto"/>
    </w:rPr>
  </w:style>
  <w:style w:type="paragraph" w:customStyle="1" w:styleId="TableParagraph">
    <w:name w:val="Table Paragraph"/>
    <w:basedOn w:val="Normal"/>
    <w:uiPriority w:val="1"/>
    <w:qFormat/>
    <w:rPr>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36">
      <w:bodyDiv w:val="1"/>
      <w:marLeft w:val="0"/>
      <w:marRight w:val="0"/>
      <w:marTop w:val="0"/>
      <w:marBottom w:val="0"/>
      <w:divBdr>
        <w:top w:val="none" w:sz="0" w:space="0" w:color="auto"/>
        <w:left w:val="none" w:sz="0" w:space="0" w:color="auto"/>
        <w:bottom w:val="none" w:sz="0" w:space="0" w:color="auto"/>
        <w:right w:val="none" w:sz="0" w:space="0" w:color="auto"/>
      </w:divBdr>
    </w:div>
    <w:div w:id="178323959">
      <w:bodyDiv w:val="1"/>
      <w:marLeft w:val="0"/>
      <w:marRight w:val="0"/>
      <w:marTop w:val="0"/>
      <w:marBottom w:val="0"/>
      <w:divBdr>
        <w:top w:val="none" w:sz="0" w:space="0" w:color="auto"/>
        <w:left w:val="none" w:sz="0" w:space="0" w:color="auto"/>
        <w:bottom w:val="none" w:sz="0" w:space="0" w:color="auto"/>
        <w:right w:val="none" w:sz="0" w:space="0" w:color="auto"/>
      </w:divBdr>
    </w:div>
    <w:div w:id="516967949">
      <w:bodyDiv w:val="1"/>
      <w:marLeft w:val="0"/>
      <w:marRight w:val="0"/>
      <w:marTop w:val="0"/>
      <w:marBottom w:val="0"/>
      <w:divBdr>
        <w:top w:val="none" w:sz="0" w:space="0" w:color="auto"/>
        <w:left w:val="none" w:sz="0" w:space="0" w:color="auto"/>
        <w:bottom w:val="none" w:sz="0" w:space="0" w:color="auto"/>
        <w:right w:val="none" w:sz="0" w:space="0" w:color="auto"/>
      </w:divBdr>
      <w:divsChild>
        <w:div w:id="1567766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67244">
              <w:marLeft w:val="0"/>
              <w:marRight w:val="0"/>
              <w:marTop w:val="0"/>
              <w:marBottom w:val="0"/>
              <w:divBdr>
                <w:top w:val="none" w:sz="0" w:space="0" w:color="auto"/>
                <w:left w:val="none" w:sz="0" w:space="0" w:color="auto"/>
                <w:bottom w:val="none" w:sz="0" w:space="0" w:color="auto"/>
                <w:right w:val="none" w:sz="0" w:space="0" w:color="auto"/>
              </w:divBdr>
              <w:divsChild>
                <w:div w:id="83938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72459">
                      <w:marLeft w:val="0"/>
                      <w:marRight w:val="0"/>
                      <w:marTop w:val="0"/>
                      <w:marBottom w:val="0"/>
                      <w:divBdr>
                        <w:top w:val="none" w:sz="0" w:space="0" w:color="auto"/>
                        <w:left w:val="none" w:sz="0" w:space="0" w:color="auto"/>
                        <w:bottom w:val="none" w:sz="0" w:space="0" w:color="auto"/>
                        <w:right w:val="none" w:sz="0" w:space="0" w:color="auto"/>
                      </w:divBdr>
                      <w:divsChild>
                        <w:div w:id="126812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512390">
                              <w:marLeft w:val="0"/>
                              <w:marRight w:val="0"/>
                              <w:marTop w:val="0"/>
                              <w:marBottom w:val="0"/>
                              <w:divBdr>
                                <w:top w:val="none" w:sz="0" w:space="0" w:color="auto"/>
                                <w:left w:val="none" w:sz="0" w:space="0" w:color="auto"/>
                                <w:bottom w:val="none" w:sz="0" w:space="0" w:color="auto"/>
                                <w:right w:val="none" w:sz="0" w:space="0" w:color="auto"/>
                              </w:divBdr>
                              <w:divsChild>
                                <w:div w:id="120538025">
                                  <w:marLeft w:val="0"/>
                                  <w:marRight w:val="0"/>
                                  <w:marTop w:val="0"/>
                                  <w:marBottom w:val="0"/>
                                  <w:divBdr>
                                    <w:top w:val="none" w:sz="0" w:space="0" w:color="auto"/>
                                    <w:left w:val="none" w:sz="0" w:space="0" w:color="auto"/>
                                    <w:bottom w:val="none" w:sz="0" w:space="0" w:color="auto"/>
                                    <w:right w:val="none" w:sz="0" w:space="0" w:color="auto"/>
                                  </w:divBdr>
                                  <w:divsChild>
                                    <w:div w:id="124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12181">
                                          <w:marLeft w:val="0"/>
                                          <w:marRight w:val="0"/>
                                          <w:marTop w:val="0"/>
                                          <w:marBottom w:val="0"/>
                                          <w:divBdr>
                                            <w:top w:val="none" w:sz="0" w:space="0" w:color="auto"/>
                                            <w:left w:val="none" w:sz="0" w:space="0" w:color="auto"/>
                                            <w:bottom w:val="none" w:sz="0" w:space="0" w:color="auto"/>
                                            <w:right w:val="none" w:sz="0" w:space="0" w:color="auto"/>
                                          </w:divBdr>
                                          <w:divsChild>
                                            <w:div w:id="65613696">
                                              <w:marLeft w:val="0"/>
                                              <w:marRight w:val="0"/>
                                              <w:marTop w:val="0"/>
                                              <w:marBottom w:val="0"/>
                                              <w:divBdr>
                                                <w:top w:val="none" w:sz="0" w:space="0" w:color="auto"/>
                                                <w:left w:val="none" w:sz="0" w:space="0" w:color="auto"/>
                                                <w:bottom w:val="none" w:sz="0" w:space="0" w:color="auto"/>
                                                <w:right w:val="none" w:sz="0" w:space="0" w:color="auto"/>
                                              </w:divBdr>
                                              <w:divsChild>
                                                <w:div w:id="109328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415155">
                                                      <w:marLeft w:val="0"/>
                                                      <w:marRight w:val="0"/>
                                                      <w:marTop w:val="0"/>
                                                      <w:marBottom w:val="0"/>
                                                      <w:divBdr>
                                                        <w:top w:val="none" w:sz="0" w:space="0" w:color="auto"/>
                                                        <w:left w:val="none" w:sz="0" w:space="0" w:color="auto"/>
                                                        <w:bottom w:val="none" w:sz="0" w:space="0" w:color="auto"/>
                                                        <w:right w:val="none" w:sz="0" w:space="0" w:color="auto"/>
                                                      </w:divBdr>
                                                      <w:divsChild>
                                                        <w:div w:id="810243861">
                                                          <w:marLeft w:val="0"/>
                                                          <w:marRight w:val="0"/>
                                                          <w:marTop w:val="0"/>
                                                          <w:marBottom w:val="0"/>
                                                          <w:divBdr>
                                                            <w:top w:val="none" w:sz="0" w:space="0" w:color="auto"/>
                                                            <w:left w:val="none" w:sz="0" w:space="0" w:color="auto"/>
                                                            <w:bottom w:val="none" w:sz="0" w:space="0" w:color="auto"/>
                                                            <w:right w:val="none" w:sz="0" w:space="0" w:color="auto"/>
                                                          </w:divBdr>
                                                          <w:divsChild>
                                                            <w:div w:id="14439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722">
                                                                  <w:marLeft w:val="0"/>
                                                                  <w:marRight w:val="0"/>
                                                                  <w:marTop w:val="0"/>
                                                                  <w:marBottom w:val="0"/>
                                                                  <w:divBdr>
                                                                    <w:top w:val="none" w:sz="0" w:space="0" w:color="auto"/>
                                                                    <w:left w:val="none" w:sz="0" w:space="0" w:color="auto"/>
                                                                    <w:bottom w:val="none" w:sz="0" w:space="0" w:color="auto"/>
                                                                    <w:right w:val="none" w:sz="0" w:space="0" w:color="auto"/>
                                                                  </w:divBdr>
                                                                  <w:divsChild>
                                                                    <w:div w:id="3401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461813">
                                                                          <w:marLeft w:val="0"/>
                                                                          <w:marRight w:val="0"/>
                                                                          <w:marTop w:val="0"/>
                                                                          <w:marBottom w:val="0"/>
                                                                          <w:divBdr>
                                                                            <w:top w:val="none" w:sz="0" w:space="0" w:color="auto"/>
                                                                            <w:left w:val="none" w:sz="0" w:space="0" w:color="auto"/>
                                                                            <w:bottom w:val="none" w:sz="0" w:space="0" w:color="auto"/>
                                                                            <w:right w:val="none" w:sz="0" w:space="0" w:color="auto"/>
                                                                          </w:divBdr>
                                                                          <w:divsChild>
                                                                            <w:div w:id="1928684355">
                                                                              <w:marLeft w:val="0"/>
                                                                              <w:marRight w:val="0"/>
                                                                              <w:marTop w:val="0"/>
                                                                              <w:marBottom w:val="0"/>
                                                                              <w:divBdr>
                                                                                <w:top w:val="none" w:sz="0" w:space="0" w:color="auto"/>
                                                                                <w:left w:val="none" w:sz="0" w:space="0" w:color="auto"/>
                                                                                <w:bottom w:val="none" w:sz="0" w:space="0" w:color="auto"/>
                                                                                <w:right w:val="none" w:sz="0" w:space="0" w:color="auto"/>
                                                                              </w:divBdr>
                                                                              <w:divsChild>
                                                                                <w:div w:id="92067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709973">
                                                                                      <w:marLeft w:val="0"/>
                                                                                      <w:marRight w:val="0"/>
                                                                                      <w:marTop w:val="0"/>
                                                                                      <w:marBottom w:val="0"/>
                                                                                      <w:divBdr>
                                                                                        <w:top w:val="none" w:sz="0" w:space="0" w:color="auto"/>
                                                                                        <w:left w:val="none" w:sz="0" w:space="0" w:color="auto"/>
                                                                                        <w:bottom w:val="none" w:sz="0" w:space="0" w:color="auto"/>
                                                                                        <w:right w:val="none" w:sz="0" w:space="0" w:color="auto"/>
                                                                                      </w:divBdr>
                                                                                      <w:divsChild>
                                                                                        <w:div w:id="793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724852">
      <w:bodyDiv w:val="1"/>
      <w:marLeft w:val="0"/>
      <w:marRight w:val="0"/>
      <w:marTop w:val="0"/>
      <w:marBottom w:val="0"/>
      <w:divBdr>
        <w:top w:val="none" w:sz="0" w:space="0" w:color="auto"/>
        <w:left w:val="none" w:sz="0" w:space="0" w:color="auto"/>
        <w:bottom w:val="none" w:sz="0" w:space="0" w:color="auto"/>
        <w:right w:val="none" w:sz="0" w:space="0" w:color="auto"/>
      </w:divBdr>
    </w:div>
    <w:div w:id="733236319">
      <w:bodyDiv w:val="1"/>
      <w:marLeft w:val="0"/>
      <w:marRight w:val="0"/>
      <w:marTop w:val="0"/>
      <w:marBottom w:val="0"/>
      <w:divBdr>
        <w:top w:val="none" w:sz="0" w:space="0" w:color="auto"/>
        <w:left w:val="none" w:sz="0" w:space="0" w:color="auto"/>
        <w:bottom w:val="none" w:sz="0" w:space="0" w:color="auto"/>
        <w:right w:val="none" w:sz="0" w:space="0" w:color="auto"/>
      </w:divBdr>
    </w:div>
    <w:div w:id="742603878">
      <w:bodyDiv w:val="1"/>
      <w:marLeft w:val="0"/>
      <w:marRight w:val="0"/>
      <w:marTop w:val="0"/>
      <w:marBottom w:val="0"/>
      <w:divBdr>
        <w:top w:val="none" w:sz="0" w:space="0" w:color="auto"/>
        <w:left w:val="none" w:sz="0" w:space="0" w:color="auto"/>
        <w:bottom w:val="none" w:sz="0" w:space="0" w:color="auto"/>
        <w:right w:val="none" w:sz="0" w:space="0" w:color="auto"/>
      </w:divBdr>
      <w:divsChild>
        <w:div w:id="5026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055596">
              <w:marLeft w:val="0"/>
              <w:marRight w:val="0"/>
              <w:marTop w:val="0"/>
              <w:marBottom w:val="0"/>
              <w:divBdr>
                <w:top w:val="none" w:sz="0" w:space="0" w:color="auto"/>
                <w:left w:val="none" w:sz="0" w:space="0" w:color="auto"/>
                <w:bottom w:val="none" w:sz="0" w:space="0" w:color="auto"/>
                <w:right w:val="none" w:sz="0" w:space="0" w:color="auto"/>
              </w:divBdr>
              <w:divsChild>
                <w:div w:id="90803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528374">
                      <w:marLeft w:val="0"/>
                      <w:marRight w:val="0"/>
                      <w:marTop w:val="0"/>
                      <w:marBottom w:val="0"/>
                      <w:divBdr>
                        <w:top w:val="none" w:sz="0" w:space="0" w:color="auto"/>
                        <w:left w:val="none" w:sz="0" w:space="0" w:color="auto"/>
                        <w:bottom w:val="none" w:sz="0" w:space="0" w:color="auto"/>
                        <w:right w:val="none" w:sz="0" w:space="0" w:color="auto"/>
                      </w:divBdr>
                      <w:divsChild>
                        <w:div w:id="105345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885458">
                              <w:marLeft w:val="0"/>
                              <w:marRight w:val="0"/>
                              <w:marTop w:val="0"/>
                              <w:marBottom w:val="0"/>
                              <w:divBdr>
                                <w:top w:val="none" w:sz="0" w:space="0" w:color="auto"/>
                                <w:left w:val="none" w:sz="0" w:space="0" w:color="auto"/>
                                <w:bottom w:val="none" w:sz="0" w:space="0" w:color="auto"/>
                                <w:right w:val="none" w:sz="0" w:space="0" w:color="auto"/>
                              </w:divBdr>
                              <w:divsChild>
                                <w:div w:id="1419714326">
                                  <w:marLeft w:val="0"/>
                                  <w:marRight w:val="0"/>
                                  <w:marTop w:val="0"/>
                                  <w:marBottom w:val="0"/>
                                  <w:divBdr>
                                    <w:top w:val="none" w:sz="0" w:space="0" w:color="auto"/>
                                    <w:left w:val="none" w:sz="0" w:space="0" w:color="auto"/>
                                    <w:bottom w:val="none" w:sz="0" w:space="0" w:color="auto"/>
                                    <w:right w:val="none" w:sz="0" w:space="0" w:color="auto"/>
                                  </w:divBdr>
                                  <w:divsChild>
                                    <w:div w:id="569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278739">
                                          <w:marLeft w:val="0"/>
                                          <w:marRight w:val="0"/>
                                          <w:marTop w:val="0"/>
                                          <w:marBottom w:val="0"/>
                                          <w:divBdr>
                                            <w:top w:val="none" w:sz="0" w:space="0" w:color="auto"/>
                                            <w:left w:val="none" w:sz="0" w:space="0" w:color="auto"/>
                                            <w:bottom w:val="none" w:sz="0" w:space="0" w:color="auto"/>
                                            <w:right w:val="none" w:sz="0" w:space="0" w:color="auto"/>
                                          </w:divBdr>
                                          <w:divsChild>
                                            <w:div w:id="1706520875">
                                              <w:marLeft w:val="0"/>
                                              <w:marRight w:val="0"/>
                                              <w:marTop w:val="0"/>
                                              <w:marBottom w:val="0"/>
                                              <w:divBdr>
                                                <w:top w:val="none" w:sz="0" w:space="0" w:color="auto"/>
                                                <w:left w:val="none" w:sz="0" w:space="0" w:color="auto"/>
                                                <w:bottom w:val="none" w:sz="0" w:space="0" w:color="auto"/>
                                                <w:right w:val="none" w:sz="0" w:space="0" w:color="auto"/>
                                              </w:divBdr>
                                              <w:divsChild>
                                                <w:div w:id="131363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98993">
                                                      <w:marLeft w:val="0"/>
                                                      <w:marRight w:val="0"/>
                                                      <w:marTop w:val="0"/>
                                                      <w:marBottom w:val="0"/>
                                                      <w:divBdr>
                                                        <w:top w:val="none" w:sz="0" w:space="0" w:color="auto"/>
                                                        <w:left w:val="none" w:sz="0" w:space="0" w:color="auto"/>
                                                        <w:bottom w:val="none" w:sz="0" w:space="0" w:color="auto"/>
                                                        <w:right w:val="none" w:sz="0" w:space="0" w:color="auto"/>
                                                      </w:divBdr>
                                                      <w:divsChild>
                                                        <w:div w:id="917061915">
                                                          <w:marLeft w:val="0"/>
                                                          <w:marRight w:val="0"/>
                                                          <w:marTop w:val="0"/>
                                                          <w:marBottom w:val="0"/>
                                                          <w:divBdr>
                                                            <w:top w:val="none" w:sz="0" w:space="0" w:color="auto"/>
                                                            <w:left w:val="none" w:sz="0" w:space="0" w:color="auto"/>
                                                            <w:bottom w:val="none" w:sz="0" w:space="0" w:color="auto"/>
                                                            <w:right w:val="none" w:sz="0" w:space="0" w:color="auto"/>
                                                          </w:divBdr>
                                                          <w:divsChild>
                                                            <w:div w:id="1849712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511098">
                                                                  <w:marLeft w:val="0"/>
                                                                  <w:marRight w:val="0"/>
                                                                  <w:marTop w:val="0"/>
                                                                  <w:marBottom w:val="0"/>
                                                                  <w:divBdr>
                                                                    <w:top w:val="none" w:sz="0" w:space="0" w:color="auto"/>
                                                                    <w:left w:val="none" w:sz="0" w:space="0" w:color="auto"/>
                                                                    <w:bottom w:val="none" w:sz="0" w:space="0" w:color="auto"/>
                                                                    <w:right w:val="none" w:sz="0" w:space="0" w:color="auto"/>
                                                                  </w:divBdr>
                                                                  <w:divsChild>
                                                                    <w:div w:id="947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6862076">
      <w:bodyDiv w:val="1"/>
      <w:marLeft w:val="0"/>
      <w:marRight w:val="0"/>
      <w:marTop w:val="0"/>
      <w:marBottom w:val="0"/>
      <w:divBdr>
        <w:top w:val="none" w:sz="0" w:space="0" w:color="auto"/>
        <w:left w:val="none" w:sz="0" w:space="0" w:color="auto"/>
        <w:bottom w:val="none" w:sz="0" w:space="0" w:color="auto"/>
        <w:right w:val="none" w:sz="0" w:space="0" w:color="auto"/>
      </w:divBdr>
    </w:div>
    <w:div w:id="952395444">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286741045">
      <w:bodyDiv w:val="1"/>
      <w:marLeft w:val="0"/>
      <w:marRight w:val="0"/>
      <w:marTop w:val="0"/>
      <w:marBottom w:val="0"/>
      <w:divBdr>
        <w:top w:val="none" w:sz="0" w:space="0" w:color="auto"/>
        <w:left w:val="none" w:sz="0" w:space="0" w:color="auto"/>
        <w:bottom w:val="none" w:sz="0" w:space="0" w:color="auto"/>
        <w:right w:val="none" w:sz="0" w:space="0" w:color="auto"/>
      </w:divBdr>
    </w:div>
    <w:div w:id="1456101522">
      <w:bodyDiv w:val="1"/>
      <w:marLeft w:val="0"/>
      <w:marRight w:val="0"/>
      <w:marTop w:val="0"/>
      <w:marBottom w:val="0"/>
      <w:divBdr>
        <w:top w:val="none" w:sz="0" w:space="0" w:color="auto"/>
        <w:left w:val="none" w:sz="0" w:space="0" w:color="auto"/>
        <w:bottom w:val="none" w:sz="0" w:space="0" w:color="auto"/>
        <w:right w:val="none" w:sz="0" w:space="0" w:color="auto"/>
      </w:divBdr>
    </w:div>
    <w:div w:id="1461528814">
      <w:bodyDiv w:val="1"/>
      <w:marLeft w:val="0"/>
      <w:marRight w:val="0"/>
      <w:marTop w:val="0"/>
      <w:marBottom w:val="0"/>
      <w:divBdr>
        <w:top w:val="none" w:sz="0" w:space="0" w:color="auto"/>
        <w:left w:val="none" w:sz="0" w:space="0" w:color="auto"/>
        <w:bottom w:val="none" w:sz="0" w:space="0" w:color="auto"/>
        <w:right w:val="none" w:sz="0" w:space="0" w:color="auto"/>
      </w:divBdr>
    </w:div>
    <w:div w:id="1500734004">
      <w:bodyDiv w:val="1"/>
      <w:marLeft w:val="0"/>
      <w:marRight w:val="0"/>
      <w:marTop w:val="0"/>
      <w:marBottom w:val="0"/>
      <w:divBdr>
        <w:top w:val="none" w:sz="0" w:space="0" w:color="auto"/>
        <w:left w:val="none" w:sz="0" w:space="0" w:color="auto"/>
        <w:bottom w:val="none" w:sz="0" w:space="0" w:color="auto"/>
        <w:right w:val="none" w:sz="0" w:space="0" w:color="auto"/>
      </w:divBdr>
    </w:div>
    <w:div w:id="1772965609">
      <w:bodyDiv w:val="1"/>
      <w:marLeft w:val="0"/>
      <w:marRight w:val="0"/>
      <w:marTop w:val="0"/>
      <w:marBottom w:val="0"/>
      <w:divBdr>
        <w:top w:val="none" w:sz="0" w:space="0" w:color="auto"/>
        <w:left w:val="none" w:sz="0" w:space="0" w:color="auto"/>
        <w:bottom w:val="none" w:sz="0" w:space="0" w:color="auto"/>
        <w:right w:val="none" w:sz="0" w:space="0" w:color="auto"/>
      </w:divBdr>
    </w:div>
    <w:div w:id="1778795366">
      <w:bodyDiv w:val="1"/>
      <w:marLeft w:val="0"/>
      <w:marRight w:val="0"/>
      <w:marTop w:val="0"/>
      <w:marBottom w:val="0"/>
      <w:divBdr>
        <w:top w:val="none" w:sz="0" w:space="0" w:color="auto"/>
        <w:left w:val="none" w:sz="0" w:space="0" w:color="auto"/>
        <w:bottom w:val="none" w:sz="0" w:space="0" w:color="auto"/>
        <w:right w:val="none" w:sz="0" w:space="0" w:color="auto"/>
      </w:divBdr>
      <w:divsChild>
        <w:div w:id="1644654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12859">
              <w:marLeft w:val="0"/>
              <w:marRight w:val="0"/>
              <w:marTop w:val="0"/>
              <w:marBottom w:val="0"/>
              <w:divBdr>
                <w:top w:val="none" w:sz="0" w:space="0" w:color="auto"/>
                <w:left w:val="none" w:sz="0" w:space="0" w:color="auto"/>
                <w:bottom w:val="none" w:sz="0" w:space="0" w:color="auto"/>
                <w:right w:val="none" w:sz="0" w:space="0" w:color="auto"/>
              </w:divBdr>
              <w:divsChild>
                <w:div w:id="169981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199373">
                      <w:marLeft w:val="0"/>
                      <w:marRight w:val="0"/>
                      <w:marTop w:val="0"/>
                      <w:marBottom w:val="0"/>
                      <w:divBdr>
                        <w:top w:val="none" w:sz="0" w:space="0" w:color="auto"/>
                        <w:left w:val="none" w:sz="0" w:space="0" w:color="auto"/>
                        <w:bottom w:val="none" w:sz="0" w:space="0" w:color="auto"/>
                        <w:right w:val="none" w:sz="0" w:space="0" w:color="auto"/>
                      </w:divBdr>
                      <w:divsChild>
                        <w:div w:id="121368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95958">
                              <w:marLeft w:val="0"/>
                              <w:marRight w:val="0"/>
                              <w:marTop w:val="0"/>
                              <w:marBottom w:val="0"/>
                              <w:divBdr>
                                <w:top w:val="none" w:sz="0" w:space="0" w:color="auto"/>
                                <w:left w:val="none" w:sz="0" w:space="0" w:color="auto"/>
                                <w:bottom w:val="none" w:sz="0" w:space="0" w:color="auto"/>
                                <w:right w:val="none" w:sz="0" w:space="0" w:color="auto"/>
                              </w:divBdr>
                              <w:divsChild>
                                <w:div w:id="959917612">
                                  <w:marLeft w:val="0"/>
                                  <w:marRight w:val="0"/>
                                  <w:marTop w:val="0"/>
                                  <w:marBottom w:val="0"/>
                                  <w:divBdr>
                                    <w:top w:val="none" w:sz="0" w:space="0" w:color="auto"/>
                                    <w:left w:val="none" w:sz="0" w:space="0" w:color="auto"/>
                                    <w:bottom w:val="none" w:sz="0" w:space="0" w:color="auto"/>
                                    <w:right w:val="none" w:sz="0" w:space="0" w:color="auto"/>
                                  </w:divBdr>
                                  <w:divsChild>
                                    <w:div w:id="450048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658381">
                                          <w:marLeft w:val="0"/>
                                          <w:marRight w:val="0"/>
                                          <w:marTop w:val="0"/>
                                          <w:marBottom w:val="0"/>
                                          <w:divBdr>
                                            <w:top w:val="none" w:sz="0" w:space="0" w:color="auto"/>
                                            <w:left w:val="none" w:sz="0" w:space="0" w:color="auto"/>
                                            <w:bottom w:val="none" w:sz="0" w:space="0" w:color="auto"/>
                                            <w:right w:val="none" w:sz="0" w:space="0" w:color="auto"/>
                                          </w:divBdr>
                                          <w:divsChild>
                                            <w:div w:id="14155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73658">
      <w:bodyDiv w:val="1"/>
      <w:marLeft w:val="0"/>
      <w:marRight w:val="0"/>
      <w:marTop w:val="0"/>
      <w:marBottom w:val="0"/>
      <w:divBdr>
        <w:top w:val="none" w:sz="0" w:space="0" w:color="auto"/>
        <w:left w:val="none" w:sz="0" w:space="0" w:color="auto"/>
        <w:bottom w:val="none" w:sz="0" w:space="0" w:color="auto"/>
        <w:right w:val="none" w:sz="0" w:space="0" w:color="auto"/>
      </w:divBdr>
    </w:div>
    <w:div w:id="20406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communication-preparing-withdrawal-united-kingdom-european-union-30-march-2019-contingency-action-plan-13-11-2018_bg" TargetMode="External"/><Relationship Id="rId7" Type="http://schemas.openxmlformats.org/officeDocument/2006/relationships/hyperlink" Target="https://ec.europa.eu/info/brexit/brexit-preparedness/preparedness-notices_en" TargetMode="External"/><Relationship Id="rId2" Type="http://schemas.openxmlformats.org/officeDocument/2006/relationships/hyperlink" Target="https://ec.europa.eu/info/publications/preparing-withdrawal-united-kingdom-european-union-30-march-2019_bg" TargetMode="External"/><Relationship Id="rId1" Type="http://schemas.openxmlformats.org/officeDocument/2006/relationships/hyperlink" Target="https://www.consilium.europa.eu/media/37508/13-euco-art-50-conclusions-en.pdf" TargetMode="External"/><Relationship Id="rId6" Type="http://schemas.openxmlformats.org/officeDocument/2006/relationships/hyperlink" Target="https://www.consilium.europa.eu/media/37103/25-special-euco-final-conclusions-en.pdf" TargetMode="External"/><Relationship Id="rId5" Type="http://schemas.openxmlformats.org/officeDocument/2006/relationships/hyperlink" Target="https://ec.europa.eu/commission/sites/beta-political/files/draft_withdrawal_agreement_0.pdf" TargetMode="External"/><Relationship Id="rId4" Type="http://schemas.openxmlformats.org/officeDocument/2006/relationships/hyperlink" Target="https://ec.europa.eu/commission/sites/beta-political/files/joint_repor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4756-F373-4525-B8C5-B7802769AC1A}">
  <ds:schemaRefs>
    <ds:schemaRef ds:uri="office.server.policy"/>
  </ds:schemaRefs>
</ds:datastoreItem>
</file>

<file path=customXml/itemProps2.xml><?xml version="1.0" encoding="utf-8"?>
<ds:datastoreItem xmlns:ds="http://schemas.openxmlformats.org/officeDocument/2006/customXml" ds:itemID="{59EABB90-9A49-4981-9081-644CE982C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F9C86-11F2-4776-80E9-AEDB4511FF2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173920-bf43-43cc-9123-1897e847dfc2"/>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3C32B4E-5ABC-4CC4-9047-E1986C371722}">
  <ds:schemaRefs>
    <ds:schemaRef ds:uri="http://schemas.microsoft.com/sharepoint/v3/contenttype/forms"/>
  </ds:schemaRefs>
</ds:datastoreItem>
</file>

<file path=customXml/itemProps5.xml><?xml version="1.0" encoding="utf-8"?>
<ds:datastoreItem xmlns:ds="http://schemas.openxmlformats.org/officeDocument/2006/customXml" ds:itemID="{3F43FB15-F8AB-484B-9675-83B41B22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4514</Words>
  <Characters>23159</Characters>
  <Application>Microsoft Office Word</Application>
  <DocSecurity>0</DocSecurity>
  <Lines>356</Lines>
  <Paragraphs>96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24</cp:revision>
  <cp:lastPrinted>2018-12-17T18:24:00Z</cp:lastPrinted>
  <dcterms:created xsi:type="dcterms:W3CDTF">2018-12-19T10:24:00Z</dcterms:created>
  <dcterms:modified xsi:type="dcterms:W3CDTF">2018-12-21T11:40:00Z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ontentTypeId">
    <vt:lpwstr>0x010100258AA79CEB83498886A3A0868112325000D33D44CF0C8FEB45875F235DEEF2E1B9</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DocStatus">
    <vt:lpwstr>Green</vt:lpwstr>
  </property>
</Properties>
</file>