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648E32AD-433F-4EB7-8206-C4A9E0D26CA0" style="width:450.15pt;height:393.55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footnotePr>
            <w:numStart w:val="50"/>
          </w:footnotePr>
          <w:pgSz w:w="11906" w:h="16838" w:code="9"/>
          <w:pgMar w:top="1134" w:right="1417" w:bottom="1134" w:left="1417" w:header="709" w:footer="709" w:gutter="0"/>
          <w:pgNumType w:start="0"/>
          <w:cols w:space="720"/>
          <w:docGrid w:linePitch="360"/>
        </w:sectPr>
      </w:pPr>
    </w:p>
    <w:p>
      <w:pPr>
        <w:rPr>
          <w:noProof/>
        </w:rPr>
      </w:pPr>
      <w:bookmarkStart w:id="1" w:name="_Toc449014758"/>
      <w:bookmarkStart w:id="2" w:name="_Toc449098065"/>
      <w:bookmarkStart w:id="3" w:name="_GoBack"/>
      <w:bookmarkEnd w:id="3"/>
    </w:p>
    <w:p>
      <w:pPr>
        <w:jc w:val="right"/>
        <w:rPr>
          <w:noProof/>
          <w:sz w:val="16"/>
        </w:rPr>
      </w:pPr>
      <w:bookmarkStart w:id="4" w:name="_Toc449098108"/>
      <w:bookmarkEnd w:id="1"/>
      <w:bookmarkEnd w:id="2"/>
    </w:p>
    <w:p>
      <w:pPr>
        <w:rPr>
          <w:noProof/>
        </w:rPr>
      </w:pPr>
      <w:r>
        <w:rPr>
          <w:noProof/>
        </w:rPr>
        <w:br w:type="page"/>
      </w:r>
    </w:p>
    <w:p>
      <w:pPr>
        <w:pStyle w:val="Heading1"/>
        <w:numPr>
          <w:ilvl w:val="0"/>
          <w:numId w:val="1"/>
        </w:numPr>
        <w:rPr>
          <w:noProof/>
        </w:rPr>
      </w:pPr>
      <w:bookmarkStart w:id="5" w:name="_Toc468890474"/>
      <w:bookmarkStart w:id="6" w:name="_Toc524619519"/>
      <w:bookmarkStart w:id="7" w:name="_Toc524961066"/>
      <w:bookmarkStart w:id="8" w:name="_Toc525143027"/>
      <w:bookmarkStart w:id="9" w:name="_Toc525222184"/>
      <w:bookmarkStart w:id="10" w:name="_Toc525222353"/>
      <w:bookmarkStart w:id="11" w:name="_Toc526420747"/>
      <w:bookmarkStart w:id="12" w:name="_Toc526433974"/>
      <w:bookmarkStart w:id="13" w:name="_Toc526435916"/>
      <w:bookmarkStart w:id="14" w:name="_Toc530595246"/>
      <w:bookmarkStart w:id="15" w:name="_Toc531178325"/>
      <w:r>
        <w:rPr>
          <w:noProof/>
        </w:rPr>
        <w:lastRenderedPageBreak/>
        <w:t xml:space="preserve">Industry energy </w:t>
      </w:r>
      <w:bookmarkEnd w:id="4"/>
      <w:r>
        <w:rPr>
          <w:noProof/>
        </w:rPr>
        <w:t>costs</w:t>
      </w:r>
      <w:bookmarkEnd w:id="5"/>
      <w:bookmarkEnd w:id="6"/>
      <w:bookmarkEnd w:id="7"/>
      <w:bookmarkEnd w:id="8"/>
      <w:bookmarkEnd w:id="9"/>
      <w:bookmarkEnd w:id="10"/>
      <w:bookmarkEnd w:id="11"/>
      <w:bookmarkEnd w:id="12"/>
      <w:bookmarkEnd w:id="13"/>
      <w:bookmarkEnd w:id="14"/>
      <w:bookmarkEnd w:id="15"/>
      <w:r>
        <w:rPr>
          <w:noProof/>
        </w:rPr>
        <w:t xml:space="preserve"> </w:t>
      </w:r>
    </w:p>
    <w:p>
      <w:pPr>
        <w:rPr>
          <w:noProof/>
          <w:sz w:val="24"/>
          <w:szCs w:val="24"/>
        </w:rPr>
      </w:pPr>
    </w:p>
    <w:p>
      <w:pPr>
        <w:rPr>
          <w:b/>
          <w:noProof/>
          <w:sz w:val="24"/>
          <w:szCs w:val="24"/>
        </w:rPr>
      </w:pPr>
      <w:r>
        <w:rPr>
          <w:b/>
          <w:noProof/>
          <w:sz w:val="24"/>
          <w:szCs w:val="24"/>
        </w:rPr>
        <w:t>Introduction</w:t>
      </w:r>
    </w:p>
    <w:p>
      <w:pPr>
        <w:rPr>
          <w:noProof/>
          <w:sz w:val="24"/>
          <w:szCs w:val="24"/>
        </w:rPr>
      </w:pPr>
      <w:r>
        <w:rPr>
          <w:noProof/>
          <w:sz w:val="24"/>
          <w:szCs w:val="24"/>
        </w:rPr>
        <w:t>The chapter mainly looks at the impact of energy prices and energy costs on the cost-competitiveness of selected European industrial sectors. In the following pages we first look at the context of the general competitiveness of the EU and the importance of energy costs for the overall industry and services. Energy costs are then mapped across several manufacturing, services and agricultural sectors. Emphasis is put in analysing energy intensive sectors which by nature are sensitive to energy costs fluctuations. The evolution of energy costs in the various sectors are assessed as well as the factors driving these costs like changes on energy prices, output and energy intensity. Finally the available international data is used to establish international comparisons of energy costs with third countries.</w:t>
      </w:r>
    </w:p>
    <w:p>
      <w:pPr>
        <w:jc w:val="left"/>
        <w:rPr>
          <w:b/>
          <w:noProof/>
          <w:sz w:val="24"/>
          <w:szCs w:val="24"/>
        </w:rPr>
      </w:pPr>
    </w:p>
    <w:p>
      <w:pPr>
        <w:jc w:val="left"/>
        <w:rPr>
          <w:b/>
          <w:noProof/>
          <w:sz w:val="24"/>
          <w:szCs w:val="24"/>
        </w:rPr>
      </w:pPr>
      <w:r>
        <w:rPr>
          <w:b/>
          <w:noProof/>
          <w:sz w:val="24"/>
          <w:szCs w:val="24"/>
        </w:rPr>
        <w:t xml:space="preserve">Main findings </w:t>
      </w:r>
    </w:p>
    <w:p>
      <w:pPr>
        <w:rPr>
          <w:noProof/>
          <w:sz w:val="24"/>
          <w:szCs w:val="24"/>
        </w:rPr>
      </w:pPr>
      <w:r>
        <w:rPr>
          <w:noProof/>
          <w:sz w:val="24"/>
          <w:szCs w:val="24"/>
        </w:rPr>
        <w:t>On</w:t>
      </w:r>
      <w:r>
        <w:rPr>
          <w:i/>
          <w:noProof/>
          <w:sz w:val="24"/>
          <w:szCs w:val="24"/>
        </w:rPr>
        <w:t xml:space="preserve"> </w:t>
      </w:r>
      <w:r>
        <w:rPr>
          <w:noProof/>
          <w:sz w:val="24"/>
          <w:szCs w:val="24"/>
        </w:rPr>
        <w:t>the overall impact of energy on the EU competitiveness</w:t>
      </w:r>
    </w:p>
    <w:p>
      <w:pPr>
        <w:pStyle w:val="ListParagraph"/>
        <w:numPr>
          <w:ilvl w:val="0"/>
          <w:numId w:val="23"/>
        </w:numPr>
        <w:rPr>
          <w:noProof/>
          <w:sz w:val="24"/>
          <w:szCs w:val="24"/>
        </w:rPr>
      </w:pPr>
      <w:r>
        <w:rPr>
          <w:noProof/>
          <w:sz w:val="24"/>
          <w:szCs w:val="24"/>
        </w:rPr>
        <w:t>Energy plays a relatively modest role in the formation of the gross value added in the economy. On EU level, its share is estimated at around 2% of the total production value of manufacturing and around 1% of the combined group of industry and services in 2016.</w:t>
      </w:r>
    </w:p>
    <w:p>
      <w:pPr>
        <w:pStyle w:val="ListParagraph"/>
        <w:rPr>
          <w:noProof/>
          <w:sz w:val="24"/>
          <w:szCs w:val="24"/>
        </w:rPr>
      </w:pPr>
    </w:p>
    <w:p>
      <w:pPr>
        <w:pStyle w:val="ListParagraph"/>
        <w:numPr>
          <w:ilvl w:val="0"/>
          <w:numId w:val="23"/>
        </w:numPr>
        <w:rPr>
          <w:noProof/>
          <w:sz w:val="24"/>
          <w:szCs w:val="24"/>
        </w:rPr>
      </w:pPr>
      <w:r>
        <w:rPr>
          <w:noProof/>
          <w:sz w:val="24"/>
          <w:szCs w:val="24"/>
        </w:rPr>
        <w:t>The economic performance and the overall competitiveness of the EU Member States has remained stable compared to that of our main trading partners.</w:t>
      </w:r>
    </w:p>
    <w:p>
      <w:pPr>
        <w:pStyle w:val="ListParagraph"/>
        <w:rPr>
          <w:noProof/>
          <w:sz w:val="24"/>
          <w:szCs w:val="24"/>
        </w:rPr>
      </w:pPr>
    </w:p>
    <w:p>
      <w:pPr>
        <w:pStyle w:val="ListParagraph"/>
        <w:numPr>
          <w:ilvl w:val="0"/>
          <w:numId w:val="23"/>
        </w:numPr>
        <w:rPr>
          <w:noProof/>
          <w:sz w:val="24"/>
          <w:szCs w:val="24"/>
        </w:rPr>
      </w:pPr>
      <w:r>
        <w:rPr>
          <w:noProof/>
          <w:sz w:val="24"/>
          <w:szCs w:val="24"/>
        </w:rPr>
        <w:t>The macroeconomic effects of the wide variations of the global energy commodity prices (oil, gas and coal) in recent years are yet to unravel. It seems that up to 2017 the impact on the overall competitiveness of the EU economy was limited and the real unit energy costs of large industrial subsectors remained stable.</w:t>
      </w:r>
    </w:p>
    <w:p>
      <w:pPr>
        <w:pStyle w:val="ListParagraph"/>
        <w:rPr>
          <w:noProof/>
          <w:sz w:val="24"/>
          <w:szCs w:val="24"/>
        </w:rPr>
      </w:pPr>
    </w:p>
    <w:p>
      <w:pPr>
        <w:pStyle w:val="ListParagraph"/>
        <w:numPr>
          <w:ilvl w:val="0"/>
          <w:numId w:val="23"/>
        </w:numPr>
        <w:rPr>
          <w:noProof/>
          <w:sz w:val="24"/>
          <w:szCs w:val="24"/>
        </w:rPr>
      </w:pPr>
      <w:r>
        <w:rPr>
          <w:noProof/>
          <w:sz w:val="24"/>
          <w:szCs w:val="24"/>
        </w:rPr>
        <w:t xml:space="preserve">Yet, energy is at the very fabric of almost all products and services used in everyday life. In addition, several important manufacturing sectors (see section 6.2) also rely on energy as the biggest or the most critical factor of production. </w:t>
      </w:r>
    </w:p>
    <w:p>
      <w:pPr>
        <w:jc w:val="left"/>
        <w:rPr>
          <w:noProof/>
          <w:sz w:val="24"/>
          <w:szCs w:val="24"/>
        </w:rPr>
      </w:pPr>
    </w:p>
    <w:p>
      <w:pPr>
        <w:rPr>
          <w:noProof/>
          <w:sz w:val="24"/>
          <w:szCs w:val="24"/>
        </w:rPr>
      </w:pPr>
      <w:r>
        <w:rPr>
          <w:noProof/>
          <w:sz w:val="24"/>
          <w:szCs w:val="24"/>
        </w:rPr>
        <w:t>Energy costs shares</w:t>
      </w:r>
    </w:p>
    <w:p>
      <w:pPr>
        <w:pStyle w:val="ListParagraph"/>
        <w:numPr>
          <w:ilvl w:val="0"/>
          <w:numId w:val="6"/>
        </w:numPr>
        <w:ind w:left="714" w:hanging="357"/>
        <w:contextualSpacing w:val="0"/>
        <w:rPr>
          <w:noProof/>
          <w:sz w:val="24"/>
          <w:szCs w:val="24"/>
        </w:rPr>
      </w:pPr>
      <w:r>
        <w:rPr>
          <w:noProof/>
          <w:sz w:val="24"/>
          <w:szCs w:val="24"/>
        </w:rPr>
        <w:t>Energy costs shares in production costs fell for the vast majority of the sectors studied between 2008 and 2015, with the most significant declines appearing in some of the most energy intensive sectors.</w:t>
      </w:r>
    </w:p>
    <w:p>
      <w:pPr>
        <w:pStyle w:val="ListParagraph"/>
        <w:numPr>
          <w:ilvl w:val="0"/>
          <w:numId w:val="6"/>
        </w:numPr>
        <w:spacing w:line="300" w:lineRule="atLeast"/>
        <w:ind w:left="714" w:hanging="357"/>
        <w:contextualSpacing w:val="0"/>
        <w:rPr>
          <w:noProof/>
          <w:sz w:val="24"/>
          <w:szCs w:val="24"/>
        </w:rPr>
      </w:pPr>
      <w:r>
        <w:rPr>
          <w:noProof/>
          <w:sz w:val="24"/>
          <w:szCs w:val="24"/>
        </w:rPr>
        <w:t xml:space="preserve">Energy costs for the selected manufacturing sectors accounted for around 1-10% of total (operational) production costs. For some sectors of the most energy intensive sectors energy costs accounted for more than 10% of production costs in at least one year like for </w:t>
      </w:r>
      <w:r>
        <w:rPr>
          <w:i/>
          <w:noProof/>
          <w:sz w:val="24"/>
          <w:szCs w:val="24"/>
        </w:rPr>
        <w:t>paper</w:t>
      </w:r>
      <w:r>
        <w:rPr>
          <w:noProof/>
          <w:sz w:val="24"/>
          <w:szCs w:val="24"/>
        </w:rPr>
        <w:t xml:space="preserve">, </w:t>
      </w:r>
      <w:r>
        <w:rPr>
          <w:i/>
          <w:noProof/>
          <w:sz w:val="24"/>
          <w:szCs w:val="24"/>
        </w:rPr>
        <w:t>clay building materials</w:t>
      </w:r>
      <w:r>
        <w:rPr>
          <w:noProof/>
          <w:sz w:val="24"/>
          <w:szCs w:val="24"/>
        </w:rPr>
        <w:t xml:space="preserve">, </w:t>
      </w:r>
      <w:r>
        <w:rPr>
          <w:i/>
          <w:noProof/>
          <w:sz w:val="24"/>
          <w:szCs w:val="24"/>
        </w:rPr>
        <w:t>iron and steel</w:t>
      </w:r>
      <w:r>
        <w:rPr>
          <w:noProof/>
          <w:sz w:val="24"/>
          <w:szCs w:val="24"/>
        </w:rPr>
        <w:t xml:space="preserve"> and </w:t>
      </w:r>
      <w:r>
        <w:rPr>
          <w:i/>
          <w:noProof/>
          <w:sz w:val="24"/>
          <w:szCs w:val="24"/>
        </w:rPr>
        <w:t>cement</w:t>
      </w:r>
      <w:r>
        <w:rPr>
          <w:noProof/>
          <w:sz w:val="24"/>
          <w:szCs w:val="24"/>
        </w:rPr>
        <w:t xml:space="preserve"> (on the latter sector the energy costs share was consistently above 10%). </w:t>
      </w:r>
    </w:p>
    <w:p>
      <w:pPr>
        <w:pStyle w:val="ListParagraph"/>
        <w:numPr>
          <w:ilvl w:val="0"/>
          <w:numId w:val="6"/>
        </w:numPr>
        <w:spacing w:line="300" w:lineRule="atLeast"/>
        <w:ind w:left="714" w:hanging="357"/>
        <w:contextualSpacing w:val="0"/>
        <w:rPr>
          <w:noProof/>
          <w:sz w:val="24"/>
          <w:szCs w:val="24"/>
        </w:rPr>
      </w:pPr>
      <w:r>
        <w:rPr>
          <w:noProof/>
          <w:sz w:val="24"/>
          <w:szCs w:val="24"/>
        </w:rPr>
        <w:t xml:space="preserve">Amongst the less energy intensive manufacturing sectors studied, energy costs are typically 1-3% of operational (production) costs. For </w:t>
      </w:r>
      <w:r>
        <w:rPr>
          <w:i/>
          <w:noProof/>
          <w:sz w:val="24"/>
          <w:szCs w:val="24"/>
        </w:rPr>
        <w:t>computers and electronics</w:t>
      </w:r>
      <w:r>
        <w:rPr>
          <w:noProof/>
          <w:sz w:val="24"/>
          <w:szCs w:val="24"/>
        </w:rPr>
        <w:t xml:space="preserve">, </w:t>
      </w:r>
      <w:r>
        <w:rPr>
          <w:i/>
          <w:noProof/>
          <w:sz w:val="24"/>
          <w:szCs w:val="24"/>
        </w:rPr>
        <w:t>motor vehicles</w:t>
      </w:r>
      <w:r>
        <w:rPr>
          <w:noProof/>
          <w:sz w:val="24"/>
          <w:szCs w:val="24"/>
        </w:rPr>
        <w:t xml:space="preserve"> and </w:t>
      </w:r>
      <w:r>
        <w:rPr>
          <w:i/>
          <w:noProof/>
          <w:sz w:val="24"/>
          <w:szCs w:val="24"/>
        </w:rPr>
        <w:t>other transport equipment</w:t>
      </w:r>
      <w:r>
        <w:rPr>
          <w:noProof/>
          <w:sz w:val="24"/>
          <w:szCs w:val="24"/>
        </w:rPr>
        <w:t xml:space="preserve"> costs do not reach 1% of total production costs</w:t>
      </w:r>
    </w:p>
    <w:p>
      <w:pPr>
        <w:pStyle w:val="ListParagraph"/>
        <w:numPr>
          <w:ilvl w:val="0"/>
          <w:numId w:val="6"/>
        </w:numPr>
        <w:rPr>
          <w:b/>
          <w:noProof/>
          <w:sz w:val="24"/>
          <w:szCs w:val="24"/>
        </w:rPr>
      </w:pPr>
      <w:r>
        <w:rPr>
          <w:noProof/>
          <w:sz w:val="24"/>
          <w:szCs w:val="24"/>
        </w:rPr>
        <w:t xml:space="preserve">Amongst the non-manufacturing sectors studied, energy cost shares are comparable to or higher to those in the highly energy intensive manufacturing sectors for </w:t>
      </w:r>
      <w:r>
        <w:rPr>
          <w:i/>
          <w:noProof/>
          <w:sz w:val="24"/>
          <w:szCs w:val="24"/>
        </w:rPr>
        <w:t>land transport</w:t>
      </w:r>
      <w:r>
        <w:rPr>
          <w:noProof/>
          <w:sz w:val="24"/>
          <w:szCs w:val="24"/>
        </w:rPr>
        <w:t xml:space="preserve">, </w:t>
      </w:r>
      <w:r>
        <w:rPr>
          <w:i/>
          <w:noProof/>
          <w:sz w:val="24"/>
          <w:szCs w:val="24"/>
        </w:rPr>
        <w:t>air transport</w:t>
      </w:r>
      <w:r>
        <w:rPr>
          <w:noProof/>
          <w:sz w:val="24"/>
          <w:szCs w:val="24"/>
        </w:rPr>
        <w:t xml:space="preserve">, </w:t>
      </w:r>
      <w:r>
        <w:rPr>
          <w:i/>
          <w:noProof/>
          <w:sz w:val="24"/>
          <w:szCs w:val="24"/>
        </w:rPr>
        <w:t>mining of metal ores</w:t>
      </w:r>
      <w:r>
        <w:rPr>
          <w:noProof/>
          <w:sz w:val="24"/>
          <w:szCs w:val="24"/>
        </w:rPr>
        <w:t>, e</w:t>
      </w:r>
      <w:r>
        <w:rPr>
          <w:i/>
          <w:noProof/>
          <w:sz w:val="24"/>
          <w:szCs w:val="24"/>
        </w:rPr>
        <w:t>lectricity-gas</w:t>
      </w:r>
      <w:r>
        <w:rPr>
          <w:noProof/>
          <w:sz w:val="24"/>
          <w:szCs w:val="24"/>
        </w:rPr>
        <w:t xml:space="preserve"> and o</w:t>
      </w:r>
      <w:r>
        <w:rPr>
          <w:i/>
          <w:noProof/>
          <w:sz w:val="24"/>
          <w:szCs w:val="24"/>
        </w:rPr>
        <w:t>ther mining</w:t>
      </w:r>
      <w:r>
        <w:rPr>
          <w:noProof/>
          <w:sz w:val="24"/>
          <w:szCs w:val="24"/>
        </w:rPr>
        <w:t xml:space="preserve">. It is notable that energy cost shares in </w:t>
      </w:r>
      <w:r>
        <w:rPr>
          <w:i/>
          <w:noProof/>
          <w:sz w:val="24"/>
          <w:szCs w:val="24"/>
        </w:rPr>
        <w:t>waste management</w:t>
      </w:r>
      <w:r>
        <w:rPr>
          <w:noProof/>
          <w:sz w:val="24"/>
          <w:szCs w:val="24"/>
        </w:rPr>
        <w:t xml:space="preserve"> and </w:t>
      </w:r>
      <w:r>
        <w:rPr>
          <w:i/>
          <w:noProof/>
          <w:sz w:val="24"/>
          <w:szCs w:val="24"/>
        </w:rPr>
        <w:t>accommodation and restaurants</w:t>
      </w:r>
      <w:r>
        <w:rPr>
          <w:noProof/>
          <w:sz w:val="24"/>
          <w:szCs w:val="24"/>
        </w:rPr>
        <w:t xml:space="preserve"> are 3-5%, while negligible in </w:t>
      </w:r>
      <w:r>
        <w:rPr>
          <w:i/>
          <w:noProof/>
          <w:sz w:val="24"/>
          <w:szCs w:val="24"/>
        </w:rPr>
        <w:t>construction</w:t>
      </w:r>
      <w:r>
        <w:rPr>
          <w:noProof/>
          <w:sz w:val="24"/>
          <w:szCs w:val="24"/>
        </w:rPr>
        <w:t xml:space="preserve"> and </w:t>
      </w:r>
      <w:r>
        <w:rPr>
          <w:i/>
          <w:noProof/>
          <w:sz w:val="24"/>
          <w:szCs w:val="24"/>
        </w:rPr>
        <w:t>trade</w:t>
      </w:r>
      <w:r>
        <w:rPr>
          <w:noProof/>
          <w:sz w:val="24"/>
          <w:szCs w:val="24"/>
        </w:rPr>
        <w:t>.</w:t>
      </w:r>
      <w:r>
        <w:rPr>
          <w:b/>
          <w:noProof/>
          <w:sz w:val="24"/>
          <w:szCs w:val="24"/>
        </w:rPr>
        <w:t xml:space="preserve"> </w:t>
      </w:r>
    </w:p>
    <w:p>
      <w:pPr>
        <w:jc w:val="left"/>
        <w:rPr>
          <w:noProof/>
          <w:sz w:val="24"/>
          <w:szCs w:val="24"/>
        </w:rPr>
      </w:pPr>
    </w:p>
    <w:p>
      <w:pPr>
        <w:jc w:val="left"/>
        <w:rPr>
          <w:noProof/>
          <w:sz w:val="24"/>
          <w:szCs w:val="24"/>
        </w:rPr>
      </w:pPr>
      <w:r>
        <w:rPr>
          <w:noProof/>
          <w:sz w:val="24"/>
          <w:szCs w:val="24"/>
        </w:rPr>
        <w:t xml:space="preserve">Drivers of energy costs for industry </w:t>
      </w:r>
    </w:p>
    <w:p>
      <w:pPr>
        <w:pStyle w:val="ListParagraph"/>
        <w:numPr>
          <w:ilvl w:val="0"/>
          <w:numId w:val="6"/>
        </w:numPr>
        <w:spacing w:after="0" w:line="300" w:lineRule="atLeast"/>
        <w:rPr>
          <w:noProof/>
          <w:sz w:val="24"/>
          <w:szCs w:val="24"/>
        </w:rPr>
      </w:pPr>
      <w:r>
        <w:rPr>
          <w:noProof/>
          <w:sz w:val="24"/>
          <w:szCs w:val="24"/>
        </w:rPr>
        <w:t>The aggregated energy costs of the sectors studied at EU level fell by 8% over 2010-2015. The decomposition analysis shows that this was the result of increasing prices of energy (that induced +7% increase in energy costs), reduced energy intensity (-4% in energy costs) and almost close to zero impact from changes in output. Due to data limitations, a large part of the decrease in energy costs over the period could not be specifically identified and is behind the important reduction in energy costs over the period (the residual explains -10% of reduction in energy costs). The low quality of the energy consumption data may have prompted an underestimation on the reduction of energy intensity, which could come from the intense industry restructuring that follows economic crises and international competitive pressures in energy intensive sectors.</w:t>
      </w:r>
    </w:p>
    <w:p>
      <w:pPr>
        <w:pStyle w:val="ListParagraph"/>
        <w:spacing w:after="0" w:line="300" w:lineRule="atLeast"/>
        <w:rPr>
          <w:noProof/>
          <w:sz w:val="24"/>
          <w:szCs w:val="24"/>
        </w:rPr>
      </w:pPr>
    </w:p>
    <w:p>
      <w:pPr>
        <w:pStyle w:val="ListParagraph"/>
        <w:numPr>
          <w:ilvl w:val="0"/>
          <w:numId w:val="6"/>
        </w:numPr>
        <w:spacing w:after="0" w:line="300" w:lineRule="atLeast"/>
        <w:jc w:val="left"/>
        <w:rPr>
          <w:i/>
          <w:noProof/>
          <w:sz w:val="24"/>
        </w:rPr>
      </w:pPr>
      <w:r>
        <w:rPr>
          <w:noProof/>
          <w:sz w:val="24"/>
          <w:szCs w:val="24"/>
        </w:rPr>
        <w:t xml:space="preserve">Energy costs have a zero or negative impact on the Total Production Costs in the vast majority of manufacturing sectors analysed over the period of study. </w:t>
      </w:r>
    </w:p>
    <w:p>
      <w:pPr>
        <w:pStyle w:val="ListParagraph"/>
        <w:spacing w:after="0" w:line="300" w:lineRule="atLeast"/>
        <w:jc w:val="left"/>
        <w:rPr>
          <w:i/>
          <w:noProof/>
          <w:sz w:val="24"/>
        </w:rPr>
      </w:pPr>
    </w:p>
    <w:p>
      <w:pPr>
        <w:pStyle w:val="ListParagraph"/>
        <w:numPr>
          <w:ilvl w:val="0"/>
          <w:numId w:val="6"/>
        </w:numPr>
        <w:spacing w:after="0" w:line="300" w:lineRule="atLeast"/>
        <w:rPr>
          <w:i/>
          <w:noProof/>
          <w:sz w:val="24"/>
        </w:rPr>
      </w:pPr>
      <w:r>
        <w:rPr>
          <w:noProof/>
          <w:sz w:val="24"/>
        </w:rPr>
        <w:t>Energy costs shares in total production costs have fallen among nearly all the manufacturing sectors over the period of study (27 out of 30 sectors). Although half of the sectors experienced increases in energy costs, these costs have not increased by as much as other non-energy costs of production resulting in lower energy costs shares. For most of the less energy-intensity industries, the energy costs share fell by -</w:t>
      </w:r>
      <w:r>
        <w:rPr>
          <w:i/>
          <w:noProof/>
          <w:sz w:val="24"/>
        </w:rPr>
        <w:t>0.1pp to -0.6pp</w:t>
      </w:r>
      <w:r>
        <w:rPr>
          <w:noProof/>
          <w:sz w:val="24"/>
        </w:rPr>
        <w:t xml:space="preserve"> while for the more energy intensive sectors, reductions were larger, between </w:t>
      </w:r>
      <w:r>
        <w:rPr>
          <w:i/>
          <w:noProof/>
          <w:sz w:val="24"/>
        </w:rPr>
        <w:t>-5.8pp and -1.5pp.</w:t>
      </w:r>
    </w:p>
    <w:p>
      <w:pPr>
        <w:jc w:val="left"/>
        <w:rPr>
          <w:noProof/>
          <w:sz w:val="24"/>
          <w:szCs w:val="24"/>
        </w:rPr>
      </w:pPr>
    </w:p>
    <w:p>
      <w:pPr>
        <w:jc w:val="left"/>
        <w:rPr>
          <w:noProof/>
          <w:sz w:val="24"/>
          <w:szCs w:val="24"/>
        </w:rPr>
      </w:pPr>
      <w:r>
        <w:rPr>
          <w:noProof/>
          <w:sz w:val="24"/>
          <w:szCs w:val="24"/>
        </w:rPr>
        <w:t>Energy intensity</w:t>
      </w:r>
    </w:p>
    <w:p>
      <w:pPr>
        <w:pStyle w:val="ListParagraph"/>
        <w:numPr>
          <w:ilvl w:val="0"/>
          <w:numId w:val="6"/>
        </w:numPr>
        <w:rPr>
          <w:noProof/>
          <w:sz w:val="24"/>
          <w:szCs w:val="24"/>
        </w:rPr>
      </w:pPr>
      <w:r>
        <w:rPr>
          <w:noProof/>
          <w:sz w:val="24"/>
          <w:szCs w:val="24"/>
        </w:rPr>
        <w:t xml:space="preserve">Energy intensity (energy consumption/GVA) varies considerably across the sectors studied in accordance to the various production processes (the highest values are displayed in </w:t>
      </w:r>
      <w:r>
        <w:rPr>
          <w:i/>
          <w:noProof/>
          <w:sz w:val="24"/>
          <w:szCs w:val="24"/>
        </w:rPr>
        <w:t>steel</w:t>
      </w:r>
      <w:r>
        <w:rPr>
          <w:noProof/>
          <w:sz w:val="24"/>
          <w:szCs w:val="24"/>
        </w:rPr>
        <w:t xml:space="preserve">, </w:t>
      </w:r>
      <w:r>
        <w:rPr>
          <w:i/>
          <w:noProof/>
          <w:sz w:val="24"/>
          <w:szCs w:val="24"/>
        </w:rPr>
        <w:t>cement</w:t>
      </w:r>
      <w:r>
        <w:rPr>
          <w:noProof/>
          <w:sz w:val="24"/>
          <w:szCs w:val="24"/>
        </w:rPr>
        <w:t xml:space="preserve">, </w:t>
      </w:r>
      <w:r>
        <w:rPr>
          <w:i/>
          <w:noProof/>
          <w:sz w:val="24"/>
          <w:szCs w:val="24"/>
        </w:rPr>
        <w:t>refineries</w:t>
      </w:r>
      <w:r>
        <w:rPr>
          <w:noProof/>
          <w:sz w:val="24"/>
          <w:szCs w:val="24"/>
        </w:rPr>
        <w:t xml:space="preserve">, </w:t>
      </w:r>
      <w:r>
        <w:rPr>
          <w:i/>
          <w:noProof/>
          <w:sz w:val="24"/>
          <w:szCs w:val="24"/>
        </w:rPr>
        <w:t>paper and basic chemicals,</w:t>
      </w:r>
      <w:r>
        <w:rPr>
          <w:noProof/>
          <w:sz w:val="24"/>
          <w:szCs w:val="24"/>
        </w:rPr>
        <w:t xml:space="preserve"> in manufacturing, and </w:t>
      </w:r>
      <w:r>
        <w:rPr>
          <w:i/>
          <w:noProof/>
          <w:sz w:val="24"/>
          <w:szCs w:val="24"/>
        </w:rPr>
        <w:t>land transport</w:t>
      </w:r>
      <w:r>
        <w:rPr>
          <w:noProof/>
          <w:sz w:val="24"/>
          <w:szCs w:val="24"/>
        </w:rPr>
        <w:t xml:space="preserve">, </w:t>
      </w:r>
      <w:r>
        <w:rPr>
          <w:i/>
          <w:noProof/>
          <w:sz w:val="24"/>
          <w:szCs w:val="24"/>
        </w:rPr>
        <w:t xml:space="preserve">electricity-gas, </w:t>
      </w:r>
      <w:r>
        <w:rPr>
          <w:noProof/>
          <w:sz w:val="24"/>
          <w:szCs w:val="24"/>
        </w:rPr>
        <w:t>in non-manufacturing</w:t>
      </w:r>
      <w:r>
        <w:rPr>
          <w:i/>
          <w:noProof/>
          <w:sz w:val="24"/>
          <w:szCs w:val="24"/>
        </w:rPr>
        <w:t>,</w:t>
      </w:r>
      <w:r>
        <w:rPr>
          <w:noProof/>
          <w:sz w:val="24"/>
          <w:szCs w:val="24"/>
        </w:rPr>
        <w:t xml:space="preserve">) </w:t>
      </w:r>
    </w:p>
    <w:p>
      <w:pPr>
        <w:pStyle w:val="ListParagraph"/>
        <w:jc w:val="left"/>
        <w:rPr>
          <w:noProof/>
          <w:sz w:val="24"/>
          <w:szCs w:val="24"/>
        </w:rPr>
      </w:pPr>
    </w:p>
    <w:p>
      <w:pPr>
        <w:pStyle w:val="ListParagraph"/>
        <w:numPr>
          <w:ilvl w:val="0"/>
          <w:numId w:val="6"/>
        </w:numPr>
        <w:rPr>
          <w:noProof/>
          <w:sz w:val="24"/>
          <w:szCs w:val="24"/>
        </w:rPr>
      </w:pPr>
      <w:r>
        <w:rPr>
          <w:noProof/>
          <w:sz w:val="24"/>
          <w:szCs w:val="24"/>
        </w:rPr>
        <w:t xml:space="preserve">Energy intensity fell in most of the highly energy intensive sectors in </w:t>
      </w:r>
      <w:r>
        <w:rPr>
          <w:i/>
          <w:noProof/>
          <w:sz w:val="24"/>
          <w:szCs w:val="24"/>
        </w:rPr>
        <w:t>manufacturing</w:t>
      </w:r>
      <w:r>
        <w:rPr>
          <w:noProof/>
          <w:sz w:val="24"/>
          <w:szCs w:val="24"/>
        </w:rPr>
        <w:t xml:space="preserve">, including </w:t>
      </w:r>
      <w:r>
        <w:rPr>
          <w:i/>
          <w:noProof/>
          <w:sz w:val="24"/>
        </w:rPr>
        <w:t>steel</w:t>
      </w:r>
      <w:r>
        <w:rPr>
          <w:noProof/>
          <w:sz w:val="24"/>
        </w:rPr>
        <w:t xml:space="preserve">, </w:t>
      </w:r>
      <w:r>
        <w:rPr>
          <w:i/>
          <w:noProof/>
          <w:sz w:val="24"/>
        </w:rPr>
        <w:t xml:space="preserve">refineries </w:t>
      </w:r>
      <w:r>
        <w:rPr>
          <w:noProof/>
          <w:sz w:val="24"/>
        </w:rPr>
        <w:t>and</w:t>
      </w:r>
      <w:r>
        <w:rPr>
          <w:i/>
          <w:noProof/>
          <w:sz w:val="24"/>
        </w:rPr>
        <w:t xml:space="preserve"> paper. </w:t>
      </w:r>
      <w:r>
        <w:rPr>
          <w:noProof/>
          <w:sz w:val="24"/>
        </w:rPr>
        <w:t xml:space="preserve">There were, however, manufacturing sectors in which energy intensity increased (i.e. </w:t>
      </w:r>
      <w:r>
        <w:rPr>
          <w:i/>
          <w:noProof/>
          <w:sz w:val="24"/>
        </w:rPr>
        <w:t>cement,</w:t>
      </w:r>
      <w:r>
        <w:rPr>
          <w:noProof/>
          <w:sz w:val="24"/>
        </w:rPr>
        <w:t xml:space="preserve"> </w:t>
      </w:r>
      <w:r>
        <w:rPr>
          <w:i/>
          <w:noProof/>
          <w:sz w:val="24"/>
        </w:rPr>
        <w:t>grain products</w:t>
      </w:r>
      <w:r>
        <w:rPr>
          <w:noProof/>
          <w:sz w:val="24"/>
        </w:rPr>
        <w:t xml:space="preserve">, </w:t>
      </w:r>
      <w:r>
        <w:rPr>
          <w:i/>
          <w:noProof/>
          <w:sz w:val="24"/>
        </w:rPr>
        <w:t>sawmills</w:t>
      </w:r>
      <w:r>
        <w:rPr>
          <w:noProof/>
          <w:sz w:val="24"/>
        </w:rPr>
        <w:t xml:space="preserve"> and </w:t>
      </w:r>
      <w:r>
        <w:rPr>
          <w:i/>
          <w:noProof/>
          <w:sz w:val="24"/>
        </w:rPr>
        <w:t>chemicals</w:t>
      </w:r>
      <w:r>
        <w:rPr>
          <w:noProof/>
          <w:sz w:val="24"/>
        </w:rPr>
        <w:t>).</w:t>
      </w:r>
      <w:r>
        <w:rPr>
          <w:i/>
          <w:noProof/>
          <w:sz w:val="24"/>
        </w:rPr>
        <w:t xml:space="preserve"> </w:t>
      </w:r>
      <w:r>
        <w:rPr>
          <w:noProof/>
          <w:sz w:val="24"/>
        </w:rPr>
        <w:t>In</w:t>
      </w:r>
      <w:r>
        <w:rPr>
          <w:i/>
          <w:noProof/>
          <w:sz w:val="24"/>
        </w:rPr>
        <w:t xml:space="preserve"> </w:t>
      </w:r>
      <w:r>
        <w:rPr>
          <w:i/>
          <w:noProof/>
          <w:sz w:val="24"/>
          <w:szCs w:val="24"/>
        </w:rPr>
        <w:t>non-manufacturing,</w:t>
      </w:r>
      <w:r>
        <w:rPr>
          <w:noProof/>
          <w:sz w:val="24"/>
          <w:szCs w:val="24"/>
        </w:rPr>
        <w:t xml:space="preserve"> energy intensity decreased in sectors like </w:t>
      </w:r>
      <w:r>
        <w:rPr>
          <w:i/>
          <w:noProof/>
          <w:sz w:val="24"/>
        </w:rPr>
        <w:t>land transport</w:t>
      </w:r>
      <w:r>
        <w:rPr>
          <w:noProof/>
          <w:sz w:val="24"/>
        </w:rPr>
        <w:t xml:space="preserve"> and </w:t>
      </w:r>
      <w:r>
        <w:rPr>
          <w:i/>
          <w:noProof/>
          <w:sz w:val="24"/>
        </w:rPr>
        <w:t xml:space="preserve">other mining </w:t>
      </w:r>
      <w:r>
        <w:rPr>
          <w:noProof/>
          <w:sz w:val="24"/>
        </w:rPr>
        <w:t>although increased</w:t>
      </w:r>
      <w:r>
        <w:rPr>
          <w:i/>
          <w:noProof/>
          <w:sz w:val="24"/>
        </w:rPr>
        <w:t xml:space="preserve"> </w:t>
      </w:r>
      <w:r>
        <w:rPr>
          <w:noProof/>
          <w:sz w:val="24"/>
        </w:rPr>
        <w:t>in</w:t>
      </w:r>
      <w:r>
        <w:rPr>
          <w:i/>
          <w:noProof/>
          <w:sz w:val="24"/>
        </w:rPr>
        <w:t xml:space="preserve"> electricity-gas </w:t>
      </w:r>
      <w:r>
        <w:rPr>
          <w:noProof/>
          <w:sz w:val="24"/>
        </w:rPr>
        <w:t>and</w:t>
      </w:r>
      <w:r>
        <w:rPr>
          <w:i/>
          <w:noProof/>
          <w:sz w:val="24"/>
        </w:rPr>
        <w:t xml:space="preserve"> agriculture. </w:t>
      </w:r>
      <w:r>
        <w:rPr>
          <w:noProof/>
          <w:sz w:val="24"/>
        </w:rPr>
        <w:t>Energy intensity</w:t>
      </w:r>
      <w:r>
        <w:rPr>
          <w:i/>
          <w:noProof/>
          <w:sz w:val="24"/>
        </w:rPr>
        <w:t xml:space="preserve"> </w:t>
      </w:r>
      <w:r>
        <w:rPr>
          <w:noProof/>
          <w:sz w:val="24"/>
          <w:szCs w:val="24"/>
        </w:rPr>
        <w:t xml:space="preserve">remained overall decreased or remained relatively stable in the less energy intensive sectors (manufacturing and non-manufacturing) </w:t>
      </w:r>
      <w:r>
        <w:rPr>
          <w:noProof/>
          <w:sz w:val="24"/>
          <w:szCs w:val="24"/>
        </w:rPr>
        <w:br w:type="page"/>
      </w:r>
    </w:p>
    <w:p>
      <w:pPr>
        <w:jc w:val="left"/>
        <w:rPr>
          <w:noProof/>
          <w:sz w:val="24"/>
          <w:szCs w:val="24"/>
        </w:rPr>
      </w:pPr>
      <w:r>
        <w:rPr>
          <w:noProof/>
          <w:sz w:val="24"/>
          <w:szCs w:val="24"/>
        </w:rPr>
        <w:t>International comparisons</w:t>
      </w:r>
    </w:p>
    <w:p>
      <w:pPr>
        <w:pStyle w:val="ListParagraph"/>
        <w:numPr>
          <w:ilvl w:val="0"/>
          <w:numId w:val="6"/>
        </w:numPr>
        <w:rPr>
          <w:b/>
          <w:noProof/>
          <w:sz w:val="24"/>
          <w:szCs w:val="24"/>
        </w:rPr>
      </w:pPr>
      <w:r>
        <w:rPr>
          <w:noProof/>
          <w:sz w:val="24"/>
          <w:szCs w:val="24"/>
        </w:rPr>
        <w:t xml:space="preserve">Energy costs shares in production costs in the EU are usually higher than in Asian partners (Japan, South Korea). EU costs shares are in most of the cases comparable to those in the US sectors, with the exception of sectors like </w:t>
      </w:r>
      <w:r>
        <w:rPr>
          <w:i/>
          <w:noProof/>
          <w:sz w:val="24"/>
          <w:szCs w:val="24"/>
        </w:rPr>
        <w:t>non-ferrous metals (aluminium)</w:t>
      </w:r>
      <w:r>
        <w:rPr>
          <w:noProof/>
          <w:sz w:val="24"/>
          <w:szCs w:val="24"/>
        </w:rPr>
        <w:t xml:space="preserve"> or </w:t>
      </w:r>
      <w:r>
        <w:rPr>
          <w:i/>
          <w:noProof/>
          <w:sz w:val="24"/>
          <w:szCs w:val="24"/>
        </w:rPr>
        <w:t>steel</w:t>
      </w:r>
      <w:r>
        <w:rPr>
          <w:noProof/>
          <w:sz w:val="24"/>
          <w:szCs w:val="24"/>
        </w:rPr>
        <w:t>, which display lower energy costs shares in the US.</w:t>
      </w:r>
    </w:p>
    <w:p>
      <w:pPr>
        <w:pStyle w:val="ListParagraph"/>
        <w:jc w:val="left"/>
        <w:rPr>
          <w:b/>
          <w:noProof/>
          <w:sz w:val="24"/>
          <w:szCs w:val="24"/>
        </w:rPr>
      </w:pPr>
      <w:r>
        <w:rPr>
          <w:b/>
          <w:noProof/>
          <w:sz w:val="24"/>
          <w:szCs w:val="24"/>
        </w:rPr>
        <w:t xml:space="preserve"> </w:t>
      </w:r>
    </w:p>
    <w:p>
      <w:pPr>
        <w:pStyle w:val="ListParagraph"/>
        <w:numPr>
          <w:ilvl w:val="0"/>
          <w:numId w:val="6"/>
        </w:numPr>
        <w:spacing w:after="0" w:line="300" w:lineRule="atLeast"/>
        <w:rPr>
          <w:noProof/>
          <w:sz w:val="24"/>
          <w:szCs w:val="24"/>
        </w:rPr>
      </w:pPr>
      <w:r>
        <w:rPr>
          <w:noProof/>
          <w:sz w:val="24"/>
          <w:szCs w:val="24"/>
        </w:rPr>
        <w:t>Energy intensity (proxy of energy efficiency)</w:t>
      </w:r>
      <w:r>
        <w:rPr>
          <w:rStyle w:val="FootnoteReference"/>
          <w:noProof/>
          <w:sz w:val="24"/>
          <w:szCs w:val="24"/>
        </w:rPr>
        <w:footnoteReference w:id="2"/>
      </w:r>
      <w:r>
        <w:rPr>
          <w:noProof/>
          <w:sz w:val="24"/>
          <w:szCs w:val="24"/>
        </w:rPr>
        <w:t xml:space="preserve"> in the sectors studied is systematically lower in the EU than those in China and Turkey. Energy intensity in the EU sectors is comparable to those in the US, although with a considerable variation per sector (EU sectors being more energy efficient (less energy intensive) in </w:t>
      </w:r>
      <w:r>
        <w:rPr>
          <w:i/>
          <w:noProof/>
          <w:sz w:val="24"/>
          <w:szCs w:val="24"/>
        </w:rPr>
        <w:t>beverages</w:t>
      </w:r>
      <w:r>
        <w:rPr>
          <w:noProof/>
          <w:sz w:val="24"/>
          <w:szCs w:val="24"/>
        </w:rPr>
        <w:t xml:space="preserve">, </w:t>
      </w:r>
      <w:r>
        <w:rPr>
          <w:i/>
          <w:noProof/>
          <w:sz w:val="24"/>
          <w:szCs w:val="24"/>
        </w:rPr>
        <w:t>glass</w:t>
      </w:r>
      <w:r>
        <w:rPr>
          <w:noProof/>
          <w:sz w:val="24"/>
          <w:szCs w:val="24"/>
        </w:rPr>
        <w:t xml:space="preserve">, </w:t>
      </w:r>
      <w:r>
        <w:rPr>
          <w:i/>
          <w:noProof/>
          <w:sz w:val="24"/>
          <w:szCs w:val="24"/>
        </w:rPr>
        <w:t>fabricated metal products</w:t>
      </w:r>
      <w:r>
        <w:rPr>
          <w:noProof/>
          <w:sz w:val="24"/>
          <w:szCs w:val="24"/>
        </w:rPr>
        <w:t xml:space="preserve">; and the less energy efficient (more energy intensive) in </w:t>
      </w:r>
      <w:r>
        <w:rPr>
          <w:i/>
          <w:noProof/>
          <w:sz w:val="24"/>
          <w:szCs w:val="24"/>
        </w:rPr>
        <w:t>chemicals</w:t>
      </w:r>
      <w:r>
        <w:rPr>
          <w:noProof/>
          <w:sz w:val="24"/>
          <w:szCs w:val="24"/>
        </w:rPr>
        <w:t xml:space="preserve">, </w:t>
      </w:r>
      <w:r>
        <w:rPr>
          <w:i/>
          <w:noProof/>
          <w:sz w:val="24"/>
          <w:szCs w:val="24"/>
        </w:rPr>
        <w:t>man-made fibres</w:t>
      </w:r>
      <w:r>
        <w:rPr>
          <w:noProof/>
          <w:sz w:val="24"/>
          <w:szCs w:val="24"/>
        </w:rPr>
        <w:t xml:space="preserve"> and </w:t>
      </w:r>
      <w:r>
        <w:rPr>
          <w:i/>
          <w:noProof/>
          <w:sz w:val="24"/>
          <w:szCs w:val="24"/>
        </w:rPr>
        <w:t>computers and electronics</w:t>
      </w:r>
      <w:r>
        <w:rPr>
          <w:noProof/>
          <w:sz w:val="24"/>
          <w:szCs w:val="24"/>
        </w:rPr>
        <w:t>).</w:t>
      </w:r>
    </w:p>
    <w:p>
      <w:pPr>
        <w:pStyle w:val="ListParagraph"/>
        <w:jc w:val="left"/>
        <w:rPr>
          <w:b/>
          <w:noProof/>
          <w:sz w:val="24"/>
          <w:szCs w:val="24"/>
        </w:rPr>
      </w:pPr>
    </w:p>
    <w:p>
      <w:pPr>
        <w:pStyle w:val="ListParagraph"/>
        <w:numPr>
          <w:ilvl w:val="0"/>
          <w:numId w:val="6"/>
        </w:numPr>
        <w:rPr>
          <w:noProof/>
          <w:sz w:val="24"/>
          <w:szCs w:val="24"/>
        </w:rPr>
      </w:pPr>
      <w:r>
        <w:rPr>
          <w:noProof/>
          <w:sz w:val="24"/>
          <w:szCs w:val="24"/>
        </w:rPr>
        <w:t>EU industrial prices for electricity are lower or comparable to Asian countries (lower than Japan, comparable to China) and higher than US prices (US prices are half the EU levels). Most other G20 countries (Canada, India, Russia, Mexico, South Korea, Saudi Arabia, and Turkey) also have lower prices than in the EU. Only Brazil has higher prices.</w:t>
      </w:r>
    </w:p>
    <w:p>
      <w:pPr>
        <w:pStyle w:val="ListParagraph"/>
        <w:rPr>
          <w:noProof/>
          <w:sz w:val="24"/>
        </w:rPr>
      </w:pPr>
    </w:p>
    <w:p>
      <w:pPr>
        <w:pStyle w:val="ListParagraph"/>
        <w:numPr>
          <w:ilvl w:val="0"/>
          <w:numId w:val="6"/>
        </w:numPr>
        <w:rPr>
          <w:noProof/>
          <w:sz w:val="24"/>
          <w:szCs w:val="24"/>
        </w:rPr>
      </w:pPr>
      <w:r>
        <w:rPr>
          <w:noProof/>
          <w:sz w:val="24"/>
          <w:szCs w:val="24"/>
        </w:rPr>
        <w:t>Industrial prices for electricity increased over the period (from 100 EUR/MWh in 2008 to 110 EUR/MWh in 2017). The price gap with the US and China (which was favourable for these two countries) has widened, slightly with the US and more significantly with China (where prices have declined since 2011). The gap with Japan (which was favourable for the EU) has shrunk as prices have converged in 2015-2016 to EU levels. Prices South Korea are increasing and converging to EU levels, whilst prices in Mexico (already below cost) are decreasing since 2014.</w:t>
      </w:r>
    </w:p>
    <w:p>
      <w:pPr>
        <w:pStyle w:val="ListParagraph"/>
        <w:rPr>
          <w:noProof/>
          <w:sz w:val="24"/>
        </w:rPr>
      </w:pPr>
    </w:p>
    <w:p>
      <w:pPr>
        <w:pStyle w:val="ListParagraph"/>
        <w:numPr>
          <w:ilvl w:val="0"/>
          <w:numId w:val="6"/>
        </w:numPr>
        <w:spacing w:after="0" w:line="300" w:lineRule="atLeast"/>
        <w:rPr>
          <w:noProof/>
          <w:sz w:val="24"/>
          <w:szCs w:val="24"/>
        </w:rPr>
      </w:pPr>
      <w:r>
        <w:rPr>
          <w:noProof/>
          <w:sz w:val="24"/>
          <w:szCs w:val="24"/>
        </w:rPr>
        <w:t xml:space="preserve">Industrial gas prices in the EU are overall lower than those in Asia (Japan, South Korea, China) but higher than the rest of G20, particularly gas producers (e.g. US, Canada, Russia, Brazil display price levels around half of those in the EU). </w:t>
      </w:r>
    </w:p>
    <w:p>
      <w:pPr>
        <w:pStyle w:val="ListParagraph"/>
        <w:spacing w:after="0" w:line="300" w:lineRule="atLeast"/>
        <w:rPr>
          <w:noProof/>
          <w:sz w:val="24"/>
        </w:rPr>
      </w:pPr>
    </w:p>
    <w:p>
      <w:pPr>
        <w:pStyle w:val="ListParagraph"/>
        <w:numPr>
          <w:ilvl w:val="0"/>
          <w:numId w:val="6"/>
        </w:numPr>
        <w:spacing w:after="0" w:line="300" w:lineRule="atLeast"/>
        <w:rPr>
          <w:noProof/>
          <w:sz w:val="24"/>
          <w:szCs w:val="24"/>
        </w:rPr>
      </w:pPr>
      <w:r>
        <w:rPr>
          <w:noProof/>
          <w:sz w:val="24"/>
          <w:szCs w:val="24"/>
        </w:rPr>
        <w:t xml:space="preserve">EU industrial gas prices have declined in nominal and real terms between 2008-2017 (to reach below 25 EUR/MWh in 2016) but prices declined even further in most of the other G20 countries. The price gap deteriorated with regard to the US and Canada (where prices reached 10 EUR/MWh in 2016) and Japan and South Korea (where after peaking around 2014 prices decreased to get closer to EU prices). Conversely, price gaps with China, Russia, Mexico and Australia improved for the EU as prices in these countries remained roughly constant at the end of period or increased. </w:t>
      </w:r>
    </w:p>
    <w:p>
      <w:pPr>
        <w:pStyle w:val="ListParagraph"/>
        <w:jc w:val="left"/>
        <w:rPr>
          <w:i/>
          <w:noProof/>
          <w:sz w:val="24"/>
          <w:szCs w:val="24"/>
        </w:rPr>
      </w:pPr>
    </w:p>
    <w:p>
      <w:pPr>
        <w:pStyle w:val="ListParagraph"/>
        <w:numPr>
          <w:ilvl w:val="0"/>
          <w:numId w:val="6"/>
        </w:numPr>
        <w:rPr>
          <w:noProof/>
          <w:sz w:val="24"/>
          <w:szCs w:val="24"/>
        </w:rPr>
      </w:pPr>
      <w:r>
        <w:rPr>
          <w:noProof/>
          <w:sz w:val="24"/>
          <w:szCs w:val="24"/>
        </w:rPr>
        <w:t>I</w:t>
      </w:r>
      <w:r>
        <w:rPr>
          <w:noProof/>
          <w:sz w:val="24"/>
        </w:rPr>
        <w:t xml:space="preserve">nflation and exchange rate changes played a significant role in the evolution of nominal prices. High inflation pushed up prices in countries like Brazil and Indonesia while in Russia and Turkey the inflationary effects were mitigated or offset by exchange rates depreciations. Exchange rate appreciations pushed up Chinese and US prices. </w:t>
      </w:r>
    </w:p>
    <w:p>
      <w:pPr>
        <w:spacing w:after="0"/>
        <w:jc w:val="left"/>
        <w:rPr>
          <w:b/>
          <w:noProof/>
          <w:sz w:val="24"/>
          <w:szCs w:val="24"/>
        </w:rPr>
      </w:pPr>
    </w:p>
    <w:p>
      <w:pPr>
        <w:rPr>
          <w:noProof/>
          <w:sz w:val="24"/>
          <w:szCs w:val="24"/>
        </w:rPr>
      </w:pPr>
    </w:p>
    <w:p>
      <w:pPr>
        <w:pStyle w:val="Heading2"/>
        <w:numPr>
          <w:ilvl w:val="1"/>
          <w:numId w:val="1"/>
        </w:numPr>
        <w:rPr>
          <w:noProof/>
        </w:rPr>
      </w:pPr>
      <w:bookmarkStart w:id="16" w:name="_Toc524619520"/>
      <w:bookmarkStart w:id="17" w:name="_Toc524961067"/>
      <w:bookmarkStart w:id="18" w:name="_Toc525143028"/>
      <w:bookmarkStart w:id="19" w:name="_Toc525222185"/>
      <w:bookmarkStart w:id="20" w:name="_Toc525222354"/>
      <w:bookmarkStart w:id="21" w:name="_Toc526420748"/>
      <w:bookmarkStart w:id="22" w:name="_Toc526433975"/>
      <w:bookmarkStart w:id="23" w:name="_Toc526435917"/>
      <w:bookmarkStart w:id="24" w:name="_Ref526862946"/>
      <w:bookmarkStart w:id="25" w:name="_Toc530595247"/>
      <w:bookmarkStart w:id="26" w:name="_Toc531178326"/>
      <w:bookmarkStart w:id="27" w:name="_Toc468890475"/>
      <w:r>
        <w:rPr>
          <w:noProof/>
        </w:rPr>
        <w:t>Energy costs and competitiveness</w:t>
      </w:r>
      <w:bookmarkEnd w:id="16"/>
      <w:bookmarkEnd w:id="17"/>
      <w:bookmarkEnd w:id="18"/>
      <w:bookmarkEnd w:id="19"/>
      <w:bookmarkEnd w:id="20"/>
      <w:bookmarkEnd w:id="21"/>
      <w:r>
        <w:rPr>
          <w:noProof/>
        </w:rPr>
        <w:t xml:space="preserve"> at macroeconomic level</w:t>
      </w:r>
      <w:bookmarkEnd w:id="22"/>
      <w:bookmarkEnd w:id="23"/>
      <w:bookmarkEnd w:id="24"/>
      <w:bookmarkEnd w:id="25"/>
      <w:bookmarkEnd w:id="26"/>
    </w:p>
    <w:p>
      <w:pPr>
        <w:rPr>
          <w:noProof/>
        </w:rPr>
      </w:pPr>
    </w:p>
    <w:p>
      <w:pPr>
        <w:rPr>
          <w:noProof/>
          <w:sz w:val="24"/>
          <w:szCs w:val="24"/>
        </w:rPr>
      </w:pPr>
      <w:r>
        <w:rPr>
          <w:noProof/>
          <w:sz w:val="24"/>
          <w:szCs w:val="24"/>
        </w:rPr>
        <w:t xml:space="preserve">To properly asses the cost-competitiveness of the various industrial sectors it is important to know more about the international competitiveness context of the EU. Competitiveness is a complex matter which depends not only on prices and costs (cost competitiveness) but also on aspects like the quality of the products produced and the institutional background (economy stability, legal certainty, etc.). All these different factors are weighed by investors and producers when taking decisions on where (in which country) to produce or invest. </w:t>
      </w:r>
    </w:p>
    <w:p>
      <w:pPr>
        <w:rPr>
          <w:noProof/>
          <w:sz w:val="24"/>
          <w:szCs w:val="24"/>
        </w:rPr>
      </w:pPr>
      <w:r>
        <w:rPr>
          <w:noProof/>
          <w:sz w:val="24"/>
          <w:szCs w:val="24"/>
        </w:rPr>
        <w:t xml:space="preserve">This introductory section provides an overview of the competitiveness context of the EU and precedes the more detailed analyses on the sectorial competitiveness (section 6.2). In this section we first assess how the EU competitiveness is placed internationally by looking at international competitiveness indexes. Second, we assess the overall impact of energy costs in the cost competitiveness of the EU and its Member States. We do so by calculating the shares of energy costs in the total production value of the whole industry and services sectors in each Member State. </w:t>
      </w:r>
    </w:p>
    <w:p>
      <w:pPr>
        <w:rPr>
          <w:b/>
          <w:noProof/>
        </w:rPr>
      </w:pPr>
      <w:r>
        <w:rPr>
          <w:b/>
          <w:noProof/>
        </w:rPr>
        <w:t>Defining competitiveness and the factors affecting it</w:t>
      </w:r>
    </w:p>
    <w:p>
      <w:pPr>
        <w:pStyle w:val="ListParagraph"/>
        <w:spacing w:after="0"/>
        <w:ind w:left="0"/>
        <w:rPr>
          <w:noProof/>
          <w:sz w:val="24"/>
          <w:szCs w:val="24"/>
        </w:rPr>
      </w:pPr>
      <w:r>
        <w:rPr>
          <w:noProof/>
          <w:sz w:val="24"/>
          <w:szCs w:val="24"/>
        </w:rPr>
        <w:t xml:space="preserve">The competitive positions of companies, industries and economies are impacted by a set of factors that go beyond prices, costs and factor productivity. The country risk, the political stability, the regulatory environment, the presence or absence of barriers to trade and investment and taxation policy (among others) are weighing heavily on economic decisions to invest or do business in a given area of the world. </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The purpose of the current and the next section of the chapter is to position the energy-related aspects as a subset of the complex group of interdependent factors that impact competitiveness, productivity and economic decisions to invest. Seen from the macro-economic perspective, the importance of the energy compound might appear modest when compared to total production value. Yet, as energy is at the very fabric of almost all products and services used in everyday life its role is crucial for the entire economy.</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 xml:space="preserve">Several international institutes and organisations have developed methodologies combining hard statistical data and surveys of experts' opinions to measure the factors that influence the competitiveness of a given economy. </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 xml:space="preserve">The </w:t>
      </w:r>
      <w:r>
        <w:rPr>
          <w:i/>
          <w:noProof/>
          <w:sz w:val="24"/>
          <w:szCs w:val="24"/>
        </w:rPr>
        <w:t>Global Competitiveness Indicator</w:t>
      </w:r>
      <w:r>
        <w:rPr>
          <w:noProof/>
          <w:sz w:val="24"/>
          <w:szCs w:val="24"/>
        </w:rPr>
        <w:t xml:space="preserve"> of the World Economic Forum (WEF)</w:t>
      </w:r>
      <w:r>
        <w:rPr>
          <w:rStyle w:val="FootnoteReference"/>
          <w:noProof/>
          <w:sz w:val="24"/>
          <w:szCs w:val="24"/>
        </w:rPr>
        <w:t xml:space="preserve"> </w:t>
      </w:r>
      <w:r>
        <w:rPr>
          <w:rStyle w:val="FootnoteReference"/>
          <w:noProof/>
          <w:sz w:val="24"/>
          <w:szCs w:val="24"/>
        </w:rPr>
        <w:footnoteReference w:id="3"/>
      </w:r>
      <w:r>
        <w:rPr>
          <w:noProof/>
          <w:sz w:val="24"/>
          <w:szCs w:val="24"/>
        </w:rPr>
        <w:t xml:space="preserve">, the </w:t>
      </w:r>
      <w:r>
        <w:rPr>
          <w:i/>
          <w:noProof/>
          <w:sz w:val="24"/>
          <w:szCs w:val="24"/>
        </w:rPr>
        <w:t>World Competitiveness Scoreboard</w:t>
      </w:r>
      <w:r>
        <w:rPr>
          <w:noProof/>
          <w:sz w:val="24"/>
          <w:szCs w:val="24"/>
        </w:rPr>
        <w:t xml:space="preserve"> of the International Institute for Management Development (IMD)</w:t>
      </w:r>
      <w:r>
        <w:rPr>
          <w:rStyle w:val="FootnoteReference"/>
          <w:noProof/>
          <w:sz w:val="24"/>
          <w:szCs w:val="24"/>
        </w:rPr>
        <w:footnoteReference w:id="4"/>
      </w:r>
      <w:r>
        <w:rPr>
          <w:noProof/>
          <w:sz w:val="24"/>
          <w:szCs w:val="24"/>
        </w:rPr>
        <w:t xml:space="preserve"> and the </w:t>
      </w:r>
      <w:r>
        <w:rPr>
          <w:i/>
          <w:noProof/>
          <w:sz w:val="24"/>
          <w:szCs w:val="24"/>
        </w:rPr>
        <w:t>Economic Freedom of the World Index</w:t>
      </w:r>
      <w:r>
        <w:rPr>
          <w:noProof/>
          <w:sz w:val="24"/>
          <w:szCs w:val="24"/>
        </w:rPr>
        <w:t xml:space="preserve"> of Fraser Institute (FI)</w:t>
      </w:r>
      <w:r>
        <w:rPr>
          <w:rStyle w:val="FootnoteReference"/>
          <w:noProof/>
          <w:sz w:val="24"/>
          <w:szCs w:val="24"/>
        </w:rPr>
        <w:footnoteReference w:id="5"/>
      </w:r>
      <w:r>
        <w:rPr>
          <w:noProof/>
          <w:sz w:val="24"/>
          <w:szCs w:val="24"/>
        </w:rPr>
        <w:t xml:space="preserve"> are using similar bottom-up approaches to measure economic performance and assess the competitive position of a country. A wide range of parameters are first collected and quantified, to be later regrouped in main themes which will then feed into global, composite indices. A methodological note at the end of section 6.1.2 presents the structure, the parameters and the factors of competitiveness used in the global indices of WEF, IMD and FI.</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WEF defines</w:t>
      </w:r>
      <w:r>
        <w:rPr>
          <w:rStyle w:val="FootnoteReference"/>
          <w:noProof/>
          <w:sz w:val="24"/>
          <w:szCs w:val="24"/>
        </w:rPr>
        <w:footnoteReference w:id="6"/>
      </w:r>
      <w:r>
        <w:rPr>
          <w:noProof/>
          <w:sz w:val="24"/>
          <w:szCs w:val="24"/>
        </w:rPr>
        <w:t xml:space="preserve"> the competitiveness on a national level as "</w:t>
      </w:r>
      <w:r>
        <w:rPr>
          <w:i/>
          <w:noProof/>
          <w:sz w:val="24"/>
          <w:szCs w:val="24"/>
        </w:rPr>
        <w:t>the set of institutions, policies, and factors that determine the level of productivity of an economy, which in turn sets the level of prosperity that the country can earn</w:t>
      </w:r>
      <w:r>
        <w:rPr>
          <w:noProof/>
          <w:sz w:val="24"/>
          <w:szCs w:val="24"/>
        </w:rPr>
        <w:t>"</w:t>
      </w:r>
    </w:p>
    <w:p>
      <w:pPr>
        <w:rPr>
          <w:noProof/>
        </w:rPr>
      </w:pPr>
    </w:p>
    <w:p>
      <w:pPr>
        <w:pStyle w:val="Heading3"/>
        <w:numPr>
          <w:ilvl w:val="2"/>
          <w:numId w:val="1"/>
        </w:numPr>
        <w:rPr>
          <w:noProof/>
        </w:rPr>
      </w:pPr>
      <w:bookmarkStart w:id="28" w:name="_Toc526420750"/>
      <w:bookmarkStart w:id="29" w:name="_Toc526433976"/>
      <w:bookmarkStart w:id="30" w:name="_Toc526435918"/>
      <w:bookmarkStart w:id="31" w:name="_Toc530595248"/>
      <w:bookmarkStart w:id="32" w:name="_Toc531178327"/>
      <w:r>
        <w:rPr>
          <w:noProof/>
        </w:rPr>
        <w:t>Competitiveness drivers: EU vs G20</w:t>
      </w:r>
      <w:bookmarkEnd w:id="28"/>
      <w:bookmarkEnd w:id="29"/>
      <w:bookmarkEnd w:id="30"/>
      <w:bookmarkEnd w:id="31"/>
      <w:bookmarkEnd w:id="32"/>
    </w:p>
    <w:p>
      <w:pPr>
        <w:pStyle w:val="ListParagraph"/>
        <w:spacing w:after="0"/>
        <w:ind w:left="0"/>
        <w:rPr>
          <w:b/>
          <w:noProof/>
          <w:sz w:val="24"/>
          <w:szCs w:val="24"/>
        </w:rPr>
      </w:pPr>
    </w:p>
    <w:p>
      <w:pPr>
        <w:pStyle w:val="ListParagraph"/>
        <w:spacing w:after="0"/>
        <w:ind w:left="0"/>
        <w:rPr>
          <w:noProof/>
          <w:sz w:val="24"/>
          <w:szCs w:val="24"/>
        </w:rPr>
      </w:pPr>
    </w:p>
    <w:p>
      <w:pPr>
        <w:pStyle w:val="ListParagraph"/>
        <w:spacing w:after="0"/>
        <w:ind w:left="0"/>
        <w:rPr>
          <w:noProof/>
          <w:sz w:val="24"/>
          <w:szCs w:val="24"/>
        </w:rPr>
      </w:pPr>
      <w:r>
        <w:rPr>
          <w:noProof/>
          <w:sz w:val="24"/>
          <w:szCs w:val="24"/>
        </w:rPr>
        <w:t>From 2008 to 2018, the EU economy has followed a pathway that is broadly comparable to that of its main trading partners, proxied here as the non-EU group of G20 countries</w:t>
      </w:r>
      <w:r>
        <w:rPr>
          <w:rStyle w:val="FootnoteReference"/>
          <w:noProof/>
          <w:sz w:val="24"/>
          <w:szCs w:val="24"/>
        </w:rPr>
        <w:footnoteReference w:id="7"/>
      </w:r>
      <w:r>
        <w:rPr>
          <w:noProof/>
          <w:sz w:val="24"/>
          <w:szCs w:val="24"/>
        </w:rPr>
        <w:t xml:space="preserve">. Starting from 2014, the EU economy as a whole was actually improving its overall competitiveness and performance, as shown by the aggregate indices in </w:t>
      </w:r>
      <w:r>
        <w:rPr>
          <w:b/>
          <w:noProof/>
          <w:sz w:val="24"/>
        </w:rPr>
        <w:fldChar w:fldCharType="begin"/>
      </w:r>
      <w:r>
        <w:rPr>
          <w:b/>
          <w:noProof/>
          <w:sz w:val="24"/>
        </w:rPr>
        <w:instrText xml:space="preserve"> REF _Ref526418725 \h  \* MERGEFORMAT </w:instrText>
      </w:r>
      <w:r>
        <w:rPr>
          <w:b/>
          <w:noProof/>
          <w:sz w:val="24"/>
        </w:rPr>
      </w:r>
      <w:r>
        <w:rPr>
          <w:b/>
          <w:noProof/>
          <w:sz w:val="24"/>
        </w:rPr>
        <w:fldChar w:fldCharType="separate"/>
      </w:r>
      <w:r>
        <w:rPr>
          <w:b/>
          <w:noProof/>
        </w:rPr>
        <w:t>Figure 105</w:t>
      </w:r>
      <w:r>
        <w:rPr>
          <w:b/>
          <w:noProof/>
          <w:sz w:val="24"/>
        </w:rPr>
        <w:fldChar w:fldCharType="end"/>
      </w:r>
      <w:r>
        <w:rPr>
          <w:noProof/>
          <w:sz w:val="24"/>
          <w:szCs w:val="24"/>
        </w:rPr>
        <w:t>.</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The focus of this section is on general trends that are driving competitiveness; as such the use and comparison of groups of countries to track evolution is justified. It should nevertheless be pointed out that the EU and the non-EU G20 are far from being homogenous groups. They are rather composed of countries that are at undergoing different stages of their economic development. Caution should be used when general conclusions are applied to specific countries of the two groups. The charts that follow try to capture group diversity by reporting data for averages and dispersion (outliers and middle quartiles).</w:t>
      </w:r>
    </w:p>
    <w:p>
      <w:pPr>
        <w:pStyle w:val="ListParagraph"/>
        <w:spacing w:after="0"/>
        <w:ind w:left="0"/>
        <w:rPr>
          <w:noProof/>
          <w:sz w:val="24"/>
          <w:szCs w:val="24"/>
        </w:rPr>
      </w:pPr>
    </w:p>
    <w:p>
      <w:pPr>
        <w:pStyle w:val="ListParagraph"/>
        <w:spacing w:after="0"/>
        <w:ind w:left="0"/>
        <w:rPr>
          <w:noProof/>
          <w:sz w:val="24"/>
          <w:szCs w:val="24"/>
          <w:highlight w:val="green"/>
        </w:rPr>
      </w:pPr>
      <w:r>
        <w:rPr>
          <w:noProof/>
          <w:sz w:val="24"/>
          <w:szCs w:val="24"/>
          <w:highlight w:val="green"/>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723"/>
        <w:gridCol w:w="4565"/>
      </w:tblGrid>
      <w:tr>
        <w:tc>
          <w:tcPr>
            <w:tcW w:w="4723" w:type="dxa"/>
          </w:tcPr>
          <w:p>
            <w:pPr>
              <w:rPr>
                <w:noProof/>
                <w:lang w:eastAsia="en-GB"/>
              </w:rPr>
            </w:pPr>
            <w:r>
              <w:rPr>
                <w:noProof/>
                <w:lang w:eastAsia="en-GB"/>
              </w:rPr>
              <w:drawing>
                <wp:inline distT="0" distB="0" distL="0" distR="0">
                  <wp:extent cx="2864768" cy="2608610"/>
                  <wp:effectExtent l="0" t="0" r="0" b="1270"/>
                  <wp:docPr id="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2878598" cy="2621203"/>
                          </a:xfrm>
                          <a:prstGeom prst="rect">
                            <a:avLst/>
                          </a:prstGeom>
                        </pic:spPr>
                      </pic:pic>
                    </a:graphicData>
                  </a:graphic>
                </wp:inline>
              </w:drawing>
            </w:r>
          </w:p>
        </w:tc>
        <w:tc>
          <w:tcPr>
            <w:tcW w:w="4565" w:type="dxa"/>
          </w:tcPr>
          <w:p>
            <w:pPr>
              <w:rPr>
                <w:noProof/>
                <w:lang w:eastAsia="en-GB"/>
              </w:rPr>
            </w:pPr>
            <w:r>
              <w:rPr>
                <w:noProof/>
                <w:lang w:eastAsia="en-GB"/>
              </w:rPr>
              <w:drawing>
                <wp:inline distT="0" distB="0" distL="0" distR="0">
                  <wp:extent cx="2762202" cy="2510636"/>
                  <wp:effectExtent l="0" t="0" r="635" b="4445"/>
                  <wp:docPr id="1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21"/>
                          <a:stretch>
                            <a:fillRect/>
                          </a:stretch>
                        </pic:blipFill>
                        <pic:spPr>
                          <a:xfrm>
                            <a:off x="0" y="0"/>
                            <a:ext cx="2763321" cy="2511653"/>
                          </a:xfrm>
                          <a:prstGeom prst="rect">
                            <a:avLst/>
                          </a:prstGeom>
                        </pic:spPr>
                      </pic:pic>
                    </a:graphicData>
                  </a:graphic>
                </wp:inline>
              </w:drawing>
            </w:r>
          </w:p>
        </w:tc>
      </w:tr>
      <w:tr>
        <w:tc>
          <w:tcPr>
            <w:tcW w:w="4723" w:type="dxa"/>
          </w:tcPr>
          <w:p>
            <w:pPr>
              <w:rPr>
                <w:noProof/>
                <w:lang w:eastAsia="en-GB"/>
              </w:rPr>
            </w:pPr>
            <w:r>
              <w:rPr>
                <w:noProof/>
                <w:lang w:eastAsia="en-GB"/>
              </w:rPr>
              <w:drawing>
                <wp:inline distT="0" distB="0" distL="0" distR="0">
                  <wp:extent cx="2864768" cy="2611529"/>
                  <wp:effectExtent l="0" t="0" r="0" b="0"/>
                  <wp:docPr id="268"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7"/>
                          <pic:cNvPicPr>
                            <a:picLocks noChangeAspect="1"/>
                          </pic:cNvPicPr>
                        </pic:nvPicPr>
                        <pic:blipFill>
                          <a:blip r:embed="rId22"/>
                          <a:stretch>
                            <a:fillRect/>
                          </a:stretch>
                        </pic:blipFill>
                        <pic:spPr>
                          <a:xfrm>
                            <a:off x="0" y="0"/>
                            <a:ext cx="2869180" cy="2615551"/>
                          </a:xfrm>
                          <a:prstGeom prst="rect">
                            <a:avLst/>
                          </a:prstGeom>
                        </pic:spPr>
                      </pic:pic>
                    </a:graphicData>
                  </a:graphic>
                </wp:inline>
              </w:drawing>
            </w:r>
          </w:p>
        </w:tc>
        <w:tc>
          <w:tcPr>
            <w:tcW w:w="4565" w:type="dxa"/>
          </w:tcPr>
          <w:p>
            <w:pPr>
              <w:rPr>
                <w:noProof/>
                <w:lang w:eastAsia="en-GB"/>
              </w:rPr>
            </w:pPr>
            <w:r>
              <w:rPr>
                <w:noProof/>
                <w:lang w:eastAsia="en-GB"/>
              </w:rPr>
              <w:drawing>
                <wp:inline distT="0" distB="0" distL="0" distR="0">
                  <wp:extent cx="2763114" cy="2527300"/>
                  <wp:effectExtent l="0" t="0" r="0" b="6350"/>
                  <wp:docPr id="15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2"/>
                          <pic:cNvPicPr>
                            <a:picLocks noChangeAspect="1"/>
                          </pic:cNvPicPr>
                        </pic:nvPicPr>
                        <pic:blipFill>
                          <a:blip r:embed="rId23"/>
                          <a:stretch>
                            <a:fillRect/>
                          </a:stretch>
                        </pic:blipFill>
                        <pic:spPr>
                          <a:xfrm>
                            <a:off x="0" y="0"/>
                            <a:ext cx="2764479" cy="2528548"/>
                          </a:xfrm>
                          <a:prstGeom prst="rect">
                            <a:avLst/>
                          </a:prstGeom>
                        </pic:spPr>
                      </pic:pic>
                    </a:graphicData>
                  </a:graphic>
                </wp:inline>
              </w:drawing>
            </w:r>
          </w:p>
        </w:tc>
      </w:tr>
      <w:tr>
        <w:tc>
          <w:tcPr>
            <w:tcW w:w="4723" w:type="dxa"/>
          </w:tcPr>
          <w:p>
            <w:pPr>
              <w:rPr>
                <w:noProof/>
                <w:lang w:eastAsia="en-GB"/>
              </w:rPr>
            </w:pPr>
            <w:r>
              <w:rPr>
                <w:noProof/>
                <w:lang w:eastAsia="en-GB"/>
              </w:rPr>
              <w:drawing>
                <wp:inline distT="0" distB="0" distL="0" distR="0">
                  <wp:extent cx="2759809" cy="2504364"/>
                  <wp:effectExtent l="0" t="0" r="254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2759838" cy="2504390"/>
                          </a:xfrm>
                          <a:prstGeom prst="rect">
                            <a:avLst/>
                          </a:prstGeom>
                        </pic:spPr>
                      </pic:pic>
                    </a:graphicData>
                  </a:graphic>
                </wp:inline>
              </w:drawing>
            </w:r>
          </w:p>
        </w:tc>
        <w:tc>
          <w:tcPr>
            <w:tcW w:w="4565" w:type="dxa"/>
          </w:tcPr>
          <w:p>
            <w:pPr>
              <w:rPr>
                <w:noProof/>
                <w:lang w:eastAsia="en-GB"/>
              </w:rPr>
            </w:pPr>
            <w:r>
              <w:rPr>
                <w:noProof/>
                <w:lang w:eastAsia="en-GB"/>
              </w:rPr>
              <w:drawing>
                <wp:inline distT="0" distB="0" distL="0" distR="0">
                  <wp:extent cx="2763671" cy="2517005"/>
                  <wp:effectExtent l="0" t="0" r="0" b="0"/>
                  <wp:docPr id="1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5"/>
                          <a:stretch>
                            <a:fillRect/>
                          </a:stretch>
                        </pic:blipFill>
                        <pic:spPr>
                          <a:xfrm>
                            <a:off x="0" y="0"/>
                            <a:ext cx="2768129" cy="2521065"/>
                          </a:xfrm>
                          <a:prstGeom prst="rect">
                            <a:avLst/>
                          </a:prstGeom>
                        </pic:spPr>
                      </pic:pic>
                    </a:graphicData>
                  </a:graphic>
                </wp:inline>
              </w:drawing>
            </w:r>
          </w:p>
        </w:tc>
      </w:tr>
    </w:tbl>
    <w:p>
      <w:pPr>
        <w:pStyle w:val="ListParagraph"/>
        <w:spacing w:after="0"/>
        <w:ind w:left="0"/>
        <w:rPr>
          <w:noProof/>
          <w:sz w:val="24"/>
          <w:szCs w:val="24"/>
        </w:rPr>
      </w:pPr>
    </w:p>
    <w:p>
      <w:pPr>
        <w:pStyle w:val="Caption"/>
        <w:rPr>
          <w:sz w:val="24"/>
          <w:szCs w:val="24"/>
        </w:rPr>
      </w:pPr>
      <w:bookmarkStart w:id="33" w:name="_Ref526418725"/>
      <w:bookmarkStart w:id="34" w:name="_Toc526433467"/>
      <w:bookmarkStart w:id="35" w:name="_Toc526433745"/>
      <w:bookmarkStart w:id="36" w:name="_Toc526435687"/>
      <w:bookmarkStart w:id="37" w:name="_Toc530739773"/>
      <w:bookmarkStart w:id="38" w:name="_Toc531178496"/>
      <w:r>
        <w:t xml:space="preserve">Figure </w:t>
      </w:r>
      <w:r>
        <w:fldChar w:fldCharType="begin"/>
      </w:r>
      <w:r>
        <w:instrText xml:space="preserve"> SEQ Figure \* ARABIC </w:instrText>
      </w:r>
      <w:r>
        <w:fldChar w:fldCharType="separate"/>
      </w:r>
      <w:r>
        <w:t>105</w:t>
      </w:r>
      <w:r>
        <w:fldChar w:fldCharType="end"/>
      </w:r>
      <w:bookmarkEnd w:id="33"/>
      <w:r>
        <w:t xml:space="preserve"> - Overall competitiveness in EU and non-EU G20</w:t>
      </w:r>
      <w:bookmarkEnd w:id="34"/>
      <w:bookmarkEnd w:id="35"/>
      <w:bookmarkEnd w:id="36"/>
      <w:bookmarkEnd w:id="37"/>
      <w:bookmarkEnd w:id="38"/>
    </w:p>
    <w:p>
      <w:pPr>
        <w:pStyle w:val="ListParagraph"/>
        <w:spacing w:after="0"/>
        <w:ind w:left="0"/>
        <w:rPr>
          <w:noProof/>
          <w:sz w:val="24"/>
          <w:szCs w:val="24"/>
        </w:rPr>
      </w:pPr>
      <w:r>
        <w:rPr>
          <w:noProof/>
          <w:sz w:val="24"/>
          <w:szCs w:val="24"/>
        </w:rPr>
        <w:t xml:space="preserve">This finding on gradual improvement of competitiveness of the EU holds when the economic performance of the two groups is measured by </w:t>
      </w:r>
      <w:r>
        <w:rPr>
          <w:b/>
          <w:noProof/>
          <w:sz w:val="24"/>
          <w:szCs w:val="24"/>
          <w:u w:val="single"/>
        </w:rPr>
        <w:t>actual score</w:t>
      </w:r>
      <w:r>
        <w:rPr>
          <w:noProof/>
          <w:sz w:val="24"/>
          <w:szCs w:val="24"/>
        </w:rPr>
        <w:t xml:space="preserve"> or by the </w:t>
      </w:r>
      <w:r>
        <w:rPr>
          <w:b/>
          <w:noProof/>
          <w:sz w:val="24"/>
          <w:szCs w:val="24"/>
          <w:u w:val="single"/>
        </w:rPr>
        <w:t>ranking position</w:t>
      </w:r>
      <w:r>
        <w:rPr>
          <w:noProof/>
          <w:sz w:val="24"/>
          <w:szCs w:val="24"/>
        </w:rPr>
        <w:t xml:space="preserve"> of the countries that are being analysed. </w:t>
      </w:r>
    </w:p>
    <w:p>
      <w:pPr>
        <w:pStyle w:val="ListParagraph"/>
        <w:spacing w:after="0"/>
        <w:ind w:left="0"/>
        <w:rPr>
          <w:noProof/>
          <w:sz w:val="24"/>
          <w:szCs w:val="24"/>
        </w:rPr>
      </w:pPr>
    </w:p>
    <w:p>
      <w:pPr>
        <w:pStyle w:val="ListParagraph"/>
        <w:spacing w:after="0"/>
        <w:ind w:left="0"/>
        <w:rPr>
          <w:noProof/>
          <w:sz w:val="24"/>
          <w:szCs w:val="24"/>
        </w:rPr>
      </w:pPr>
      <w:r>
        <w:rPr>
          <w:b/>
          <w:noProof/>
          <w:sz w:val="24"/>
        </w:rPr>
        <w:fldChar w:fldCharType="begin"/>
      </w:r>
      <w:r>
        <w:rPr>
          <w:b/>
          <w:noProof/>
          <w:sz w:val="24"/>
        </w:rPr>
        <w:instrText xml:space="preserve"> REF _Ref526418889 \h  \* MERGEFORMAT </w:instrText>
      </w:r>
      <w:r>
        <w:rPr>
          <w:b/>
          <w:noProof/>
          <w:sz w:val="24"/>
        </w:rPr>
      </w:r>
      <w:r>
        <w:rPr>
          <w:b/>
          <w:noProof/>
          <w:sz w:val="24"/>
        </w:rPr>
        <w:fldChar w:fldCharType="separate"/>
      </w:r>
      <w:r>
        <w:rPr>
          <w:b/>
          <w:noProof/>
        </w:rPr>
        <w:t>Figure 106</w:t>
      </w:r>
      <w:r>
        <w:rPr>
          <w:b/>
          <w:noProof/>
          <w:sz w:val="24"/>
        </w:rPr>
        <w:fldChar w:fldCharType="end"/>
      </w:r>
      <w:r>
        <w:rPr>
          <w:noProof/>
          <w:sz w:val="24"/>
        </w:rPr>
        <w:t xml:space="preserve"> and </w:t>
      </w:r>
      <w:r>
        <w:rPr>
          <w:b/>
          <w:noProof/>
          <w:sz w:val="24"/>
        </w:rPr>
        <w:fldChar w:fldCharType="begin"/>
      </w:r>
      <w:r>
        <w:rPr>
          <w:b/>
          <w:noProof/>
          <w:sz w:val="24"/>
        </w:rPr>
        <w:instrText xml:space="preserve"> REF _Ref526418895 \h  \* MERGEFORMAT </w:instrText>
      </w:r>
      <w:r>
        <w:rPr>
          <w:b/>
          <w:noProof/>
          <w:sz w:val="24"/>
        </w:rPr>
      </w:r>
      <w:r>
        <w:rPr>
          <w:b/>
          <w:noProof/>
          <w:sz w:val="24"/>
        </w:rPr>
        <w:fldChar w:fldCharType="separate"/>
      </w:r>
      <w:r>
        <w:rPr>
          <w:b/>
          <w:noProof/>
        </w:rPr>
        <w:t>Figure 107</w:t>
      </w:r>
      <w:r>
        <w:rPr>
          <w:b/>
          <w:noProof/>
          <w:sz w:val="24"/>
        </w:rPr>
        <w:fldChar w:fldCharType="end"/>
      </w:r>
      <w:r>
        <w:rPr>
          <w:noProof/>
          <w:sz w:val="24"/>
          <w:szCs w:val="24"/>
        </w:rPr>
        <w:t xml:space="preserve"> report on a set of components and factors of competitiveness where EU Member States and the non-EU G20 countries show a relative divergence in terms of performance. Those factors could also explain possible differences of the level of macroeconomic competitiveness of the two groups of countries.</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 xml:space="preserve">The indices of WEF, IMD and FI produce similar results indicating that the EU group seems to enjoy a clear competitive advantage over the non-EU G20 group in the following areas: </w:t>
      </w:r>
      <w:r>
        <w:rPr>
          <w:b/>
          <w:noProof/>
          <w:sz w:val="24"/>
          <w:szCs w:val="24"/>
        </w:rPr>
        <w:t>international trade</w:t>
      </w:r>
      <w:r>
        <w:rPr>
          <w:rStyle w:val="FootnoteReference"/>
          <w:b/>
          <w:noProof/>
          <w:sz w:val="24"/>
          <w:szCs w:val="24"/>
        </w:rPr>
        <w:footnoteReference w:id="8"/>
      </w:r>
      <w:r>
        <w:rPr>
          <w:b/>
          <w:noProof/>
          <w:sz w:val="24"/>
          <w:szCs w:val="24"/>
        </w:rPr>
        <w:t>; freedom to trade internationally</w:t>
      </w:r>
      <w:r>
        <w:rPr>
          <w:rStyle w:val="FootnoteReference"/>
          <w:b/>
          <w:noProof/>
          <w:sz w:val="24"/>
          <w:szCs w:val="24"/>
        </w:rPr>
        <w:footnoteReference w:id="9"/>
      </w:r>
      <w:r>
        <w:rPr>
          <w:b/>
          <w:noProof/>
          <w:sz w:val="24"/>
          <w:szCs w:val="24"/>
        </w:rPr>
        <w:t>; prices</w:t>
      </w:r>
      <w:r>
        <w:rPr>
          <w:rStyle w:val="FootnoteReference"/>
          <w:b/>
          <w:noProof/>
          <w:sz w:val="24"/>
          <w:szCs w:val="24"/>
        </w:rPr>
        <w:footnoteReference w:id="10"/>
      </w:r>
      <w:r>
        <w:rPr>
          <w:b/>
          <w:noProof/>
          <w:sz w:val="24"/>
          <w:szCs w:val="24"/>
        </w:rPr>
        <w:t>; public finance</w:t>
      </w:r>
      <w:r>
        <w:rPr>
          <w:rStyle w:val="FootnoteReference"/>
          <w:b/>
          <w:noProof/>
          <w:sz w:val="24"/>
          <w:szCs w:val="24"/>
        </w:rPr>
        <w:footnoteReference w:id="11"/>
      </w:r>
      <w:r>
        <w:rPr>
          <w:b/>
          <w:noProof/>
          <w:sz w:val="24"/>
          <w:szCs w:val="24"/>
        </w:rPr>
        <w:t>; institutional framework</w:t>
      </w:r>
      <w:r>
        <w:rPr>
          <w:rStyle w:val="FootnoteReference"/>
          <w:b/>
          <w:noProof/>
          <w:sz w:val="24"/>
          <w:szCs w:val="24"/>
        </w:rPr>
        <w:footnoteReference w:id="12"/>
      </w:r>
      <w:r>
        <w:rPr>
          <w:b/>
          <w:noProof/>
          <w:sz w:val="24"/>
          <w:szCs w:val="24"/>
        </w:rPr>
        <w:t>; sound money</w:t>
      </w:r>
      <w:r>
        <w:rPr>
          <w:rStyle w:val="FootnoteReference"/>
          <w:b/>
          <w:noProof/>
          <w:sz w:val="24"/>
          <w:szCs w:val="24"/>
        </w:rPr>
        <w:footnoteReference w:id="13"/>
      </w:r>
      <w:r>
        <w:rPr>
          <w:b/>
          <w:noProof/>
          <w:sz w:val="24"/>
          <w:szCs w:val="24"/>
        </w:rPr>
        <w:t>; business legislation</w:t>
      </w:r>
      <w:r>
        <w:rPr>
          <w:rStyle w:val="FootnoteReference"/>
          <w:b/>
          <w:noProof/>
          <w:sz w:val="24"/>
          <w:szCs w:val="24"/>
        </w:rPr>
        <w:footnoteReference w:id="14"/>
      </w:r>
      <w:r>
        <w:rPr>
          <w:b/>
          <w:noProof/>
          <w:sz w:val="24"/>
          <w:szCs w:val="24"/>
        </w:rPr>
        <w:t>; infrastructure – including electricity supply; security; health and primary education and ICT use</w:t>
      </w:r>
      <w:r>
        <w:rPr>
          <w:noProof/>
          <w:sz w:val="24"/>
          <w:szCs w:val="24"/>
        </w:rPr>
        <w:t xml:space="preserve">. On the other hand, the relatively </w:t>
      </w:r>
      <w:r>
        <w:rPr>
          <w:b/>
          <w:noProof/>
          <w:sz w:val="24"/>
          <w:szCs w:val="24"/>
        </w:rPr>
        <w:t>small size of EU economies</w:t>
      </w:r>
      <w:r>
        <w:rPr>
          <w:noProof/>
          <w:sz w:val="24"/>
          <w:szCs w:val="24"/>
        </w:rPr>
        <w:t xml:space="preserve"> (taken separately), </w:t>
      </w:r>
      <w:r>
        <w:rPr>
          <w:b/>
          <w:noProof/>
          <w:sz w:val="24"/>
          <w:szCs w:val="24"/>
        </w:rPr>
        <w:t>the employment and flexibility of the labour market and fiscal policies</w:t>
      </w:r>
      <w:r>
        <w:rPr>
          <w:noProof/>
          <w:sz w:val="24"/>
          <w:szCs w:val="24"/>
        </w:rPr>
        <w:t xml:space="preserve"> seem to be pushing down the economic performance of the EU group compared to the group of non-EU G20 countries.</w:t>
      </w:r>
      <w:r>
        <w:rPr>
          <w:noProof/>
          <w:sz w:val="24"/>
          <w:szCs w:val="24"/>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44"/>
        <w:gridCol w:w="4644"/>
      </w:tblGrid>
      <w:tr>
        <w:tc>
          <w:tcPr>
            <w:tcW w:w="4644" w:type="dxa"/>
          </w:tcPr>
          <w:p>
            <w:pPr>
              <w:rPr>
                <w:noProof/>
                <w:lang w:eastAsia="en-GB"/>
              </w:rPr>
            </w:pPr>
            <w:r>
              <w:rPr>
                <w:noProof/>
                <w:lang w:eastAsia="en-GB"/>
              </w:rPr>
              <w:drawing>
                <wp:inline distT="0" distB="0" distL="0" distR="0">
                  <wp:extent cx="2177143" cy="1983179"/>
                  <wp:effectExtent l="0" t="0" r="0" b="0"/>
                  <wp:docPr id="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2177592" cy="1983588"/>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155372" cy="1963348"/>
                  <wp:effectExtent l="0" t="0" r="0" b="0"/>
                  <wp:docPr id="2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7"/>
                          <a:stretch>
                            <a:fillRect/>
                          </a:stretch>
                        </pic:blipFill>
                        <pic:spPr>
                          <a:xfrm>
                            <a:off x="0" y="0"/>
                            <a:ext cx="2156048" cy="1963964"/>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200140" cy="1999397"/>
                  <wp:effectExtent l="0" t="0" r="0" b="1270"/>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a:stretch>
                            <a:fillRect/>
                          </a:stretch>
                        </pic:blipFill>
                        <pic:spPr>
                          <a:xfrm>
                            <a:off x="0" y="0"/>
                            <a:ext cx="2205920" cy="2004650"/>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211759" cy="1999397"/>
                  <wp:effectExtent l="0" t="0" r="0" b="1270"/>
                  <wp:docPr id="2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9"/>
                          <a:stretch>
                            <a:fillRect/>
                          </a:stretch>
                        </pic:blipFill>
                        <pic:spPr>
                          <a:xfrm>
                            <a:off x="0" y="0"/>
                            <a:ext cx="2213799" cy="2001241"/>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185059" cy="1997995"/>
                  <wp:effectExtent l="0" t="0" r="5715" b="2540"/>
                  <wp:docPr id="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stretch>
                            <a:fillRect/>
                          </a:stretch>
                        </pic:blipFill>
                        <pic:spPr>
                          <a:xfrm>
                            <a:off x="0" y="0"/>
                            <a:ext cx="2187275" cy="2000021"/>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143092" cy="1947554"/>
                  <wp:effectExtent l="0" t="0" r="0" b="0"/>
                  <wp:docPr id="2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31"/>
                          <a:stretch>
                            <a:fillRect/>
                          </a:stretch>
                        </pic:blipFill>
                        <pic:spPr>
                          <a:xfrm>
                            <a:off x="0" y="0"/>
                            <a:ext cx="2143027" cy="1947495"/>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214748" cy="2016714"/>
                  <wp:effectExtent l="0" t="0" r="0" b="3175"/>
                  <wp:docPr id="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2"/>
                          <a:stretch>
                            <a:fillRect/>
                          </a:stretch>
                        </pic:blipFill>
                        <pic:spPr>
                          <a:xfrm>
                            <a:off x="0" y="0"/>
                            <a:ext cx="2215798" cy="2017670"/>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217170" cy="2008306"/>
                  <wp:effectExtent l="0" t="0" r="0" b="0"/>
                  <wp:docPr id="2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33"/>
                          <a:stretch>
                            <a:fillRect/>
                          </a:stretch>
                        </pic:blipFill>
                        <pic:spPr>
                          <a:xfrm>
                            <a:off x="0" y="0"/>
                            <a:ext cx="2217123" cy="2008264"/>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214748" cy="2016712"/>
                  <wp:effectExtent l="0" t="0" r="0" b="3175"/>
                  <wp:docPr id="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4"/>
                          <a:stretch>
                            <a:fillRect/>
                          </a:stretch>
                        </pic:blipFill>
                        <pic:spPr>
                          <a:xfrm>
                            <a:off x="0" y="0"/>
                            <a:ext cx="2215797" cy="2017667"/>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213352" cy="2012868"/>
                  <wp:effectExtent l="0" t="0" r="0" b="6985"/>
                  <wp:docPr id="2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35"/>
                          <a:stretch>
                            <a:fillRect/>
                          </a:stretch>
                        </pic:blipFill>
                        <pic:spPr>
                          <a:xfrm>
                            <a:off x="0" y="0"/>
                            <a:ext cx="2214859" cy="2014238"/>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194054" cy="2006221"/>
                  <wp:effectExtent l="0" t="0" r="0" b="0"/>
                  <wp:docPr id="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6"/>
                          <a:stretch>
                            <a:fillRect/>
                          </a:stretch>
                        </pic:blipFill>
                        <pic:spPr>
                          <a:xfrm>
                            <a:off x="0" y="0"/>
                            <a:ext cx="2194675" cy="2006789"/>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215286" cy="2006221"/>
                  <wp:effectExtent l="0" t="0" r="0" b="0"/>
                  <wp:docPr id="2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7"/>
                          <a:stretch>
                            <a:fillRect/>
                          </a:stretch>
                        </pic:blipFill>
                        <pic:spPr>
                          <a:xfrm>
                            <a:off x="0" y="0"/>
                            <a:ext cx="2216667" cy="2007471"/>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251263" cy="2054431"/>
                  <wp:effectExtent l="0" t="0" r="0" b="3175"/>
                  <wp:docPr id="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8"/>
                          <a:stretch>
                            <a:fillRect/>
                          </a:stretch>
                        </pic:blipFill>
                        <pic:spPr>
                          <a:xfrm>
                            <a:off x="0" y="0"/>
                            <a:ext cx="2252740" cy="2055779"/>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262250" cy="2060337"/>
                  <wp:effectExtent l="0" t="0" r="5080" b="0"/>
                  <wp:docPr id="2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39"/>
                          <a:stretch>
                            <a:fillRect/>
                          </a:stretch>
                        </pic:blipFill>
                        <pic:spPr>
                          <a:xfrm>
                            <a:off x="0" y="0"/>
                            <a:ext cx="2267235" cy="2064877"/>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250374" cy="2071177"/>
                  <wp:effectExtent l="0" t="0" r="0" b="5715"/>
                  <wp:docPr id="27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5"/>
                          <pic:cNvPicPr>
                            <a:picLocks noChangeAspect="1"/>
                          </pic:cNvPicPr>
                        </pic:nvPicPr>
                        <pic:blipFill>
                          <a:blip r:embed="rId40"/>
                          <a:stretch>
                            <a:fillRect/>
                          </a:stretch>
                        </pic:blipFill>
                        <pic:spPr>
                          <a:xfrm>
                            <a:off x="0" y="0"/>
                            <a:ext cx="2250857" cy="2071622"/>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262250" cy="2057352"/>
                  <wp:effectExtent l="0" t="0" r="5080" b="635"/>
                  <wp:docPr id="321"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0"/>
                          <pic:cNvPicPr>
                            <a:picLocks noChangeAspect="1"/>
                          </pic:cNvPicPr>
                        </pic:nvPicPr>
                        <pic:blipFill>
                          <a:blip r:embed="rId41"/>
                          <a:stretch>
                            <a:fillRect/>
                          </a:stretch>
                        </pic:blipFill>
                        <pic:spPr>
                          <a:xfrm>
                            <a:off x="0" y="0"/>
                            <a:ext cx="2269562" cy="2064002"/>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245734" cy="2054431"/>
                  <wp:effectExtent l="0" t="0" r="2540" b="3175"/>
                  <wp:docPr id="284"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3"/>
                          <pic:cNvPicPr>
                            <a:picLocks noChangeAspect="1"/>
                          </pic:cNvPicPr>
                        </pic:nvPicPr>
                        <pic:blipFill>
                          <a:blip r:embed="rId42"/>
                          <a:stretch>
                            <a:fillRect/>
                          </a:stretch>
                        </pic:blipFill>
                        <pic:spPr>
                          <a:xfrm>
                            <a:off x="0" y="0"/>
                            <a:ext cx="2246753" cy="2055363"/>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250686" cy="2054431"/>
                  <wp:effectExtent l="0" t="0" r="0" b="3175"/>
                  <wp:docPr id="32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8"/>
                          <pic:cNvPicPr>
                            <a:picLocks noChangeAspect="1"/>
                          </pic:cNvPicPr>
                        </pic:nvPicPr>
                        <pic:blipFill>
                          <a:blip r:embed="rId43"/>
                          <a:stretch>
                            <a:fillRect/>
                          </a:stretch>
                        </pic:blipFill>
                        <pic:spPr>
                          <a:xfrm>
                            <a:off x="0" y="0"/>
                            <a:ext cx="2252086" cy="2055709"/>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241197" cy="2054431"/>
                  <wp:effectExtent l="0" t="0" r="6985" b="3175"/>
                  <wp:docPr id="28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1"/>
                          <pic:cNvPicPr>
                            <a:picLocks noChangeAspect="1"/>
                          </pic:cNvPicPr>
                        </pic:nvPicPr>
                        <pic:blipFill>
                          <a:blip r:embed="rId44"/>
                          <a:stretch>
                            <a:fillRect/>
                          </a:stretch>
                        </pic:blipFill>
                        <pic:spPr>
                          <a:xfrm>
                            <a:off x="0" y="0"/>
                            <a:ext cx="2241564" cy="2054768"/>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250374" cy="2063189"/>
                  <wp:effectExtent l="0" t="0" r="0" b="0"/>
                  <wp:docPr id="327"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6"/>
                          <pic:cNvPicPr>
                            <a:picLocks noChangeAspect="1"/>
                          </pic:cNvPicPr>
                        </pic:nvPicPr>
                        <pic:blipFill>
                          <a:blip r:embed="rId45"/>
                          <a:stretch>
                            <a:fillRect/>
                          </a:stretch>
                        </pic:blipFill>
                        <pic:spPr>
                          <a:xfrm>
                            <a:off x="0" y="0"/>
                            <a:ext cx="2249715" cy="2062585"/>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143496" cy="1972494"/>
                  <wp:effectExtent l="0" t="0" r="9525" b="8890"/>
                  <wp:docPr id="264"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5"/>
                          <pic:cNvPicPr>
                            <a:picLocks noChangeAspect="1"/>
                          </pic:cNvPicPr>
                        </pic:nvPicPr>
                        <pic:blipFill>
                          <a:blip r:embed="rId46"/>
                          <a:stretch>
                            <a:fillRect/>
                          </a:stretch>
                        </pic:blipFill>
                        <pic:spPr>
                          <a:xfrm>
                            <a:off x="0" y="0"/>
                            <a:ext cx="2146764" cy="1975501"/>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113808" cy="1937003"/>
                  <wp:effectExtent l="0" t="0" r="1270" b="6350"/>
                  <wp:docPr id="350"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49"/>
                          <pic:cNvPicPr>
                            <a:picLocks noChangeAspect="1"/>
                          </pic:cNvPicPr>
                        </pic:nvPicPr>
                        <pic:blipFill>
                          <a:blip r:embed="rId47"/>
                          <a:stretch>
                            <a:fillRect/>
                          </a:stretch>
                        </pic:blipFill>
                        <pic:spPr>
                          <a:xfrm>
                            <a:off x="0" y="0"/>
                            <a:ext cx="2119032" cy="1941790"/>
                          </a:xfrm>
                          <a:prstGeom prst="rect">
                            <a:avLst/>
                          </a:prstGeom>
                        </pic:spPr>
                      </pic:pic>
                    </a:graphicData>
                  </a:graphic>
                </wp:inline>
              </w:drawing>
            </w:r>
          </w:p>
        </w:tc>
      </w:tr>
    </w:tbl>
    <w:p>
      <w:pPr>
        <w:pStyle w:val="Caption"/>
        <w:rPr>
          <w:sz w:val="24"/>
          <w:szCs w:val="24"/>
        </w:rPr>
      </w:pPr>
      <w:bookmarkStart w:id="39" w:name="_Ref526418889"/>
      <w:bookmarkStart w:id="40" w:name="_Toc526433468"/>
      <w:bookmarkStart w:id="41" w:name="_Toc526433746"/>
      <w:bookmarkStart w:id="42" w:name="_Toc526435688"/>
      <w:bookmarkStart w:id="43" w:name="_Toc530739774"/>
      <w:bookmarkStart w:id="44" w:name="_Toc531178497"/>
      <w:r>
        <w:t xml:space="preserve">Figure </w:t>
      </w:r>
      <w:r>
        <w:fldChar w:fldCharType="begin"/>
      </w:r>
      <w:r>
        <w:instrText xml:space="preserve"> SEQ Figure \* ARABIC </w:instrText>
      </w:r>
      <w:r>
        <w:fldChar w:fldCharType="separate"/>
      </w:r>
      <w:r>
        <w:t>106</w:t>
      </w:r>
      <w:r>
        <w:fldChar w:fldCharType="end"/>
      </w:r>
      <w:bookmarkEnd w:id="39"/>
      <w:r>
        <w:t xml:space="preserve"> - Results for selected favourable factors of competitiveness</w:t>
      </w:r>
      <w:bookmarkEnd w:id="40"/>
      <w:bookmarkEnd w:id="41"/>
      <w:bookmarkEnd w:id="42"/>
      <w:bookmarkEnd w:id="43"/>
      <w:bookmarkEnd w:id="44"/>
    </w:p>
    <w:p>
      <w:pPr>
        <w:rPr>
          <w:noProof/>
          <w:sz w:val="24"/>
          <w:szCs w:val="24"/>
        </w:rPr>
      </w:pPr>
      <w:r>
        <w:rPr>
          <w:noProof/>
          <w:sz w:val="24"/>
          <w:szCs w:val="24"/>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44"/>
        <w:gridCol w:w="4644"/>
      </w:tblGrid>
      <w:tr>
        <w:tc>
          <w:tcPr>
            <w:tcW w:w="4644" w:type="dxa"/>
          </w:tcPr>
          <w:p>
            <w:pPr>
              <w:rPr>
                <w:noProof/>
                <w:lang w:eastAsia="en-GB"/>
              </w:rPr>
            </w:pPr>
            <w:r>
              <w:rPr>
                <w:noProof/>
                <w:lang w:eastAsia="en-GB"/>
              </w:rPr>
              <w:drawing>
                <wp:inline distT="0" distB="0" distL="0" distR="0">
                  <wp:extent cx="2088600" cy="1905990"/>
                  <wp:effectExtent l="0" t="0" r="6985" b="0"/>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8"/>
                          <a:stretch>
                            <a:fillRect/>
                          </a:stretch>
                        </pic:blipFill>
                        <pic:spPr>
                          <a:xfrm>
                            <a:off x="0" y="0"/>
                            <a:ext cx="2089971" cy="1907241"/>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101933" cy="1910501"/>
                  <wp:effectExtent l="0" t="0" r="0" b="0"/>
                  <wp:docPr id="2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49"/>
                          <a:stretch>
                            <a:fillRect/>
                          </a:stretch>
                        </pic:blipFill>
                        <pic:spPr>
                          <a:xfrm>
                            <a:off x="0" y="0"/>
                            <a:ext cx="2105604" cy="1913838"/>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090057" cy="1907319"/>
                  <wp:effectExtent l="0" t="0" r="5715" b="0"/>
                  <wp:docPr id="2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50"/>
                          <a:stretch>
                            <a:fillRect/>
                          </a:stretch>
                        </pic:blipFill>
                        <pic:spPr>
                          <a:xfrm>
                            <a:off x="0" y="0"/>
                            <a:ext cx="2095123" cy="1911942"/>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101933" cy="1914327"/>
                  <wp:effectExtent l="0" t="0" r="0" b="0"/>
                  <wp:docPr id="2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51"/>
                          <a:stretch>
                            <a:fillRect/>
                          </a:stretch>
                        </pic:blipFill>
                        <pic:spPr>
                          <a:xfrm>
                            <a:off x="0" y="0"/>
                            <a:ext cx="2106314" cy="1918317"/>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116184" cy="1923803"/>
                  <wp:effectExtent l="0" t="0" r="0" b="635"/>
                  <wp:docPr id="2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2"/>
                          <a:stretch>
                            <a:fillRect/>
                          </a:stretch>
                        </pic:blipFill>
                        <pic:spPr>
                          <a:xfrm>
                            <a:off x="0" y="0"/>
                            <a:ext cx="2116620" cy="1924199"/>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119746" cy="1923187"/>
                  <wp:effectExtent l="0" t="0" r="0" b="1270"/>
                  <wp:docPr id="2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53"/>
                          <a:stretch>
                            <a:fillRect/>
                          </a:stretch>
                        </pic:blipFill>
                        <pic:spPr>
                          <a:xfrm>
                            <a:off x="0" y="0"/>
                            <a:ext cx="2121734" cy="1924991"/>
                          </a:xfrm>
                          <a:prstGeom prst="rect">
                            <a:avLst/>
                          </a:prstGeom>
                        </pic:spPr>
                      </pic:pic>
                    </a:graphicData>
                  </a:graphic>
                </wp:inline>
              </w:drawing>
            </w:r>
          </w:p>
        </w:tc>
      </w:tr>
      <w:tr>
        <w:tc>
          <w:tcPr>
            <w:tcW w:w="4644" w:type="dxa"/>
          </w:tcPr>
          <w:p>
            <w:pPr>
              <w:rPr>
                <w:noProof/>
                <w:lang w:eastAsia="en-GB"/>
              </w:rPr>
            </w:pPr>
            <w:r>
              <w:rPr>
                <w:noProof/>
                <w:lang w:eastAsia="en-GB"/>
              </w:rPr>
              <w:drawing>
                <wp:inline distT="0" distB="0" distL="0" distR="0">
                  <wp:extent cx="2113807" cy="1923407"/>
                  <wp:effectExtent l="0" t="0" r="1270" b="1270"/>
                  <wp:docPr id="272"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7"/>
                          <pic:cNvPicPr>
                            <a:picLocks noChangeAspect="1"/>
                          </pic:cNvPicPr>
                        </pic:nvPicPr>
                        <pic:blipFill>
                          <a:blip r:embed="rId54"/>
                          <a:stretch>
                            <a:fillRect/>
                          </a:stretch>
                        </pic:blipFill>
                        <pic:spPr>
                          <a:xfrm>
                            <a:off x="0" y="0"/>
                            <a:ext cx="2113709" cy="1923318"/>
                          </a:xfrm>
                          <a:prstGeom prst="rect">
                            <a:avLst/>
                          </a:prstGeom>
                        </pic:spPr>
                      </pic:pic>
                    </a:graphicData>
                  </a:graphic>
                </wp:inline>
              </w:drawing>
            </w:r>
          </w:p>
        </w:tc>
        <w:tc>
          <w:tcPr>
            <w:tcW w:w="4644" w:type="dxa"/>
          </w:tcPr>
          <w:p>
            <w:pPr>
              <w:rPr>
                <w:noProof/>
                <w:lang w:eastAsia="en-GB"/>
              </w:rPr>
            </w:pPr>
            <w:r>
              <w:rPr>
                <w:noProof/>
                <w:lang w:eastAsia="en-GB"/>
              </w:rPr>
              <w:drawing>
                <wp:inline distT="0" distB="0" distL="0" distR="0">
                  <wp:extent cx="2119746" cy="1946385"/>
                  <wp:effectExtent l="0" t="0" r="0" b="0"/>
                  <wp:docPr id="352"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1"/>
                          <pic:cNvPicPr>
                            <a:picLocks noChangeAspect="1"/>
                          </pic:cNvPicPr>
                        </pic:nvPicPr>
                        <pic:blipFill>
                          <a:blip r:embed="rId55"/>
                          <a:stretch>
                            <a:fillRect/>
                          </a:stretch>
                        </pic:blipFill>
                        <pic:spPr>
                          <a:xfrm>
                            <a:off x="0" y="0"/>
                            <a:ext cx="2125116" cy="1951316"/>
                          </a:xfrm>
                          <a:prstGeom prst="rect">
                            <a:avLst/>
                          </a:prstGeom>
                        </pic:spPr>
                      </pic:pic>
                    </a:graphicData>
                  </a:graphic>
                </wp:inline>
              </w:drawing>
            </w:r>
            <w:r>
              <w:rPr>
                <w:noProof/>
                <w:lang w:eastAsia="en-GB"/>
              </w:rPr>
              <w:t>vz</w:t>
            </w:r>
          </w:p>
        </w:tc>
      </w:tr>
    </w:tbl>
    <w:p>
      <w:pPr>
        <w:pStyle w:val="Caption"/>
        <w:rPr>
          <w:sz w:val="24"/>
          <w:szCs w:val="24"/>
        </w:rPr>
      </w:pPr>
      <w:bookmarkStart w:id="45" w:name="_Ref526418895"/>
      <w:bookmarkStart w:id="46" w:name="_Toc526433469"/>
      <w:bookmarkStart w:id="47" w:name="_Toc526433747"/>
      <w:bookmarkStart w:id="48" w:name="_Toc526435689"/>
      <w:bookmarkStart w:id="49" w:name="_Toc530739775"/>
      <w:bookmarkStart w:id="50" w:name="_Toc531178498"/>
      <w:r>
        <w:t xml:space="preserve">Figure </w:t>
      </w:r>
      <w:r>
        <w:fldChar w:fldCharType="begin"/>
      </w:r>
      <w:r>
        <w:instrText xml:space="preserve"> SEQ Figure \* ARABIC </w:instrText>
      </w:r>
      <w:r>
        <w:fldChar w:fldCharType="separate"/>
      </w:r>
      <w:r>
        <w:t>107</w:t>
      </w:r>
      <w:r>
        <w:fldChar w:fldCharType="end"/>
      </w:r>
      <w:bookmarkEnd w:id="45"/>
      <w:r>
        <w:t xml:space="preserve"> - Results for selected unfavourable factors of competitiveness</w:t>
      </w:r>
      <w:bookmarkEnd w:id="46"/>
      <w:bookmarkEnd w:id="47"/>
      <w:bookmarkEnd w:id="48"/>
      <w:bookmarkEnd w:id="49"/>
      <w:bookmarkEnd w:id="50"/>
    </w:p>
    <w:p>
      <w:pPr>
        <w:rPr>
          <w:noProof/>
          <w:sz w:val="24"/>
          <w:szCs w:val="24"/>
        </w:rPr>
      </w:pPr>
      <w:r>
        <w:rPr>
          <w:noProof/>
          <w:sz w:val="24"/>
          <w:szCs w:val="24"/>
        </w:rPr>
        <w:br w:type="page"/>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The recent improvement of EU economic performance is also confirmed by the European Commission reports on Single Market Integration and Competitiveness</w:t>
      </w:r>
      <w:r>
        <w:rPr>
          <w:rStyle w:val="FootnoteReference"/>
          <w:noProof/>
          <w:sz w:val="24"/>
          <w:szCs w:val="24"/>
        </w:rPr>
        <w:footnoteReference w:id="15"/>
      </w:r>
      <w:r>
        <w:rPr>
          <w:noProof/>
          <w:sz w:val="24"/>
          <w:szCs w:val="24"/>
        </w:rPr>
        <w:t>.</w:t>
      </w:r>
    </w:p>
    <w:p>
      <w:pPr>
        <w:pStyle w:val="ListParagraph"/>
        <w:spacing w:after="0"/>
        <w:ind w:left="0"/>
        <w:rPr>
          <w:noProof/>
          <w:sz w:val="24"/>
          <w:szCs w:val="24"/>
        </w:rPr>
      </w:pPr>
    </w:p>
    <w:p>
      <w:pPr>
        <w:pStyle w:val="ListParagraph"/>
        <w:spacing w:after="0"/>
        <w:ind w:left="0"/>
        <w:rPr>
          <w:noProof/>
          <w:sz w:val="24"/>
          <w:szCs w:val="24"/>
          <w:highlight w:val="green"/>
        </w:rPr>
      </w:pPr>
      <w:r>
        <w:rPr>
          <w:noProof/>
          <w:sz w:val="24"/>
          <w:szCs w:val="24"/>
        </w:rPr>
        <w:t xml:space="preserve">In terms of overall productivity, the majority of EU MS are competing with the high-income members of the non-EU G20 group, as shown in </w:t>
      </w:r>
      <w:r>
        <w:rPr>
          <w:b/>
          <w:noProof/>
          <w:sz w:val="24"/>
        </w:rPr>
        <w:fldChar w:fldCharType="begin"/>
      </w:r>
      <w:r>
        <w:rPr>
          <w:b/>
          <w:noProof/>
          <w:sz w:val="24"/>
        </w:rPr>
        <w:instrText xml:space="preserve"> REF _Ref526419036 \h  \* MERGEFORMAT </w:instrText>
      </w:r>
      <w:r>
        <w:rPr>
          <w:b/>
          <w:noProof/>
          <w:sz w:val="24"/>
        </w:rPr>
      </w:r>
      <w:r>
        <w:rPr>
          <w:b/>
          <w:noProof/>
          <w:sz w:val="24"/>
        </w:rPr>
        <w:fldChar w:fldCharType="separate"/>
      </w:r>
      <w:r>
        <w:rPr>
          <w:b/>
          <w:noProof/>
        </w:rPr>
        <w:t>Figure 108</w:t>
      </w:r>
      <w:r>
        <w:rPr>
          <w:b/>
          <w:noProof/>
          <w:sz w:val="24"/>
        </w:rPr>
        <w:fldChar w:fldCharType="end"/>
      </w:r>
      <w:r>
        <w:rPr>
          <w:noProof/>
          <w:sz w:val="24"/>
          <w:szCs w:val="24"/>
        </w:rPr>
        <w:t xml:space="preserve">. </w:t>
      </w:r>
    </w:p>
    <w:p>
      <w:pPr>
        <w:pStyle w:val="ListParagraph"/>
        <w:spacing w:after="0"/>
        <w:ind w:left="0"/>
        <w:rPr>
          <w:noProof/>
          <w:sz w:val="24"/>
          <w:szCs w:val="24"/>
          <w:highlight w:val="green"/>
        </w:rPr>
      </w:pPr>
    </w:p>
    <w:p>
      <w:pPr>
        <w:pStyle w:val="ListParagraph"/>
        <w:spacing w:after="0"/>
        <w:ind w:left="0"/>
        <w:rPr>
          <w:noProof/>
          <w:sz w:val="24"/>
          <w:szCs w:val="24"/>
        </w:rPr>
      </w:pPr>
      <w:r>
        <w:rPr>
          <w:noProof/>
          <w:lang w:eastAsia="en-GB"/>
        </w:rPr>
        <w:drawing>
          <wp:inline distT="0" distB="0" distL="0" distR="0">
            <wp:extent cx="5760720" cy="2771344"/>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71344"/>
                    </a:xfrm>
                    <a:prstGeom prst="rect">
                      <a:avLst/>
                    </a:prstGeom>
                  </pic:spPr>
                </pic:pic>
              </a:graphicData>
            </a:graphic>
          </wp:inline>
        </w:drawing>
      </w:r>
      <w:r>
        <w:rPr>
          <w:noProof/>
          <w:sz w:val="24"/>
          <w:szCs w:val="24"/>
          <w:highlight w:val="yellow"/>
        </w:rPr>
        <w:t xml:space="preserve"> </w:t>
      </w:r>
    </w:p>
    <w:p>
      <w:pPr>
        <w:pStyle w:val="Caption"/>
        <w:rPr>
          <w:i/>
        </w:rPr>
      </w:pPr>
      <w:bookmarkStart w:id="51" w:name="_Ref526419036"/>
      <w:bookmarkStart w:id="52" w:name="_Toc526433470"/>
      <w:bookmarkStart w:id="53" w:name="_Toc526433748"/>
      <w:bookmarkStart w:id="54" w:name="_Toc526435690"/>
      <w:bookmarkStart w:id="55" w:name="_Toc530739776"/>
      <w:bookmarkStart w:id="56" w:name="_Toc531178499"/>
      <w:r>
        <w:t xml:space="preserve">Figure </w:t>
      </w:r>
      <w:r>
        <w:fldChar w:fldCharType="begin"/>
      </w:r>
      <w:r>
        <w:instrText xml:space="preserve"> SEQ Figure \* ARABIC </w:instrText>
      </w:r>
      <w:r>
        <w:fldChar w:fldCharType="separate"/>
      </w:r>
      <w:r>
        <w:t>108</w:t>
      </w:r>
      <w:r>
        <w:fldChar w:fldCharType="end"/>
      </w:r>
      <w:bookmarkEnd w:id="51"/>
      <w:r>
        <w:t xml:space="preserve"> - Overall productivity in the EU and G20</w:t>
      </w:r>
      <w:bookmarkEnd w:id="52"/>
      <w:bookmarkEnd w:id="53"/>
      <w:bookmarkEnd w:id="54"/>
      <w:bookmarkEnd w:id="55"/>
      <w:bookmarkEnd w:id="56"/>
      <w:r>
        <w:t xml:space="preserve"> </w:t>
      </w:r>
    </w:p>
    <w:p>
      <w:pPr>
        <w:pStyle w:val="ListParagraph"/>
        <w:spacing w:after="0"/>
        <w:ind w:left="0"/>
        <w:rPr>
          <w:noProof/>
          <w:sz w:val="20"/>
          <w:szCs w:val="20"/>
        </w:rPr>
      </w:pPr>
      <w:r>
        <w:rPr>
          <w:noProof/>
          <w:sz w:val="20"/>
          <w:szCs w:val="20"/>
        </w:rPr>
        <w:t xml:space="preserve">Notes: </w:t>
      </w:r>
    </w:p>
    <w:p>
      <w:pPr>
        <w:pStyle w:val="ListParagraph"/>
        <w:spacing w:after="0"/>
        <w:ind w:left="0"/>
        <w:rPr>
          <w:noProof/>
          <w:sz w:val="20"/>
          <w:szCs w:val="20"/>
        </w:rPr>
      </w:pPr>
      <w:r>
        <w:rPr>
          <w:noProof/>
          <w:sz w:val="20"/>
          <w:szCs w:val="20"/>
        </w:rPr>
        <w:t>1. Overall productivity is defined as the ratio of GDP over employment; employment data are estimates and are provisional for the most recent period;</w:t>
      </w:r>
    </w:p>
    <w:p>
      <w:pPr>
        <w:pStyle w:val="ListParagraph"/>
        <w:spacing w:after="0"/>
        <w:ind w:left="0"/>
        <w:rPr>
          <w:noProof/>
          <w:sz w:val="20"/>
          <w:szCs w:val="20"/>
        </w:rPr>
      </w:pPr>
      <w:r>
        <w:rPr>
          <w:noProof/>
          <w:sz w:val="20"/>
          <w:szCs w:val="20"/>
        </w:rPr>
        <w:t>2. Data for Malta is not available</w:t>
      </w:r>
    </w:p>
    <w:p>
      <w:pPr>
        <w:pStyle w:val="ListParagraph"/>
        <w:spacing w:after="0"/>
        <w:ind w:left="0"/>
        <w:rPr>
          <w:noProof/>
          <w:sz w:val="24"/>
          <w:szCs w:val="24"/>
          <w:highlight w:val="green"/>
        </w:rPr>
      </w:pPr>
    </w:p>
    <w:p>
      <w:pPr>
        <w:pStyle w:val="ListParagraph"/>
        <w:spacing w:after="0"/>
        <w:ind w:left="0"/>
        <w:rPr>
          <w:noProof/>
          <w:sz w:val="24"/>
          <w:szCs w:val="24"/>
        </w:rPr>
      </w:pPr>
      <w:r>
        <w:rPr>
          <w:noProof/>
          <w:sz w:val="24"/>
          <w:szCs w:val="24"/>
        </w:rPr>
        <w:t xml:space="preserve">Over the recent years, the dispersion of productivity and efficiency rates across G20 economies has increased, with high income countries enjoying stronger growth rates than the low-income and less diversified economies of the non-EU G20. Whereas the group of EU countries perform better over the group on non-EU G20 (see </w:t>
      </w:r>
      <w:r>
        <w:rPr>
          <w:b/>
          <w:noProof/>
          <w:sz w:val="24"/>
          <w:szCs w:val="24"/>
        </w:rPr>
        <w:fldChar w:fldCharType="begin"/>
      </w:r>
      <w:r>
        <w:rPr>
          <w:b/>
          <w:noProof/>
          <w:sz w:val="24"/>
          <w:szCs w:val="24"/>
        </w:rPr>
        <w:instrText xml:space="preserve"> REF _Ref526418205 \h  \* MERGEFORMAT </w:instrText>
      </w:r>
      <w:r>
        <w:rPr>
          <w:b/>
          <w:noProof/>
          <w:sz w:val="24"/>
          <w:szCs w:val="24"/>
        </w:rPr>
      </w:r>
      <w:r>
        <w:rPr>
          <w:b/>
          <w:noProof/>
          <w:sz w:val="24"/>
          <w:szCs w:val="24"/>
        </w:rPr>
        <w:fldChar w:fldCharType="separate"/>
      </w:r>
      <w:r>
        <w:rPr>
          <w:b/>
          <w:noProof/>
        </w:rPr>
        <w:t>Figure 109</w:t>
      </w:r>
      <w:r>
        <w:rPr>
          <w:b/>
          <w:noProof/>
          <w:sz w:val="24"/>
          <w:szCs w:val="24"/>
        </w:rPr>
        <w:fldChar w:fldCharType="end"/>
      </w:r>
      <w:r>
        <w:rPr>
          <w:noProof/>
          <w:sz w:val="24"/>
          <w:szCs w:val="24"/>
        </w:rPr>
        <w:t>), the 2016 Single Market Integration and Competitiveness report mentioned above, as well as its 2015 version, point out that many EU Member States face a generalised fall in productivity growth rates and that productivity gaps are accumulating with respect to high income G20 countries. Reforms enhancing the labour and total factor productivity of European companies at both national and EU level are further discussed in separate reports of the European Commission</w:t>
      </w:r>
      <w:r>
        <w:rPr>
          <w:rStyle w:val="FootnoteReference"/>
          <w:noProof/>
          <w:sz w:val="24"/>
          <w:szCs w:val="24"/>
        </w:rPr>
        <w:footnoteReference w:id="16"/>
      </w:r>
      <w:r>
        <w:rPr>
          <w:noProof/>
          <w:sz w:val="24"/>
          <w:szCs w:val="24"/>
        </w:rPr>
        <w:t>.</w:t>
      </w:r>
    </w:p>
    <w:p>
      <w:pPr>
        <w:pStyle w:val="ListParagraph"/>
        <w:spacing w:after="0"/>
        <w:ind w:left="0"/>
        <w:rPr>
          <w:noProof/>
          <w:sz w:val="24"/>
          <w:szCs w:val="24"/>
        </w:rPr>
      </w:pPr>
    </w:p>
    <w:p>
      <w:pPr>
        <w:pStyle w:val="ListParagraph"/>
        <w:spacing w:after="0"/>
        <w:ind w:left="0"/>
        <w:rPr>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564"/>
      </w:tblGrid>
      <w:tr>
        <w:tc>
          <w:tcPr>
            <w:tcW w:w="4724" w:type="dxa"/>
          </w:tcPr>
          <w:p>
            <w:pPr>
              <w:rPr>
                <w:noProof/>
                <w:lang w:eastAsia="en-GB"/>
              </w:rPr>
            </w:pPr>
            <w:r>
              <w:rPr>
                <w:noProof/>
                <w:lang w:eastAsia="en-GB"/>
              </w:rPr>
              <w:drawing>
                <wp:inline distT="0" distB="0" distL="0" distR="0">
                  <wp:extent cx="2652987" cy="2416629"/>
                  <wp:effectExtent l="0" t="0" r="0" b="3175"/>
                  <wp:docPr id="27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57"/>
                          <a:stretch>
                            <a:fillRect/>
                          </a:stretch>
                        </pic:blipFill>
                        <pic:spPr>
                          <a:xfrm>
                            <a:off x="0" y="0"/>
                            <a:ext cx="2654790" cy="2418271"/>
                          </a:xfrm>
                          <a:prstGeom prst="rect">
                            <a:avLst/>
                          </a:prstGeom>
                        </pic:spPr>
                      </pic:pic>
                    </a:graphicData>
                  </a:graphic>
                </wp:inline>
              </w:drawing>
            </w:r>
          </w:p>
        </w:tc>
        <w:tc>
          <w:tcPr>
            <w:tcW w:w="4564" w:type="dxa"/>
          </w:tcPr>
          <w:p>
            <w:pPr>
              <w:rPr>
                <w:noProof/>
                <w:lang w:eastAsia="en-GB"/>
              </w:rPr>
            </w:pPr>
            <w:r>
              <w:rPr>
                <w:noProof/>
                <w:lang w:eastAsia="en-GB"/>
              </w:rPr>
              <w:drawing>
                <wp:inline distT="0" distB="0" distL="0" distR="0">
                  <wp:extent cx="2646467" cy="2410691"/>
                  <wp:effectExtent l="0" t="0" r="1905" b="8890"/>
                  <wp:docPr id="27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58"/>
                          <a:stretch>
                            <a:fillRect/>
                          </a:stretch>
                        </pic:blipFill>
                        <pic:spPr>
                          <a:xfrm>
                            <a:off x="0" y="0"/>
                            <a:ext cx="2648828" cy="2412842"/>
                          </a:xfrm>
                          <a:prstGeom prst="rect">
                            <a:avLst/>
                          </a:prstGeom>
                        </pic:spPr>
                      </pic:pic>
                    </a:graphicData>
                  </a:graphic>
                </wp:inline>
              </w:drawing>
            </w:r>
          </w:p>
        </w:tc>
      </w:tr>
      <w:tr>
        <w:tc>
          <w:tcPr>
            <w:tcW w:w="4724" w:type="dxa"/>
          </w:tcPr>
          <w:p>
            <w:pPr>
              <w:rPr>
                <w:noProof/>
                <w:lang w:eastAsia="en-GB"/>
              </w:rPr>
            </w:pPr>
            <w:r>
              <w:rPr>
                <w:noProof/>
                <w:lang w:eastAsia="en-GB"/>
              </w:rPr>
              <w:drawing>
                <wp:inline distT="0" distB="0" distL="0" distR="0">
                  <wp:extent cx="2635944" cy="2410691"/>
                  <wp:effectExtent l="0" t="0" r="0" b="8890"/>
                  <wp:docPr id="2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59"/>
                          <a:stretch>
                            <a:fillRect/>
                          </a:stretch>
                        </pic:blipFill>
                        <pic:spPr>
                          <a:xfrm>
                            <a:off x="0" y="0"/>
                            <a:ext cx="2636487" cy="2411187"/>
                          </a:xfrm>
                          <a:prstGeom prst="rect">
                            <a:avLst/>
                          </a:prstGeom>
                        </pic:spPr>
                      </pic:pic>
                    </a:graphicData>
                  </a:graphic>
                </wp:inline>
              </w:drawing>
            </w:r>
          </w:p>
        </w:tc>
        <w:tc>
          <w:tcPr>
            <w:tcW w:w="4564" w:type="dxa"/>
          </w:tcPr>
          <w:p>
            <w:pPr>
              <w:rPr>
                <w:noProof/>
                <w:lang w:eastAsia="en-GB"/>
              </w:rPr>
            </w:pPr>
            <w:r>
              <w:rPr>
                <w:noProof/>
                <w:lang w:eastAsia="en-GB"/>
              </w:rPr>
              <w:drawing>
                <wp:inline distT="0" distB="0" distL="0" distR="0">
                  <wp:extent cx="2648198" cy="2411838"/>
                  <wp:effectExtent l="0" t="0" r="0" b="7620"/>
                  <wp:docPr id="2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60"/>
                          <a:stretch>
                            <a:fillRect/>
                          </a:stretch>
                        </pic:blipFill>
                        <pic:spPr>
                          <a:xfrm>
                            <a:off x="0" y="0"/>
                            <a:ext cx="2649937" cy="2413422"/>
                          </a:xfrm>
                          <a:prstGeom prst="rect">
                            <a:avLst/>
                          </a:prstGeom>
                        </pic:spPr>
                      </pic:pic>
                    </a:graphicData>
                  </a:graphic>
                </wp:inline>
              </w:drawing>
            </w:r>
          </w:p>
        </w:tc>
      </w:tr>
    </w:tbl>
    <w:p>
      <w:pPr>
        <w:pStyle w:val="Caption"/>
      </w:pPr>
      <w:bookmarkStart w:id="57" w:name="_Ref526418205"/>
      <w:bookmarkStart w:id="58" w:name="_Toc526433471"/>
      <w:bookmarkStart w:id="59" w:name="_Toc526433749"/>
      <w:bookmarkStart w:id="60" w:name="_Toc526435691"/>
      <w:bookmarkStart w:id="61" w:name="_Toc530739777"/>
      <w:bookmarkStart w:id="62" w:name="_Toc531178500"/>
      <w:r>
        <w:t xml:space="preserve">Figure </w:t>
      </w:r>
      <w:r>
        <w:fldChar w:fldCharType="begin"/>
      </w:r>
      <w:r>
        <w:instrText xml:space="preserve"> SEQ Figure \* ARABIC </w:instrText>
      </w:r>
      <w:r>
        <w:fldChar w:fldCharType="separate"/>
      </w:r>
      <w:r>
        <w:t>109</w:t>
      </w:r>
      <w:r>
        <w:fldChar w:fldCharType="end"/>
      </w:r>
      <w:bookmarkEnd w:id="57"/>
      <w:r>
        <w:t xml:space="preserve"> - Productivity and Efficiency of EU and non-EU G20</w:t>
      </w:r>
      <w:bookmarkEnd w:id="58"/>
      <w:bookmarkEnd w:id="59"/>
      <w:bookmarkEnd w:id="60"/>
      <w:bookmarkEnd w:id="61"/>
      <w:bookmarkEnd w:id="62"/>
    </w:p>
    <w:p>
      <w:pPr>
        <w:pStyle w:val="ListParagraph"/>
        <w:spacing w:after="0"/>
        <w:ind w:left="0"/>
        <w:rPr>
          <w:noProof/>
          <w:sz w:val="24"/>
          <w:szCs w:val="24"/>
        </w:rPr>
      </w:pPr>
    </w:p>
    <w:p>
      <w:pPr>
        <w:pStyle w:val="ListParagraph"/>
        <w:spacing w:after="0"/>
        <w:ind w:left="0"/>
        <w:rPr>
          <w:noProof/>
          <w:sz w:val="24"/>
          <w:szCs w:val="24"/>
        </w:rPr>
      </w:pPr>
      <w:r>
        <w:rPr>
          <w:noProof/>
          <w:sz w:val="24"/>
          <w:szCs w:val="24"/>
        </w:rPr>
        <w:t>Whereas the underlying trends driving productivity remain the same, the productivity spread across high- and low- income countries is less pronounced when the monetary value used is switched from US Dollars to Purchasing Power Parities</w:t>
      </w:r>
      <w:r>
        <w:rPr>
          <w:rStyle w:val="FootnoteReference"/>
          <w:noProof/>
          <w:sz w:val="24"/>
          <w:szCs w:val="24"/>
        </w:rPr>
        <w:footnoteReference w:id="17"/>
      </w:r>
      <w:r>
        <w:rPr>
          <w:noProof/>
          <w:sz w:val="24"/>
          <w:szCs w:val="24"/>
        </w:rPr>
        <w:t xml:space="preserve">. This is confirmed both for the industrial and services sectors, as shown in </w:t>
      </w:r>
      <w:r>
        <w:rPr>
          <w:b/>
          <w:noProof/>
          <w:sz w:val="24"/>
          <w:szCs w:val="24"/>
        </w:rPr>
        <w:fldChar w:fldCharType="begin"/>
      </w:r>
      <w:r>
        <w:rPr>
          <w:b/>
          <w:noProof/>
          <w:sz w:val="24"/>
          <w:szCs w:val="24"/>
        </w:rPr>
        <w:instrText xml:space="preserve"> REF _Ref526417974 \h  \* MERGEFORMAT </w:instrText>
      </w:r>
      <w:r>
        <w:rPr>
          <w:b/>
          <w:noProof/>
          <w:sz w:val="24"/>
          <w:szCs w:val="24"/>
        </w:rPr>
      </w:r>
      <w:r>
        <w:rPr>
          <w:b/>
          <w:noProof/>
          <w:sz w:val="24"/>
          <w:szCs w:val="24"/>
        </w:rPr>
        <w:fldChar w:fldCharType="separate"/>
      </w:r>
      <w:r>
        <w:rPr>
          <w:b/>
          <w:noProof/>
        </w:rPr>
        <w:t>Figure 110</w:t>
      </w:r>
      <w:r>
        <w:rPr>
          <w:b/>
          <w:noProof/>
          <w:sz w:val="24"/>
          <w:szCs w:val="24"/>
        </w:rPr>
        <w:fldChar w:fldCharType="end"/>
      </w:r>
      <w:r>
        <w:rPr>
          <w:noProof/>
          <w:sz w:val="24"/>
          <w:szCs w:val="24"/>
        </w:rPr>
        <w:t xml:space="preserve"> and </w:t>
      </w:r>
      <w:r>
        <w:rPr>
          <w:b/>
          <w:noProof/>
          <w:sz w:val="24"/>
          <w:szCs w:val="24"/>
        </w:rPr>
        <w:fldChar w:fldCharType="begin"/>
      </w:r>
      <w:r>
        <w:rPr>
          <w:b/>
          <w:noProof/>
          <w:sz w:val="24"/>
          <w:szCs w:val="24"/>
        </w:rPr>
        <w:instrText xml:space="preserve"> REF _Ref526417984 \h  \* MERGEFORMAT </w:instrText>
      </w:r>
      <w:r>
        <w:rPr>
          <w:b/>
          <w:noProof/>
          <w:sz w:val="24"/>
          <w:szCs w:val="24"/>
        </w:rPr>
      </w:r>
      <w:r>
        <w:rPr>
          <w:b/>
          <w:noProof/>
          <w:sz w:val="24"/>
          <w:szCs w:val="24"/>
        </w:rPr>
        <w:fldChar w:fldCharType="separate"/>
      </w:r>
      <w:r>
        <w:rPr>
          <w:b/>
          <w:noProof/>
        </w:rPr>
        <w:t>Figure 111</w:t>
      </w:r>
      <w:r>
        <w:rPr>
          <w:b/>
          <w:noProof/>
          <w:sz w:val="24"/>
          <w:szCs w:val="24"/>
        </w:rPr>
        <w:fldChar w:fldCharType="end"/>
      </w:r>
      <w:r>
        <w:rPr>
          <w:b/>
          <w:noProof/>
          <w:sz w:val="24"/>
          <w:szCs w:val="24"/>
        </w:rPr>
        <w:t>.</w:t>
      </w:r>
      <w:r>
        <w:rPr>
          <w:noProof/>
          <w:sz w:val="24"/>
          <w:szCs w:val="24"/>
        </w:rPr>
        <w:t xml:space="preserve">  </w:t>
      </w:r>
    </w:p>
    <w:p>
      <w:pPr>
        <w:pStyle w:val="ListParagraph"/>
        <w:spacing w:after="0"/>
        <w:ind w:left="0"/>
        <w:rPr>
          <w:noProof/>
          <w:sz w:val="24"/>
          <w:szCs w:val="24"/>
        </w:rPr>
      </w:pPr>
    </w:p>
    <w:p>
      <w:pPr>
        <w:rPr>
          <w:noProof/>
          <w:sz w:val="24"/>
          <w:szCs w:val="24"/>
        </w:rPr>
      </w:pPr>
      <w:r>
        <w:rPr>
          <w:noProof/>
          <w:sz w:val="24"/>
          <w:szCs w:val="24"/>
        </w:rPr>
        <w:br w:type="page"/>
      </w:r>
    </w:p>
    <w:p>
      <w:pPr>
        <w:pStyle w:val="ListParagraph"/>
        <w:spacing w:after="0"/>
        <w:ind w:left="0"/>
        <w:rPr>
          <w:noProof/>
          <w:sz w:val="24"/>
          <w:szCs w:val="24"/>
        </w:rPr>
      </w:pPr>
    </w:p>
    <w:p>
      <w:pPr>
        <w:pStyle w:val="ListParagraph"/>
        <w:spacing w:after="0"/>
        <w:ind w:left="0"/>
        <w:rPr>
          <w:noProof/>
          <w:sz w:val="24"/>
          <w:szCs w:val="24"/>
        </w:rPr>
      </w:pPr>
      <w:r>
        <w:rPr>
          <w:noProof/>
          <w:lang w:eastAsia="en-GB"/>
        </w:rPr>
        <w:drawing>
          <wp:inline distT="0" distB="0" distL="0" distR="0">
            <wp:extent cx="5760720" cy="27878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787880"/>
                    </a:xfrm>
                    <a:prstGeom prst="rect">
                      <a:avLst/>
                    </a:prstGeom>
                  </pic:spPr>
                </pic:pic>
              </a:graphicData>
            </a:graphic>
          </wp:inline>
        </w:drawing>
      </w:r>
    </w:p>
    <w:p>
      <w:pPr>
        <w:pStyle w:val="Caption"/>
      </w:pPr>
      <w:bookmarkStart w:id="63" w:name="_Ref526417974"/>
      <w:bookmarkStart w:id="64" w:name="_Toc526433472"/>
      <w:bookmarkStart w:id="65" w:name="_Toc526433750"/>
      <w:bookmarkStart w:id="66" w:name="_Toc526435692"/>
      <w:bookmarkStart w:id="67" w:name="_Toc530739778"/>
      <w:bookmarkStart w:id="68" w:name="_Toc531178501"/>
      <w:r>
        <w:t xml:space="preserve">Figure </w:t>
      </w:r>
      <w:r>
        <w:fldChar w:fldCharType="begin"/>
      </w:r>
      <w:r>
        <w:instrText xml:space="preserve"> SEQ Figure \* ARABIC </w:instrText>
      </w:r>
      <w:r>
        <w:fldChar w:fldCharType="separate"/>
      </w:r>
      <w:r>
        <w:t>110</w:t>
      </w:r>
      <w:r>
        <w:fldChar w:fldCharType="end"/>
      </w:r>
      <w:bookmarkEnd w:id="63"/>
      <w:r>
        <w:t xml:space="preserve"> - Labour productivity in industry in EU and G20</w:t>
      </w:r>
      <w:bookmarkEnd w:id="64"/>
      <w:bookmarkEnd w:id="65"/>
      <w:bookmarkEnd w:id="66"/>
      <w:bookmarkEnd w:id="67"/>
      <w:bookmarkEnd w:id="68"/>
    </w:p>
    <w:p>
      <w:pPr>
        <w:pStyle w:val="ListParagraph"/>
        <w:spacing w:after="0"/>
        <w:ind w:left="0"/>
        <w:rPr>
          <w:noProof/>
          <w:sz w:val="20"/>
          <w:szCs w:val="20"/>
        </w:rPr>
      </w:pPr>
      <w:r>
        <w:rPr>
          <w:noProof/>
          <w:sz w:val="20"/>
          <w:szCs w:val="20"/>
        </w:rPr>
        <w:t xml:space="preserve">Notes: </w:t>
      </w:r>
    </w:p>
    <w:p>
      <w:pPr>
        <w:pStyle w:val="ListParagraph"/>
        <w:spacing w:after="0"/>
        <w:ind w:left="0"/>
        <w:rPr>
          <w:noProof/>
          <w:sz w:val="20"/>
          <w:szCs w:val="20"/>
        </w:rPr>
      </w:pPr>
      <w:r>
        <w:rPr>
          <w:noProof/>
          <w:sz w:val="20"/>
          <w:szCs w:val="20"/>
        </w:rPr>
        <w:t>1. Industrial productivity is defined as the ratio of related GDP (PPP) per person employed in industry; employment data are estimates and are provisional for the most recent period</w:t>
      </w:r>
    </w:p>
    <w:p>
      <w:pPr>
        <w:pStyle w:val="ListParagraph"/>
        <w:spacing w:after="0"/>
        <w:ind w:left="0"/>
        <w:rPr>
          <w:noProof/>
          <w:sz w:val="20"/>
          <w:szCs w:val="20"/>
        </w:rPr>
      </w:pPr>
      <w:r>
        <w:rPr>
          <w:noProof/>
          <w:sz w:val="20"/>
          <w:szCs w:val="20"/>
        </w:rPr>
        <w:t>2. Data for Canada and Brazil is not available</w:t>
      </w:r>
    </w:p>
    <w:p>
      <w:pPr>
        <w:pStyle w:val="ListParagraph"/>
        <w:spacing w:after="0"/>
        <w:ind w:left="0"/>
        <w:rPr>
          <w:noProof/>
          <w:sz w:val="24"/>
          <w:szCs w:val="24"/>
        </w:rPr>
      </w:pPr>
    </w:p>
    <w:p>
      <w:pPr>
        <w:pStyle w:val="ListParagraph"/>
        <w:spacing w:after="0"/>
        <w:ind w:left="0"/>
        <w:rPr>
          <w:noProof/>
          <w:sz w:val="24"/>
          <w:szCs w:val="24"/>
        </w:rPr>
      </w:pPr>
      <w:r>
        <w:rPr>
          <w:noProof/>
          <w:lang w:eastAsia="en-GB"/>
        </w:rPr>
        <w:drawing>
          <wp:inline distT="0" distB="0" distL="0" distR="0">
            <wp:extent cx="5760720" cy="275113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2751133"/>
                    </a:xfrm>
                    <a:prstGeom prst="rect">
                      <a:avLst/>
                    </a:prstGeom>
                  </pic:spPr>
                </pic:pic>
              </a:graphicData>
            </a:graphic>
          </wp:inline>
        </w:drawing>
      </w:r>
    </w:p>
    <w:p>
      <w:pPr>
        <w:pStyle w:val="Caption"/>
      </w:pPr>
      <w:bookmarkStart w:id="69" w:name="_Ref526417984"/>
      <w:bookmarkStart w:id="70" w:name="_Toc526433473"/>
      <w:bookmarkStart w:id="71" w:name="_Toc526433751"/>
      <w:bookmarkStart w:id="72" w:name="_Toc526435693"/>
      <w:bookmarkStart w:id="73" w:name="_Toc530739779"/>
      <w:bookmarkStart w:id="74" w:name="_Toc531178502"/>
      <w:r>
        <w:t xml:space="preserve">Figure </w:t>
      </w:r>
      <w:r>
        <w:fldChar w:fldCharType="begin"/>
      </w:r>
      <w:r>
        <w:instrText xml:space="preserve"> SEQ Figure \* ARABIC </w:instrText>
      </w:r>
      <w:r>
        <w:fldChar w:fldCharType="separate"/>
      </w:r>
      <w:r>
        <w:t>111</w:t>
      </w:r>
      <w:r>
        <w:fldChar w:fldCharType="end"/>
      </w:r>
      <w:bookmarkEnd w:id="69"/>
      <w:r>
        <w:t xml:space="preserve"> - Labor productivity in Services in EU and G20</w:t>
      </w:r>
      <w:bookmarkEnd w:id="70"/>
      <w:bookmarkEnd w:id="71"/>
      <w:bookmarkEnd w:id="72"/>
      <w:bookmarkEnd w:id="73"/>
      <w:bookmarkEnd w:id="74"/>
    </w:p>
    <w:p>
      <w:pPr>
        <w:pStyle w:val="ListParagraph"/>
        <w:spacing w:after="0"/>
        <w:ind w:left="0"/>
        <w:rPr>
          <w:noProof/>
          <w:sz w:val="20"/>
          <w:szCs w:val="20"/>
        </w:rPr>
      </w:pPr>
      <w:r>
        <w:rPr>
          <w:noProof/>
          <w:sz w:val="20"/>
          <w:szCs w:val="20"/>
        </w:rPr>
        <w:t xml:space="preserve">Notes: </w:t>
      </w:r>
    </w:p>
    <w:p>
      <w:pPr>
        <w:pStyle w:val="ListParagraph"/>
        <w:spacing w:after="0"/>
        <w:ind w:left="0"/>
        <w:rPr>
          <w:noProof/>
          <w:sz w:val="20"/>
          <w:szCs w:val="20"/>
        </w:rPr>
      </w:pPr>
      <w:r>
        <w:rPr>
          <w:noProof/>
          <w:sz w:val="20"/>
          <w:szCs w:val="20"/>
        </w:rPr>
        <w:t>1. Productivity in services is defined as the ratio of related GDP (PPP) per person employed in services; employment data are estimates and are provisional for the most recent period</w:t>
      </w:r>
    </w:p>
    <w:p>
      <w:pPr>
        <w:pStyle w:val="ListParagraph"/>
        <w:spacing w:after="0"/>
        <w:ind w:left="0"/>
        <w:rPr>
          <w:noProof/>
          <w:sz w:val="20"/>
          <w:szCs w:val="20"/>
        </w:rPr>
      </w:pPr>
      <w:r>
        <w:rPr>
          <w:noProof/>
          <w:sz w:val="20"/>
          <w:szCs w:val="20"/>
        </w:rPr>
        <w:t>2. Data for Canada and Brazil is not available</w:t>
      </w:r>
    </w:p>
    <w:p>
      <w:pPr>
        <w:pStyle w:val="ListParagraph"/>
        <w:spacing w:after="0"/>
        <w:ind w:left="0"/>
        <w:rPr>
          <w:noProof/>
          <w:sz w:val="24"/>
          <w:szCs w:val="24"/>
          <w:highlight w:val="green"/>
        </w:rPr>
      </w:pPr>
    </w:p>
    <w:p>
      <w:pPr>
        <w:pStyle w:val="ListParagraph"/>
        <w:spacing w:after="0"/>
        <w:ind w:left="0"/>
        <w:rPr>
          <w:noProof/>
          <w:sz w:val="24"/>
          <w:szCs w:val="24"/>
          <w:highlight w:val="green"/>
        </w:rPr>
      </w:pPr>
    </w:p>
    <w:p>
      <w:pPr>
        <w:rPr>
          <w:noProof/>
          <w:sz w:val="24"/>
          <w:szCs w:val="24"/>
          <w:highlight w:val="green"/>
        </w:rPr>
      </w:pPr>
      <w:r>
        <w:rPr>
          <w:noProof/>
          <w:sz w:val="24"/>
          <w:szCs w:val="24"/>
          <w:highlight w:val="green"/>
        </w:rPr>
        <w:br w:type="page"/>
      </w:r>
    </w:p>
    <w:p>
      <w:pPr>
        <w:pStyle w:val="Heading3"/>
        <w:numPr>
          <w:ilvl w:val="2"/>
          <w:numId w:val="1"/>
        </w:numPr>
        <w:rPr>
          <w:noProof/>
        </w:rPr>
      </w:pPr>
      <w:bookmarkStart w:id="75" w:name="_Toc526420751"/>
      <w:bookmarkStart w:id="76" w:name="_Toc526433977"/>
      <w:bookmarkStart w:id="77" w:name="_Toc526435919"/>
      <w:bookmarkStart w:id="78" w:name="_Toc530595249"/>
      <w:bookmarkStart w:id="79" w:name="_Toc531178328"/>
      <w:r>
        <w:rPr>
          <w:noProof/>
        </w:rPr>
        <w:t>Impact of energy on the economy's competitiveness</w:t>
      </w:r>
      <w:bookmarkEnd w:id="75"/>
      <w:bookmarkEnd w:id="76"/>
      <w:bookmarkEnd w:id="77"/>
      <w:bookmarkEnd w:id="78"/>
      <w:bookmarkEnd w:id="79"/>
    </w:p>
    <w:p>
      <w:pPr>
        <w:spacing w:after="0"/>
        <w:rPr>
          <w:noProof/>
          <w:sz w:val="24"/>
          <w:szCs w:val="24"/>
          <w:highlight w:val="yellow"/>
        </w:rPr>
      </w:pPr>
    </w:p>
    <w:p>
      <w:pPr>
        <w:spacing w:after="0"/>
        <w:rPr>
          <w:noProof/>
          <w:sz w:val="24"/>
          <w:szCs w:val="24"/>
        </w:rPr>
      </w:pPr>
      <w:r>
        <w:rPr>
          <w:b/>
          <w:noProof/>
          <w:sz w:val="24"/>
          <w:szCs w:val="24"/>
        </w:rPr>
        <w:fldChar w:fldCharType="begin"/>
      </w:r>
      <w:r>
        <w:rPr>
          <w:b/>
          <w:noProof/>
          <w:sz w:val="24"/>
          <w:szCs w:val="24"/>
        </w:rPr>
        <w:instrText xml:space="preserve"> REF _Ref526417277 \h  \* MERGEFORMAT </w:instrText>
      </w:r>
      <w:r>
        <w:rPr>
          <w:b/>
          <w:noProof/>
          <w:sz w:val="24"/>
          <w:szCs w:val="24"/>
        </w:rPr>
      </w:r>
      <w:r>
        <w:rPr>
          <w:b/>
          <w:noProof/>
          <w:sz w:val="24"/>
          <w:szCs w:val="24"/>
        </w:rPr>
        <w:fldChar w:fldCharType="separate"/>
      </w:r>
      <w:r>
        <w:rPr>
          <w:b/>
          <w:noProof/>
        </w:rPr>
        <w:t>Figure 112</w:t>
      </w:r>
      <w:r>
        <w:rPr>
          <w:b/>
          <w:noProof/>
          <w:sz w:val="24"/>
          <w:szCs w:val="24"/>
        </w:rPr>
        <w:fldChar w:fldCharType="end"/>
      </w:r>
      <w:r>
        <w:rPr>
          <w:noProof/>
          <w:sz w:val="24"/>
          <w:szCs w:val="24"/>
        </w:rPr>
        <w:t xml:space="preserve"> reports on the results from the user satisfaction survey on the adequacy and efficiency of energy infrastructure. As a group, EU clearly outperforms the non-EU G20 countries, as EU users of energy grids tend to be more satisfied on average with the overall operation, reliability and quality of service of dispatching of energy than their counterparts from G20 countries.</w:t>
      </w:r>
    </w:p>
    <w:p>
      <w:pPr>
        <w:spacing w:after="0"/>
        <w:rPr>
          <w:noProof/>
          <w:sz w:val="24"/>
          <w:szCs w:val="24"/>
        </w:rPr>
      </w:pPr>
    </w:p>
    <w:p>
      <w:pPr>
        <w:pStyle w:val="ListParagraph"/>
        <w:spacing w:after="0"/>
        <w:ind w:left="0"/>
        <w:rPr>
          <w:noProof/>
          <w:sz w:val="24"/>
          <w:szCs w:val="24"/>
        </w:rPr>
      </w:pPr>
      <w:r>
        <w:rPr>
          <w:noProof/>
          <w:lang w:eastAsia="en-GB"/>
        </w:rPr>
        <w:drawing>
          <wp:inline distT="0" distB="0" distL="0" distR="0">
            <wp:extent cx="5760720" cy="2778081"/>
            <wp:effectExtent l="0" t="0" r="0" b="38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2778081"/>
                    </a:xfrm>
                    <a:prstGeom prst="rect">
                      <a:avLst/>
                    </a:prstGeom>
                  </pic:spPr>
                </pic:pic>
              </a:graphicData>
            </a:graphic>
          </wp:inline>
        </w:drawing>
      </w:r>
    </w:p>
    <w:p>
      <w:pPr>
        <w:pStyle w:val="Caption"/>
      </w:pPr>
      <w:bookmarkStart w:id="80" w:name="_Ref526417277"/>
      <w:bookmarkStart w:id="81" w:name="_Toc526433474"/>
      <w:bookmarkStart w:id="82" w:name="_Toc526433752"/>
      <w:bookmarkStart w:id="83" w:name="_Toc526435694"/>
      <w:bookmarkStart w:id="84" w:name="_Toc530739780"/>
      <w:bookmarkStart w:id="85" w:name="_Toc531178503"/>
      <w:r>
        <w:t xml:space="preserve">Figure </w:t>
      </w:r>
      <w:r>
        <w:fldChar w:fldCharType="begin"/>
      </w:r>
      <w:r>
        <w:instrText xml:space="preserve"> SEQ Figure \* ARABIC </w:instrText>
      </w:r>
      <w:r>
        <w:fldChar w:fldCharType="separate"/>
      </w:r>
      <w:r>
        <w:t>112</w:t>
      </w:r>
      <w:r>
        <w:fldChar w:fldCharType="end"/>
      </w:r>
      <w:bookmarkEnd w:id="80"/>
      <w:r>
        <w:t xml:space="preserve"> - User satisfaction on Energy infrastructure in EU and G20</w:t>
      </w:r>
      <w:bookmarkEnd w:id="81"/>
      <w:bookmarkEnd w:id="82"/>
      <w:bookmarkEnd w:id="83"/>
      <w:bookmarkEnd w:id="84"/>
      <w:bookmarkEnd w:id="85"/>
      <w:r>
        <w:t xml:space="preserve"> </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 xml:space="preserve">Looking at recent prices for electricity for industrial users, both the EU and the non-EU G20 country groups appear as quite dispersed. Within non-EU G20, and compared to prices from 10 years ago, Mexico and Turkey register decreases in the range of 10% - 20% whereas the highest increases were recorded in Indonesia and Korea, both above 30%, as shown on </w:t>
      </w:r>
      <w:r>
        <w:rPr>
          <w:b/>
          <w:noProof/>
          <w:sz w:val="24"/>
        </w:rPr>
        <w:fldChar w:fldCharType="begin"/>
      </w:r>
      <w:r>
        <w:rPr>
          <w:b/>
          <w:noProof/>
          <w:sz w:val="24"/>
        </w:rPr>
        <w:instrText xml:space="preserve"> REF _Ref526417159 \h </w:instrText>
      </w:r>
      <w:r>
        <w:rPr>
          <w:b/>
          <w:noProof/>
          <w:sz w:val="24"/>
          <w:szCs w:val="24"/>
        </w:rPr>
        <w:instrText xml:space="preserve"> \* MERGEFORMAT </w:instrText>
      </w:r>
      <w:r>
        <w:rPr>
          <w:b/>
          <w:noProof/>
          <w:sz w:val="24"/>
        </w:rPr>
      </w:r>
      <w:r>
        <w:rPr>
          <w:b/>
          <w:noProof/>
          <w:sz w:val="24"/>
        </w:rPr>
        <w:fldChar w:fldCharType="separate"/>
      </w:r>
      <w:r>
        <w:rPr>
          <w:b/>
          <w:noProof/>
        </w:rPr>
        <w:t>Figure 113</w:t>
      </w:r>
      <w:r>
        <w:rPr>
          <w:b/>
          <w:noProof/>
          <w:sz w:val="24"/>
        </w:rPr>
        <w:fldChar w:fldCharType="end"/>
      </w:r>
      <w:r>
        <w:rPr>
          <w:noProof/>
          <w:sz w:val="24"/>
          <w:szCs w:val="24"/>
        </w:rPr>
        <w:t xml:space="preserve">. </w:t>
      </w:r>
      <w:r>
        <w:rPr>
          <w:b/>
          <w:noProof/>
          <w:sz w:val="24"/>
        </w:rPr>
        <w:t>Section 6.5.3</w:t>
      </w:r>
      <w:r>
        <w:rPr>
          <w:noProof/>
          <w:sz w:val="24"/>
          <w:szCs w:val="24"/>
        </w:rPr>
        <w:t xml:space="preserve"> provides a comprehensive international comparison on the evolution industrial prices, using a richer data sources.</w:t>
      </w:r>
    </w:p>
    <w:p>
      <w:pPr>
        <w:pStyle w:val="ListParagraph"/>
        <w:spacing w:after="0"/>
        <w:ind w:left="0"/>
        <w:rPr>
          <w:noProof/>
          <w:sz w:val="24"/>
          <w:szCs w:val="24"/>
        </w:rPr>
      </w:pPr>
    </w:p>
    <w:p>
      <w:pPr>
        <w:rPr>
          <w:noProof/>
          <w:sz w:val="24"/>
          <w:szCs w:val="24"/>
        </w:rPr>
      </w:pPr>
      <w:r>
        <w:rPr>
          <w:noProof/>
          <w:sz w:val="24"/>
          <w:szCs w:val="24"/>
        </w:rPr>
        <w:br w:type="page"/>
      </w:r>
    </w:p>
    <w:p>
      <w:pPr>
        <w:pStyle w:val="ListParagraph"/>
        <w:spacing w:after="0"/>
        <w:ind w:left="0"/>
        <w:rPr>
          <w:noProof/>
          <w:sz w:val="24"/>
          <w:szCs w:val="24"/>
        </w:rPr>
      </w:pPr>
      <w:r>
        <w:rPr>
          <w:noProof/>
          <w:lang w:eastAsia="en-GB"/>
        </w:rPr>
        <w:drawing>
          <wp:inline distT="0" distB="0" distL="0" distR="0">
            <wp:extent cx="5760720" cy="2764607"/>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2764607"/>
                    </a:xfrm>
                    <a:prstGeom prst="rect">
                      <a:avLst/>
                    </a:prstGeom>
                  </pic:spPr>
                </pic:pic>
              </a:graphicData>
            </a:graphic>
          </wp:inline>
        </w:drawing>
      </w:r>
    </w:p>
    <w:p>
      <w:pPr>
        <w:pStyle w:val="Caption"/>
      </w:pPr>
      <w:bookmarkStart w:id="86" w:name="_Ref526417159"/>
      <w:bookmarkStart w:id="87" w:name="_Toc526433475"/>
      <w:bookmarkStart w:id="88" w:name="_Toc526433753"/>
      <w:bookmarkStart w:id="89" w:name="_Toc526435695"/>
      <w:bookmarkStart w:id="90" w:name="_Toc530739781"/>
      <w:bookmarkStart w:id="91" w:name="_Toc531178504"/>
      <w:r>
        <w:t xml:space="preserve">Figure </w:t>
      </w:r>
      <w:r>
        <w:fldChar w:fldCharType="begin"/>
      </w:r>
      <w:r>
        <w:instrText xml:space="preserve"> SEQ Figure \* ARABIC </w:instrText>
      </w:r>
      <w:r>
        <w:fldChar w:fldCharType="separate"/>
      </w:r>
      <w:r>
        <w:t>113</w:t>
      </w:r>
      <w:r>
        <w:fldChar w:fldCharType="end"/>
      </w:r>
      <w:bookmarkEnd w:id="86"/>
      <w:r>
        <w:t xml:space="preserve"> - Elecriticity prices for industry in the EU and G20 in 2017</w:t>
      </w:r>
      <w:bookmarkEnd w:id="87"/>
      <w:bookmarkEnd w:id="88"/>
      <w:bookmarkEnd w:id="89"/>
      <w:bookmarkEnd w:id="90"/>
      <w:bookmarkEnd w:id="91"/>
    </w:p>
    <w:p>
      <w:pPr>
        <w:pStyle w:val="ListParagraph"/>
        <w:spacing w:after="0"/>
        <w:ind w:left="0"/>
        <w:rPr>
          <w:noProof/>
          <w:sz w:val="20"/>
          <w:szCs w:val="20"/>
        </w:rPr>
      </w:pPr>
      <w:r>
        <w:rPr>
          <w:noProof/>
          <w:sz w:val="20"/>
          <w:szCs w:val="20"/>
        </w:rPr>
        <w:t xml:space="preserve">Notes: </w:t>
      </w:r>
    </w:p>
    <w:p>
      <w:pPr>
        <w:pStyle w:val="ListParagraph"/>
        <w:spacing w:after="0"/>
        <w:ind w:left="0"/>
        <w:rPr>
          <w:noProof/>
          <w:sz w:val="20"/>
          <w:szCs w:val="20"/>
        </w:rPr>
      </w:pPr>
      <w:r>
        <w:rPr>
          <w:noProof/>
          <w:sz w:val="20"/>
          <w:szCs w:val="20"/>
        </w:rPr>
        <w:t>1.</w:t>
      </w:r>
      <w:r>
        <w:rPr>
          <w:noProof/>
        </w:rPr>
        <w:t xml:space="preserve"> </w:t>
      </w:r>
      <w:r>
        <w:rPr>
          <w:noProof/>
          <w:sz w:val="20"/>
          <w:szCs w:val="20"/>
        </w:rPr>
        <w:t xml:space="preserve">Prices refer to the simple average of the domestic monthly reference with tax for electricity for industry; data may be different </w:t>
      </w:r>
    </w:p>
    <w:p>
      <w:pPr>
        <w:pStyle w:val="ListParagraph"/>
        <w:spacing w:after="0"/>
        <w:ind w:left="0"/>
        <w:rPr>
          <w:noProof/>
          <w:sz w:val="20"/>
          <w:szCs w:val="20"/>
        </w:rPr>
      </w:pPr>
      <w:r>
        <w:rPr>
          <w:noProof/>
          <w:sz w:val="20"/>
          <w:szCs w:val="20"/>
        </w:rPr>
        <w:t>2. US prices are net of taxes;</w:t>
      </w:r>
    </w:p>
    <w:p>
      <w:pPr>
        <w:pStyle w:val="ListParagraph"/>
        <w:spacing w:after="0"/>
        <w:ind w:left="0"/>
        <w:rPr>
          <w:noProof/>
          <w:sz w:val="20"/>
          <w:szCs w:val="20"/>
        </w:rPr>
      </w:pPr>
      <w:r>
        <w:rPr>
          <w:noProof/>
          <w:sz w:val="20"/>
          <w:szCs w:val="20"/>
        </w:rPr>
        <w:t>3. Data for India is for 2013, data for Saudi Arabia is for 2014 data for South Africa is not available</w:t>
      </w:r>
    </w:p>
    <w:p>
      <w:pPr>
        <w:pStyle w:val="ListParagraph"/>
        <w:spacing w:after="0"/>
        <w:ind w:left="0"/>
        <w:rPr>
          <w:noProof/>
          <w:sz w:val="24"/>
          <w:szCs w:val="24"/>
          <w:highlight w:val="green"/>
        </w:rPr>
      </w:pPr>
    </w:p>
    <w:p>
      <w:pPr>
        <w:pStyle w:val="ListParagraph"/>
        <w:spacing w:after="0"/>
        <w:ind w:left="0"/>
        <w:rPr>
          <w:noProof/>
          <w:sz w:val="24"/>
          <w:szCs w:val="24"/>
          <w:highlight w:val="green"/>
        </w:rPr>
      </w:pPr>
    </w:p>
    <w:p>
      <w:pPr>
        <w:pStyle w:val="ListParagraph"/>
        <w:spacing w:after="0"/>
        <w:ind w:left="0"/>
        <w:rPr>
          <w:noProof/>
          <w:sz w:val="24"/>
          <w:szCs w:val="24"/>
        </w:rPr>
      </w:pPr>
      <w:r>
        <w:rPr>
          <w:noProof/>
          <w:sz w:val="24"/>
          <w:szCs w:val="24"/>
        </w:rPr>
        <w:t>Assessing the importance of energy as a production factor on the global macroeconomic level, and comparing the performance of EU countries against its main trading partners is not straightforward, with serious data availability and methodological issues.</w:t>
      </w:r>
    </w:p>
    <w:p>
      <w:pPr>
        <w:pStyle w:val="ListParagraph"/>
        <w:spacing w:after="0"/>
        <w:ind w:left="0"/>
        <w:rPr>
          <w:noProof/>
          <w:sz w:val="24"/>
          <w:szCs w:val="24"/>
        </w:rPr>
      </w:pPr>
    </w:p>
    <w:p>
      <w:pPr>
        <w:spacing w:after="0"/>
        <w:rPr>
          <w:noProof/>
          <w:sz w:val="24"/>
          <w:szCs w:val="24"/>
        </w:rPr>
      </w:pPr>
      <w:r>
        <w:rPr>
          <w:noProof/>
          <w:sz w:val="24"/>
          <w:szCs w:val="24"/>
        </w:rPr>
        <w:t xml:space="preserve">In terms of the </w:t>
      </w:r>
      <w:r>
        <w:rPr>
          <w:b/>
          <w:noProof/>
          <w:sz w:val="24"/>
          <w:szCs w:val="24"/>
        </w:rPr>
        <w:t>absolute value of energy costs</w:t>
      </w:r>
      <w:r>
        <w:rPr>
          <w:noProof/>
          <w:sz w:val="24"/>
          <w:szCs w:val="24"/>
        </w:rPr>
        <w:t>, a report</w:t>
      </w:r>
      <w:r>
        <w:rPr>
          <w:rStyle w:val="FootnoteReference"/>
          <w:noProof/>
        </w:rPr>
        <w:footnoteReference w:id="18"/>
      </w:r>
      <w:r>
        <w:rPr>
          <w:noProof/>
        </w:rPr>
        <w:t xml:space="preserve"> </w:t>
      </w:r>
      <w:r>
        <w:rPr>
          <w:noProof/>
          <w:sz w:val="24"/>
          <w:szCs w:val="24"/>
        </w:rPr>
        <w:t xml:space="preserve"> from the European Commission estimated that the EU manufacturing sector had some of the lowest </w:t>
      </w:r>
      <w:r>
        <w:rPr>
          <w:b/>
          <w:noProof/>
          <w:sz w:val="24"/>
          <w:szCs w:val="24"/>
        </w:rPr>
        <w:t>Real Unit Energy Costs</w:t>
      </w:r>
      <w:r>
        <w:rPr>
          <w:noProof/>
          <w:sz w:val="24"/>
          <w:szCs w:val="24"/>
        </w:rPr>
        <w:t xml:space="preserve"> </w:t>
      </w:r>
      <w:r>
        <w:rPr>
          <w:b/>
          <w:noProof/>
          <w:sz w:val="24"/>
          <w:szCs w:val="24"/>
        </w:rPr>
        <w:t>(RUEC)</w:t>
      </w:r>
      <w:r>
        <w:rPr>
          <w:rStyle w:val="FootnoteReference"/>
          <w:b/>
          <w:noProof/>
        </w:rPr>
        <w:t xml:space="preserve"> </w:t>
      </w:r>
      <w:r>
        <w:rPr>
          <w:rStyle w:val="FootnoteReference"/>
          <w:b/>
          <w:noProof/>
        </w:rPr>
        <w:footnoteReference w:id="19"/>
      </w:r>
      <w:r>
        <w:rPr>
          <w:noProof/>
          <w:sz w:val="24"/>
          <w:szCs w:val="24"/>
        </w:rPr>
        <w:t xml:space="preserve"> together with Japan and the US. While the USA is constantly performing better than the EU, looking at updated data</w:t>
      </w:r>
      <w:r>
        <w:rPr>
          <w:rStyle w:val="FootnoteReference"/>
          <w:noProof/>
        </w:rPr>
        <w:footnoteReference w:id="20"/>
      </w:r>
      <w:r>
        <w:rPr>
          <w:noProof/>
          <w:sz w:val="24"/>
          <w:szCs w:val="24"/>
        </w:rPr>
        <w:t xml:space="preserve">, Japan has recently decoupled from the EU and increased its RUEC, mainly on the back of rising energy prices. China and Russia, on the other hand, score worse than the EU on a permanent basis (see </w:t>
      </w:r>
      <w:r>
        <w:rPr>
          <w:b/>
          <w:noProof/>
          <w:sz w:val="24"/>
          <w:szCs w:val="24"/>
        </w:rPr>
        <w:fldChar w:fldCharType="begin"/>
      </w:r>
      <w:r>
        <w:rPr>
          <w:b/>
          <w:noProof/>
          <w:sz w:val="24"/>
          <w:szCs w:val="24"/>
        </w:rPr>
        <w:instrText xml:space="preserve"> REF _Ref530589333 \h  \* MERGEFORMAT </w:instrText>
      </w:r>
      <w:r>
        <w:rPr>
          <w:b/>
          <w:noProof/>
          <w:sz w:val="24"/>
          <w:szCs w:val="24"/>
        </w:rPr>
      </w:r>
      <w:r>
        <w:rPr>
          <w:b/>
          <w:noProof/>
          <w:sz w:val="24"/>
          <w:szCs w:val="24"/>
        </w:rPr>
        <w:fldChar w:fldCharType="separate"/>
      </w:r>
      <w:r>
        <w:rPr>
          <w:b/>
          <w:noProof/>
          <w:sz w:val="24"/>
          <w:szCs w:val="24"/>
        </w:rPr>
        <w:t>Figure</w:t>
      </w:r>
      <w:r>
        <w:rPr>
          <w:b/>
          <w:noProof/>
        </w:rPr>
        <w:t xml:space="preserve"> 114</w:t>
      </w:r>
      <w:r>
        <w:rPr>
          <w:b/>
          <w:noProof/>
          <w:sz w:val="24"/>
          <w:szCs w:val="24"/>
        </w:rPr>
        <w:fldChar w:fldCharType="end"/>
      </w:r>
      <w:r>
        <w:rPr>
          <w:noProof/>
          <w:sz w:val="24"/>
          <w:szCs w:val="24"/>
        </w:rPr>
        <w:t>).</w:t>
      </w:r>
    </w:p>
    <w:p>
      <w:pPr>
        <w:rPr>
          <w:noProof/>
        </w:rPr>
      </w:pPr>
    </w:p>
    <w:p>
      <w:pPr>
        <w:jc w:val="center"/>
        <w:rPr>
          <w:noProof/>
        </w:rPr>
      </w:pPr>
      <w:r>
        <w:rPr>
          <w:noProof/>
          <w:lang w:eastAsia="en-GB"/>
        </w:rPr>
        <w:drawing>
          <wp:inline distT="0" distB="0" distL="0" distR="0">
            <wp:extent cx="5526889" cy="33039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50730" cy="3318169"/>
                    </a:xfrm>
                    <a:prstGeom prst="rect">
                      <a:avLst/>
                    </a:prstGeom>
                    <a:noFill/>
                    <a:ln>
                      <a:noFill/>
                    </a:ln>
                  </pic:spPr>
                </pic:pic>
              </a:graphicData>
            </a:graphic>
          </wp:inline>
        </w:drawing>
      </w:r>
    </w:p>
    <w:p>
      <w:pPr>
        <w:pStyle w:val="Caption"/>
      </w:pPr>
      <w:bookmarkStart w:id="92" w:name="_Ref530589333"/>
      <w:bookmarkStart w:id="93" w:name="_Toc530739782"/>
      <w:bookmarkStart w:id="94" w:name="_Toc531178505"/>
      <w:r>
        <w:t xml:space="preserve">Figure </w:t>
      </w:r>
      <w:r>
        <w:fldChar w:fldCharType="begin"/>
      </w:r>
      <w:r>
        <w:instrText xml:space="preserve"> SEQ Figure \* ARABIC </w:instrText>
      </w:r>
      <w:r>
        <w:fldChar w:fldCharType="separate"/>
      </w:r>
      <w:r>
        <w:t>114</w:t>
      </w:r>
      <w:r>
        <w:fldChar w:fldCharType="end"/>
      </w:r>
      <w:bookmarkEnd w:id="92"/>
      <w:r>
        <w:t xml:space="preserve"> - Real Unit Energy Cost - manufacturing excluding refining</w:t>
      </w:r>
      <w:bookmarkEnd w:id="93"/>
      <w:bookmarkEnd w:id="94"/>
    </w:p>
    <w:p>
      <w:pPr>
        <w:pStyle w:val="Sources"/>
        <w:rPr>
          <w:noProof/>
          <w:color w:val="1F497D"/>
        </w:rPr>
      </w:pPr>
      <w:r>
        <w:rPr>
          <w:noProof/>
        </w:rPr>
        <w:t>Source: DG JRC (own calculations based on WIOD) and DG ECFIN</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The Real Unit Energy Costs of the EU has remained broadly stable over the last 5 years.  However, a slight increase was recorded recently, especially due to higher energy prices. To a large extent these were offset by decreasing energy intensity of the European manufacturing sectors (</w:t>
      </w:r>
      <w:r>
        <w:rPr>
          <w:b/>
          <w:noProof/>
          <w:sz w:val="24"/>
          <w:szCs w:val="24"/>
        </w:rPr>
        <w:fldChar w:fldCharType="begin"/>
      </w:r>
      <w:r>
        <w:rPr>
          <w:b/>
          <w:noProof/>
          <w:sz w:val="24"/>
          <w:szCs w:val="24"/>
        </w:rPr>
        <w:instrText xml:space="preserve"> REF _Ref530646437 \h  \* MERGEFORMAT </w:instrText>
      </w:r>
      <w:r>
        <w:rPr>
          <w:b/>
          <w:noProof/>
          <w:sz w:val="24"/>
          <w:szCs w:val="24"/>
        </w:rPr>
      </w:r>
      <w:r>
        <w:rPr>
          <w:b/>
          <w:noProof/>
          <w:sz w:val="24"/>
          <w:szCs w:val="24"/>
        </w:rPr>
        <w:fldChar w:fldCharType="separate"/>
      </w:r>
      <w:r>
        <w:rPr>
          <w:b/>
          <w:noProof/>
          <w:sz w:val="24"/>
          <w:szCs w:val="24"/>
        </w:rPr>
        <w:t>Figure</w:t>
      </w:r>
      <w:r>
        <w:rPr>
          <w:b/>
          <w:noProof/>
        </w:rPr>
        <w:t xml:space="preserve"> 115</w:t>
      </w:r>
      <w:r>
        <w:rPr>
          <w:b/>
          <w:noProof/>
          <w:sz w:val="24"/>
          <w:szCs w:val="24"/>
        </w:rPr>
        <w:fldChar w:fldCharType="end"/>
      </w:r>
      <w:r>
        <w:rPr>
          <w:noProof/>
          <w:sz w:val="24"/>
          <w:szCs w:val="24"/>
        </w:rPr>
        <w:t>).</w:t>
      </w:r>
    </w:p>
    <w:p>
      <w:pPr>
        <w:pStyle w:val="ListParagraph"/>
        <w:spacing w:after="0"/>
        <w:ind w:left="0"/>
        <w:rPr>
          <w:noProof/>
          <w:sz w:val="24"/>
          <w:szCs w:val="24"/>
        </w:rPr>
      </w:pPr>
    </w:p>
    <w:p>
      <w:pPr>
        <w:pStyle w:val="ListParagraph"/>
        <w:spacing w:after="0"/>
        <w:ind w:left="0"/>
        <w:rPr>
          <w:noProof/>
          <w:sz w:val="24"/>
          <w:szCs w:val="24"/>
        </w:rPr>
      </w:pPr>
    </w:p>
    <w:p>
      <w:pPr>
        <w:pStyle w:val="ListParagraph"/>
        <w:spacing w:after="0"/>
        <w:ind w:left="0"/>
        <w:rPr>
          <w:noProof/>
          <w:sz w:val="24"/>
          <w:szCs w:val="24"/>
        </w:rPr>
      </w:pPr>
    </w:p>
    <w:p>
      <w:pPr>
        <w:pStyle w:val="ListParagraph"/>
        <w:spacing w:after="0"/>
        <w:ind w:left="0"/>
        <w:jc w:val="center"/>
        <w:rPr>
          <w:noProof/>
          <w:sz w:val="24"/>
          <w:szCs w:val="24"/>
        </w:rPr>
      </w:pPr>
      <w:r>
        <w:rPr>
          <w:noProof/>
          <w:lang w:eastAsia="en-GB"/>
        </w:rPr>
        <w:drawing>
          <wp:inline distT="0" distB="0" distL="0" distR="0">
            <wp:extent cx="5723622" cy="27669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5167" cy="2772532"/>
                    </a:xfrm>
                    <a:prstGeom prst="rect">
                      <a:avLst/>
                    </a:prstGeom>
                    <a:noFill/>
                    <a:ln>
                      <a:noFill/>
                    </a:ln>
                  </pic:spPr>
                </pic:pic>
              </a:graphicData>
            </a:graphic>
          </wp:inline>
        </w:drawing>
      </w:r>
    </w:p>
    <w:p>
      <w:pPr>
        <w:pStyle w:val="Caption"/>
        <w:rPr>
          <w:sz w:val="24"/>
          <w:szCs w:val="24"/>
        </w:rPr>
      </w:pPr>
      <w:bookmarkStart w:id="95" w:name="_Ref530646437"/>
      <w:bookmarkStart w:id="96" w:name="_Ref530646429"/>
      <w:bookmarkStart w:id="97" w:name="_Toc530739783"/>
      <w:bookmarkStart w:id="98" w:name="_Toc531178506"/>
      <w:r>
        <w:t xml:space="preserve">Figure </w:t>
      </w:r>
      <w:r>
        <w:fldChar w:fldCharType="begin"/>
      </w:r>
      <w:r>
        <w:instrText xml:space="preserve"> SEQ Figure \* ARABIC </w:instrText>
      </w:r>
      <w:r>
        <w:fldChar w:fldCharType="separate"/>
      </w:r>
      <w:r>
        <w:t>115</w:t>
      </w:r>
      <w:r>
        <w:fldChar w:fldCharType="end"/>
      </w:r>
      <w:bookmarkEnd w:id="95"/>
      <w:r>
        <w:t xml:space="preserve"> - Contribution to growth of RUEC by Real Prices and Energy Intensity</w:t>
      </w:r>
      <w:bookmarkEnd w:id="96"/>
      <w:bookmarkEnd w:id="97"/>
      <w:bookmarkEnd w:id="98"/>
    </w:p>
    <w:p>
      <w:pPr>
        <w:pStyle w:val="Sources"/>
        <w:rPr>
          <w:noProof/>
          <w:color w:val="1F497D"/>
        </w:rPr>
      </w:pPr>
      <w:r>
        <w:rPr>
          <w:noProof/>
        </w:rPr>
        <w:t>Source: DG JRC (own calculations based on WIOD) and DG ECFIN</w:t>
      </w:r>
    </w:p>
    <w:p>
      <w:pPr>
        <w:pStyle w:val="ListParagraph"/>
        <w:spacing w:after="0"/>
        <w:ind w:left="0"/>
        <w:rPr>
          <w:noProof/>
          <w:sz w:val="24"/>
          <w:szCs w:val="24"/>
        </w:rPr>
      </w:pPr>
    </w:p>
    <w:p>
      <w:pPr>
        <w:pStyle w:val="ListParagraph"/>
        <w:spacing w:after="0"/>
        <w:ind w:left="0"/>
        <w:rPr>
          <w:noProof/>
          <w:sz w:val="24"/>
          <w:szCs w:val="24"/>
        </w:rPr>
      </w:pPr>
    </w:p>
    <w:p>
      <w:pPr>
        <w:pStyle w:val="ListParagraph"/>
        <w:spacing w:after="0"/>
        <w:ind w:left="0"/>
        <w:rPr>
          <w:noProof/>
          <w:sz w:val="24"/>
          <w:szCs w:val="24"/>
        </w:rPr>
      </w:pPr>
      <w:r>
        <w:rPr>
          <w:noProof/>
          <w:sz w:val="24"/>
          <w:szCs w:val="24"/>
        </w:rPr>
        <w:t xml:space="preserve">The improvements of the EU industry in terms of energy intensity have helped to offset the increase in real energy prices. Compared to its world peers, EU manufacturers have developed best-of-class industrial processes in terms of energy efficiency and have continued to steadily improve their energy intensity levels. </w:t>
      </w:r>
    </w:p>
    <w:p>
      <w:pPr>
        <w:pStyle w:val="ListParagraph"/>
        <w:spacing w:after="0"/>
        <w:ind w:left="0"/>
        <w:rPr>
          <w:noProof/>
          <w:sz w:val="24"/>
          <w:szCs w:val="24"/>
          <w:highlight w:val="green"/>
        </w:rPr>
      </w:pPr>
    </w:p>
    <w:p>
      <w:pPr>
        <w:pStyle w:val="ListParagraph"/>
        <w:spacing w:after="0"/>
        <w:ind w:left="0"/>
        <w:rPr>
          <w:noProof/>
          <w:sz w:val="24"/>
          <w:szCs w:val="24"/>
        </w:rPr>
      </w:pPr>
      <w:r>
        <w:rPr>
          <w:noProof/>
          <w:sz w:val="24"/>
          <w:szCs w:val="24"/>
        </w:rPr>
        <w:t xml:space="preserve">The </w:t>
      </w:r>
      <w:r>
        <w:rPr>
          <w:b/>
          <w:noProof/>
          <w:sz w:val="24"/>
          <w:szCs w:val="24"/>
        </w:rPr>
        <w:t>relative share of energy in total factor production costs</w:t>
      </w:r>
      <w:r>
        <w:rPr>
          <w:noProof/>
          <w:sz w:val="24"/>
          <w:szCs w:val="24"/>
        </w:rPr>
        <w:t xml:space="preserve"> can be proxied by the share of energy products in total production value, as reported by the Structural Business Statistics (SBS) tables in Eurostat. This approach has </w:t>
      </w:r>
      <w:r>
        <w:rPr>
          <w:b/>
          <w:noProof/>
          <w:sz w:val="24"/>
          <w:szCs w:val="24"/>
        </w:rPr>
        <w:t>several important limitations</w:t>
      </w:r>
      <w:r>
        <w:rPr>
          <w:noProof/>
          <w:sz w:val="24"/>
          <w:szCs w:val="24"/>
        </w:rPr>
        <w:t xml:space="preserve">, listed in the </w:t>
      </w:r>
      <w:r>
        <w:rPr>
          <w:noProof/>
          <w:sz w:val="24"/>
        </w:rPr>
        <w:t xml:space="preserve">Box </w:t>
      </w:r>
      <w:r>
        <w:rPr>
          <w:noProof/>
          <w:sz w:val="24"/>
          <w:szCs w:val="24"/>
        </w:rPr>
        <w:t>at the end of this section, but remains the only viable one in terms of harmonised and publically available data.</w:t>
      </w:r>
    </w:p>
    <w:p>
      <w:pPr>
        <w:pStyle w:val="ListParagraph"/>
        <w:spacing w:after="0"/>
        <w:ind w:left="0"/>
        <w:rPr>
          <w:noProof/>
          <w:sz w:val="24"/>
          <w:szCs w:val="24"/>
        </w:rPr>
      </w:pPr>
    </w:p>
    <w:p>
      <w:pPr>
        <w:pStyle w:val="ListParagraph"/>
        <w:spacing w:after="0"/>
        <w:ind w:left="0"/>
        <w:rPr>
          <w:noProof/>
          <w:sz w:val="24"/>
          <w:szCs w:val="24"/>
        </w:rPr>
      </w:pPr>
      <w:r>
        <w:rPr>
          <w:b/>
          <w:noProof/>
          <w:sz w:val="24"/>
          <w:szCs w:val="24"/>
          <w:highlight w:val="yellow"/>
        </w:rPr>
        <w:fldChar w:fldCharType="begin"/>
      </w:r>
      <w:r>
        <w:rPr>
          <w:b/>
          <w:noProof/>
          <w:sz w:val="24"/>
          <w:szCs w:val="24"/>
          <w:highlight w:val="yellow"/>
        </w:rPr>
        <w:instrText xml:space="preserve"> REF _Ref526414308 \h  \* MERGEFORMAT </w:instrText>
      </w:r>
      <w:r>
        <w:rPr>
          <w:b/>
          <w:noProof/>
          <w:sz w:val="24"/>
          <w:szCs w:val="24"/>
          <w:highlight w:val="yellow"/>
        </w:rPr>
      </w:r>
      <w:r>
        <w:rPr>
          <w:b/>
          <w:noProof/>
          <w:sz w:val="24"/>
          <w:szCs w:val="24"/>
          <w:highlight w:val="yellow"/>
        </w:rPr>
        <w:fldChar w:fldCharType="separate"/>
      </w:r>
      <w:r>
        <w:rPr>
          <w:b/>
          <w:noProof/>
        </w:rPr>
        <w:t>Figure 116</w:t>
      </w:r>
      <w:r>
        <w:rPr>
          <w:b/>
          <w:noProof/>
          <w:sz w:val="24"/>
          <w:szCs w:val="24"/>
          <w:highlight w:val="yellow"/>
        </w:rPr>
        <w:fldChar w:fldCharType="end"/>
      </w:r>
      <w:r>
        <w:rPr>
          <w:b/>
          <w:noProof/>
          <w:sz w:val="24"/>
        </w:rPr>
        <w:t xml:space="preserve"> </w:t>
      </w:r>
      <w:r>
        <w:rPr>
          <w:noProof/>
          <w:sz w:val="24"/>
          <w:szCs w:val="24"/>
        </w:rPr>
        <w:t>shows the evolution of the share of energy-related costs in total production value in the broad classes of industry and services</w:t>
      </w:r>
      <w:r>
        <w:rPr>
          <w:rStyle w:val="FootnoteReference"/>
          <w:noProof/>
          <w:sz w:val="24"/>
          <w:szCs w:val="24"/>
        </w:rPr>
        <w:footnoteReference w:id="21"/>
      </w:r>
      <w:r>
        <w:rPr>
          <w:noProof/>
          <w:sz w:val="24"/>
          <w:szCs w:val="24"/>
        </w:rPr>
        <w:t>. On EU level, and for the last decade of observed data, this share has decreased from 1.5-1.7% to around 1.0%-1.3%.</w:t>
      </w:r>
    </w:p>
    <w:p>
      <w:pPr>
        <w:pStyle w:val="ListParagraph"/>
        <w:spacing w:after="0"/>
        <w:ind w:left="0"/>
        <w:rPr>
          <w:noProof/>
          <w:sz w:val="24"/>
          <w:szCs w:val="24"/>
          <w:highlight w:val="green"/>
        </w:rPr>
      </w:pPr>
    </w:p>
    <w:p>
      <w:pPr>
        <w:pStyle w:val="ListParagraph"/>
        <w:spacing w:after="0"/>
        <w:ind w:left="0"/>
        <w:rPr>
          <w:noProof/>
          <w:sz w:val="24"/>
          <w:szCs w:val="24"/>
        </w:rPr>
      </w:pPr>
      <w:r>
        <w:rPr>
          <w:noProof/>
          <w:lang w:eastAsia="en-GB"/>
        </w:rPr>
        <w:drawing>
          <wp:inline distT="0" distB="0" distL="0" distR="0">
            <wp:extent cx="5760720" cy="337705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3377058"/>
                    </a:xfrm>
                    <a:prstGeom prst="rect">
                      <a:avLst/>
                    </a:prstGeom>
                  </pic:spPr>
                </pic:pic>
              </a:graphicData>
            </a:graphic>
          </wp:inline>
        </w:drawing>
      </w:r>
    </w:p>
    <w:p>
      <w:pPr>
        <w:pStyle w:val="Caption"/>
      </w:pPr>
      <w:bookmarkStart w:id="99" w:name="_Ref526414308"/>
      <w:bookmarkStart w:id="100" w:name="_Toc526433476"/>
      <w:bookmarkStart w:id="101" w:name="_Toc526433754"/>
      <w:bookmarkStart w:id="102" w:name="_Toc526435696"/>
      <w:bookmarkStart w:id="103" w:name="_Toc530739784"/>
      <w:bookmarkStart w:id="104" w:name="_Toc531178507"/>
      <w:r>
        <w:t xml:space="preserve">Figure </w:t>
      </w:r>
      <w:r>
        <w:fldChar w:fldCharType="begin"/>
      </w:r>
      <w:r>
        <w:instrText xml:space="preserve"> SEQ Figure \* ARABIC </w:instrText>
      </w:r>
      <w:r>
        <w:fldChar w:fldCharType="separate"/>
      </w:r>
      <w:r>
        <w:t>116</w:t>
      </w:r>
      <w:r>
        <w:fldChar w:fldCharType="end"/>
      </w:r>
      <w:bookmarkEnd w:id="99"/>
      <w:r>
        <w:t xml:space="preserve"> - Evolution of energy costs shares in production value</w:t>
      </w:r>
      <w:bookmarkEnd w:id="100"/>
      <w:bookmarkEnd w:id="101"/>
      <w:bookmarkEnd w:id="102"/>
      <w:bookmarkEnd w:id="103"/>
      <w:bookmarkEnd w:id="104"/>
    </w:p>
    <w:p>
      <w:pPr>
        <w:pStyle w:val="ListParagraph"/>
        <w:spacing w:after="0"/>
        <w:ind w:left="0"/>
        <w:rPr>
          <w:noProof/>
          <w:sz w:val="20"/>
          <w:szCs w:val="20"/>
        </w:rPr>
      </w:pPr>
      <w:r>
        <w:rPr>
          <w:noProof/>
          <w:sz w:val="20"/>
          <w:szCs w:val="20"/>
        </w:rPr>
        <w:t xml:space="preserve">Notes: </w:t>
      </w:r>
    </w:p>
    <w:p>
      <w:pPr>
        <w:pStyle w:val="ListParagraph"/>
        <w:spacing w:after="0"/>
        <w:ind w:left="0"/>
        <w:rPr>
          <w:noProof/>
          <w:sz w:val="20"/>
          <w:szCs w:val="20"/>
        </w:rPr>
      </w:pPr>
      <w:r>
        <w:rPr>
          <w:noProof/>
          <w:sz w:val="20"/>
          <w:szCs w:val="20"/>
        </w:rPr>
        <w:t>1. Data for Malta (prior to 2016), Poland (prior to 2015), Slovenia (prior to 2012) and Greece (prior to 2008) is not available. Data for Denmark, Sweden and the United Kingdom for 2016 was missing by the time of extraction</w:t>
      </w:r>
    </w:p>
    <w:p>
      <w:pPr>
        <w:pStyle w:val="ListParagraph"/>
        <w:spacing w:after="0"/>
        <w:ind w:left="0"/>
        <w:rPr>
          <w:noProof/>
          <w:sz w:val="24"/>
          <w:szCs w:val="24"/>
        </w:rPr>
      </w:pPr>
    </w:p>
    <w:p>
      <w:pPr>
        <w:pStyle w:val="ListParagraph"/>
        <w:spacing w:after="0"/>
        <w:ind w:left="0"/>
        <w:rPr>
          <w:noProof/>
          <w:sz w:val="24"/>
          <w:szCs w:val="24"/>
        </w:rPr>
      </w:pPr>
    </w:p>
    <w:p>
      <w:pPr>
        <w:pStyle w:val="ListParagraph"/>
        <w:spacing w:after="0"/>
        <w:ind w:left="0"/>
        <w:rPr>
          <w:noProof/>
          <w:sz w:val="24"/>
          <w:szCs w:val="24"/>
        </w:rPr>
      </w:pPr>
      <w:r>
        <w:rPr>
          <w:b/>
          <w:noProof/>
          <w:sz w:val="24"/>
          <w:szCs w:val="24"/>
          <w:highlight w:val="yellow"/>
        </w:rPr>
        <w:fldChar w:fldCharType="begin"/>
      </w:r>
      <w:r>
        <w:rPr>
          <w:b/>
          <w:noProof/>
          <w:sz w:val="24"/>
          <w:szCs w:val="24"/>
          <w:highlight w:val="yellow"/>
        </w:rPr>
        <w:instrText xml:space="preserve"> REF _Ref526414721 \h  \* MERGEFORMAT </w:instrText>
      </w:r>
      <w:r>
        <w:rPr>
          <w:b/>
          <w:noProof/>
          <w:sz w:val="24"/>
          <w:szCs w:val="24"/>
          <w:highlight w:val="yellow"/>
        </w:rPr>
      </w:r>
      <w:r>
        <w:rPr>
          <w:b/>
          <w:noProof/>
          <w:sz w:val="24"/>
          <w:szCs w:val="24"/>
          <w:highlight w:val="yellow"/>
        </w:rPr>
        <w:fldChar w:fldCharType="separate"/>
      </w:r>
      <w:r>
        <w:rPr>
          <w:b/>
          <w:noProof/>
          <w:sz w:val="24"/>
          <w:szCs w:val="24"/>
        </w:rPr>
        <w:t>Figure 117</w:t>
      </w:r>
      <w:r>
        <w:rPr>
          <w:b/>
          <w:noProof/>
          <w:sz w:val="24"/>
          <w:szCs w:val="24"/>
          <w:highlight w:val="yellow"/>
        </w:rPr>
        <w:fldChar w:fldCharType="end"/>
      </w:r>
      <w:r>
        <w:rPr>
          <w:b/>
          <w:noProof/>
          <w:sz w:val="24"/>
          <w:szCs w:val="24"/>
        </w:rPr>
        <w:t xml:space="preserve"> </w:t>
      </w:r>
      <w:r>
        <w:rPr>
          <w:noProof/>
          <w:sz w:val="24"/>
          <w:szCs w:val="24"/>
        </w:rPr>
        <w:t>represents the share of energy-related costs for the manufacturing sector and across the EU Member States. Throughout the 2008-2016 period, and where data is available, the energy share has gradually decreased for the majority of Member States. On EU level, it went from 2.2%-2.5% at the beginning of the period to 1.5%-2.0% at the end. Member States with relatively smaller size would typically present a higher and more oscillating share than average; probably pointing to the fact that these economies have a relatively less diversified portfolio of manufacturing industries centred mainly on more energy-intensive sectors.</w:t>
      </w:r>
    </w:p>
    <w:p>
      <w:pPr>
        <w:pStyle w:val="ListParagraph"/>
        <w:spacing w:after="0"/>
        <w:ind w:left="0"/>
        <w:rPr>
          <w:noProof/>
          <w:sz w:val="24"/>
          <w:szCs w:val="24"/>
        </w:rPr>
      </w:pPr>
    </w:p>
    <w:p>
      <w:pPr>
        <w:pStyle w:val="ListParagraph"/>
        <w:spacing w:after="0"/>
        <w:ind w:left="0"/>
        <w:rPr>
          <w:noProof/>
          <w:sz w:val="24"/>
          <w:szCs w:val="24"/>
        </w:rPr>
      </w:pPr>
    </w:p>
    <w:p>
      <w:pPr>
        <w:pStyle w:val="ListParagraph"/>
        <w:spacing w:after="0"/>
        <w:ind w:left="0"/>
        <w:rPr>
          <w:noProof/>
          <w:sz w:val="24"/>
          <w:szCs w:val="24"/>
        </w:rPr>
      </w:pPr>
      <w:r>
        <w:rPr>
          <w:noProof/>
          <w:lang w:eastAsia="en-GB"/>
        </w:rPr>
        <w:drawing>
          <wp:inline distT="0" distB="0" distL="0" distR="0">
            <wp:extent cx="5760720" cy="3367259"/>
            <wp:effectExtent l="0" t="0" r="0" b="508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3367259"/>
                    </a:xfrm>
                    <a:prstGeom prst="rect">
                      <a:avLst/>
                    </a:prstGeom>
                  </pic:spPr>
                </pic:pic>
              </a:graphicData>
            </a:graphic>
          </wp:inline>
        </w:drawing>
      </w:r>
    </w:p>
    <w:p>
      <w:pPr>
        <w:pStyle w:val="Caption"/>
      </w:pPr>
      <w:bookmarkStart w:id="105" w:name="_Ref526414721"/>
      <w:bookmarkStart w:id="106" w:name="_Toc526433477"/>
      <w:bookmarkStart w:id="107" w:name="_Toc526433755"/>
      <w:bookmarkStart w:id="108" w:name="_Toc526435697"/>
      <w:bookmarkStart w:id="109" w:name="_Toc530739785"/>
      <w:bookmarkStart w:id="110" w:name="_Toc531178508"/>
      <w:r>
        <w:t xml:space="preserve">Figure </w:t>
      </w:r>
      <w:r>
        <w:fldChar w:fldCharType="begin"/>
      </w:r>
      <w:r>
        <w:instrText xml:space="preserve"> SEQ Figure \* ARABIC </w:instrText>
      </w:r>
      <w:r>
        <w:fldChar w:fldCharType="separate"/>
      </w:r>
      <w:r>
        <w:t>117</w:t>
      </w:r>
      <w:r>
        <w:fldChar w:fldCharType="end"/>
      </w:r>
      <w:bookmarkEnd w:id="105"/>
      <w:r>
        <w:t xml:space="preserve"> - Evolution of energy costs shars in production value for Manufacturing</w:t>
      </w:r>
      <w:bookmarkEnd w:id="106"/>
      <w:bookmarkEnd w:id="107"/>
      <w:bookmarkEnd w:id="108"/>
      <w:bookmarkEnd w:id="109"/>
      <w:bookmarkEnd w:id="110"/>
      <w:r>
        <w:t xml:space="preserve"> </w:t>
      </w:r>
    </w:p>
    <w:p>
      <w:pPr>
        <w:pStyle w:val="ListParagraph"/>
        <w:spacing w:after="0"/>
        <w:ind w:left="0"/>
        <w:rPr>
          <w:noProof/>
          <w:sz w:val="20"/>
          <w:szCs w:val="20"/>
        </w:rPr>
      </w:pPr>
      <w:r>
        <w:rPr>
          <w:noProof/>
          <w:sz w:val="20"/>
          <w:szCs w:val="20"/>
        </w:rPr>
        <w:t xml:space="preserve">Notes: </w:t>
      </w:r>
    </w:p>
    <w:p>
      <w:pPr>
        <w:pStyle w:val="ListParagraph"/>
        <w:spacing w:after="0"/>
        <w:ind w:left="0"/>
        <w:rPr>
          <w:noProof/>
          <w:sz w:val="20"/>
          <w:szCs w:val="20"/>
        </w:rPr>
      </w:pPr>
      <w:r>
        <w:rPr>
          <w:noProof/>
          <w:sz w:val="20"/>
          <w:szCs w:val="20"/>
        </w:rPr>
        <w:t>1. Data for Malta (prior to 2016), Poland (prior to 2015), Slovenia (prior to 2012) and Greece (prior to 2008) is not available. Data for Denmark, Sweden and the United Kingdom for 2016 was missing by the time of extraction</w:t>
      </w:r>
    </w:p>
    <w:p>
      <w:pPr>
        <w:pStyle w:val="ListParagraph"/>
        <w:spacing w:after="0"/>
        <w:ind w:left="0"/>
        <w:rPr>
          <w:noProof/>
          <w:sz w:val="24"/>
          <w:szCs w:val="24"/>
        </w:rPr>
      </w:pPr>
    </w:p>
    <w:p>
      <w:pPr>
        <w:pStyle w:val="ListParagraph"/>
        <w:spacing w:after="0"/>
        <w:ind w:left="0"/>
        <w:rPr>
          <w:noProof/>
          <w:sz w:val="24"/>
          <w:szCs w:val="24"/>
        </w:rPr>
      </w:pPr>
    </w:p>
    <w:p>
      <w:pPr>
        <w:rPr>
          <w:noProof/>
          <w:sz w:val="24"/>
          <w:szCs w:val="24"/>
        </w:rPr>
      </w:pPr>
      <w:r>
        <w:rPr>
          <w:noProof/>
          <w:sz w:val="24"/>
          <w:szCs w:val="24"/>
        </w:rPr>
        <w:br w:type="page"/>
      </w:r>
    </w:p>
    <w:p>
      <w:pPr>
        <w:pStyle w:val="ListParagraph"/>
        <w:spacing w:after="0"/>
        <w:ind w:left="0"/>
        <w:rPr>
          <w:noProof/>
          <w:sz w:val="24"/>
          <w:szCs w:val="24"/>
        </w:rPr>
      </w:pPr>
    </w:p>
    <w:p>
      <w:pPr>
        <w:pStyle w:val="ListParagraph"/>
        <w:spacing w:after="0"/>
        <w:ind w:left="0"/>
        <w:jc w:val="center"/>
        <w:rPr>
          <w:b/>
          <w:noProof/>
          <w:sz w:val="20"/>
          <w:szCs w:val="20"/>
        </w:rPr>
      </w:pPr>
      <w:r>
        <w:rPr>
          <w:b/>
          <w:noProof/>
          <w:sz w:val="20"/>
          <w:szCs w:val="20"/>
        </w:rPr>
        <w:t>Box- Data limitations</w:t>
      </w:r>
    </w:p>
    <w:tbl>
      <w:tblPr>
        <w:tblStyle w:val="TableGrid"/>
        <w:tblW w:w="0" w:type="auto"/>
        <w:tblLook w:val="04A0" w:firstRow="1" w:lastRow="0" w:firstColumn="1" w:lastColumn="0" w:noHBand="0" w:noVBand="1"/>
      </w:tblPr>
      <w:tblGrid>
        <w:gridCol w:w="9288"/>
      </w:tblGrid>
      <w:tr>
        <w:tc>
          <w:tcPr>
            <w:tcW w:w="9288" w:type="dxa"/>
          </w:tcPr>
          <w:p>
            <w:pPr>
              <w:pStyle w:val="ListParagraph"/>
              <w:ind w:left="0"/>
              <w:rPr>
                <w:noProof/>
                <w:sz w:val="24"/>
                <w:szCs w:val="24"/>
              </w:rPr>
            </w:pPr>
          </w:p>
          <w:p>
            <w:pPr>
              <w:pStyle w:val="ListParagraph"/>
              <w:numPr>
                <w:ilvl w:val="0"/>
                <w:numId w:val="24"/>
              </w:numPr>
              <w:spacing w:before="120" w:after="240"/>
              <w:ind w:right="432"/>
              <w:rPr>
                <w:noProof/>
                <w:sz w:val="24"/>
                <w:szCs w:val="24"/>
              </w:rPr>
            </w:pPr>
            <w:r>
              <w:rPr>
                <w:noProof/>
                <w:sz w:val="24"/>
                <w:szCs w:val="24"/>
              </w:rPr>
              <w:t xml:space="preserve">There is no one-on-one mapping between the economic indicators of SBS and the profit and loss account of real companies; </w:t>
            </w:r>
          </w:p>
          <w:p>
            <w:pPr>
              <w:pStyle w:val="ListParagraph"/>
              <w:spacing w:before="120" w:after="240"/>
              <w:ind w:right="432"/>
              <w:rPr>
                <w:noProof/>
                <w:sz w:val="24"/>
                <w:szCs w:val="24"/>
              </w:rPr>
            </w:pPr>
          </w:p>
          <w:p>
            <w:pPr>
              <w:pStyle w:val="ListParagraph"/>
              <w:numPr>
                <w:ilvl w:val="0"/>
                <w:numId w:val="24"/>
              </w:numPr>
              <w:spacing w:before="120" w:after="240"/>
              <w:ind w:right="432"/>
              <w:rPr>
                <w:noProof/>
                <w:sz w:val="24"/>
                <w:szCs w:val="24"/>
              </w:rPr>
            </w:pPr>
            <w:r>
              <w:rPr>
                <w:noProof/>
                <w:sz w:val="24"/>
                <w:szCs w:val="24"/>
              </w:rPr>
              <w:t>Capital expenditure (CAPEX) is difficult to collect in SBS, forcing the estimation of the energy component to rely solely on operating expenditure (OPEX); as a result the provided estimation is not assessing the long term investment and cannot determine the relative share of investment in improved energy performance tools over the total stock of investment;</w:t>
            </w:r>
          </w:p>
          <w:p>
            <w:pPr>
              <w:pStyle w:val="ListParagraph"/>
              <w:spacing w:before="120" w:after="240"/>
              <w:ind w:right="432"/>
              <w:rPr>
                <w:noProof/>
                <w:sz w:val="24"/>
                <w:szCs w:val="24"/>
              </w:rPr>
            </w:pPr>
          </w:p>
          <w:p>
            <w:pPr>
              <w:pStyle w:val="ListParagraph"/>
              <w:numPr>
                <w:ilvl w:val="0"/>
                <w:numId w:val="24"/>
              </w:numPr>
              <w:spacing w:before="120" w:after="240"/>
              <w:ind w:right="432"/>
              <w:rPr>
                <w:noProof/>
                <w:sz w:val="24"/>
                <w:szCs w:val="24"/>
              </w:rPr>
            </w:pPr>
            <w:r>
              <w:rPr>
                <w:noProof/>
                <w:sz w:val="24"/>
                <w:szCs w:val="24"/>
              </w:rPr>
              <w:t>The purchases of energy product data is available only for NACE Rev. 2 sections B (Mining and quarrying), C (Manufacturing), D (Electricity, gas, steam and air conditioning supply) and E (Water supply, sewerage, waste management and remediation activities). It is not available for important industrial such as Section F (Construction) and energy intensive sections such as H (Transportation and storage). More importantly, it is not available for all services sectors. According to the 2015 Commission report on single market integration and competitiveness, the relative share of the services sector in the 2014 Total Value Added in the EU 28 stood at almost 75%, as opposed to 15% for Manufacturing.</w:t>
            </w:r>
          </w:p>
          <w:p>
            <w:pPr>
              <w:pStyle w:val="ListParagraph"/>
              <w:spacing w:before="120" w:after="240"/>
              <w:ind w:right="432"/>
              <w:rPr>
                <w:noProof/>
                <w:sz w:val="24"/>
                <w:szCs w:val="24"/>
              </w:rPr>
            </w:pPr>
          </w:p>
          <w:p>
            <w:pPr>
              <w:pStyle w:val="ListParagraph"/>
              <w:numPr>
                <w:ilvl w:val="0"/>
                <w:numId w:val="24"/>
              </w:numPr>
              <w:spacing w:before="120" w:after="240"/>
              <w:ind w:right="432"/>
              <w:rPr>
                <w:rFonts w:ascii="Courier New" w:hAnsi="Courier New" w:cs="Courier New"/>
                <w:noProof/>
                <w:sz w:val="24"/>
                <w:szCs w:val="24"/>
              </w:rPr>
            </w:pPr>
            <w:r>
              <w:rPr>
                <w:noProof/>
                <w:sz w:val="24"/>
                <w:szCs w:val="24"/>
              </w:rPr>
              <w:t>Based on the definition of the Commission Regulation (EC) No 250/2009, the structural business statistics (SBS) code "20 11 0 Purchases of energy products" includes only energy products which are purchased to be used as a fuel. Energy products purchased as a raw material or for resale without transformation (such as crude oil) are excluded.</w:t>
            </w:r>
          </w:p>
          <w:p>
            <w:pPr>
              <w:pStyle w:val="ListParagraph"/>
              <w:spacing w:before="120"/>
              <w:ind w:right="432"/>
              <w:rPr>
                <w:noProof/>
                <w:sz w:val="24"/>
                <w:szCs w:val="24"/>
              </w:rPr>
            </w:pPr>
          </w:p>
        </w:tc>
      </w:tr>
    </w:tbl>
    <w:p>
      <w:pPr>
        <w:pStyle w:val="ListParagraph"/>
        <w:spacing w:after="0"/>
        <w:ind w:left="0"/>
        <w:rPr>
          <w:noProof/>
          <w:sz w:val="24"/>
          <w:szCs w:val="24"/>
        </w:rPr>
      </w:pPr>
    </w:p>
    <w:p>
      <w:pPr>
        <w:pStyle w:val="ListParagraph"/>
        <w:spacing w:after="0"/>
        <w:ind w:left="0"/>
        <w:rPr>
          <w:noProof/>
          <w:sz w:val="24"/>
          <w:szCs w:val="24"/>
        </w:rPr>
      </w:pPr>
    </w:p>
    <w:p>
      <w:pPr>
        <w:rPr>
          <w:noProof/>
          <w:sz w:val="24"/>
          <w:szCs w:val="24"/>
        </w:rPr>
      </w:pPr>
      <w:r>
        <w:rPr>
          <w:noProof/>
          <w:sz w:val="24"/>
          <w:szCs w:val="24"/>
        </w:rPr>
        <w:br w:type="page"/>
      </w:r>
    </w:p>
    <w:p>
      <w:pPr>
        <w:rPr>
          <w:noProof/>
          <w:sz w:val="24"/>
          <w:szCs w:val="24"/>
          <w:highlight w:val="green"/>
        </w:rPr>
      </w:pPr>
    </w:p>
    <w:p>
      <w:pPr>
        <w:jc w:val="center"/>
        <w:rPr>
          <w:b/>
          <w:noProof/>
        </w:rPr>
      </w:pPr>
      <w:r>
        <w:rPr>
          <w:b/>
          <w:noProof/>
        </w:rPr>
        <w:t xml:space="preserve">Methodological note </w:t>
      </w:r>
    </w:p>
    <w:p>
      <w:pPr>
        <w:jc w:val="center"/>
        <w:rPr>
          <w:b/>
          <w:noProof/>
        </w:rPr>
      </w:pPr>
      <w:r>
        <w:rPr>
          <w:b/>
          <w:noProof/>
          <w:sz w:val="24"/>
          <w:szCs w:val="24"/>
        </w:rPr>
        <w:t xml:space="preserve">Structure, parameters and factors of competitiveness in WEF, IMD and FI indices </w:t>
      </w:r>
    </w:p>
    <w:p>
      <w:pPr>
        <w:rPr>
          <w:noProof/>
        </w:rPr>
      </w:pPr>
    </w:p>
    <w:tbl>
      <w:tblPr>
        <w:tblStyle w:val="LightShading"/>
        <w:tblW w:w="9322" w:type="dxa"/>
        <w:tblLayout w:type="fixed"/>
        <w:tblLook w:val="04A0" w:firstRow="1" w:lastRow="0" w:firstColumn="1" w:lastColumn="0" w:noHBand="0" w:noVBand="1"/>
      </w:tblPr>
      <w:tblGrid>
        <w:gridCol w:w="3107"/>
        <w:gridCol w:w="3107"/>
        <w:gridCol w:w="310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pPr>
              <w:rPr>
                <w:noProof/>
                <w:sz w:val="24"/>
                <w:szCs w:val="24"/>
              </w:rPr>
            </w:pPr>
            <w:r>
              <w:rPr>
                <w:noProof/>
                <w:lang w:eastAsia="en-GB"/>
              </w:rPr>
              <w:drawing>
                <wp:inline distT="0" distB="0" distL="0" distR="0">
                  <wp:extent cx="1876301" cy="62891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881187" cy="6305550"/>
                          </a:xfrm>
                          <a:prstGeom prst="rect">
                            <a:avLst/>
                          </a:prstGeom>
                        </pic:spPr>
                      </pic:pic>
                    </a:graphicData>
                  </a:graphic>
                </wp:inline>
              </w:drawing>
            </w:r>
          </w:p>
        </w:tc>
        <w:tc>
          <w:tcPr>
            <w:tcW w:w="3107" w:type="dxa"/>
          </w:tcPr>
          <w:p>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drawing>
                <wp:inline distT="0" distB="0" distL="0" distR="0">
                  <wp:extent cx="1757548" cy="3817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758492" cy="3819525"/>
                          </a:xfrm>
                          <a:prstGeom prst="rect">
                            <a:avLst/>
                          </a:prstGeom>
                        </pic:spPr>
                      </pic:pic>
                    </a:graphicData>
                  </a:graphic>
                </wp:inline>
              </w:drawing>
            </w:r>
          </w:p>
        </w:tc>
        <w:tc>
          <w:tcPr>
            <w:tcW w:w="3108" w:type="dxa"/>
          </w:tcPr>
          <w:p>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drawing>
                <wp:inline distT="0" distB="0" distL="0" distR="0">
                  <wp:extent cx="1840676" cy="5346608"/>
                  <wp:effectExtent l="0" t="0" r="762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843513" cy="5354850"/>
                          </a:xfrm>
                          <a:prstGeom prst="rect">
                            <a:avLst/>
                          </a:prstGeom>
                        </pic:spPr>
                      </pic:pic>
                    </a:graphicData>
                  </a:graphic>
                </wp:inline>
              </w:drawing>
            </w:r>
          </w:p>
        </w:tc>
      </w:tr>
    </w:tbl>
    <w:p>
      <w:pPr>
        <w:rPr>
          <w:noProof/>
        </w:rPr>
      </w:pPr>
    </w:p>
    <w:p>
      <w:pPr>
        <w:spacing w:after="0"/>
        <w:jc w:val="left"/>
        <w:rPr>
          <w:noProof/>
        </w:rPr>
      </w:pPr>
      <w:r>
        <w:rPr>
          <w:noProof/>
        </w:rPr>
        <w:br w:type="page"/>
      </w:r>
    </w:p>
    <w:p>
      <w:pPr>
        <w:rPr>
          <w:noProof/>
        </w:rPr>
      </w:pPr>
    </w:p>
    <w:p>
      <w:pPr>
        <w:pStyle w:val="Heading2"/>
        <w:numPr>
          <w:ilvl w:val="1"/>
          <w:numId w:val="1"/>
        </w:numPr>
        <w:rPr>
          <w:noProof/>
        </w:rPr>
      </w:pPr>
      <w:bookmarkStart w:id="111" w:name="_Toc524619521"/>
      <w:bookmarkStart w:id="112" w:name="_Toc524961068"/>
      <w:bookmarkStart w:id="113" w:name="_Toc525143029"/>
      <w:bookmarkStart w:id="114" w:name="_Toc525222186"/>
      <w:bookmarkStart w:id="115" w:name="_Toc525222355"/>
      <w:bookmarkStart w:id="116" w:name="_Toc526420752"/>
      <w:bookmarkStart w:id="117" w:name="_Toc526433978"/>
      <w:bookmarkStart w:id="118" w:name="_Toc526435920"/>
      <w:bookmarkStart w:id="119" w:name="_Ref526863022"/>
      <w:bookmarkStart w:id="120" w:name="_Toc530595250"/>
      <w:bookmarkStart w:id="121" w:name="_Toc531178329"/>
      <w:r>
        <w:rPr>
          <w:noProof/>
        </w:rPr>
        <w:t>Energy costs for industry</w:t>
      </w:r>
      <w:bookmarkEnd w:id="27"/>
      <w:bookmarkEnd w:id="111"/>
      <w:bookmarkEnd w:id="112"/>
      <w:bookmarkEnd w:id="113"/>
      <w:bookmarkEnd w:id="114"/>
      <w:bookmarkEnd w:id="115"/>
      <w:bookmarkEnd w:id="116"/>
      <w:bookmarkEnd w:id="117"/>
      <w:bookmarkEnd w:id="118"/>
      <w:bookmarkEnd w:id="119"/>
      <w:bookmarkEnd w:id="120"/>
      <w:bookmarkEnd w:id="121"/>
    </w:p>
    <w:p>
      <w:pPr>
        <w:rPr>
          <w:noProof/>
        </w:rPr>
      </w:pPr>
      <w:bookmarkStart w:id="122" w:name="_Toc468890476"/>
    </w:p>
    <w:p>
      <w:pPr>
        <w:jc w:val="left"/>
        <w:rPr>
          <w:b/>
          <w:noProof/>
          <w:sz w:val="24"/>
          <w:szCs w:val="24"/>
        </w:rPr>
      </w:pPr>
      <w:r>
        <w:rPr>
          <w:b/>
          <w:noProof/>
          <w:sz w:val="24"/>
          <w:szCs w:val="24"/>
        </w:rPr>
        <w:t>Sources, scope and methodology</w:t>
      </w:r>
    </w:p>
    <w:p>
      <w:pPr>
        <w:rPr>
          <w:noProof/>
          <w:sz w:val="24"/>
          <w:szCs w:val="24"/>
        </w:rPr>
      </w:pPr>
      <w:r>
        <w:rPr>
          <w:noProof/>
          <w:sz w:val="24"/>
          <w:szCs w:val="24"/>
        </w:rPr>
        <w:t xml:space="preserve">The following sections of this chapter mainly rely on findings from studies commissioned by the European Commission to external consultants. The main source for this chapter is the study on </w:t>
      </w:r>
      <w:r>
        <w:rPr>
          <w:i/>
          <w:noProof/>
          <w:sz w:val="24"/>
          <w:szCs w:val="24"/>
        </w:rPr>
        <w:t xml:space="preserve">'Energy prices, costs and subsidies and their impact on industry and households' </w:t>
      </w:r>
      <w:r>
        <w:rPr>
          <w:noProof/>
          <w:sz w:val="24"/>
          <w:szCs w:val="24"/>
        </w:rPr>
        <w:t>by Trinomics et altri</w:t>
      </w:r>
      <w:r>
        <w:rPr>
          <w:rStyle w:val="FootnoteReference"/>
          <w:noProof/>
          <w:sz w:val="24"/>
          <w:szCs w:val="24"/>
        </w:rPr>
        <w:footnoteReference w:id="22"/>
      </w:r>
      <w:r>
        <w:rPr>
          <w:noProof/>
          <w:sz w:val="24"/>
          <w:szCs w:val="24"/>
        </w:rPr>
        <w:t xml:space="preserve"> (2018), onwards </w:t>
      </w:r>
      <w:r>
        <w:rPr>
          <w:i/>
          <w:noProof/>
          <w:sz w:val="24"/>
          <w:szCs w:val="24"/>
        </w:rPr>
        <w:t>study by Trinomics</w:t>
      </w:r>
      <w:r>
        <w:rPr>
          <w:noProof/>
          <w:sz w:val="24"/>
          <w:szCs w:val="24"/>
        </w:rPr>
        <w:t xml:space="preserve">, which provides data and analyses on a wide range of manufacturing sectors and other relevant economic sectors (30 manufacturing sectors, including 15 energy intensive industries </w:t>
      </w:r>
      <w:r>
        <w:rPr>
          <w:i/>
          <w:noProof/>
          <w:sz w:val="24"/>
          <w:szCs w:val="24"/>
        </w:rPr>
        <w:t>plus</w:t>
      </w:r>
      <w:r>
        <w:rPr>
          <w:noProof/>
          <w:sz w:val="24"/>
          <w:szCs w:val="24"/>
        </w:rPr>
        <w:t xml:space="preserve"> 14 sectors from agriculture, extractive and services). The study on </w:t>
      </w:r>
      <w:r>
        <w:rPr>
          <w:i/>
          <w:noProof/>
          <w:sz w:val="24"/>
          <w:szCs w:val="24"/>
        </w:rPr>
        <w:t>'Composition and drivers of Energy: case studies in selected Energy Intensive Industries'</w:t>
      </w:r>
      <w:r>
        <w:rPr>
          <w:noProof/>
          <w:sz w:val="24"/>
          <w:szCs w:val="24"/>
        </w:rPr>
        <w:t xml:space="preserve"> by CEPS and Ecofys (2018)</w:t>
      </w:r>
      <w:r>
        <w:rPr>
          <w:rStyle w:val="FootnoteReference"/>
          <w:noProof/>
          <w:sz w:val="24"/>
          <w:szCs w:val="24"/>
        </w:rPr>
        <w:footnoteReference w:id="23"/>
      </w:r>
      <w:r>
        <w:rPr>
          <w:noProof/>
          <w:sz w:val="24"/>
          <w:szCs w:val="24"/>
        </w:rPr>
        <w:t xml:space="preserve">, onwards the </w:t>
      </w:r>
      <w:r>
        <w:rPr>
          <w:i/>
          <w:noProof/>
          <w:sz w:val="24"/>
          <w:szCs w:val="24"/>
        </w:rPr>
        <w:t>study by CEPS</w:t>
      </w:r>
      <w:r>
        <w:rPr>
          <w:noProof/>
          <w:sz w:val="24"/>
          <w:szCs w:val="24"/>
        </w:rPr>
        <w:t>, is the other main source for this chapter and focuses on case studies of 8 energy intensive subsectors.</w:t>
      </w:r>
    </w:p>
    <w:p>
      <w:pPr>
        <w:rPr>
          <w:noProof/>
          <w:sz w:val="24"/>
          <w:szCs w:val="24"/>
        </w:rPr>
      </w:pPr>
      <w:r>
        <w:rPr>
          <w:noProof/>
          <w:sz w:val="24"/>
          <w:szCs w:val="24"/>
        </w:rPr>
        <w:t xml:space="preserve">The </w:t>
      </w:r>
      <w:r>
        <w:rPr>
          <w:b/>
          <w:noProof/>
          <w:sz w:val="24"/>
          <w:szCs w:val="24"/>
        </w:rPr>
        <w:t>methodology</w:t>
      </w:r>
      <w:r>
        <w:rPr>
          <w:noProof/>
          <w:sz w:val="24"/>
          <w:szCs w:val="24"/>
        </w:rPr>
        <w:t xml:space="preserve"> of both studies is different but complementary. The </w:t>
      </w:r>
      <w:r>
        <w:rPr>
          <w:i/>
          <w:noProof/>
          <w:sz w:val="24"/>
          <w:szCs w:val="24"/>
        </w:rPr>
        <w:t>study by Trinomics et altri</w:t>
      </w:r>
      <w:r>
        <w:rPr>
          <w:noProof/>
          <w:sz w:val="24"/>
          <w:szCs w:val="24"/>
        </w:rPr>
        <w:t xml:space="preserve"> follows a </w:t>
      </w:r>
      <w:r>
        <w:rPr>
          <w:i/>
          <w:noProof/>
          <w:sz w:val="24"/>
          <w:szCs w:val="24"/>
        </w:rPr>
        <w:t>top-down approach</w:t>
      </w:r>
      <w:r>
        <w:rPr>
          <w:noProof/>
          <w:sz w:val="24"/>
          <w:szCs w:val="24"/>
        </w:rPr>
        <w:t xml:space="preserve"> using highly aggregated statistical data in particular for non-manufacturing sectors (30 manufacturing sectors at NACE 3 level, 7 non-manufacturing level at NACE 2 level and 7 other non-manufacturing at NACE level 1). Statistical data and estimates based on that data are used to understand the role of energy prices and costs in the competitiveness of these sectors. The CEPS study follows a </w:t>
      </w:r>
      <w:r>
        <w:rPr>
          <w:i/>
          <w:noProof/>
          <w:sz w:val="24"/>
          <w:szCs w:val="24"/>
        </w:rPr>
        <w:t>bottom-up</w:t>
      </w:r>
      <w:r>
        <w:rPr>
          <w:noProof/>
          <w:sz w:val="24"/>
          <w:szCs w:val="24"/>
        </w:rPr>
        <w:t xml:space="preserve"> approach. CEPS calculations are based on direct collection of price and costs data at plant level via a questionnaire which allows analysing samples of varying representativeness.</w:t>
      </w:r>
    </w:p>
    <w:p>
      <w:pPr>
        <w:rPr>
          <w:noProof/>
          <w:sz w:val="24"/>
          <w:szCs w:val="24"/>
        </w:rPr>
      </w:pPr>
      <w:r>
        <w:rPr>
          <w:noProof/>
          <w:sz w:val="24"/>
          <w:szCs w:val="24"/>
        </w:rPr>
        <w:t xml:space="preserve">These two approaches are complementary and provide a broader vision of the energy prices and energy costs paid by European industries. Highly aggregated data (used in a top down approach) usually is easily available in official statistics with well-established methodologies that cover long-time spans that makes it good for identifying long term trends. But aggregated information within one sector contains individual companies which may have rather heterogeneous industrial processes and products. Plant data or highly disaggregated data (used in bottom up approach) can be better for identifying targeted sub-groups of individuals and therefore represent better the analysed characteristics of these groups. But plant data is however scarce, normally based on ad-hoc methodologies which make comparisons of each studies or sources difficult and most importantly the actual effectiveness of the data sample for describing the targeted sub-groups of individuals depends critically on how large and how well the sample represents that group of individuals (something which is difficult to achieve). </w:t>
      </w:r>
    </w:p>
    <w:p>
      <w:pPr>
        <w:rPr>
          <w:noProof/>
          <w:sz w:val="24"/>
          <w:szCs w:val="24"/>
        </w:rPr>
      </w:pPr>
    </w:p>
    <w:p>
      <w:pPr>
        <w:rPr>
          <w:b/>
          <w:noProof/>
          <w:sz w:val="24"/>
          <w:szCs w:val="24"/>
        </w:rPr>
      </w:pPr>
      <w:r>
        <w:rPr>
          <w:b/>
          <w:noProof/>
          <w:sz w:val="24"/>
          <w:szCs w:val="24"/>
        </w:rPr>
        <w:t xml:space="preserve">Approach for the selection of sectors </w:t>
      </w:r>
    </w:p>
    <w:p>
      <w:pPr>
        <w:rPr>
          <w:noProof/>
          <w:sz w:val="24"/>
          <w:szCs w:val="24"/>
        </w:rPr>
      </w:pPr>
      <w:r>
        <w:rPr>
          <w:noProof/>
          <w:sz w:val="24"/>
          <w:szCs w:val="24"/>
        </w:rPr>
        <w:t xml:space="preserve">The study commissioned by the European Commission to </w:t>
      </w:r>
      <w:r>
        <w:rPr>
          <w:i/>
          <w:noProof/>
          <w:sz w:val="24"/>
          <w:szCs w:val="24"/>
        </w:rPr>
        <w:t>Trinomics et altri</w:t>
      </w:r>
      <w:r>
        <w:rPr>
          <w:noProof/>
          <w:sz w:val="24"/>
          <w:szCs w:val="24"/>
        </w:rPr>
        <w:t xml:space="preserve"> analysed energy costs and other indicators across 44 sectors of different levels of aggregation. Sectors were selected by looking at three aspects:</w:t>
      </w:r>
    </w:p>
    <w:p>
      <w:pPr>
        <w:pStyle w:val="ListParagraph"/>
        <w:numPr>
          <w:ilvl w:val="0"/>
          <w:numId w:val="10"/>
        </w:numPr>
        <w:spacing w:line="300" w:lineRule="atLeast"/>
        <w:ind w:left="709" w:hanging="567"/>
        <w:contextualSpacing w:val="0"/>
        <w:rPr>
          <w:noProof/>
          <w:sz w:val="24"/>
          <w:szCs w:val="24"/>
        </w:rPr>
      </w:pPr>
      <w:r>
        <w:rPr>
          <w:i/>
          <w:noProof/>
          <w:sz w:val="24"/>
          <w:szCs w:val="24"/>
        </w:rPr>
        <w:t>Importance of energy costs for the sector</w:t>
      </w:r>
      <w:r>
        <w:rPr>
          <w:noProof/>
          <w:sz w:val="24"/>
          <w:szCs w:val="24"/>
        </w:rPr>
        <w:t xml:space="preserve"> usually </w:t>
      </w:r>
      <w:r>
        <w:rPr>
          <w:i/>
          <w:noProof/>
          <w:sz w:val="24"/>
          <w:szCs w:val="24"/>
        </w:rPr>
        <w:t>proxied</w:t>
      </w:r>
      <w:r>
        <w:rPr>
          <w:noProof/>
          <w:sz w:val="24"/>
          <w:szCs w:val="24"/>
        </w:rPr>
        <w:t xml:space="preserve"> by the energy cost per production value, calculated by dividing purchases of energy by the total production value of each sector</w:t>
      </w:r>
      <w:r>
        <w:rPr>
          <w:rStyle w:val="FootnoteReference"/>
          <w:noProof/>
        </w:rPr>
        <w:footnoteReference w:id="24"/>
      </w:r>
      <w:r>
        <w:rPr>
          <w:rStyle w:val="FootnoteReference"/>
          <w:noProof/>
        </w:rPr>
        <w:t>;</w:t>
      </w:r>
    </w:p>
    <w:p>
      <w:pPr>
        <w:pStyle w:val="ListParagraph"/>
        <w:numPr>
          <w:ilvl w:val="0"/>
          <w:numId w:val="10"/>
        </w:numPr>
        <w:spacing w:line="300" w:lineRule="atLeast"/>
        <w:ind w:left="709" w:hanging="567"/>
        <w:contextualSpacing w:val="0"/>
        <w:jc w:val="left"/>
        <w:rPr>
          <w:noProof/>
          <w:sz w:val="24"/>
          <w:szCs w:val="24"/>
        </w:rPr>
      </w:pPr>
      <w:r>
        <w:rPr>
          <w:i/>
          <w:noProof/>
          <w:sz w:val="24"/>
          <w:szCs w:val="24"/>
        </w:rPr>
        <w:t>Economic importance of the sector</w:t>
      </w:r>
      <w:r>
        <w:rPr>
          <w:noProof/>
          <w:sz w:val="24"/>
          <w:szCs w:val="24"/>
        </w:rPr>
        <w:t xml:space="preserve"> proxied by the share of sectoral value added in GDP of the country and by the assessment of the general economic or strategic relevance of the sector;</w:t>
      </w:r>
    </w:p>
    <w:p>
      <w:pPr>
        <w:pStyle w:val="ListParagraph"/>
        <w:numPr>
          <w:ilvl w:val="0"/>
          <w:numId w:val="10"/>
        </w:numPr>
        <w:spacing w:line="300" w:lineRule="atLeast"/>
        <w:ind w:left="709" w:hanging="567"/>
        <w:contextualSpacing w:val="0"/>
        <w:jc w:val="left"/>
        <w:rPr>
          <w:noProof/>
          <w:sz w:val="24"/>
          <w:szCs w:val="24"/>
        </w:rPr>
      </w:pPr>
      <w:r>
        <w:rPr>
          <w:i/>
          <w:noProof/>
          <w:sz w:val="24"/>
          <w:szCs w:val="24"/>
        </w:rPr>
        <w:t>The trade exposure of the sector</w:t>
      </w:r>
      <w:r>
        <w:rPr>
          <w:noProof/>
          <w:sz w:val="24"/>
          <w:szCs w:val="24"/>
        </w:rPr>
        <w:t xml:space="preserve"> which was proxied by the trade intensity of the sector which was calculated by dividing the sum of imports and exports of a product to and from the EU in total, by the size of the market which is represented by the sum of production value and imports.</w:t>
      </w:r>
    </w:p>
    <w:p>
      <w:pPr>
        <w:pStyle w:val="ListParagraph"/>
        <w:spacing w:after="0" w:line="300" w:lineRule="atLeast"/>
        <w:ind w:left="709"/>
        <w:jc w:val="left"/>
        <w:rPr>
          <w:noProof/>
          <w:sz w:val="24"/>
          <w:szCs w:val="24"/>
        </w:rPr>
      </w:pPr>
    </w:p>
    <w:p>
      <w:pPr>
        <w:rPr>
          <w:noProof/>
          <w:sz w:val="24"/>
          <w:szCs w:val="24"/>
        </w:rPr>
      </w:pPr>
      <w:r>
        <w:rPr>
          <w:noProof/>
          <w:sz w:val="24"/>
          <w:szCs w:val="24"/>
        </w:rPr>
        <w:t>The selection resulted in 30 manufacturing sectors</w:t>
      </w:r>
      <w:r>
        <w:rPr>
          <w:rStyle w:val="FootnoteReference"/>
          <w:noProof/>
          <w:sz w:val="24"/>
          <w:szCs w:val="24"/>
        </w:rPr>
        <w:footnoteReference w:id="25"/>
      </w:r>
      <w:r>
        <w:rPr>
          <w:noProof/>
          <w:sz w:val="24"/>
          <w:szCs w:val="24"/>
        </w:rPr>
        <w:t xml:space="preserve">. The first 15 sectors are the most intensive energy sectors and were already the object of a study in the 2016 energy prices and costs report (shaded sectors in </w:t>
      </w:r>
      <w:r>
        <w:rPr>
          <w:b/>
          <w:noProof/>
          <w:sz w:val="24"/>
          <w:szCs w:val="24"/>
        </w:rPr>
        <w:fldChar w:fldCharType="begin"/>
      </w:r>
      <w:r>
        <w:rPr>
          <w:b/>
          <w:noProof/>
          <w:sz w:val="24"/>
          <w:szCs w:val="24"/>
        </w:rPr>
        <w:instrText xml:space="preserve"> REF _Ref530645531 \h  \* MERGEFORMAT </w:instrText>
      </w:r>
      <w:r>
        <w:rPr>
          <w:b/>
          <w:noProof/>
          <w:sz w:val="24"/>
          <w:szCs w:val="24"/>
        </w:rPr>
      </w:r>
      <w:r>
        <w:rPr>
          <w:b/>
          <w:noProof/>
          <w:sz w:val="24"/>
          <w:szCs w:val="24"/>
        </w:rPr>
        <w:fldChar w:fldCharType="separate"/>
      </w:r>
      <w:r>
        <w:rPr>
          <w:b/>
          <w:noProof/>
        </w:rPr>
        <w:t>Table 9</w:t>
      </w:r>
      <w:r>
        <w:rPr>
          <w:b/>
          <w:noProof/>
          <w:sz w:val="24"/>
          <w:szCs w:val="24"/>
        </w:rPr>
        <w:fldChar w:fldCharType="end"/>
      </w:r>
      <w:r>
        <w:rPr>
          <w:noProof/>
          <w:sz w:val="24"/>
          <w:szCs w:val="24"/>
        </w:rPr>
        <w:t xml:space="preserve">). In addition to those sectors, 15 more manufacturing sectors were selected in order to be able to </w:t>
      </w:r>
      <w:r>
        <w:rPr>
          <w:i/>
          <w:noProof/>
          <w:sz w:val="24"/>
          <w:szCs w:val="24"/>
        </w:rPr>
        <w:t>map</w:t>
      </w:r>
      <w:r>
        <w:rPr>
          <w:noProof/>
          <w:sz w:val="24"/>
          <w:szCs w:val="24"/>
        </w:rPr>
        <w:t xml:space="preserve"> energy costs in manufacturing (non-shaded sectors in </w:t>
      </w:r>
      <w:r>
        <w:rPr>
          <w:b/>
          <w:noProof/>
          <w:sz w:val="24"/>
          <w:szCs w:val="24"/>
        </w:rPr>
        <w:fldChar w:fldCharType="begin"/>
      </w:r>
      <w:r>
        <w:rPr>
          <w:b/>
          <w:noProof/>
          <w:sz w:val="24"/>
          <w:szCs w:val="24"/>
        </w:rPr>
        <w:instrText xml:space="preserve"> REF _Ref530645531 \h  \* MERGEFORMAT </w:instrText>
      </w:r>
      <w:r>
        <w:rPr>
          <w:b/>
          <w:noProof/>
          <w:sz w:val="24"/>
          <w:szCs w:val="24"/>
        </w:rPr>
      </w:r>
      <w:r>
        <w:rPr>
          <w:b/>
          <w:noProof/>
          <w:sz w:val="24"/>
          <w:szCs w:val="24"/>
        </w:rPr>
        <w:fldChar w:fldCharType="separate"/>
      </w:r>
      <w:r>
        <w:rPr>
          <w:b/>
          <w:noProof/>
        </w:rPr>
        <w:t>Table 9</w:t>
      </w:r>
      <w:r>
        <w:rPr>
          <w:b/>
          <w:noProof/>
          <w:sz w:val="24"/>
          <w:szCs w:val="24"/>
        </w:rPr>
        <w:fldChar w:fldCharType="end"/>
      </w:r>
      <w:r>
        <w:rPr>
          <w:noProof/>
          <w:sz w:val="24"/>
          <w:szCs w:val="24"/>
        </w:rPr>
        <w:t xml:space="preserve">). The mapping of energy costs was completed by selecting the other non-manufacturing sectors. </w:t>
      </w:r>
    </w:p>
    <w:p>
      <w:pPr>
        <w:pStyle w:val="Caption"/>
        <w:rPr>
          <w:sz w:val="24"/>
          <w:szCs w:val="24"/>
        </w:rPr>
      </w:pPr>
      <w:bookmarkStart w:id="123" w:name="_Ref530645531"/>
      <w:bookmarkStart w:id="124" w:name="_Toc531178637"/>
      <w:r>
        <w:t xml:space="preserve">Table </w:t>
      </w:r>
      <w:r>
        <w:fldChar w:fldCharType="begin"/>
      </w:r>
      <w:r>
        <w:instrText xml:space="preserve"> SEQ Table \* ARABIC </w:instrText>
      </w:r>
      <w:r>
        <w:fldChar w:fldCharType="separate"/>
      </w:r>
      <w:r>
        <w:t>9</w:t>
      </w:r>
      <w:r>
        <w:fldChar w:fldCharType="end"/>
      </w:r>
      <w:bookmarkEnd w:id="123"/>
      <w:r>
        <w:t xml:space="preserve"> - Coverage of manufacturing sectors</w:t>
      </w:r>
      <w:bookmarkEnd w:id="124"/>
    </w:p>
    <w:tbl>
      <w:tblPr>
        <w:tblStyle w:val="TableGrid"/>
        <w:tblW w:w="0" w:type="auto"/>
        <w:tblLook w:val="04A0" w:firstRow="1" w:lastRow="0" w:firstColumn="1" w:lastColumn="0" w:noHBand="0" w:noVBand="1"/>
      </w:tblPr>
      <w:tblGrid>
        <w:gridCol w:w="3612"/>
        <w:gridCol w:w="1161"/>
        <w:gridCol w:w="3354"/>
        <w:gridCol w:w="1161"/>
      </w:tblGrid>
      <w:tr>
        <w:tc>
          <w:tcPr>
            <w:tcW w:w="9288" w:type="dxa"/>
            <w:gridSpan w:val="4"/>
          </w:tcPr>
          <w:p>
            <w:pPr>
              <w:jc w:val="center"/>
              <w:rPr>
                <w:noProof/>
                <w:sz w:val="20"/>
                <w:szCs w:val="20"/>
                <w:u w:val="single"/>
              </w:rPr>
            </w:pPr>
            <w:r>
              <w:rPr>
                <w:noProof/>
                <w:sz w:val="20"/>
                <w:szCs w:val="20"/>
                <w:u w:val="single"/>
              </w:rPr>
              <w:t>Coverage of Manufacturing</w:t>
            </w:r>
          </w:p>
        </w:tc>
      </w:tr>
      <w:tr>
        <w:tc>
          <w:tcPr>
            <w:tcW w:w="4773" w:type="dxa"/>
            <w:gridSpan w:val="2"/>
          </w:tcPr>
          <w:p>
            <w:pPr>
              <w:jc w:val="center"/>
              <w:rPr>
                <w:i/>
                <w:noProof/>
                <w:sz w:val="20"/>
                <w:szCs w:val="20"/>
              </w:rPr>
            </w:pPr>
            <w:r>
              <w:rPr>
                <w:i/>
                <w:noProof/>
                <w:sz w:val="20"/>
                <w:szCs w:val="20"/>
              </w:rPr>
              <w:t>Study by Trinomics et altri</w:t>
            </w:r>
          </w:p>
        </w:tc>
        <w:tc>
          <w:tcPr>
            <w:tcW w:w="4515" w:type="dxa"/>
            <w:gridSpan w:val="2"/>
          </w:tcPr>
          <w:p>
            <w:pPr>
              <w:jc w:val="center"/>
              <w:rPr>
                <w:i/>
                <w:noProof/>
                <w:sz w:val="20"/>
                <w:szCs w:val="20"/>
              </w:rPr>
            </w:pPr>
            <w:r>
              <w:rPr>
                <w:i/>
                <w:noProof/>
                <w:sz w:val="20"/>
                <w:szCs w:val="20"/>
              </w:rPr>
              <w:t>Study by CEPS et altri</w:t>
            </w:r>
          </w:p>
        </w:tc>
      </w:tr>
      <w:tr>
        <w:trPr>
          <w:trHeight w:val="888"/>
        </w:trPr>
        <w:tc>
          <w:tcPr>
            <w:tcW w:w="3612" w:type="dxa"/>
            <w:tcBorders>
              <w:bottom w:val="single" w:sz="4" w:space="0" w:color="auto"/>
            </w:tcBorders>
            <w:vAlign w:val="center"/>
          </w:tcPr>
          <w:p>
            <w:pPr>
              <w:spacing w:line="220" w:lineRule="atLeast"/>
              <w:jc w:val="center"/>
              <w:rPr>
                <w:rFonts w:eastAsia="Times New Roman"/>
                <w:noProof/>
                <w:color w:val="000000"/>
                <w:sz w:val="20"/>
                <w:szCs w:val="20"/>
                <w:lang w:eastAsia="fr-FR"/>
              </w:rPr>
            </w:pPr>
            <w:r>
              <w:rPr>
                <w:rFonts w:eastAsia="Times New Roman"/>
                <w:noProof/>
                <w:color w:val="000000"/>
                <w:sz w:val="20"/>
                <w:szCs w:val="20"/>
                <w:lang w:eastAsia="fr-FR"/>
              </w:rPr>
              <w:t xml:space="preserve">Sector </w:t>
            </w:r>
          </w:p>
        </w:tc>
        <w:tc>
          <w:tcPr>
            <w:tcW w:w="1161" w:type="dxa"/>
            <w:tcBorders>
              <w:bottom w:val="single" w:sz="4" w:space="0" w:color="auto"/>
            </w:tcBorders>
            <w:vAlign w:val="center"/>
          </w:tcPr>
          <w:p>
            <w:pPr>
              <w:jc w:val="center"/>
              <w:rPr>
                <w:rFonts w:eastAsia="Times New Roman"/>
                <w:noProof/>
                <w:color w:val="000000"/>
                <w:sz w:val="20"/>
                <w:szCs w:val="20"/>
                <w:lang w:eastAsia="fr-FR"/>
              </w:rPr>
            </w:pPr>
            <w:r>
              <w:rPr>
                <w:rFonts w:eastAsia="Times New Roman"/>
                <w:noProof/>
                <w:color w:val="000000"/>
                <w:sz w:val="20"/>
                <w:szCs w:val="20"/>
                <w:lang w:eastAsia="fr-FR"/>
              </w:rPr>
              <w:t>Level of aggregation (NACE code)</w:t>
            </w:r>
          </w:p>
        </w:tc>
        <w:tc>
          <w:tcPr>
            <w:tcW w:w="3354" w:type="dxa"/>
            <w:tcBorders>
              <w:bottom w:val="single" w:sz="4" w:space="0" w:color="auto"/>
            </w:tcBorders>
            <w:vAlign w:val="center"/>
          </w:tcPr>
          <w:p>
            <w:pPr>
              <w:spacing w:line="220" w:lineRule="atLeast"/>
              <w:jc w:val="center"/>
              <w:rPr>
                <w:noProof/>
                <w:sz w:val="20"/>
                <w:szCs w:val="20"/>
              </w:rPr>
            </w:pPr>
            <w:r>
              <w:rPr>
                <w:rFonts w:eastAsia="Times New Roman"/>
                <w:noProof/>
                <w:color w:val="000000"/>
                <w:sz w:val="20"/>
                <w:szCs w:val="20"/>
                <w:lang w:eastAsia="fr-FR"/>
              </w:rPr>
              <w:t xml:space="preserve">Sector </w:t>
            </w:r>
          </w:p>
        </w:tc>
        <w:tc>
          <w:tcPr>
            <w:tcW w:w="1161" w:type="dxa"/>
            <w:tcBorders>
              <w:bottom w:val="single" w:sz="4" w:space="0" w:color="auto"/>
            </w:tcBorders>
            <w:vAlign w:val="center"/>
          </w:tcPr>
          <w:p>
            <w:pPr>
              <w:jc w:val="center"/>
              <w:rPr>
                <w:noProof/>
                <w:sz w:val="20"/>
                <w:szCs w:val="20"/>
              </w:rPr>
            </w:pPr>
            <w:r>
              <w:rPr>
                <w:rFonts w:eastAsia="Times New Roman"/>
                <w:noProof/>
                <w:color w:val="000000"/>
                <w:sz w:val="20"/>
                <w:szCs w:val="20"/>
                <w:lang w:eastAsia="fr-FR"/>
              </w:rPr>
              <w:t>Level of aggregation (NACE code)</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Grain mill</w:t>
            </w:r>
            <w:r>
              <w:rPr>
                <w:rFonts w:eastAsia="Times New Roman"/>
                <w:noProof/>
                <w:color w:val="000000"/>
                <w:sz w:val="20"/>
                <w:szCs w:val="20"/>
                <w:lang w:eastAsia="fr-FR"/>
              </w:rPr>
              <w:t xml:space="preserve"> and starch products</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C106</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sz w:val="20"/>
                <w:szCs w:val="20"/>
                <w:lang w:eastAsia="fr-FR"/>
              </w:rPr>
            </w:pPr>
            <w:r>
              <w:rPr>
                <w:rFonts w:eastAsia="Times New Roman"/>
                <w:noProof/>
                <w:color w:val="000000"/>
                <w:sz w:val="20"/>
                <w:szCs w:val="20"/>
                <w:lang w:eastAsia="fr-FR"/>
              </w:rPr>
              <w:t xml:space="preserve">Weaving of </w:t>
            </w:r>
            <w:r>
              <w:rPr>
                <w:rFonts w:eastAsia="Times New Roman"/>
                <w:b/>
                <w:noProof/>
                <w:color w:val="000000"/>
                <w:sz w:val="20"/>
                <w:szCs w:val="20"/>
                <w:lang w:eastAsia="fr-FR"/>
              </w:rPr>
              <w:t>textiles</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C132</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sz w:val="20"/>
                <w:szCs w:val="20"/>
                <w:lang w:eastAsia="fr-FR"/>
              </w:rPr>
            </w:pPr>
            <w:r>
              <w:rPr>
                <w:rFonts w:eastAsia="Times New Roman"/>
                <w:noProof/>
                <w:color w:val="000000"/>
                <w:sz w:val="20"/>
                <w:szCs w:val="20"/>
                <w:lang w:eastAsia="fr-FR"/>
              </w:rPr>
              <w:t xml:space="preserve">Sawmilling and planing of </w:t>
            </w:r>
            <w:r>
              <w:rPr>
                <w:rFonts w:eastAsia="Times New Roman"/>
                <w:b/>
                <w:noProof/>
                <w:color w:val="000000"/>
                <w:sz w:val="20"/>
                <w:szCs w:val="20"/>
                <w:lang w:eastAsia="fr-FR"/>
              </w:rPr>
              <w:t>wood</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C161</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Pulp, paper</w:t>
            </w:r>
            <w:r>
              <w:rPr>
                <w:rFonts w:eastAsia="Times New Roman"/>
                <w:noProof/>
                <w:color w:val="000000"/>
                <w:sz w:val="20"/>
                <w:szCs w:val="20"/>
                <w:lang w:eastAsia="fr-FR"/>
              </w:rPr>
              <w:t xml:space="preserve"> and paperboard</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C171</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b/>
                <w:noProof/>
                <w:color w:val="000000" w:themeColor="text1"/>
                <w:sz w:val="20"/>
                <w:szCs w:val="20"/>
                <w:lang w:eastAsia="fr-FR"/>
              </w:rPr>
            </w:pPr>
            <w:r>
              <w:rPr>
                <w:rFonts w:eastAsia="Times New Roman"/>
                <w:b/>
                <w:noProof/>
                <w:color w:val="000000"/>
                <w:sz w:val="20"/>
                <w:szCs w:val="20"/>
                <w:lang w:eastAsia="fr-FR"/>
              </w:rPr>
              <w:t>Refined petroleum products</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C192</w:t>
            </w:r>
          </w:p>
        </w:tc>
        <w:tc>
          <w:tcPr>
            <w:tcW w:w="3354" w:type="dxa"/>
            <w:shd w:val="clear" w:color="auto" w:fill="F2F2F2" w:themeFill="background1" w:themeFillShade="F2"/>
          </w:tcPr>
          <w:p>
            <w:pPr>
              <w:rPr>
                <w:b/>
                <w:noProof/>
                <w:sz w:val="20"/>
                <w:szCs w:val="20"/>
              </w:rPr>
            </w:pPr>
            <w:r>
              <w:rPr>
                <w:b/>
                <w:noProof/>
                <w:sz w:val="20"/>
                <w:szCs w:val="20"/>
              </w:rPr>
              <w:t>Refineries</w:t>
            </w:r>
          </w:p>
        </w:tc>
        <w:tc>
          <w:tcPr>
            <w:tcW w:w="1161" w:type="dxa"/>
            <w:shd w:val="clear" w:color="auto" w:fill="F2F2F2" w:themeFill="background1" w:themeFillShade="F2"/>
          </w:tcPr>
          <w:p>
            <w:pPr>
              <w:rPr>
                <w:noProof/>
                <w:sz w:val="20"/>
                <w:szCs w:val="20"/>
              </w:rPr>
            </w:pPr>
            <w:r>
              <w:rPr>
                <w:noProof/>
                <w:sz w:val="20"/>
                <w:szCs w:val="20"/>
              </w:rPr>
              <w:t>C1920</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b/>
                <w:noProof/>
                <w:color w:val="000000"/>
                <w:sz w:val="20"/>
                <w:szCs w:val="20"/>
                <w:lang w:eastAsia="fr-FR"/>
              </w:rPr>
            </w:pPr>
            <w:r>
              <w:rPr>
                <w:rFonts w:eastAsia="Times New Roman"/>
                <w:b/>
                <w:noProof/>
                <w:color w:val="000000"/>
                <w:sz w:val="20"/>
                <w:szCs w:val="20"/>
                <w:lang w:eastAsia="fr-FR"/>
              </w:rPr>
              <w:t>Basic chemicals and fertilisers</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C201</w:t>
            </w:r>
          </w:p>
        </w:tc>
        <w:tc>
          <w:tcPr>
            <w:tcW w:w="3354" w:type="dxa"/>
            <w:shd w:val="clear" w:color="auto" w:fill="F2F2F2" w:themeFill="background1" w:themeFillShade="F2"/>
          </w:tcPr>
          <w:p>
            <w:pPr>
              <w:rPr>
                <w:b/>
                <w:noProof/>
                <w:sz w:val="20"/>
                <w:szCs w:val="20"/>
              </w:rPr>
            </w:pPr>
            <w:r>
              <w:rPr>
                <w:b/>
                <w:noProof/>
                <w:sz w:val="20"/>
                <w:szCs w:val="20"/>
              </w:rPr>
              <w:t>Nitrogen fertilisers</w:t>
            </w:r>
          </w:p>
        </w:tc>
        <w:tc>
          <w:tcPr>
            <w:tcW w:w="1161" w:type="dxa"/>
            <w:shd w:val="clear" w:color="auto" w:fill="F2F2F2" w:themeFill="background1" w:themeFillShade="F2"/>
          </w:tcPr>
          <w:p>
            <w:pPr>
              <w:rPr>
                <w:noProof/>
                <w:sz w:val="20"/>
                <w:szCs w:val="20"/>
              </w:rPr>
            </w:pPr>
            <w:r>
              <w:rPr>
                <w:noProof/>
                <w:sz w:val="20"/>
                <w:szCs w:val="20"/>
              </w:rPr>
              <w:t>C2015*</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b/>
                <w:noProof/>
                <w:color w:val="000000"/>
                <w:sz w:val="20"/>
                <w:szCs w:val="20"/>
                <w:lang w:eastAsia="fr-FR"/>
              </w:rPr>
            </w:pPr>
            <w:r>
              <w:rPr>
                <w:rFonts w:eastAsia="Times New Roman"/>
                <w:b/>
                <w:noProof/>
                <w:color w:val="000000"/>
                <w:sz w:val="20"/>
                <w:szCs w:val="20"/>
                <w:lang w:eastAsia="fr-FR"/>
              </w:rPr>
              <w:t>Man-made fibres</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C206</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vMerge w:val="restart"/>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Glass</w:t>
            </w:r>
            <w:r>
              <w:rPr>
                <w:rFonts w:eastAsia="Times New Roman"/>
                <w:noProof/>
                <w:color w:val="000000"/>
                <w:sz w:val="20"/>
                <w:szCs w:val="20"/>
                <w:lang w:eastAsia="fr-FR"/>
              </w:rPr>
              <w:t xml:space="preserve"> and glass products</w:t>
            </w:r>
          </w:p>
          <w:p>
            <w:pPr>
              <w:spacing w:line="220" w:lineRule="atLeast"/>
              <w:jc w:val="center"/>
              <w:rPr>
                <w:rFonts w:eastAsia="Times New Roman"/>
                <w:noProof/>
                <w:color w:val="000000" w:themeColor="text1"/>
                <w:sz w:val="20"/>
                <w:szCs w:val="20"/>
                <w:lang w:eastAsia="fr-FR"/>
              </w:rPr>
            </w:pPr>
          </w:p>
        </w:tc>
        <w:tc>
          <w:tcPr>
            <w:tcW w:w="1161" w:type="dxa"/>
            <w:vMerge w:val="restart"/>
            <w:shd w:val="clear" w:color="auto" w:fill="F2F2F2" w:themeFill="background1" w:themeFillShade="F2"/>
          </w:tcPr>
          <w:p>
            <w:pPr>
              <w:rPr>
                <w:noProof/>
                <w:sz w:val="20"/>
                <w:szCs w:val="20"/>
              </w:rPr>
            </w:pPr>
            <w:r>
              <w:rPr>
                <w:rFonts w:eastAsia="Times New Roman"/>
                <w:noProof/>
                <w:color w:val="000000"/>
                <w:sz w:val="20"/>
                <w:szCs w:val="20"/>
                <w:lang w:eastAsia="fr-FR"/>
              </w:rPr>
              <w:t>C231</w:t>
            </w:r>
          </w:p>
          <w:p>
            <w:pPr>
              <w:rPr>
                <w:noProof/>
                <w:sz w:val="20"/>
                <w:szCs w:val="20"/>
              </w:rPr>
            </w:pPr>
          </w:p>
        </w:tc>
        <w:tc>
          <w:tcPr>
            <w:tcW w:w="3354" w:type="dxa"/>
            <w:shd w:val="clear" w:color="auto" w:fill="F2F2F2" w:themeFill="background1" w:themeFillShade="F2"/>
          </w:tcPr>
          <w:p>
            <w:pPr>
              <w:rPr>
                <w:b/>
                <w:noProof/>
                <w:sz w:val="20"/>
                <w:szCs w:val="20"/>
              </w:rPr>
            </w:pPr>
            <w:r>
              <w:rPr>
                <w:b/>
                <w:noProof/>
                <w:sz w:val="20"/>
                <w:szCs w:val="20"/>
              </w:rPr>
              <w:t>Packaging glass</w:t>
            </w:r>
          </w:p>
          <w:p>
            <w:pPr>
              <w:rPr>
                <w:b/>
                <w:noProof/>
                <w:sz w:val="20"/>
                <w:szCs w:val="20"/>
              </w:rPr>
            </w:pPr>
          </w:p>
        </w:tc>
        <w:tc>
          <w:tcPr>
            <w:tcW w:w="1161" w:type="dxa"/>
            <w:shd w:val="clear" w:color="auto" w:fill="F2F2F2" w:themeFill="background1" w:themeFillShade="F2"/>
          </w:tcPr>
          <w:p>
            <w:pPr>
              <w:rPr>
                <w:noProof/>
                <w:sz w:val="20"/>
                <w:szCs w:val="20"/>
              </w:rPr>
            </w:pPr>
            <w:r>
              <w:rPr>
                <w:noProof/>
                <w:sz w:val="20"/>
              </w:rPr>
              <w:t>C2313*</w:t>
            </w:r>
          </w:p>
        </w:tc>
      </w:tr>
      <w:tr>
        <w:trPr>
          <w:trHeight w:hRule="exact" w:val="284"/>
        </w:trPr>
        <w:tc>
          <w:tcPr>
            <w:tcW w:w="3612" w:type="dxa"/>
            <w:vMerge/>
            <w:shd w:val="clear" w:color="auto" w:fill="F2F2F2" w:themeFill="background1" w:themeFillShade="F2"/>
            <w:vAlign w:val="center"/>
          </w:tcPr>
          <w:p>
            <w:pPr>
              <w:spacing w:line="220" w:lineRule="atLeast"/>
              <w:jc w:val="center"/>
              <w:rPr>
                <w:rFonts w:eastAsia="Times New Roman"/>
                <w:b/>
                <w:noProof/>
                <w:color w:val="000000"/>
                <w:sz w:val="20"/>
                <w:szCs w:val="20"/>
                <w:lang w:eastAsia="fr-FR"/>
              </w:rPr>
            </w:pPr>
          </w:p>
        </w:tc>
        <w:tc>
          <w:tcPr>
            <w:tcW w:w="1161" w:type="dxa"/>
            <w:vMerge/>
            <w:shd w:val="clear" w:color="auto" w:fill="F2F2F2" w:themeFill="background1" w:themeFillShade="F2"/>
          </w:tcPr>
          <w:p>
            <w:pPr>
              <w:rPr>
                <w:rFonts w:eastAsia="Times New Roman"/>
                <w:noProof/>
                <w:color w:val="000000"/>
                <w:sz w:val="20"/>
                <w:szCs w:val="20"/>
                <w:lang w:eastAsia="fr-FR"/>
              </w:rPr>
            </w:pPr>
          </w:p>
        </w:tc>
        <w:tc>
          <w:tcPr>
            <w:tcW w:w="3354" w:type="dxa"/>
            <w:shd w:val="clear" w:color="auto" w:fill="F2F2F2" w:themeFill="background1" w:themeFillShade="F2"/>
            <w:vAlign w:val="center"/>
          </w:tcPr>
          <w:p>
            <w:pPr>
              <w:jc w:val="left"/>
              <w:rPr>
                <w:b/>
                <w:noProof/>
                <w:sz w:val="20"/>
                <w:szCs w:val="20"/>
              </w:rPr>
            </w:pPr>
            <w:r>
              <w:rPr>
                <w:b/>
                <w:noProof/>
                <w:sz w:val="20"/>
                <w:szCs w:val="20"/>
              </w:rPr>
              <w:t>Glass tableware</w:t>
            </w:r>
          </w:p>
        </w:tc>
        <w:tc>
          <w:tcPr>
            <w:tcW w:w="1161" w:type="dxa"/>
            <w:shd w:val="clear" w:color="auto" w:fill="F2F2F2" w:themeFill="background1" w:themeFillShade="F2"/>
          </w:tcPr>
          <w:p>
            <w:pPr>
              <w:rPr>
                <w:noProof/>
                <w:sz w:val="20"/>
                <w:szCs w:val="20"/>
              </w:rPr>
            </w:pPr>
            <w:r>
              <w:rPr>
                <w:noProof/>
                <w:sz w:val="20"/>
              </w:rPr>
              <w:t>C2313*</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Refractory</w:t>
            </w:r>
            <w:r>
              <w:rPr>
                <w:rFonts w:eastAsia="Times New Roman"/>
                <w:noProof/>
                <w:color w:val="000000"/>
                <w:sz w:val="20"/>
                <w:szCs w:val="20"/>
                <w:lang w:eastAsia="fr-FR"/>
              </w:rPr>
              <w:t xml:space="preserve"> products</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C232</w:t>
            </w:r>
          </w:p>
        </w:tc>
        <w:tc>
          <w:tcPr>
            <w:tcW w:w="3354" w:type="dxa"/>
            <w:shd w:val="clear" w:color="auto" w:fill="F2F2F2" w:themeFill="background1" w:themeFillShade="F2"/>
            <w:vAlign w:val="center"/>
          </w:tcPr>
          <w:p>
            <w:pPr>
              <w:jc w:val="left"/>
              <w:rPr>
                <w:b/>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vMerge w:val="restart"/>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Clay building</w:t>
            </w:r>
            <w:r>
              <w:rPr>
                <w:rFonts w:eastAsia="Times New Roman"/>
                <w:noProof/>
                <w:color w:val="000000"/>
                <w:sz w:val="20"/>
                <w:szCs w:val="20"/>
                <w:lang w:eastAsia="fr-FR"/>
              </w:rPr>
              <w:t xml:space="preserve"> materials</w:t>
            </w:r>
          </w:p>
          <w:p>
            <w:pPr>
              <w:spacing w:line="220" w:lineRule="atLeast"/>
              <w:jc w:val="center"/>
              <w:rPr>
                <w:rFonts w:eastAsia="Times New Roman"/>
                <w:noProof/>
                <w:color w:val="000000" w:themeColor="text1"/>
                <w:sz w:val="20"/>
                <w:szCs w:val="20"/>
                <w:lang w:eastAsia="fr-FR"/>
              </w:rPr>
            </w:pPr>
          </w:p>
        </w:tc>
        <w:tc>
          <w:tcPr>
            <w:tcW w:w="1161" w:type="dxa"/>
            <w:vMerge w:val="restart"/>
            <w:shd w:val="clear" w:color="auto" w:fill="F2F2F2" w:themeFill="background1" w:themeFillShade="F2"/>
          </w:tcPr>
          <w:p>
            <w:pPr>
              <w:rPr>
                <w:noProof/>
                <w:sz w:val="20"/>
                <w:szCs w:val="20"/>
              </w:rPr>
            </w:pPr>
            <w:r>
              <w:rPr>
                <w:rFonts w:eastAsia="Times New Roman"/>
                <w:noProof/>
                <w:color w:val="000000"/>
                <w:sz w:val="20"/>
                <w:szCs w:val="20"/>
                <w:lang w:eastAsia="fr-FR"/>
              </w:rPr>
              <w:t>C233</w:t>
            </w:r>
          </w:p>
          <w:p>
            <w:pPr>
              <w:rPr>
                <w:noProof/>
                <w:sz w:val="20"/>
                <w:szCs w:val="20"/>
              </w:rPr>
            </w:pPr>
          </w:p>
        </w:tc>
        <w:tc>
          <w:tcPr>
            <w:tcW w:w="3354" w:type="dxa"/>
            <w:shd w:val="clear" w:color="auto" w:fill="F2F2F2" w:themeFill="background1" w:themeFillShade="F2"/>
          </w:tcPr>
          <w:p>
            <w:pPr>
              <w:rPr>
                <w:b/>
                <w:noProof/>
                <w:sz w:val="20"/>
                <w:szCs w:val="20"/>
              </w:rPr>
            </w:pPr>
            <w:r>
              <w:rPr>
                <w:b/>
                <w:noProof/>
                <w:sz w:val="20"/>
                <w:szCs w:val="20"/>
              </w:rPr>
              <w:t>Wall and floor tiles</w:t>
            </w:r>
          </w:p>
        </w:tc>
        <w:tc>
          <w:tcPr>
            <w:tcW w:w="1161" w:type="dxa"/>
            <w:shd w:val="clear" w:color="auto" w:fill="F2F2F2" w:themeFill="background1" w:themeFillShade="F2"/>
          </w:tcPr>
          <w:p>
            <w:pPr>
              <w:rPr>
                <w:noProof/>
                <w:sz w:val="20"/>
                <w:szCs w:val="20"/>
              </w:rPr>
            </w:pPr>
            <w:r>
              <w:rPr>
                <w:noProof/>
                <w:sz w:val="20"/>
                <w:szCs w:val="20"/>
              </w:rPr>
              <w:t>C2331</w:t>
            </w:r>
          </w:p>
        </w:tc>
      </w:tr>
      <w:tr>
        <w:trPr>
          <w:trHeight w:hRule="exact" w:val="284"/>
        </w:trPr>
        <w:tc>
          <w:tcPr>
            <w:tcW w:w="3612" w:type="dxa"/>
            <w:vMerge/>
            <w:shd w:val="clear" w:color="auto" w:fill="F2F2F2" w:themeFill="background1" w:themeFillShade="F2"/>
            <w:vAlign w:val="center"/>
          </w:tcPr>
          <w:p>
            <w:pPr>
              <w:spacing w:line="220" w:lineRule="atLeast"/>
              <w:jc w:val="center"/>
              <w:rPr>
                <w:rFonts w:eastAsia="Times New Roman"/>
                <w:b/>
                <w:noProof/>
                <w:color w:val="000000"/>
                <w:sz w:val="20"/>
                <w:szCs w:val="20"/>
                <w:lang w:eastAsia="fr-FR"/>
              </w:rPr>
            </w:pPr>
          </w:p>
        </w:tc>
        <w:tc>
          <w:tcPr>
            <w:tcW w:w="1161" w:type="dxa"/>
            <w:vMerge/>
            <w:shd w:val="clear" w:color="auto" w:fill="F2F2F2" w:themeFill="background1" w:themeFillShade="F2"/>
          </w:tcPr>
          <w:p>
            <w:pPr>
              <w:rPr>
                <w:rFonts w:eastAsia="Times New Roman"/>
                <w:noProof/>
                <w:color w:val="000000"/>
                <w:sz w:val="20"/>
                <w:szCs w:val="20"/>
                <w:lang w:eastAsia="fr-FR"/>
              </w:rPr>
            </w:pPr>
          </w:p>
        </w:tc>
        <w:tc>
          <w:tcPr>
            <w:tcW w:w="3354" w:type="dxa"/>
            <w:shd w:val="clear" w:color="auto" w:fill="F2F2F2" w:themeFill="background1" w:themeFillShade="F2"/>
          </w:tcPr>
          <w:p>
            <w:pPr>
              <w:rPr>
                <w:b/>
                <w:noProof/>
                <w:sz w:val="20"/>
                <w:szCs w:val="20"/>
              </w:rPr>
            </w:pPr>
            <w:r>
              <w:rPr>
                <w:b/>
                <w:noProof/>
                <w:sz w:val="20"/>
                <w:szCs w:val="20"/>
              </w:rPr>
              <w:t>Bricks and roof tiles</w:t>
            </w:r>
          </w:p>
        </w:tc>
        <w:tc>
          <w:tcPr>
            <w:tcW w:w="1161" w:type="dxa"/>
            <w:shd w:val="clear" w:color="auto" w:fill="F2F2F2" w:themeFill="background1" w:themeFillShade="F2"/>
          </w:tcPr>
          <w:p>
            <w:pPr>
              <w:rPr>
                <w:noProof/>
                <w:sz w:val="20"/>
                <w:szCs w:val="20"/>
              </w:rPr>
            </w:pPr>
            <w:r>
              <w:rPr>
                <w:noProof/>
                <w:sz w:val="20"/>
                <w:szCs w:val="20"/>
              </w:rPr>
              <w:t>C2332</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Porcelain and ceramic</w:t>
            </w:r>
            <w:r>
              <w:rPr>
                <w:rFonts w:eastAsia="Times New Roman"/>
                <w:noProof/>
                <w:color w:val="000000"/>
                <w:sz w:val="20"/>
                <w:szCs w:val="20"/>
                <w:lang w:eastAsia="fr-FR"/>
              </w:rPr>
              <w:t xml:space="preserve"> products</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C234</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Cement</w:t>
            </w:r>
            <w:r>
              <w:rPr>
                <w:rFonts w:eastAsia="Times New Roman"/>
                <w:noProof/>
                <w:color w:val="000000"/>
                <w:sz w:val="20"/>
                <w:szCs w:val="20"/>
                <w:lang w:eastAsia="fr-FR"/>
              </w:rPr>
              <w:t>, lime and plaster</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C235</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sz w:val="20"/>
                <w:szCs w:val="20"/>
                <w:lang w:eastAsia="fr-FR"/>
              </w:rPr>
              <w:t xml:space="preserve">Cutting </w:t>
            </w:r>
            <w:r>
              <w:rPr>
                <w:rFonts w:eastAsia="Times New Roman"/>
                <w:b/>
                <w:noProof/>
                <w:color w:val="000000"/>
                <w:sz w:val="20"/>
                <w:szCs w:val="20"/>
                <w:lang w:eastAsia="fr-FR"/>
              </w:rPr>
              <w:t>stone</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C237</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sz w:val="20"/>
                <w:szCs w:val="20"/>
                <w:lang w:eastAsia="fr-FR"/>
              </w:rPr>
              <w:t xml:space="preserve">Basic </w:t>
            </w:r>
            <w:r>
              <w:rPr>
                <w:rFonts w:eastAsia="Times New Roman"/>
                <w:b/>
                <w:noProof/>
                <w:color w:val="000000"/>
                <w:sz w:val="20"/>
                <w:szCs w:val="20"/>
                <w:lang w:eastAsia="fr-FR"/>
              </w:rPr>
              <w:t>iron and steel</w:t>
            </w:r>
            <w:r>
              <w:rPr>
                <w:rFonts w:eastAsia="Times New Roman"/>
                <w:noProof/>
                <w:color w:val="000000"/>
                <w:sz w:val="20"/>
                <w:szCs w:val="20"/>
                <w:lang w:eastAsia="fr-FR"/>
              </w:rPr>
              <w:t xml:space="preserve"> and of ferro-alloys</w:t>
            </w:r>
          </w:p>
        </w:tc>
        <w:tc>
          <w:tcPr>
            <w:tcW w:w="1161" w:type="dxa"/>
            <w:shd w:val="clear" w:color="auto" w:fill="F2F2F2" w:themeFill="background1" w:themeFillShade="F2"/>
          </w:tcPr>
          <w:p>
            <w:pPr>
              <w:rPr>
                <w:b/>
                <w:noProof/>
                <w:sz w:val="20"/>
                <w:szCs w:val="20"/>
              </w:rPr>
            </w:pPr>
            <w:r>
              <w:rPr>
                <w:rFonts w:eastAsia="Times New Roman"/>
                <w:noProof/>
                <w:color w:val="000000"/>
                <w:sz w:val="20"/>
                <w:szCs w:val="20"/>
                <w:lang w:eastAsia="fr-FR"/>
              </w:rPr>
              <w:t>C241</w:t>
            </w:r>
          </w:p>
        </w:tc>
        <w:tc>
          <w:tcPr>
            <w:tcW w:w="3354" w:type="dxa"/>
            <w:shd w:val="clear" w:color="auto" w:fill="F2F2F2" w:themeFill="background1" w:themeFillShade="F2"/>
          </w:tcPr>
          <w:p>
            <w:pPr>
              <w:rPr>
                <w:b/>
                <w:noProof/>
                <w:sz w:val="20"/>
                <w:szCs w:val="20"/>
              </w:rPr>
            </w:pPr>
            <w:r>
              <w:rPr>
                <w:b/>
                <w:noProof/>
                <w:sz w:val="20"/>
                <w:szCs w:val="20"/>
              </w:rPr>
              <w:t>Iron and steel</w:t>
            </w:r>
          </w:p>
        </w:tc>
        <w:tc>
          <w:tcPr>
            <w:tcW w:w="1161" w:type="dxa"/>
            <w:shd w:val="clear" w:color="auto" w:fill="F2F2F2" w:themeFill="background1" w:themeFillShade="F2"/>
          </w:tcPr>
          <w:p>
            <w:pPr>
              <w:rPr>
                <w:noProof/>
                <w:sz w:val="20"/>
                <w:szCs w:val="20"/>
              </w:rPr>
            </w:pPr>
            <w:r>
              <w:rPr>
                <w:noProof/>
                <w:sz w:val="20"/>
                <w:szCs w:val="20"/>
              </w:rPr>
              <w:t>C2410</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Non-ferrous metals</w:t>
            </w:r>
          </w:p>
        </w:tc>
        <w:tc>
          <w:tcPr>
            <w:tcW w:w="1161" w:type="dxa"/>
            <w:shd w:val="clear" w:color="auto" w:fill="F2F2F2" w:themeFill="background1" w:themeFillShade="F2"/>
          </w:tcPr>
          <w:p>
            <w:pPr>
              <w:rPr>
                <w:noProof/>
                <w:sz w:val="20"/>
                <w:szCs w:val="20"/>
              </w:rPr>
            </w:pPr>
            <w:r>
              <w:rPr>
                <w:rFonts w:eastAsia="Times New Roman"/>
                <w:noProof/>
                <w:color w:val="000000"/>
                <w:sz w:val="20"/>
                <w:szCs w:val="20"/>
                <w:lang w:eastAsia="fr-FR"/>
              </w:rPr>
              <w:t>C244</w:t>
            </w:r>
          </w:p>
        </w:tc>
        <w:tc>
          <w:tcPr>
            <w:tcW w:w="3354" w:type="dxa"/>
            <w:shd w:val="clear" w:color="auto" w:fill="F2F2F2" w:themeFill="background1" w:themeFillShade="F2"/>
          </w:tcPr>
          <w:p>
            <w:pPr>
              <w:rPr>
                <w:b/>
                <w:noProof/>
                <w:sz w:val="20"/>
                <w:szCs w:val="20"/>
              </w:rPr>
            </w:pPr>
            <w:r>
              <w:rPr>
                <w:b/>
                <w:noProof/>
                <w:sz w:val="20"/>
                <w:szCs w:val="20"/>
              </w:rPr>
              <w:t>Aluminium</w:t>
            </w:r>
          </w:p>
        </w:tc>
        <w:tc>
          <w:tcPr>
            <w:tcW w:w="1161" w:type="dxa"/>
            <w:shd w:val="clear" w:color="auto" w:fill="F2F2F2" w:themeFill="background1" w:themeFillShade="F2"/>
          </w:tcPr>
          <w:p>
            <w:pPr>
              <w:rPr>
                <w:noProof/>
                <w:sz w:val="20"/>
                <w:szCs w:val="20"/>
              </w:rPr>
            </w:pPr>
            <w:r>
              <w:rPr>
                <w:noProof/>
                <w:sz w:val="20"/>
                <w:szCs w:val="20"/>
              </w:rPr>
              <w:t>C2442</w:t>
            </w: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Fruit</w:t>
            </w:r>
            <w:r>
              <w:rPr>
                <w:rFonts w:eastAsia="Times New Roman"/>
                <w:noProof/>
                <w:color w:val="000000"/>
                <w:sz w:val="20"/>
                <w:szCs w:val="20"/>
                <w:lang w:eastAsia="fr-FR"/>
              </w:rPr>
              <w:t xml:space="preserve"> </w:t>
            </w:r>
            <w:r>
              <w:rPr>
                <w:rFonts w:eastAsia="Times New Roman"/>
                <w:b/>
                <w:noProof/>
                <w:color w:val="000000"/>
                <w:sz w:val="20"/>
                <w:szCs w:val="20"/>
                <w:lang w:eastAsia="fr-FR"/>
              </w:rPr>
              <w:t>and vegetables</w:t>
            </w:r>
          </w:p>
        </w:tc>
        <w:tc>
          <w:tcPr>
            <w:tcW w:w="1161" w:type="dxa"/>
          </w:tcPr>
          <w:p>
            <w:pPr>
              <w:rPr>
                <w:noProof/>
                <w:sz w:val="20"/>
                <w:szCs w:val="20"/>
              </w:rPr>
            </w:pPr>
            <w:r>
              <w:rPr>
                <w:rFonts w:eastAsia="Times New Roman"/>
                <w:noProof/>
                <w:color w:val="000000"/>
                <w:sz w:val="20"/>
                <w:szCs w:val="20"/>
                <w:lang w:eastAsia="fr-FR"/>
              </w:rPr>
              <w:t>C103</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Articles of paper</w:t>
            </w:r>
            <w:r>
              <w:rPr>
                <w:rFonts w:eastAsia="Times New Roman"/>
                <w:noProof/>
                <w:color w:val="000000"/>
                <w:sz w:val="20"/>
                <w:szCs w:val="20"/>
                <w:lang w:eastAsia="fr-FR"/>
              </w:rPr>
              <w:t xml:space="preserve"> and paperboard</w:t>
            </w:r>
          </w:p>
        </w:tc>
        <w:tc>
          <w:tcPr>
            <w:tcW w:w="1161" w:type="dxa"/>
          </w:tcPr>
          <w:p>
            <w:pPr>
              <w:rPr>
                <w:noProof/>
                <w:sz w:val="20"/>
                <w:szCs w:val="20"/>
              </w:rPr>
            </w:pPr>
            <w:r>
              <w:rPr>
                <w:rFonts w:eastAsia="Times New Roman"/>
                <w:noProof/>
                <w:color w:val="000000"/>
                <w:sz w:val="20"/>
                <w:szCs w:val="20"/>
                <w:lang w:eastAsia="fr-FR"/>
              </w:rPr>
              <w:t>C172</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Plastics</w:t>
            </w:r>
            <w:r>
              <w:rPr>
                <w:rFonts w:eastAsia="Times New Roman"/>
                <w:noProof/>
                <w:color w:val="000000"/>
                <w:sz w:val="20"/>
                <w:szCs w:val="20"/>
                <w:lang w:eastAsia="fr-FR"/>
              </w:rPr>
              <w:t xml:space="preserve"> products</w:t>
            </w:r>
          </w:p>
        </w:tc>
        <w:tc>
          <w:tcPr>
            <w:tcW w:w="1161" w:type="dxa"/>
          </w:tcPr>
          <w:p>
            <w:pPr>
              <w:rPr>
                <w:noProof/>
                <w:sz w:val="20"/>
                <w:szCs w:val="20"/>
              </w:rPr>
            </w:pPr>
            <w:r>
              <w:rPr>
                <w:rFonts w:eastAsia="Times New Roman"/>
                <w:noProof/>
                <w:color w:val="000000"/>
                <w:sz w:val="20"/>
                <w:szCs w:val="20"/>
                <w:lang w:eastAsia="fr-FR"/>
              </w:rPr>
              <w:t>C222</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b/>
                <w:noProof/>
                <w:color w:val="000000"/>
                <w:sz w:val="20"/>
                <w:szCs w:val="20"/>
                <w:lang w:eastAsia="fr-FR"/>
              </w:rPr>
              <w:t>Abrasive products</w:t>
            </w:r>
            <w:r>
              <w:rPr>
                <w:rFonts w:eastAsia="Times New Roman"/>
                <w:noProof/>
                <w:color w:val="000000"/>
                <w:sz w:val="20"/>
                <w:szCs w:val="20"/>
                <w:lang w:eastAsia="fr-FR"/>
              </w:rPr>
              <w:t xml:space="preserve"> and non-metallic mineral products n.e.c.</w:t>
            </w:r>
          </w:p>
        </w:tc>
        <w:tc>
          <w:tcPr>
            <w:tcW w:w="1161" w:type="dxa"/>
          </w:tcPr>
          <w:p>
            <w:pPr>
              <w:rPr>
                <w:noProof/>
                <w:sz w:val="20"/>
                <w:szCs w:val="20"/>
              </w:rPr>
            </w:pPr>
            <w:r>
              <w:rPr>
                <w:rFonts w:eastAsia="Times New Roman"/>
                <w:noProof/>
                <w:color w:val="000000"/>
                <w:sz w:val="20"/>
                <w:szCs w:val="20"/>
                <w:lang w:eastAsia="fr-FR"/>
              </w:rPr>
              <w:t>C239</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b/>
                <w:noProof/>
                <w:color w:val="000000" w:themeColor="text1"/>
                <w:sz w:val="20"/>
                <w:szCs w:val="20"/>
                <w:lang w:eastAsia="fr-FR"/>
              </w:rPr>
            </w:pPr>
            <w:r>
              <w:rPr>
                <w:rFonts w:eastAsia="Times New Roman"/>
                <w:b/>
                <w:noProof/>
                <w:color w:val="000000"/>
                <w:sz w:val="20"/>
                <w:szCs w:val="20"/>
                <w:lang w:eastAsia="fr-FR"/>
              </w:rPr>
              <w:t>Casting of metals</w:t>
            </w:r>
          </w:p>
        </w:tc>
        <w:tc>
          <w:tcPr>
            <w:tcW w:w="1161" w:type="dxa"/>
          </w:tcPr>
          <w:p>
            <w:pPr>
              <w:rPr>
                <w:noProof/>
                <w:sz w:val="20"/>
                <w:szCs w:val="20"/>
              </w:rPr>
            </w:pPr>
            <w:r>
              <w:rPr>
                <w:rFonts w:eastAsia="Times New Roman"/>
                <w:noProof/>
                <w:color w:val="000000"/>
                <w:sz w:val="20"/>
                <w:szCs w:val="20"/>
                <w:lang w:eastAsia="fr-FR"/>
              </w:rPr>
              <w:t>C245</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b/>
                <w:noProof/>
                <w:color w:val="000000"/>
                <w:sz w:val="20"/>
                <w:szCs w:val="20"/>
                <w:lang w:eastAsia="fr-FR"/>
              </w:rPr>
            </w:pPr>
            <w:r>
              <w:rPr>
                <w:rFonts w:eastAsia="Times New Roman"/>
                <w:b/>
                <w:noProof/>
                <w:color w:val="000000"/>
                <w:sz w:val="20"/>
                <w:szCs w:val="20"/>
                <w:lang w:eastAsia="fr-FR"/>
              </w:rPr>
              <w:t>Beverages</w:t>
            </w:r>
          </w:p>
        </w:tc>
        <w:tc>
          <w:tcPr>
            <w:tcW w:w="1161" w:type="dxa"/>
          </w:tcPr>
          <w:p>
            <w:pPr>
              <w:rPr>
                <w:noProof/>
                <w:sz w:val="20"/>
                <w:szCs w:val="20"/>
              </w:rPr>
            </w:pPr>
            <w:r>
              <w:rPr>
                <w:rFonts w:eastAsia="Times New Roman"/>
                <w:noProof/>
                <w:color w:val="000000"/>
                <w:sz w:val="20"/>
                <w:szCs w:val="20"/>
                <w:lang w:eastAsia="fr-FR"/>
              </w:rPr>
              <w:t>C11</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sz w:val="20"/>
                <w:szCs w:val="20"/>
                <w:lang w:eastAsia="fr-FR"/>
              </w:rPr>
            </w:pPr>
            <w:r>
              <w:rPr>
                <w:rFonts w:eastAsia="Times New Roman"/>
                <w:b/>
                <w:noProof/>
                <w:color w:val="000000"/>
                <w:sz w:val="20"/>
                <w:szCs w:val="20"/>
                <w:lang w:eastAsia="fr-FR"/>
              </w:rPr>
              <w:t>Basic pharmaceutical</w:t>
            </w:r>
            <w:r>
              <w:rPr>
                <w:rFonts w:eastAsia="Times New Roman"/>
                <w:noProof/>
                <w:color w:val="000000"/>
                <w:sz w:val="20"/>
                <w:szCs w:val="20"/>
                <w:lang w:eastAsia="fr-FR"/>
              </w:rPr>
              <w:t xml:space="preserve"> products</w:t>
            </w:r>
          </w:p>
        </w:tc>
        <w:tc>
          <w:tcPr>
            <w:tcW w:w="1161" w:type="dxa"/>
          </w:tcPr>
          <w:p>
            <w:pPr>
              <w:rPr>
                <w:noProof/>
                <w:sz w:val="20"/>
                <w:szCs w:val="20"/>
              </w:rPr>
            </w:pPr>
            <w:r>
              <w:rPr>
                <w:rFonts w:eastAsia="Times New Roman"/>
                <w:noProof/>
                <w:color w:val="000000"/>
                <w:sz w:val="20"/>
                <w:szCs w:val="20"/>
                <w:lang w:eastAsia="fr-FR"/>
              </w:rPr>
              <w:t>C21</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sz w:val="20"/>
                <w:szCs w:val="20"/>
                <w:lang w:eastAsia="fr-FR"/>
              </w:rPr>
            </w:pPr>
            <w:r>
              <w:rPr>
                <w:rFonts w:eastAsia="Times New Roman"/>
                <w:b/>
                <w:noProof/>
                <w:color w:val="000000"/>
                <w:sz w:val="20"/>
                <w:szCs w:val="20"/>
                <w:lang w:eastAsia="fr-FR"/>
              </w:rPr>
              <w:t>Fabricated metal products</w:t>
            </w:r>
            <w:r>
              <w:rPr>
                <w:rFonts w:eastAsia="Times New Roman"/>
                <w:noProof/>
                <w:color w:val="000000"/>
                <w:sz w:val="20"/>
                <w:szCs w:val="20"/>
                <w:lang w:eastAsia="fr-FR"/>
              </w:rPr>
              <w:t xml:space="preserve"> (except machinery)</w:t>
            </w:r>
          </w:p>
        </w:tc>
        <w:tc>
          <w:tcPr>
            <w:tcW w:w="1161" w:type="dxa"/>
          </w:tcPr>
          <w:p>
            <w:pPr>
              <w:rPr>
                <w:noProof/>
                <w:sz w:val="20"/>
                <w:szCs w:val="20"/>
              </w:rPr>
            </w:pPr>
            <w:r>
              <w:rPr>
                <w:rFonts w:eastAsia="Times New Roman"/>
                <w:noProof/>
                <w:color w:val="000000"/>
                <w:sz w:val="20"/>
                <w:szCs w:val="20"/>
                <w:lang w:eastAsia="fr-FR"/>
              </w:rPr>
              <w:t>C25</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sz w:val="20"/>
                <w:szCs w:val="20"/>
                <w:lang w:eastAsia="fr-FR"/>
              </w:rPr>
            </w:pPr>
            <w:r>
              <w:rPr>
                <w:rFonts w:eastAsia="Times New Roman"/>
                <w:b/>
                <w:noProof/>
                <w:color w:val="000000"/>
                <w:sz w:val="20"/>
                <w:szCs w:val="20"/>
                <w:lang w:eastAsia="fr-FR"/>
              </w:rPr>
              <w:t>Computer, electronic</w:t>
            </w:r>
            <w:r>
              <w:rPr>
                <w:rFonts w:eastAsia="Times New Roman"/>
                <w:noProof/>
                <w:color w:val="000000"/>
                <w:sz w:val="20"/>
                <w:szCs w:val="20"/>
                <w:lang w:eastAsia="fr-FR"/>
              </w:rPr>
              <w:t xml:space="preserve"> and optical products</w:t>
            </w:r>
          </w:p>
        </w:tc>
        <w:tc>
          <w:tcPr>
            <w:tcW w:w="1161" w:type="dxa"/>
          </w:tcPr>
          <w:p>
            <w:pPr>
              <w:rPr>
                <w:noProof/>
                <w:sz w:val="20"/>
                <w:szCs w:val="20"/>
              </w:rPr>
            </w:pPr>
            <w:r>
              <w:rPr>
                <w:rFonts w:eastAsia="Times New Roman"/>
                <w:noProof/>
                <w:color w:val="000000"/>
                <w:sz w:val="20"/>
                <w:szCs w:val="20"/>
                <w:lang w:eastAsia="fr-FR"/>
              </w:rPr>
              <w:t>C26</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sz w:val="20"/>
                <w:szCs w:val="20"/>
                <w:lang w:eastAsia="fr-FR"/>
              </w:rPr>
            </w:pPr>
            <w:r>
              <w:rPr>
                <w:rFonts w:eastAsia="Times New Roman"/>
                <w:noProof/>
                <w:color w:val="000000"/>
                <w:sz w:val="20"/>
                <w:szCs w:val="20"/>
                <w:lang w:eastAsia="fr-FR"/>
              </w:rPr>
              <w:t>Electrical equipment</w:t>
            </w:r>
          </w:p>
        </w:tc>
        <w:tc>
          <w:tcPr>
            <w:tcW w:w="1161" w:type="dxa"/>
          </w:tcPr>
          <w:p>
            <w:pPr>
              <w:rPr>
                <w:noProof/>
                <w:sz w:val="20"/>
                <w:szCs w:val="20"/>
              </w:rPr>
            </w:pPr>
            <w:r>
              <w:rPr>
                <w:rFonts w:eastAsia="Times New Roman"/>
                <w:noProof/>
                <w:color w:val="000000"/>
                <w:sz w:val="20"/>
                <w:szCs w:val="20"/>
                <w:lang w:eastAsia="fr-FR"/>
              </w:rPr>
              <w:t>C27</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sz w:val="20"/>
                <w:szCs w:val="20"/>
                <w:lang w:eastAsia="fr-FR"/>
              </w:rPr>
            </w:pPr>
            <w:r>
              <w:rPr>
                <w:rFonts w:eastAsia="Times New Roman"/>
                <w:b/>
                <w:noProof/>
                <w:color w:val="000000"/>
                <w:sz w:val="20"/>
                <w:szCs w:val="20"/>
                <w:lang w:eastAsia="fr-FR"/>
              </w:rPr>
              <w:t xml:space="preserve">Machinery </w:t>
            </w:r>
            <w:r>
              <w:rPr>
                <w:rFonts w:eastAsia="Times New Roman"/>
                <w:noProof/>
                <w:color w:val="000000"/>
                <w:sz w:val="20"/>
                <w:szCs w:val="20"/>
                <w:lang w:eastAsia="fr-FR"/>
              </w:rPr>
              <w:t>and equipment n.e.c.</w:t>
            </w:r>
          </w:p>
        </w:tc>
        <w:tc>
          <w:tcPr>
            <w:tcW w:w="1161" w:type="dxa"/>
          </w:tcPr>
          <w:p>
            <w:pPr>
              <w:rPr>
                <w:noProof/>
                <w:sz w:val="20"/>
                <w:szCs w:val="20"/>
              </w:rPr>
            </w:pPr>
            <w:r>
              <w:rPr>
                <w:rFonts w:eastAsia="Times New Roman"/>
                <w:noProof/>
                <w:color w:val="000000"/>
                <w:sz w:val="20"/>
                <w:szCs w:val="20"/>
                <w:lang w:eastAsia="fr-FR"/>
              </w:rPr>
              <w:t>C28-</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sz w:val="20"/>
                <w:szCs w:val="20"/>
                <w:lang w:eastAsia="fr-FR"/>
              </w:rPr>
            </w:pPr>
            <w:r>
              <w:rPr>
                <w:rFonts w:eastAsia="Times New Roman"/>
                <w:b/>
                <w:noProof/>
                <w:color w:val="000000"/>
                <w:sz w:val="20"/>
                <w:szCs w:val="20"/>
                <w:lang w:eastAsia="fr-FR"/>
              </w:rPr>
              <w:t>Motor vehicles</w:t>
            </w:r>
            <w:r>
              <w:rPr>
                <w:rFonts w:eastAsia="Times New Roman"/>
                <w:noProof/>
                <w:color w:val="000000"/>
                <w:sz w:val="20"/>
                <w:szCs w:val="20"/>
                <w:lang w:eastAsia="fr-FR"/>
              </w:rPr>
              <w:t>, trailers and semi-trailers</w:t>
            </w:r>
          </w:p>
        </w:tc>
        <w:tc>
          <w:tcPr>
            <w:tcW w:w="1161" w:type="dxa"/>
          </w:tcPr>
          <w:p>
            <w:pPr>
              <w:rPr>
                <w:noProof/>
                <w:sz w:val="20"/>
                <w:szCs w:val="20"/>
              </w:rPr>
            </w:pPr>
            <w:r>
              <w:rPr>
                <w:rFonts w:eastAsia="Times New Roman"/>
                <w:noProof/>
                <w:color w:val="000000"/>
                <w:sz w:val="20"/>
                <w:szCs w:val="20"/>
                <w:lang w:eastAsia="fr-FR"/>
              </w:rPr>
              <w:t>C29</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b/>
                <w:noProof/>
                <w:color w:val="000000"/>
                <w:sz w:val="20"/>
                <w:szCs w:val="20"/>
                <w:lang w:eastAsia="fr-FR"/>
              </w:rPr>
            </w:pPr>
            <w:r>
              <w:rPr>
                <w:rFonts w:eastAsia="Times New Roman"/>
                <w:b/>
                <w:noProof/>
                <w:color w:val="000000"/>
                <w:sz w:val="20"/>
                <w:szCs w:val="20"/>
                <w:lang w:eastAsia="fr-FR"/>
              </w:rPr>
              <w:t>Other transport equipment</w:t>
            </w:r>
          </w:p>
        </w:tc>
        <w:tc>
          <w:tcPr>
            <w:tcW w:w="1161" w:type="dxa"/>
          </w:tcPr>
          <w:p>
            <w:pPr>
              <w:rPr>
                <w:noProof/>
                <w:sz w:val="20"/>
                <w:szCs w:val="20"/>
              </w:rPr>
            </w:pPr>
            <w:r>
              <w:rPr>
                <w:rFonts w:eastAsia="Times New Roman"/>
                <w:noProof/>
                <w:color w:val="000000"/>
                <w:sz w:val="20"/>
                <w:szCs w:val="20"/>
                <w:lang w:eastAsia="fr-FR"/>
              </w:rPr>
              <w:t>C30-</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b/>
                <w:noProof/>
                <w:color w:val="000000"/>
                <w:sz w:val="20"/>
                <w:szCs w:val="20"/>
                <w:lang w:eastAsia="fr-FR"/>
              </w:rPr>
            </w:pPr>
            <w:r>
              <w:rPr>
                <w:rFonts w:eastAsia="Times New Roman"/>
                <w:b/>
                <w:noProof/>
                <w:color w:val="000000"/>
                <w:sz w:val="20"/>
                <w:szCs w:val="20"/>
                <w:lang w:eastAsia="fr-FR"/>
              </w:rPr>
              <w:t>Other manufacturing</w:t>
            </w:r>
          </w:p>
        </w:tc>
        <w:tc>
          <w:tcPr>
            <w:tcW w:w="1161" w:type="dxa"/>
          </w:tcPr>
          <w:p>
            <w:pPr>
              <w:rPr>
                <w:noProof/>
                <w:sz w:val="20"/>
                <w:szCs w:val="20"/>
              </w:rPr>
            </w:pPr>
            <w:r>
              <w:rPr>
                <w:rFonts w:eastAsia="Times New Roman"/>
                <w:noProof/>
                <w:color w:val="000000"/>
                <w:sz w:val="20"/>
                <w:szCs w:val="20"/>
                <w:lang w:eastAsia="fr-FR"/>
              </w:rPr>
              <w:t>C32</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sz w:val="20"/>
                <w:szCs w:val="20"/>
                <w:lang w:eastAsia="fr-FR"/>
              </w:rPr>
            </w:pPr>
            <w:r>
              <w:rPr>
                <w:rFonts w:eastAsia="Times New Roman"/>
                <w:b/>
                <w:noProof/>
                <w:color w:val="000000"/>
                <w:sz w:val="20"/>
                <w:szCs w:val="20"/>
                <w:lang w:eastAsia="fr-FR"/>
              </w:rPr>
              <w:t>Repair, installation of machinery</w:t>
            </w:r>
          </w:p>
        </w:tc>
        <w:tc>
          <w:tcPr>
            <w:tcW w:w="1161" w:type="dxa"/>
          </w:tcPr>
          <w:p>
            <w:pPr>
              <w:rPr>
                <w:noProof/>
                <w:sz w:val="20"/>
                <w:szCs w:val="20"/>
              </w:rPr>
            </w:pPr>
            <w:r>
              <w:rPr>
                <w:rFonts w:eastAsia="Times New Roman"/>
                <w:noProof/>
                <w:color w:val="000000"/>
                <w:sz w:val="20"/>
                <w:szCs w:val="20"/>
                <w:lang w:eastAsia="fr-FR"/>
              </w:rPr>
              <w:t>C33</w:t>
            </w:r>
          </w:p>
        </w:tc>
        <w:tc>
          <w:tcPr>
            <w:tcW w:w="3354" w:type="dxa"/>
          </w:tcPr>
          <w:p>
            <w:pPr>
              <w:rPr>
                <w:noProof/>
                <w:sz w:val="20"/>
                <w:szCs w:val="20"/>
              </w:rPr>
            </w:pPr>
          </w:p>
        </w:tc>
        <w:tc>
          <w:tcPr>
            <w:tcW w:w="1161" w:type="dxa"/>
          </w:tcPr>
          <w:p>
            <w:pPr>
              <w:rPr>
                <w:noProof/>
                <w:sz w:val="20"/>
                <w:szCs w:val="20"/>
              </w:rPr>
            </w:pPr>
          </w:p>
        </w:tc>
      </w:tr>
    </w:tbl>
    <w:p>
      <w:pPr>
        <w:spacing w:after="0"/>
        <w:rPr>
          <w:noProof/>
          <w:sz w:val="24"/>
          <w:szCs w:val="24"/>
        </w:rPr>
      </w:pPr>
      <w:r>
        <w:rPr>
          <w:noProof/>
          <w:sz w:val="24"/>
          <w:szCs w:val="24"/>
        </w:rPr>
        <w:t>* The sector analysed is a subsector of the NACE code mentioned.</w:t>
      </w:r>
    </w:p>
    <w:p>
      <w:pPr>
        <w:pStyle w:val="Sources"/>
        <w:rPr>
          <w:noProof/>
        </w:rPr>
      </w:pPr>
      <w:r>
        <w:rPr>
          <w:noProof/>
        </w:rPr>
        <w:t>Source: European Commission Services</w:t>
      </w:r>
    </w:p>
    <w:p>
      <w:pPr>
        <w:spacing w:after="0"/>
        <w:rPr>
          <w:noProof/>
          <w:sz w:val="24"/>
          <w:szCs w:val="24"/>
        </w:rPr>
      </w:pPr>
      <w:r>
        <w:rPr>
          <w:noProof/>
          <w:sz w:val="24"/>
          <w:szCs w:val="24"/>
        </w:rPr>
        <w:t>Note: Shaded Sectors are those most intensive</w:t>
      </w:r>
    </w:p>
    <w:p>
      <w:pPr>
        <w:spacing w:after="0"/>
        <w:rPr>
          <w:noProof/>
          <w:sz w:val="24"/>
          <w:szCs w:val="24"/>
        </w:rPr>
      </w:pPr>
    </w:p>
    <w:p>
      <w:pPr>
        <w:pStyle w:val="AAAAAtext"/>
        <w:rPr>
          <w:noProof/>
        </w:rPr>
      </w:pPr>
    </w:p>
    <w:p>
      <w:pPr>
        <w:pStyle w:val="Caption"/>
        <w:rPr>
          <w:sz w:val="24"/>
          <w:szCs w:val="24"/>
        </w:rPr>
      </w:pPr>
      <w:bookmarkStart w:id="125" w:name="_Toc531178638"/>
      <w:r>
        <w:t xml:space="preserve">Table </w:t>
      </w:r>
      <w:r>
        <w:fldChar w:fldCharType="begin"/>
      </w:r>
      <w:r>
        <w:instrText xml:space="preserve"> SEQ Table \* ARABIC </w:instrText>
      </w:r>
      <w:r>
        <w:fldChar w:fldCharType="separate"/>
      </w:r>
      <w:r>
        <w:t>10</w:t>
      </w:r>
      <w:r>
        <w:fldChar w:fldCharType="end"/>
      </w:r>
      <w:r>
        <w:t xml:space="preserve"> - Coverage of other sectors, excluding manufacturing</w:t>
      </w:r>
      <w:bookmarkEnd w:id="125"/>
    </w:p>
    <w:tbl>
      <w:tblPr>
        <w:tblStyle w:val="TableGrid"/>
        <w:tblW w:w="9322" w:type="dxa"/>
        <w:tblLook w:val="04A0" w:firstRow="1" w:lastRow="0" w:firstColumn="1" w:lastColumn="0" w:noHBand="0" w:noVBand="1"/>
      </w:tblPr>
      <w:tblGrid>
        <w:gridCol w:w="8161"/>
        <w:gridCol w:w="1161"/>
      </w:tblGrid>
      <w:tr>
        <w:tc>
          <w:tcPr>
            <w:tcW w:w="9322" w:type="dxa"/>
            <w:gridSpan w:val="2"/>
            <w:vAlign w:val="center"/>
          </w:tcPr>
          <w:p>
            <w:pPr>
              <w:jc w:val="center"/>
              <w:rPr>
                <w:noProof/>
                <w:sz w:val="20"/>
                <w:szCs w:val="20"/>
                <w:u w:val="single"/>
              </w:rPr>
            </w:pPr>
          </w:p>
          <w:p>
            <w:pPr>
              <w:jc w:val="center"/>
              <w:rPr>
                <w:noProof/>
                <w:sz w:val="20"/>
                <w:szCs w:val="20"/>
                <w:u w:val="single"/>
              </w:rPr>
            </w:pPr>
            <w:r>
              <w:rPr>
                <w:noProof/>
                <w:sz w:val="20"/>
                <w:szCs w:val="20"/>
                <w:u w:val="single"/>
              </w:rPr>
              <w:t>Coverage of other agriculture, mining, construction and services</w:t>
            </w:r>
          </w:p>
          <w:p>
            <w:pPr>
              <w:jc w:val="center"/>
              <w:rPr>
                <w:i/>
                <w:noProof/>
                <w:sz w:val="20"/>
                <w:szCs w:val="20"/>
              </w:rPr>
            </w:pPr>
            <w:r>
              <w:rPr>
                <w:i/>
                <w:noProof/>
                <w:sz w:val="20"/>
                <w:szCs w:val="20"/>
              </w:rPr>
              <w:t xml:space="preserve">Study by Trinomics et altri </w:t>
            </w:r>
          </w:p>
        </w:tc>
      </w:tr>
      <w:tr>
        <w:tc>
          <w:tcPr>
            <w:tcW w:w="8161" w:type="dxa"/>
            <w:vAlign w:val="center"/>
          </w:tcPr>
          <w:p>
            <w:pPr>
              <w:spacing w:line="220" w:lineRule="atLeast"/>
              <w:jc w:val="center"/>
              <w:rPr>
                <w:rFonts w:eastAsia="Times New Roman"/>
                <w:noProof/>
                <w:color w:val="000000"/>
                <w:sz w:val="20"/>
                <w:szCs w:val="20"/>
                <w:lang w:eastAsia="fr-FR"/>
              </w:rPr>
            </w:pPr>
            <w:r>
              <w:rPr>
                <w:rFonts w:eastAsia="Times New Roman"/>
                <w:noProof/>
                <w:color w:val="000000"/>
                <w:sz w:val="20"/>
                <w:szCs w:val="20"/>
                <w:lang w:eastAsia="fr-FR"/>
              </w:rPr>
              <w:t>Sector</w:t>
            </w:r>
          </w:p>
        </w:tc>
        <w:tc>
          <w:tcPr>
            <w:tcW w:w="1161" w:type="dxa"/>
            <w:vAlign w:val="center"/>
          </w:tcPr>
          <w:p>
            <w:pPr>
              <w:spacing w:line="220" w:lineRule="atLeast"/>
              <w:jc w:val="center"/>
              <w:rPr>
                <w:rFonts w:eastAsia="Times New Roman"/>
                <w:noProof/>
                <w:color w:val="000000"/>
                <w:sz w:val="20"/>
                <w:szCs w:val="20"/>
                <w:lang w:eastAsia="fr-FR"/>
              </w:rPr>
            </w:pPr>
            <w:r>
              <w:rPr>
                <w:rFonts w:eastAsia="Times New Roman"/>
                <w:noProof/>
                <w:color w:val="000000"/>
                <w:sz w:val="20"/>
                <w:szCs w:val="20"/>
                <w:lang w:eastAsia="fr-FR"/>
              </w:rPr>
              <w:t>Level of aggregation (NACE code)</w:t>
            </w:r>
          </w:p>
        </w:tc>
      </w:tr>
      <w:tr>
        <w:trPr>
          <w:trHeight w:hRule="exact" w:val="284"/>
        </w:trPr>
        <w:tc>
          <w:tcPr>
            <w:tcW w:w="8161" w:type="dxa"/>
            <w:vAlign w:val="center"/>
          </w:tcPr>
          <w:p>
            <w:pPr>
              <w:spacing w:after="0"/>
              <w:jc w:val="left"/>
              <w:rPr>
                <w:rFonts w:eastAsia="Times New Roman"/>
                <w:b/>
                <w:noProof/>
                <w:color w:val="000000"/>
                <w:sz w:val="20"/>
                <w:szCs w:val="20"/>
                <w:lang w:eastAsia="fr-FR"/>
              </w:rPr>
            </w:pPr>
            <w:r>
              <w:rPr>
                <w:rFonts w:eastAsia="Times New Roman"/>
                <w:b/>
                <w:noProof/>
                <w:color w:val="000000"/>
                <w:sz w:val="20"/>
                <w:szCs w:val="20"/>
                <w:lang w:eastAsia="fr-FR"/>
              </w:rPr>
              <w:t>Agriculture, forestry and fishing</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A</w:t>
            </w:r>
          </w:p>
        </w:tc>
      </w:tr>
      <w:tr>
        <w:trPr>
          <w:trHeight w:hRule="exact" w:val="284"/>
        </w:trPr>
        <w:tc>
          <w:tcPr>
            <w:tcW w:w="8161" w:type="dxa"/>
            <w:vAlign w:val="center"/>
          </w:tcPr>
          <w:p>
            <w:pPr>
              <w:spacing w:after="0"/>
              <w:jc w:val="left"/>
              <w:rPr>
                <w:rFonts w:eastAsia="Times New Roman"/>
                <w:b/>
                <w:noProof/>
                <w:color w:val="000000"/>
                <w:sz w:val="20"/>
                <w:szCs w:val="20"/>
                <w:lang w:eastAsia="fr-FR"/>
              </w:rPr>
            </w:pPr>
            <w:r>
              <w:rPr>
                <w:rFonts w:eastAsia="Times New Roman"/>
                <w:b/>
                <w:noProof/>
                <w:color w:val="000000"/>
                <w:sz w:val="20"/>
                <w:szCs w:val="20"/>
                <w:lang w:eastAsia="fr-FR"/>
              </w:rPr>
              <w:t>Extraction of crude petroleum and natural gas</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B06</w:t>
            </w:r>
          </w:p>
        </w:tc>
      </w:tr>
      <w:tr>
        <w:trPr>
          <w:trHeight w:hRule="exact" w:val="284"/>
        </w:trPr>
        <w:tc>
          <w:tcPr>
            <w:tcW w:w="8161" w:type="dxa"/>
            <w:vAlign w:val="center"/>
          </w:tcPr>
          <w:p>
            <w:pPr>
              <w:spacing w:after="0"/>
              <w:jc w:val="left"/>
              <w:rPr>
                <w:rFonts w:eastAsia="Times New Roman"/>
                <w:noProof/>
                <w:color w:val="000000"/>
                <w:sz w:val="20"/>
                <w:szCs w:val="20"/>
                <w:lang w:eastAsia="fr-FR"/>
              </w:rPr>
            </w:pPr>
            <w:r>
              <w:rPr>
                <w:rFonts w:eastAsia="Times New Roman"/>
                <w:b/>
                <w:noProof/>
                <w:color w:val="000000"/>
                <w:sz w:val="20"/>
                <w:szCs w:val="20"/>
                <w:lang w:eastAsia="fr-FR"/>
              </w:rPr>
              <w:t>Mining</w:t>
            </w:r>
            <w:r>
              <w:rPr>
                <w:rFonts w:eastAsia="Times New Roman"/>
                <w:noProof/>
                <w:color w:val="000000"/>
                <w:sz w:val="20"/>
                <w:szCs w:val="20"/>
                <w:lang w:eastAsia="fr-FR"/>
              </w:rPr>
              <w:t xml:space="preserve"> of </w:t>
            </w:r>
            <w:r>
              <w:rPr>
                <w:rFonts w:eastAsia="Times New Roman"/>
                <w:b/>
                <w:noProof/>
                <w:color w:val="000000"/>
                <w:sz w:val="20"/>
                <w:szCs w:val="20"/>
                <w:lang w:eastAsia="fr-FR"/>
              </w:rPr>
              <w:t>metal ores</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B07</w:t>
            </w:r>
          </w:p>
        </w:tc>
      </w:tr>
      <w:tr>
        <w:trPr>
          <w:trHeight w:hRule="exact" w:val="284"/>
        </w:trPr>
        <w:tc>
          <w:tcPr>
            <w:tcW w:w="8161" w:type="dxa"/>
            <w:vAlign w:val="center"/>
          </w:tcPr>
          <w:p>
            <w:pPr>
              <w:spacing w:after="0"/>
              <w:jc w:val="left"/>
              <w:rPr>
                <w:rFonts w:eastAsia="Times New Roman"/>
                <w:b/>
                <w:noProof/>
                <w:color w:val="000000"/>
                <w:sz w:val="20"/>
                <w:szCs w:val="20"/>
                <w:lang w:eastAsia="fr-FR"/>
              </w:rPr>
            </w:pPr>
            <w:r>
              <w:rPr>
                <w:rFonts w:eastAsia="Times New Roman"/>
                <w:b/>
                <w:noProof/>
                <w:color w:val="000000"/>
                <w:sz w:val="20"/>
                <w:szCs w:val="20"/>
                <w:lang w:eastAsia="fr-FR"/>
              </w:rPr>
              <w:t>Other mining and quarrying</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B08</w:t>
            </w:r>
          </w:p>
        </w:tc>
      </w:tr>
      <w:tr>
        <w:trPr>
          <w:trHeight w:hRule="exact" w:val="284"/>
        </w:trPr>
        <w:tc>
          <w:tcPr>
            <w:tcW w:w="8161" w:type="dxa"/>
            <w:vAlign w:val="center"/>
          </w:tcPr>
          <w:p>
            <w:pPr>
              <w:spacing w:after="0"/>
              <w:jc w:val="left"/>
              <w:rPr>
                <w:rFonts w:eastAsia="Times New Roman"/>
                <w:noProof/>
                <w:color w:val="000000"/>
                <w:sz w:val="20"/>
                <w:szCs w:val="20"/>
                <w:lang w:eastAsia="fr-FR"/>
              </w:rPr>
            </w:pPr>
            <w:r>
              <w:rPr>
                <w:rFonts w:eastAsia="Times New Roman"/>
                <w:b/>
                <w:noProof/>
                <w:color w:val="000000"/>
                <w:sz w:val="20"/>
                <w:szCs w:val="20"/>
                <w:lang w:eastAsia="fr-FR"/>
              </w:rPr>
              <w:t>Electricity, gas,</w:t>
            </w:r>
            <w:r>
              <w:rPr>
                <w:rFonts w:eastAsia="Times New Roman"/>
                <w:noProof/>
                <w:color w:val="000000"/>
                <w:sz w:val="20"/>
                <w:szCs w:val="20"/>
                <w:lang w:eastAsia="fr-FR"/>
              </w:rPr>
              <w:t xml:space="preserve"> steam and air-conditioning supply</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D35</w:t>
            </w:r>
          </w:p>
        </w:tc>
      </w:tr>
      <w:tr>
        <w:trPr>
          <w:trHeight w:hRule="exact" w:val="284"/>
        </w:trPr>
        <w:tc>
          <w:tcPr>
            <w:tcW w:w="8161" w:type="dxa"/>
            <w:vAlign w:val="center"/>
          </w:tcPr>
          <w:p>
            <w:pPr>
              <w:spacing w:after="0"/>
              <w:jc w:val="left"/>
              <w:rPr>
                <w:rFonts w:eastAsia="Times New Roman"/>
                <w:noProof/>
                <w:color w:val="000000"/>
                <w:sz w:val="20"/>
                <w:szCs w:val="20"/>
                <w:lang w:eastAsia="fr-FR"/>
              </w:rPr>
            </w:pPr>
            <w:r>
              <w:rPr>
                <w:rFonts w:eastAsia="Times New Roman"/>
                <w:b/>
                <w:noProof/>
                <w:color w:val="000000"/>
                <w:sz w:val="20"/>
                <w:szCs w:val="20"/>
                <w:lang w:eastAsia="fr-FR"/>
              </w:rPr>
              <w:t>Water supply</w:t>
            </w:r>
            <w:r>
              <w:rPr>
                <w:rFonts w:eastAsia="Times New Roman"/>
                <w:noProof/>
                <w:color w:val="000000"/>
                <w:sz w:val="20"/>
                <w:szCs w:val="20"/>
                <w:lang w:eastAsia="fr-FR"/>
              </w:rPr>
              <w:t>, sewerage, water management and remediation activities</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E38</w:t>
            </w:r>
          </w:p>
        </w:tc>
      </w:tr>
      <w:tr>
        <w:trPr>
          <w:trHeight w:hRule="exact" w:val="284"/>
        </w:trPr>
        <w:tc>
          <w:tcPr>
            <w:tcW w:w="8161" w:type="dxa"/>
            <w:vAlign w:val="center"/>
          </w:tcPr>
          <w:p>
            <w:pPr>
              <w:spacing w:after="0"/>
              <w:jc w:val="left"/>
              <w:rPr>
                <w:rFonts w:eastAsia="Times New Roman"/>
                <w:b/>
                <w:noProof/>
                <w:color w:val="000000"/>
                <w:sz w:val="20"/>
                <w:szCs w:val="20"/>
                <w:lang w:eastAsia="fr-FR"/>
              </w:rPr>
            </w:pPr>
            <w:r>
              <w:rPr>
                <w:rFonts w:eastAsia="Times New Roman"/>
                <w:b/>
                <w:noProof/>
                <w:color w:val="000000"/>
                <w:sz w:val="20"/>
                <w:szCs w:val="20"/>
                <w:lang w:eastAsia="fr-FR"/>
              </w:rPr>
              <w:t>Construction</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F</w:t>
            </w:r>
          </w:p>
        </w:tc>
      </w:tr>
      <w:tr>
        <w:trPr>
          <w:trHeight w:hRule="exact" w:val="284"/>
        </w:trPr>
        <w:tc>
          <w:tcPr>
            <w:tcW w:w="8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 xml:space="preserve">Wholesale and retail </w:t>
            </w:r>
            <w:r>
              <w:rPr>
                <w:rFonts w:eastAsia="Times New Roman"/>
                <w:b/>
                <w:noProof/>
                <w:color w:val="000000"/>
                <w:sz w:val="20"/>
                <w:szCs w:val="20"/>
                <w:lang w:eastAsia="fr-FR"/>
              </w:rPr>
              <w:t>trade</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G</w:t>
            </w:r>
          </w:p>
        </w:tc>
      </w:tr>
      <w:tr>
        <w:trPr>
          <w:trHeight w:hRule="exact" w:val="284"/>
        </w:trPr>
        <w:tc>
          <w:tcPr>
            <w:tcW w:w="8161" w:type="dxa"/>
            <w:vAlign w:val="center"/>
          </w:tcPr>
          <w:p>
            <w:pPr>
              <w:spacing w:after="0"/>
              <w:jc w:val="left"/>
              <w:rPr>
                <w:rFonts w:eastAsia="Times New Roman"/>
                <w:noProof/>
                <w:color w:val="000000"/>
                <w:sz w:val="20"/>
                <w:szCs w:val="20"/>
                <w:lang w:eastAsia="fr-FR"/>
              </w:rPr>
            </w:pPr>
            <w:r>
              <w:rPr>
                <w:rFonts w:eastAsia="Times New Roman"/>
                <w:b/>
                <w:noProof/>
                <w:color w:val="000000"/>
                <w:sz w:val="20"/>
                <w:szCs w:val="20"/>
                <w:lang w:eastAsia="fr-FR"/>
              </w:rPr>
              <w:t>Land Transport</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H49</w:t>
            </w:r>
          </w:p>
        </w:tc>
      </w:tr>
      <w:tr>
        <w:trPr>
          <w:trHeight w:hRule="exact" w:val="284"/>
        </w:trPr>
        <w:tc>
          <w:tcPr>
            <w:tcW w:w="8161" w:type="dxa"/>
            <w:vAlign w:val="center"/>
          </w:tcPr>
          <w:p>
            <w:pPr>
              <w:spacing w:after="0"/>
              <w:jc w:val="left"/>
              <w:rPr>
                <w:rFonts w:eastAsia="Times New Roman"/>
                <w:b/>
                <w:noProof/>
                <w:color w:val="000000"/>
                <w:sz w:val="20"/>
                <w:szCs w:val="20"/>
                <w:lang w:eastAsia="fr-FR"/>
              </w:rPr>
            </w:pPr>
            <w:r>
              <w:rPr>
                <w:rFonts w:eastAsia="Times New Roman"/>
                <w:b/>
                <w:noProof/>
                <w:color w:val="000000"/>
                <w:sz w:val="20"/>
                <w:szCs w:val="20"/>
                <w:lang w:eastAsia="fr-FR"/>
              </w:rPr>
              <w:t>Air Transport</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H51</w:t>
            </w:r>
          </w:p>
        </w:tc>
      </w:tr>
      <w:tr>
        <w:trPr>
          <w:trHeight w:hRule="exact" w:val="284"/>
        </w:trPr>
        <w:tc>
          <w:tcPr>
            <w:tcW w:w="8161" w:type="dxa"/>
            <w:vAlign w:val="center"/>
          </w:tcPr>
          <w:p>
            <w:pPr>
              <w:spacing w:after="0"/>
              <w:jc w:val="left"/>
              <w:rPr>
                <w:rFonts w:eastAsia="Times New Roman"/>
                <w:noProof/>
                <w:color w:val="000000"/>
                <w:sz w:val="20"/>
                <w:szCs w:val="20"/>
                <w:lang w:eastAsia="fr-FR"/>
              </w:rPr>
            </w:pPr>
            <w:r>
              <w:rPr>
                <w:rFonts w:eastAsia="Times New Roman"/>
                <w:b/>
                <w:noProof/>
                <w:color w:val="000000"/>
                <w:sz w:val="20"/>
                <w:szCs w:val="20"/>
                <w:lang w:eastAsia="fr-FR"/>
              </w:rPr>
              <w:t>Accommodation</w:t>
            </w:r>
            <w:r>
              <w:rPr>
                <w:rFonts w:eastAsia="Times New Roman"/>
                <w:noProof/>
                <w:color w:val="000000"/>
                <w:sz w:val="20"/>
                <w:szCs w:val="20"/>
                <w:lang w:eastAsia="fr-FR"/>
              </w:rPr>
              <w:t xml:space="preserve"> and food service activities</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I</w:t>
            </w:r>
          </w:p>
        </w:tc>
      </w:tr>
      <w:tr>
        <w:trPr>
          <w:trHeight w:hRule="exact" w:val="284"/>
        </w:trPr>
        <w:tc>
          <w:tcPr>
            <w:tcW w:w="8161" w:type="dxa"/>
            <w:vAlign w:val="center"/>
          </w:tcPr>
          <w:p>
            <w:pPr>
              <w:spacing w:after="0"/>
              <w:jc w:val="left"/>
              <w:rPr>
                <w:rFonts w:eastAsia="Times New Roman"/>
                <w:noProof/>
                <w:color w:val="000000"/>
                <w:sz w:val="20"/>
                <w:szCs w:val="20"/>
                <w:lang w:eastAsia="fr-FR"/>
              </w:rPr>
            </w:pPr>
            <w:r>
              <w:rPr>
                <w:rFonts w:eastAsia="Times New Roman"/>
                <w:b/>
                <w:noProof/>
                <w:color w:val="000000"/>
                <w:sz w:val="20"/>
                <w:szCs w:val="20"/>
                <w:lang w:eastAsia="fr-FR"/>
              </w:rPr>
              <w:t>Information and communication</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J</w:t>
            </w:r>
          </w:p>
        </w:tc>
      </w:tr>
      <w:tr>
        <w:trPr>
          <w:trHeight w:hRule="exact" w:val="284"/>
        </w:trPr>
        <w:tc>
          <w:tcPr>
            <w:tcW w:w="8161" w:type="dxa"/>
            <w:vAlign w:val="center"/>
          </w:tcPr>
          <w:p>
            <w:pPr>
              <w:spacing w:after="0"/>
              <w:jc w:val="left"/>
              <w:rPr>
                <w:rFonts w:eastAsia="Times New Roman"/>
                <w:noProof/>
                <w:color w:val="000000"/>
                <w:sz w:val="20"/>
                <w:szCs w:val="20"/>
                <w:lang w:eastAsia="fr-FR"/>
              </w:rPr>
            </w:pPr>
            <w:r>
              <w:rPr>
                <w:rFonts w:eastAsia="Times New Roman"/>
                <w:b/>
                <w:noProof/>
                <w:color w:val="000000"/>
                <w:sz w:val="20"/>
                <w:szCs w:val="20"/>
                <w:lang w:eastAsia="fr-FR"/>
              </w:rPr>
              <w:t>Professional</w:t>
            </w:r>
            <w:r>
              <w:rPr>
                <w:rFonts w:eastAsia="Times New Roman"/>
                <w:noProof/>
                <w:color w:val="000000"/>
                <w:sz w:val="20"/>
                <w:szCs w:val="20"/>
                <w:lang w:eastAsia="fr-FR"/>
              </w:rPr>
              <w:t xml:space="preserve">, scientific and technical </w:t>
            </w:r>
            <w:r>
              <w:rPr>
                <w:rFonts w:eastAsia="Times New Roman"/>
                <w:b/>
                <w:noProof/>
                <w:color w:val="000000"/>
                <w:sz w:val="20"/>
                <w:szCs w:val="20"/>
                <w:lang w:eastAsia="fr-FR"/>
              </w:rPr>
              <w:t>activities</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M</w:t>
            </w:r>
          </w:p>
        </w:tc>
      </w:tr>
      <w:tr>
        <w:trPr>
          <w:trHeight w:hRule="exact" w:val="284"/>
        </w:trPr>
        <w:tc>
          <w:tcPr>
            <w:tcW w:w="8161" w:type="dxa"/>
            <w:vAlign w:val="center"/>
          </w:tcPr>
          <w:p>
            <w:pPr>
              <w:spacing w:after="0"/>
              <w:jc w:val="left"/>
              <w:rPr>
                <w:rFonts w:eastAsia="Times New Roman"/>
                <w:noProof/>
                <w:color w:val="000000"/>
                <w:sz w:val="20"/>
                <w:szCs w:val="20"/>
                <w:lang w:eastAsia="fr-FR"/>
              </w:rPr>
            </w:pPr>
            <w:r>
              <w:rPr>
                <w:rFonts w:eastAsia="Times New Roman"/>
                <w:b/>
                <w:noProof/>
                <w:color w:val="000000"/>
                <w:sz w:val="20"/>
                <w:szCs w:val="20"/>
                <w:lang w:eastAsia="fr-FR"/>
              </w:rPr>
              <w:t>Administrative</w:t>
            </w:r>
            <w:r>
              <w:rPr>
                <w:rFonts w:eastAsia="Times New Roman"/>
                <w:noProof/>
                <w:color w:val="000000"/>
                <w:sz w:val="20"/>
                <w:szCs w:val="20"/>
                <w:lang w:eastAsia="fr-FR"/>
              </w:rPr>
              <w:t xml:space="preserve"> and support service </w:t>
            </w:r>
            <w:r>
              <w:rPr>
                <w:rFonts w:eastAsia="Times New Roman"/>
                <w:b/>
                <w:noProof/>
                <w:color w:val="000000"/>
                <w:sz w:val="20"/>
                <w:szCs w:val="20"/>
                <w:lang w:eastAsia="fr-FR"/>
              </w:rPr>
              <w:t>activities</w:t>
            </w:r>
          </w:p>
        </w:tc>
        <w:tc>
          <w:tcPr>
            <w:tcW w:w="1161" w:type="dxa"/>
            <w:vAlign w:val="center"/>
          </w:tcPr>
          <w:p>
            <w:pPr>
              <w:spacing w:after="0"/>
              <w:jc w:val="left"/>
              <w:rPr>
                <w:rFonts w:eastAsia="Times New Roman"/>
                <w:noProof/>
                <w:color w:val="000000"/>
                <w:sz w:val="20"/>
                <w:szCs w:val="20"/>
                <w:lang w:eastAsia="fr-FR"/>
              </w:rPr>
            </w:pPr>
            <w:r>
              <w:rPr>
                <w:rFonts w:eastAsia="Times New Roman"/>
                <w:noProof/>
                <w:color w:val="000000"/>
                <w:sz w:val="20"/>
                <w:szCs w:val="20"/>
                <w:lang w:eastAsia="fr-FR"/>
              </w:rPr>
              <w:t>N</w:t>
            </w:r>
          </w:p>
        </w:tc>
      </w:tr>
    </w:tbl>
    <w:p>
      <w:pPr>
        <w:pStyle w:val="Sources"/>
        <w:rPr>
          <w:noProof/>
        </w:rPr>
      </w:pPr>
      <w:r>
        <w:rPr>
          <w:noProof/>
        </w:rPr>
        <w:t>Source: European Commission Services</w:t>
      </w:r>
    </w:p>
    <w:p>
      <w:pPr>
        <w:rPr>
          <w:noProof/>
          <w:sz w:val="24"/>
          <w:szCs w:val="24"/>
        </w:rPr>
      </w:pPr>
    </w:p>
    <w:p>
      <w:pPr>
        <w:spacing w:after="0"/>
        <w:jc w:val="left"/>
        <w:rPr>
          <w:noProof/>
        </w:rPr>
      </w:pPr>
      <w:r>
        <w:rPr>
          <w:noProof/>
        </w:rPr>
        <w:br w:type="page"/>
      </w:r>
    </w:p>
    <w:p>
      <w:pPr>
        <w:rPr>
          <w:noProof/>
        </w:rPr>
      </w:pPr>
    </w:p>
    <w:p>
      <w:pPr>
        <w:rPr>
          <w:b/>
          <w:noProof/>
        </w:rPr>
      </w:pPr>
      <w:r>
        <w:rPr>
          <w:b/>
          <w:noProof/>
        </w:rPr>
        <w:t>Energy costs shares</w:t>
      </w:r>
    </w:p>
    <w:p>
      <w:pPr>
        <w:rPr>
          <w:noProof/>
          <w:sz w:val="24"/>
          <w:szCs w:val="24"/>
        </w:rPr>
      </w:pPr>
      <w:r>
        <w:rPr>
          <w:noProof/>
          <w:sz w:val="24"/>
          <w:szCs w:val="24"/>
        </w:rPr>
        <w:t>This section focuses in assessing the cost-competitiveness of the various industrial sectors. The share of energy costs in the total production cost is a good indicator of the impact that energy costs can have on the price competitiveness of the various industrial sectors. Using Eurostat SBS as the main data source, energy cost shares are calculated by dividing the purchases of energy by total production costs, where total production costs are equal to total purchases of goods and services (including energy)</w:t>
      </w:r>
      <w:r>
        <w:rPr>
          <w:rStyle w:val="FootnoteReference"/>
          <w:noProof/>
          <w:sz w:val="24"/>
          <w:szCs w:val="24"/>
        </w:rPr>
        <w:footnoteReference w:id="26"/>
      </w:r>
      <w:r>
        <w:rPr>
          <w:noProof/>
          <w:sz w:val="24"/>
          <w:szCs w:val="24"/>
        </w:rPr>
        <w:t xml:space="preserve"> plus personnel costs.</w:t>
      </w:r>
    </w:p>
    <w:p>
      <w:pPr>
        <w:rPr>
          <w:noProof/>
          <w:sz w:val="24"/>
          <w:szCs w:val="24"/>
        </w:rPr>
      </w:pPr>
      <w:r>
        <w:rPr>
          <w:noProof/>
          <w:sz w:val="24"/>
          <w:szCs w:val="24"/>
        </w:rPr>
        <w:t>Before looking at the results we should bear in mind that the heterogeneity of the energy intensity of the industries aggregated in each sector makes that the results for the total sector usually underestimates the impact of energy costs on the industrial segments with the highest energy intensity. This is particularly true for sectors like chemicals, cement, non-ferrous metals, steel and paper which include companies producing high energy intensive primary products alongside companies producing low energy intensive secondary products. It is also important to be aware that the consumption of self-generated energy is not captured by the indicator analysed (energy costs shares using SBS data) and that self-consumption is not uncommon in the industrial segments with a high energy intensity. This is why the analysis in this section is complemented by a more exhaustive analysis of all the factors affecting the energy costs (self-consumption of self-generated energy, exemptions to energy taxes, etc.) at a more disaggregated level (NACE 4) on the basis of the results of the CEPS study</w:t>
      </w:r>
      <w:r>
        <w:rPr>
          <w:noProof/>
          <w:sz w:val="20"/>
          <w:szCs w:val="24"/>
          <w:vertAlign w:val="superscript"/>
        </w:rPr>
        <w:footnoteReference w:id="27"/>
      </w:r>
      <w:r>
        <w:rPr>
          <w:noProof/>
          <w:sz w:val="20"/>
          <w:szCs w:val="24"/>
          <w:vertAlign w:val="superscript"/>
        </w:rPr>
        <w:t xml:space="preserve"> </w:t>
      </w:r>
      <w:r>
        <w:rPr>
          <w:noProof/>
          <w:sz w:val="24"/>
          <w:szCs w:val="24"/>
        </w:rPr>
        <w:t xml:space="preserve">(see 6.6.4 and </w:t>
      </w:r>
      <w:r>
        <w:rPr>
          <w:noProof/>
          <w:sz w:val="24"/>
        </w:rPr>
        <w:t>Annex 1</w:t>
      </w:r>
      <w:r>
        <w:rPr>
          <w:noProof/>
          <w:sz w:val="24"/>
          <w:szCs w:val="24"/>
        </w:rPr>
        <w:t>)</w:t>
      </w:r>
    </w:p>
    <w:p>
      <w:pPr>
        <w:rPr>
          <w:b/>
          <w:noProof/>
          <w:sz w:val="24"/>
          <w:szCs w:val="24"/>
        </w:rPr>
      </w:pPr>
      <w:r>
        <w:rPr>
          <w:b/>
          <w:noProof/>
          <w:sz w:val="24"/>
          <w:szCs w:val="24"/>
        </w:rPr>
        <w:t>Results on energy costs shares</w:t>
      </w:r>
    </w:p>
    <w:p>
      <w:pPr>
        <w:rPr>
          <w:noProof/>
        </w:rPr>
      </w:pPr>
      <w:r>
        <w:rPr>
          <w:b/>
          <w:noProof/>
          <w:sz w:val="24"/>
        </w:rPr>
        <w:fldChar w:fldCharType="begin"/>
      </w:r>
      <w:r>
        <w:rPr>
          <w:b/>
          <w:noProof/>
          <w:sz w:val="24"/>
        </w:rPr>
        <w:instrText xml:space="preserve"> REF _Ref527037384 \h  \* MERGEFORMAT </w:instrText>
      </w:r>
      <w:r>
        <w:rPr>
          <w:b/>
          <w:noProof/>
          <w:sz w:val="24"/>
        </w:rPr>
      </w:r>
      <w:r>
        <w:rPr>
          <w:b/>
          <w:noProof/>
          <w:sz w:val="24"/>
        </w:rPr>
        <w:fldChar w:fldCharType="end"/>
      </w:r>
      <w:r>
        <w:rPr>
          <w:noProof/>
          <w:sz w:val="24"/>
          <w:szCs w:val="24"/>
        </w:rPr>
        <w:t xml:space="preserve">and </w:t>
      </w:r>
      <w:r>
        <w:rPr>
          <w:b/>
          <w:noProof/>
          <w:sz w:val="24"/>
        </w:rPr>
        <w:fldChar w:fldCharType="begin"/>
      </w:r>
      <w:r>
        <w:rPr>
          <w:b/>
          <w:noProof/>
          <w:sz w:val="24"/>
        </w:rPr>
        <w:instrText xml:space="preserve"> REF _Ref527037403 \h  \* MERGEFORMAT </w:instrText>
      </w:r>
      <w:r>
        <w:rPr>
          <w:b/>
          <w:noProof/>
          <w:sz w:val="24"/>
        </w:rPr>
      </w:r>
      <w:r>
        <w:rPr>
          <w:b/>
          <w:noProof/>
          <w:sz w:val="24"/>
        </w:rPr>
        <w:fldChar w:fldCharType="separate"/>
      </w:r>
      <w:r>
        <w:rPr>
          <w:b/>
          <w:noProof/>
          <w:sz w:val="24"/>
          <w:szCs w:val="24"/>
        </w:rPr>
        <w:t>Figure</w:t>
      </w:r>
      <w:r>
        <w:rPr>
          <w:b/>
          <w:noProof/>
        </w:rPr>
        <w:t xml:space="preserve"> 120</w:t>
      </w:r>
      <w:r>
        <w:rPr>
          <w:b/>
          <w:noProof/>
          <w:sz w:val="24"/>
        </w:rPr>
        <w:fldChar w:fldCharType="end"/>
      </w:r>
      <w:r>
        <w:rPr>
          <w:noProof/>
          <w:sz w:val="24"/>
          <w:szCs w:val="24"/>
        </w:rPr>
        <w:t xml:space="preserve"> (see below) look at the main developments on energy costs shares the selected manufacturing sectors in the period 2008-2015 showing that:</w:t>
      </w:r>
    </w:p>
    <w:p>
      <w:pPr>
        <w:pStyle w:val="ListParagraph"/>
        <w:numPr>
          <w:ilvl w:val="0"/>
          <w:numId w:val="11"/>
        </w:numPr>
        <w:spacing w:after="0" w:line="300" w:lineRule="atLeast"/>
        <w:rPr>
          <w:noProof/>
          <w:sz w:val="24"/>
          <w:szCs w:val="24"/>
        </w:rPr>
      </w:pPr>
      <w:r>
        <w:rPr>
          <w:noProof/>
          <w:sz w:val="24"/>
          <w:szCs w:val="24"/>
        </w:rPr>
        <w:t xml:space="preserve">Energy costs for the selected manufacturing sectors typically accounted for around 1-10% of total (operational) production costs, although for some sectors the costs significantly exceed 10% (e.g. </w:t>
      </w:r>
      <w:r>
        <w:rPr>
          <w:i/>
          <w:noProof/>
          <w:sz w:val="24"/>
          <w:szCs w:val="24"/>
        </w:rPr>
        <w:t xml:space="preserve">Cement, lime and plaster </w:t>
      </w:r>
      <w:r>
        <w:rPr>
          <w:noProof/>
          <w:sz w:val="24"/>
          <w:szCs w:val="24"/>
        </w:rPr>
        <w:t>and</w:t>
      </w:r>
      <w:r>
        <w:rPr>
          <w:i/>
          <w:noProof/>
          <w:sz w:val="24"/>
          <w:szCs w:val="24"/>
        </w:rPr>
        <w:t xml:space="preserve"> Clay building materials</w:t>
      </w:r>
      <w:r>
        <w:rPr>
          <w:noProof/>
          <w:sz w:val="24"/>
          <w:szCs w:val="24"/>
        </w:rPr>
        <w:t xml:space="preserve">) </w:t>
      </w:r>
    </w:p>
    <w:p>
      <w:pPr>
        <w:spacing w:after="0" w:line="300" w:lineRule="atLeast"/>
        <w:rPr>
          <w:noProof/>
          <w:sz w:val="24"/>
          <w:szCs w:val="24"/>
        </w:rPr>
      </w:pPr>
    </w:p>
    <w:p>
      <w:pPr>
        <w:pStyle w:val="ListParagraph"/>
        <w:numPr>
          <w:ilvl w:val="0"/>
          <w:numId w:val="11"/>
        </w:numPr>
        <w:spacing w:after="0" w:line="300" w:lineRule="atLeast"/>
        <w:rPr>
          <w:noProof/>
          <w:sz w:val="24"/>
          <w:szCs w:val="24"/>
        </w:rPr>
      </w:pPr>
      <w:r>
        <w:rPr>
          <w:noProof/>
          <w:sz w:val="24"/>
          <w:szCs w:val="24"/>
        </w:rPr>
        <w:t xml:space="preserve">Amongst the 15 most energy intensive manufacturing sectors energy costs accounted for more than 10% of production costs in at least one year in the </w:t>
      </w:r>
      <w:r>
        <w:rPr>
          <w:i/>
          <w:noProof/>
          <w:sz w:val="24"/>
          <w:szCs w:val="24"/>
        </w:rPr>
        <w:t>pulp and paper</w:t>
      </w:r>
      <w:r>
        <w:rPr>
          <w:noProof/>
          <w:sz w:val="24"/>
          <w:szCs w:val="24"/>
        </w:rPr>
        <w:t xml:space="preserve">, </w:t>
      </w:r>
      <w:r>
        <w:rPr>
          <w:i/>
          <w:noProof/>
          <w:sz w:val="24"/>
          <w:szCs w:val="24"/>
        </w:rPr>
        <w:t>clay building materials</w:t>
      </w:r>
      <w:r>
        <w:rPr>
          <w:noProof/>
          <w:sz w:val="24"/>
          <w:szCs w:val="24"/>
        </w:rPr>
        <w:t xml:space="preserve">, </w:t>
      </w:r>
      <w:r>
        <w:rPr>
          <w:i/>
          <w:noProof/>
          <w:sz w:val="24"/>
          <w:szCs w:val="24"/>
        </w:rPr>
        <w:t>iron and steel</w:t>
      </w:r>
      <w:r>
        <w:rPr>
          <w:noProof/>
          <w:sz w:val="24"/>
          <w:szCs w:val="24"/>
        </w:rPr>
        <w:t xml:space="preserve"> and in particular, the </w:t>
      </w:r>
      <w:r>
        <w:rPr>
          <w:i/>
          <w:noProof/>
          <w:sz w:val="24"/>
          <w:szCs w:val="24"/>
        </w:rPr>
        <w:t>cement, lime and plaster</w:t>
      </w:r>
      <w:r>
        <w:rPr>
          <w:noProof/>
          <w:sz w:val="24"/>
          <w:szCs w:val="24"/>
        </w:rPr>
        <w:t xml:space="preserve"> sectors.</w:t>
      </w:r>
    </w:p>
    <w:p>
      <w:pPr>
        <w:spacing w:after="0" w:line="300" w:lineRule="atLeast"/>
        <w:jc w:val="left"/>
        <w:rPr>
          <w:noProof/>
          <w:sz w:val="24"/>
          <w:szCs w:val="24"/>
        </w:rPr>
      </w:pPr>
    </w:p>
    <w:p>
      <w:pPr>
        <w:pStyle w:val="ListParagraph"/>
        <w:numPr>
          <w:ilvl w:val="0"/>
          <w:numId w:val="11"/>
        </w:numPr>
        <w:spacing w:after="0" w:line="300" w:lineRule="atLeast"/>
        <w:jc w:val="left"/>
        <w:rPr>
          <w:noProof/>
          <w:sz w:val="24"/>
          <w:szCs w:val="24"/>
        </w:rPr>
      </w:pPr>
      <w:r>
        <w:rPr>
          <w:noProof/>
          <w:sz w:val="24"/>
          <w:szCs w:val="24"/>
        </w:rPr>
        <w:t xml:space="preserve">Amongst the 15 less energy intensive manufacturing sectors energy costs are typically 1-3% of operational (production) costs. For </w:t>
      </w:r>
      <w:r>
        <w:rPr>
          <w:i/>
          <w:noProof/>
          <w:sz w:val="24"/>
          <w:szCs w:val="24"/>
        </w:rPr>
        <w:t>computers and electronics</w:t>
      </w:r>
      <w:r>
        <w:rPr>
          <w:noProof/>
          <w:sz w:val="24"/>
          <w:szCs w:val="24"/>
        </w:rPr>
        <w:t xml:space="preserve">, </w:t>
      </w:r>
      <w:r>
        <w:rPr>
          <w:i/>
          <w:noProof/>
          <w:sz w:val="24"/>
          <w:szCs w:val="24"/>
        </w:rPr>
        <w:t>motor vehicles</w:t>
      </w:r>
      <w:r>
        <w:rPr>
          <w:noProof/>
          <w:sz w:val="24"/>
          <w:szCs w:val="24"/>
        </w:rPr>
        <w:t xml:space="preserve"> and </w:t>
      </w:r>
      <w:r>
        <w:rPr>
          <w:i/>
          <w:noProof/>
          <w:sz w:val="24"/>
          <w:szCs w:val="24"/>
        </w:rPr>
        <w:t>other transport equipment</w:t>
      </w:r>
      <w:r>
        <w:rPr>
          <w:noProof/>
          <w:sz w:val="24"/>
          <w:szCs w:val="24"/>
        </w:rPr>
        <w:t xml:space="preserve"> costs do not reach 1% of total production costs</w:t>
      </w:r>
    </w:p>
    <w:p>
      <w:pPr>
        <w:pStyle w:val="ListParagraph"/>
        <w:spacing w:after="0" w:line="300" w:lineRule="atLeast"/>
        <w:jc w:val="left"/>
        <w:rPr>
          <w:noProof/>
          <w:sz w:val="24"/>
          <w:szCs w:val="24"/>
        </w:rPr>
      </w:pPr>
    </w:p>
    <w:p>
      <w:pPr>
        <w:pStyle w:val="ListParagraph"/>
        <w:numPr>
          <w:ilvl w:val="0"/>
          <w:numId w:val="11"/>
        </w:numPr>
        <w:spacing w:after="0" w:line="300" w:lineRule="atLeast"/>
        <w:rPr>
          <w:noProof/>
          <w:sz w:val="24"/>
          <w:szCs w:val="24"/>
        </w:rPr>
      </w:pPr>
      <w:r>
        <w:rPr>
          <w:noProof/>
          <w:sz w:val="24"/>
          <w:szCs w:val="24"/>
        </w:rPr>
        <w:t xml:space="preserve">Over the period 2008-2015, energy cost shares have fallen in almost every sector (except for the </w:t>
      </w:r>
      <w:r>
        <w:rPr>
          <w:i/>
          <w:noProof/>
          <w:sz w:val="24"/>
          <w:szCs w:val="24"/>
        </w:rPr>
        <w:t>refineries</w:t>
      </w:r>
      <w:r>
        <w:rPr>
          <w:noProof/>
          <w:sz w:val="24"/>
          <w:szCs w:val="24"/>
        </w:rPr>
        <w:t xml:space="preserve"> sector) The largest declines in cost share were observed in the most energy intensive sectors like </w:t>
      </w:r>
      <w:r>
        <w:rPr>
          <w:i/>
          <w:noProof/>
          <w:sz w:val="24"/>
          <w:szCs w:val="24"/>
        </w:rPr>
        <w:t>cement, lime and plaster</w:t>
      </w:r>
      <w:r>
        <w:rPr>
          <w:noProof/>
          <w:sz w:val="24"/>
          <w:szCs w:val="24"/>
        </w:rPr>
        <w:t xml:space="preserve"> (-7%). </w:t>
      </w:r>
      <w:r>
        <w:rPr>
          <w:i/>
          <w:noProof/>
          <w:sz w:val="24"/>
          <w:szCs w:val="24"/>
        </w:rPr>
        <w:t>clay building materials</w:t>
      </w:r>
      <w:r>
        <w:rPr>
          <w:noProof/>
          <w:sz w:val="24"/>
          <w:szCs w:val="24"/>
        </w:rPr>
        <w:t xml:space="preserve"> (-4%), </w:t>
      </w:r>
      <w:r>
        <w:rPr>
          <w:i/>
          <w:noProof/>
          <w:sz w:val="24"/>
          <w:szCs w:val="24"/>
        </w:rPr>
        <w:t>pulp and paper</w:t>
      </w:r>
      <w:r>
        <w:rPr>
          <w:noProof/>
          <w:sz w:val="24"/>
          <w:szCs w:val="24"/>
        </w:rPr>
        <w:t xml:space="preserve"> (-4%), </w:t>
      </w:r>
      <w:r>
        <w:rPr>
          <w:i/>
          <w:noProof/>
          <w:sz w:val="24"/>
          <w:szCs w:val="24"/>
        </w:rPr>
        <w:t xml:space="preserve">glass </w:t>
      </w:r>
      <w:r>
        <w:rPr>
          <w:noProof/>
          <w:sz w:val="24"/>
          <w:szCs w:val="24"/>
        </w:rPr>
        <w:t xml:space="preserve">(-1.7%) and </w:t>
      </w:r>
      <w:r>
        <w:rPr>
          <w:i/>
          <w:noProof/>
          <w:sz w:val="24"/>
          <w:szCs w:val="24"/>
        </w:rPr>
        <w:t>iron and steel</w:t>
      </w:r>
      <w:r>
        <w:rPr>
          <w:noProof/>
          <w:sz w:val="24"/>
          <w:szCs w:val="24"/>
        </w:rPr>
        <w:t xml:space="preserve"> (-1.7%).  Other sectors with smaller declines nevertheless see proportionally significant decreases like in </w:t>
      </w:r>
      <w:r>
        <w:rPr>
          <w:i/>
          <w:noProof/>
          <w:sz w:val="24"/>
          <w:szCs w:val="24"/>
        </w:rPr>
        <w:t>non-ferrous metals</w:t>
      </w:r>
      <w:r>
        <w:rPr>
          <w:noProof/>
          <w:sz w:val="24"/>
          <w:szCs w:val="24"/>
        </w:rPr>
        <w:t xml:space="preserve">, </w:t>
      </w:r>
      <w:r>
        <w:rPr>
          <w:i/>
          <w:noProof/>
          <w:sz w:val="24"/>
          <w:szCs w:val="24"/>
        </w:rPr>
        <w:t>textiles</w:t>
      </w:r>
      <w:r>
        <w:rPr>
          <w:noProof/>
          <w:sz w:val="24"/>
          <w:szCs w:val="24"/>
        </w:rPr>
        <w:t xml:space="preserve"> and </w:t>
      </w:r>
      <w:r>
        <w:rPr>
          <w:i/>
          <w:noProof/>
          <w:sz w:val="24"/>
          <w:szCs w:val="24"/>
        </w:rPr>
        <w:t>pharmaceutical products</w:t>
      </w:r>
      <w:r>
        <w:rPr>
          <w:noProof/>
          <w:sz w:val="24"/>
          <w:szCs w:val="24"/>
        </w:rPr>
        <w:t xml:space="preserve">. </w:t>
      </w:r>
    </w:p>
    <w:p>
      <w:pPr>
        <w:pStyle w:val="ListParagraph"/>
        <w:spacing w:after="0" w:line="300" w:lineRule="atLeast"/>
        <w:jc w:val="left"/>
        <w:rPr>
          <w:noProof/>
          <w:sz w:val="24"/>
          <w:szCs w:val="24"/>
        </w:rPr>
      </w:pPr>
    </w:p>
    <w:p>
      <w:pPr>
        <w:pStyle w:val="ListParagraph"/>
        <w:numPr>
          <w:ilvl w:val="0"/>
          <w:numId w:val="11"/>
        </w:numPr>
        <w:spacing w:after="0" w:line="300" w:lineRule="atLeast"/>
        <w:rPr>
          <w:noProof/>
          <w:sz w:val="24"/>
          <w:szCs w:val="24"/>
        </w:rPr>
      </w:pPr>
      <w:r>
        <w:rPr>
          <w:noProof/>
          <w:sz w:val="24"/>
          <w:szCs w:val="24"/>
        </w:rPr>
        <w:t>While the overall trend is for decline in energy cost shares across all sectors over the full period there are few exceptions (although more frequent in the second part of the period, 2011-2015) such as the</w:t>
      </w:r>
      <w:r>
        <w:rPr>
          <w:i/>
          <w:noProof/>
          <w:sz w:val="24"/>
          <w:szCs w:val="24"/>
        </w:rPr>
        <w:t xml:space="preserve"> refractory products</w:t>
      </w:r>
      <w:r>
        <w:rPr>
          <w:noProof/>
          <w:sz w:val="24"/>
          <w:szCs w:val="24"/>
        </w:rPr>
        <w:t xml:space="preserve">, </w:t>
      </w:r>
      <w:r>
        <w:rPr>
          <w:i/>
          <w:noProof/>
          <w:sz w:val="24"/>
          <w:szCs w:val="24"/>
        </w:rPr>
        <w:t>clay building materials</w:t>
      </w:r>
      <w:r>
        <w:rPr>
          <w:noProof/>
          <w:sz w:val="24"/>
          <w:szCs w:val="24"/>
        </w:rPr>
        <w:t xml:space="preserve">, </w:t>
      </w:r>
      <w:r>
        <w:rPr>
          <w:i/>
          <w:noProof/>
          <w:sz w:val="24"/>
          <w:szCs w:val="24"/>
        </w:rPr>
        <w:t>abrasive products</w:t>
      </w:r>
      <w:r>
        <w:rPr>
          <w:noProof/>
          <w:sz w:val="24"/>
          <w:szCs w:val="24"/>
        </w:rPr>
        <w:t xml:space="preserve">, </w:t>
      </w:r>
      <w:r>
        <w:rPr>
          <w:i/>
          <w:noProof/>
          <w:sz w:val="24"/>
          <w:szCs w:val="24"/>
        </w:rPr>
        <w:t>fabricated metal products</w:t>
      </w:r>
      <w:r>
        <w:rPr>
          <w:noProof/>
          <w:sz w:val="24"/>
          <w:szCs w:val="24"/>
        </w:rPr>
        <w:t xml:space="preserve"> and </w:t>
      </w:r>
      <w:r>
        <w:rPr>
          <w:i/>
          <w:noProof/>
          <w:sz w:val="24"/>
          <w:szCs w:val="24"/>
        </w:rPr>
        <w:t>computer and electronics</w:t>
      </w:r>
      <w:r>
        <w:rPr>
          <w:noProof/>
          <w:sz w:val="24"/>
          <w:szCs w:val="24"/>
        </w:rPr>
        <w:t xml:space="preserve"> for which the cost shares increased by approximately 1-3%. </w:t>
      </w:r>
    </w:p>
    <w:p>
      <w:pPr>
        <w:rPr>
          <w:noProof/>
        </w:rPr>
      </w:pPr>
    </w:p>
    <w:p>
      <w:pPr>
        <w:spacing w:after="240"/>
        <w:rPr>
          <w:noProof/>
          <w:sz w:val="24"/>
          <w:szCs w:val="24"/>
        </w:rPr>
      </w:pPr>
      <w:r>
        <w:rPr>
          <w:noProof/>
          <w:sz w:val="24"/>
          <w:szCs w:val="24"/>
        </w:rPr>
        <w:t>An account of the available data from MS to estimate the sector's energy cost share in production costs can be found in Annex D of the study by Trinomics et altri study (2018).</w:t>
      </w:r>
    </w:p>
    <w:p>
      <w:pPr>
        <w:jc w:val="center"/>
        <w:rPr>
          <w:b/>
          <w:noProof/>
          <w:sz w:val="20"/>
          <w:szCs w:val="20"/>
        </w:rPr>
      </w:pPr>
      <w:r>
        <w:rPr>
          <w:b/>
          <w:noProof/>
          <w:sz w:val="20"/>
          <w:szCs w:val="20"/>
        </w:rPr>
        <w:t>Box - Energy costs and the sector's fuel mix</w:t>
      </w:r>
    </w:p>
    <w:p>
      <w:pPr>
        <w:pBdr>
          <w:top w:val="single" w:sz="4" w:space="1" w:color="auto"/>
          <w:left w:val="single" w:sz="4" w:space="4" w:color="auto"/>
          <w:bottom w:val="single" w:sz="4" w:space="0" w:color="auto"/>
          <w:right w:val="single" w:sz="4" w:space="4" w:color="auto"/>
        </w:pBdr>
        <w:rPr>
          <w:noProof/>
          <w:sz w:val="24"/>
          <w:szCs w:val="24"/>
        </w:rPr>
      </w:pPr>
      <w:r>
        <w:rPr>
          <w:noProof/>
          <w:sz w:val="24"/>
          <w:szCs w:val="24"/>
        </w:rPr>
        <w:t>Energy costs are determined by the price of energy products and the quantities of consumed for each product. Prices usually show high volatility while energy consumption volumes tend to more stable (as it depends on factors like the consumption patterns, the economic situation and energy efficiency). This makes that prices changes explain most of the changes in energy costs in the short term. The consumption fuel mix is thus very relevant for energy costs as it determines how much will be affected the energy costs by price changes in each energy product. It is also important to note that the sector's fuel mix tends to be rather stable (as it depend inter alia on the fuel requirements of the specific production process and the availability of the energy product (e.g. gas is not always available) which usually limit fuel switching)</w:t>
      </w:r>
    </w:p>
    <w:p>
      <w:pPr>
        <w:pBdr>
          <w:top w:val="single" w:sz="4" w:space="1" w:color="auto"/>
          <w:left w:val="single" w:sz="4" w:space="4" w:color="auto"/>
          <w:bottom w:val="single" w:sz="4" w:space="0" w:color="auto"/>
          <w:right w:val="single" w:sz="4" w:space="4" w:color="auto"/>
        </w:pBdr>
        <w:rPr>
          <w:noProof/>
          <w:sz w:val="24"/>
          <w:szCs w:val="24"/>
        </w:rPr>
      </w:pPr>
      <w:r>
        <w:rPr>
          <w:noProof/>
          <w:sz w:val="24"/>
          <w:szCs w:val="24"/>
        </w:rPr>
        <w:fldChar w:fldCharType="begin"/>
      </w:r>
      <w:r>
        <w:rPr>
          <w:noProof/>
          <w:sz w:val="24"/>
          <w:szCs w:val="24"/>
        </w:rPr>
        <w:instrText xml:space="preserve"> REF _Ref530593844 \h  \* MERGEFORMAT </w:instrText>
      </w:r>
      <w:r>
        <w:rPr>
          <w:noProof/>
          <w:sz w:val="24"/>
          <w:szCs w:val="24"/>
        </w:rPr>
      </w:r>
      <w:r>
        <w:rPr>
          <w:noProof/>
          <w:sz w:val="24"/>
          <w:szCs w:val="24"/>
        </w:rPr>
        <w:fldChar w:fldCharType="separate"/>
      </w:r>
      <w:r>
        <w:rPr>
          <w:b/>
          <w:noProof/>
          <w:sz w:val="24"/>
          <w:szCs w:val="24"/>
        </w:rPr>
        <w:t xml:space="preserve">Figure </w:t>
      </w:r>
      <w:r>
        <w:rPr>
          <w:b/>
          <w:bCs/>
          <w:noProof/>
          <w:sz w:val="24"/>
          <w:szCs w:val="24"/>
        </w:rPr>
        <w:t>118</w:t>
      </w:r>
      <w:r>
        <w:rPr>
          <w:noProof/>
          <w:sz w:val="24"/>
          <w:szCs w:val="24"/>
        </w:rPr>
        <w:fldChar w:fldCharType="end"/>
      </w:r>
      <w:r>
        <w:rPr>
          <w:noProof/>
          <w:sz w:val="24"/>
          <w:szCs w:val="24"/>
        </w:rPr>
        <w:t xml:space="preserve"> displays the average importance of fuels in terms of energy consumption by sector and </w:t>
      </w:r>
      <w:r>
        <w:rPr>
          <w:noProof/>
          <w:sz w:val="24"/>
          <w:szCs w:val="24"/>
        </w:rPr>
        <w:fldChar w:fldCharType="begin"/>
      </w:r>
      <w:r>
        <w:rPr>
          <w:noProof/>
          <w:sz w:val="24"/>
          <w:szCs w:val="24"/>
        </w:rPr>
        <w:instrText xml:space="preserve"> REF _Ref530593880 \h  \* MERGEFORMAT </w:instrText>
      </w:r>
      <w:r>
        <w:rPr>
          <w:noProof/>
          <w:sz w:val="24"/>
          <w:szCs w:val="24"/>
        </w:rPr>
      </w:r>
      <w:r>
        <w:rPr>
          <w:noProof/>
          <w:sz w:val="24"/>
          <w:szCs w:val="24"/>
        </w:rPr>
        <w:fldChar w:fldCharType="separate"/>
      </w:r>
      <w:r>
        <w:rPr>
          <w:b/>
          <w:noProof/>
          <w:sz w:val="24"/>
          <w:szCs w:val="24"/>
        </w:rPr>
        <w:t xml:space="preserve">Figure </w:t>
      </w:r>
      <w:r>
        <w:rPr>
          <w:b/>
          <w:bCs/>
          <w:noProof/>
          <w:sz w:val="24"/>
          <w:szCs w:val="24"/>
        </w:rPr>
        <w:t>119</w:t>
      </w:r>
      <w:r>
        <w:rPr>
          <w:noProof/>
          <w:sz w:val="24"/>
          <w:szCs w:val="24"/>
        </w:rPr>
        <w:fldChar w:fldCharType="end"/>
      </w:r>
      <w:r>
        <w:rPr>
          <w:noProof/>
          <w:sz w:val="24"/>
          <w:szCs w:val="24"/>
        </w:rPr>
        <w:t xml:space="preserve"> shows the importance of fuels in terms of their energy costs shares in total energy costs related to each sector. </w:t>
      </w:r>
    </w:p>
    <w:p>
      <w:pPr>
        <w:pBdr>
          <w:top w:val="single" w:sz="4" w:space="1" w:color="auto"/>
          <w:left w:val="single" w:sz="4" w:space="4" w:color="auto"/>
          <w:bottom w:val="single" w:sz="4" w:space="0" w:color="auto"/>
          <w:right w:val="single" w:sz="4" w:space="4" w:color="auto"/>
        </w:pBdr>
        <w:rPr>
          <w:noProof/>
          <w:sz w:val="24"/>
          <w:szCs w:val="24"/>
        </w:rPr>
      </w:pPr>
      <w:r>
        <w:rPr>
          <w:noProof/>
          <w:sz w:val="24"/>
          <w:szCs w:val="24"/>
        </w:rPr>
        <w:t xml:space="preserve">These figures show that electricity and gas (this varies across sectors) are generally the most important energy products in terms of consumption. Electricity is the energy product having the biggest impact on energy costs shares (e.g. &gt; 80% for </w:t>
      </w:r>
      <w:r>
        <w:rPr>
          <w:i/>
          <w:noProof/>
          <w:sz w:val="24"/>
          <w:szCs w:val="24"/>
        </w:rPr>
        <w:t>Pharmaceuticals</w:t>
      </w:r>
      <w:r>
        <w:rPr>
          <w:noProof/>
          <w:sz w:val="24"/>
          <w:szCs w:val="24"/>
        </w:rPr>
        <w:t xml:space="preserve">, </w:t>
      </w:r>
      <w:r>
        <w:rPr>
          <w:i/>
          <w:noProof/>
          <w:sz w:val="24"/>
          <w:szCs w:val="24"/>
        </w:rPr>
        <w:t>non-ferrous metals</w:t>
      </w:r>
      <w:r>
        <w:rPr>
          <w:noProof/>
          <w:sz w:val="24"/>
          <w:szCs w:val="24"/>
        </w:rPr>
        <w:t xml:space="preserve"> and </w:t>
      </w:r>
      <w:r>
        <w:rPr>
          <w:i/>
          <w:noProof/>
          <w:sz w:val="24"/>
          <w:szCs w:val="24"/>
        </w:rPr>
        <w:t>computers and electronics)</w:t>
      </w:r>
      <w:r>
        <w:rPr>
          <w:noProof/>
          <w:sz w:val="24"/>
          <w:szCs w:val="24"/>
        </w:rPr>
        <w:t xml:space="preserve">. This can be explained by its relatively high price compared to the other fuels. Natural gas has a major impact on the energy costs in </w:t>
      </w:r>
      <w:r>
        <w:rPr>
          <w:i/>
          <w:noProof/>
          <w:sz w:val="24"/>
          <w:szCs w:val="24"/>
        </w:rPr>
        <w:t>glass</w:t>
      </w:r>
      <w:r>
        <w:rPr>
          <w:noProof/>
          <w:sz w:val="24"/>
          <w:szCs w:val="24"/>
        </w:rPr>
        <w:t xml:space="preserve">, </w:t>
      </w:r>
      <w:r>
        <w:rPr>
          <w:i/>
          <w:noProof/>
          <w:sz w:val="24"/>
          <w:szCs w:val="24"/>
        </w:rPr>
        <w:t>beverages</w:t>
      </w:r>
      <w:r>
        <w:rPr>
          <w:noProof/>
          <w:sz w:val="24"/>
          <w:szCs w:val="24"/>
        </w:rPr>
        <w:t xml:space="preserve"> and </w:t>
      </w:r>
      <w:r>
        <w:rPr>
          <w:i/>
          <w:noProof/>
          <w:sz w:val="24"/>
          <w:szCs w:val="24"/>
        </w:rPr>
        <w:t>steel</w:t>
      </w:r>
      <w:r>
        <w:rPr>
          <w:noProof/>
          <w:sz w:val="24"/>
          <w:szCs w:val="24"/>
        </w:rPr>
        <w:t xml:space="preserve">. Oil and coal have a relatively small impact on energy costs even when consumption is high. Oil costs are relevant for </w:t>
      </w:r>
      <w:r>
        <w:rPr>
          <w:i/>
          <w:noProof/>
          <w:sz w:val="24"/>
          <w:szCs w:val="24"/>
        </w:rPr>
        <w:t>refineries,</w:t>
      </w:r>
      <w:r>
        <w:rPr>
          <w:noProof/>
          <w:sz w:val="24"/>
          <w:szCs w:val="24"/>
        </w:rPr>
        <w:t xml:space="preserve"> </w:t>
      </w:r>
      <w:r>
        <w:rPr>
          <w:i/>
          <w:noProof/>
          <w:sz w:val="24"/>
          <w:szCs w:val="24"/>
        </w:rPr>
        <w:t xml:space="preserve">cement </w:t>
      </w:r>
      <w:r>
        <w:rPr>
          <w:noProof/>
          <w:sz w:val="24"/>
          <w:szCs w:val="24"/>
        </w:rPr>
        <w:t>and</w:t>
      </w:r>
      <w:r>
        <w:rPr>
          <w:i/>
          <w:noProof/>
          <w:sz w:val="24"/>
          <w:szCs w:val="24"/>
        </w:rPr>
        <w:t xml:space="preserve"> chemicals</w:t>
      </w:r>
      <w:r>
        <w:rPr>
          <w:noProof/>
          <w:sz w:val="24"/>
          <w:szCs w:val="24"/>
        </w:rPr>
        <w:t xml:space="preserve"> while coal costs are for </w:t>
      </w:r>
      <w:r>
        <w:rPr>
          <w:i/>
          <w:noProof/>
          <w:sz w:val="24"/>
          <w:szCs w:val="24"/>
        </w:rPr>
        <w:t>steel</w:t>
      </w:r>
      <w:r>
        <w:rPr>
          <w:noProof/>
          <w:sz w:val="24"/>
          <w:szCs w:val="24"/>
        </w:rPr>
        <w:t xml:space="preserve">, </w:t>
      </w:r>
      <w:r>
        <w:rPr>
          <w:i/>
          <w:noProof/>
          <w:sz w:val="24"/>
          <w:szCs w:val="24"/>
        </w:rPr>
        <w:t>abrasive products,</w:t>
      </w:r>
      <w:r>
        <w:rPr>
          <w:noProof/>
          <w:sz w:val="24"/>
          <w:szCs w:val="24"/>
        </w:rPr>
        <w:t xml:space="preserve"> </w:t>
      </w:r>
      <w:r>
        <w:rPr>
          <w:i/>
          <w:noProof/>
          <w:sz w:val="24"/>
          <w:szCs w:val="24"/>
        </w:rPr>
        <w:t>cement</w:t>
      </w:r>
      <w:r>
        <w:rPr>
          <w:noProof/>
          <w:sz w:val="24"/>
          <w:szCs w:val="24"/>
        </w:rPr>
        <w:t xml:space="preserve"> and </w:t>
      </w:r>
      <w:r>
        <w:rPr>
          <w:i/>
          <w:noProof/>
          <w:sz w:val="24"/>
          <w:szCs w:val="24"/>
        </w:rPr>
        <w:t>casting of metals</w:t>
      </w:r>
      <w:r>
        <w:rPr>
          <w:noProof/>
          <w:sz w:val="24"/>
          <w:szCs w:val="24"/>
        </w:rPr>
        <w:t xml:space="preserve">. “Other energies”, in particular biomass, represent an important consumption share in some sectors like </w:t>
      </w:r>
      <w:r>
        <w:rPr>
          <w:i/>
          <w:noProof/>
          <w:sz w:val="24"/>
          <w:szCs w:val="24"/>
        </w:rPr>
        <w:t>sawmills</w:t>
      </w:r>
      <w:r>
        <w:rPr>
          <w:noProof/>
          <w:sz w:val="24"/>
          <w:szCs w:val="24"/>
        </w:rPr>
        <w:t xml:space="preserve"> (&gt;80% of consumption), </w:t>
      </w:r>
      <w:r>
        <w:rPr>
          <w:i/>
          <w:noProof/>
          <w:sz w:val="24"/>
          <w:szCs w:val="24"/>
        </w:rPr>
        <w:t>man-made fibres</w:t>
      </w:r>
      <w:r>
        <w:rPr>
          <w:noProof/>
          <w:sz w:val="24"/>
          <w:szCs w:val="24"/>
        </w:rPr>
        <w:t xml:space="preserve"> (57%), </w:t>
      </w:r>
      <w:r>
        <w:rPr>
          <w:i/>
          <w:noProof/>
          <w:sz w:val="24"/>
          <w:szCs w:val="24"/>
        </w:rPr>
        <w:t>stone</w:t>
      </w:r>
      <w:r>
        <w:rPr>
          <w:noProof/>
          <w:sz w:val="24"/>
          <w:szCs w:val="24"/>
        </w:rPr>
        <w:t xml:space="preserve"> (38%) and </w:t>
      </w:r>
      <w:r>
        <w:rPr>
          <w:i/>
          <w:noProof/>
          <w:sz w:val="24"/>
          <w:szCs w:val="24"/>
        </w:rPr>
        <w:t>paper</w:t>
      </w:r>
      <w:r>
        <w:rPr>
          <w:noProof/>
          <w:sz w:val="24"/>
          <w:szCs w:val="24"/>
        </w:rPr>
        <w:t xml:space="preserve"> (29%) and can thus significantly impact their energy costs.</w:t>
      </w:r>
    </w:p>
    <w:p>
      <w:pPr>
        <w:pBdr>
          <w:top w:val="single" w:sz="4" w:space="1" w:color="auto"/>
          <w:left w:val="single" w:sz="4" w:space="4" w:color="auto"/>
          <w:bottom w:val="single" w:sz="4" w:space="0" w:color="auto"/>
          <w:right w:val="single" w:sz="4" w:space="4" w:color="auto"/>
        </w:pBdr>
        <w:rPr>
          <w:noProof/>
        </w:rPr>
      </w:pPr>
      <w:r>
        <w:rPr>
          <w:noProof/>
          <w:lang w:eastAsia="en-GB"/>
        </w:rPr>
        <w:drawing>
          <wp:inline distT="0" distB="0" distL="0" distR="0">
            <wp:extent cx="5834546" cy="2556164"/>
            <wp:effectExtent l="0" t="0" r="0" b="0"/>
            <wp:docPr id="2" name="Imag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F56A63A-C011-4B8A-8EAE-45EAF61B0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F56A63A-C011-4B8A-8EAE-45EAF61B05C7}"/>
                        </a:ext>
                      </a:extLst>
                    </pic:cNvPr>
                    <pic:cNvPicPr>
                      <a:picLocks noChangeAspect="1"/>
                    </pic:cNvPicPr>
                  </pic:nvPicPr>
                  <pic:blipFill>
                    <a:blip r:embed="rId72"/>
                    <a:stretch>
                      <a:fillRect/>
                    </a:stretch>
                  </pic:blipFill>
                  <pic:spPr>
                    <a:xfrm>
                      <a:off x="0" y="0"/>
                      <a:ext cx="5839849" cy="2558487"/>
                    </a:xfrm>
                    <a:prstGeom prst="rect">
                      <a:avLst/>
                    </a:prstGeom>
                  </pic:spPr>
                </pic:pic>
              </a:graphicData>
            </a:graphic>
          </wp:inline>
        </w:drawing>
      </w:r>
    </w:p>
    <w:p>
      <w:pPr>
        <w:pStyle w:val="Caption"/>
      </w:pPr>
      <w:bookmarkStart w:id="126" w:name="_Ref530593844"/>
      <w:bookmarkStart w:id="127" w:name="_Toc530739786"/>
      <w:bookmarkStart w:id="128" w:name="_Toc531178509"/>
      <w:r>
        <w:t xml:space="preserve">Figure </w:t>
      </w:r>
      <w:r>
        <w:fldChar w:fldCharType="begin"/>
      </w:r>
      <w:r>
        <w:instrText xml:space="preserve"> SEQ Figure \* ARABIC </w:instrText>
      </w:r>
      <w:r>
        <w:fldChar w:fldCharType="separate"/>
      </w:r>
      <w:r>
        <w:t>118</w:t>
      </w:r>
      <w:r>
        <w:fldChar w:fldCharType="end"/>
      </w:r>
      <w:bookmarkEnd w:id="126"/>
      <w:r>
        <w:t xml:space="preserve"> - Breakdown of the energy consumption per energy carrier, EU, 2008-2015 averages</w:t>
      </w:r>
      <w:bookmarkEnd w:id="127"/>
      <w:bookmarkEnd w:id="128"/>
    </w:p>
    <w:p>
      <w:pPr>
        <w:pStyle w:val="Sources"/>
        <w:rPr>
          <w:noProof/>
        </w:rPr>
      </w:pPr>
      <w:r>
        <w:rPr>
          <w:noProof/>
        </w:rPr>
        <w:t>Source: Trinomics et altri study</w:t>
      </w:r>
    </w:p>
    <w:p>
      <w:pPr>
        <w:pBdr>
          <w:top w:val="single" w:sz="4" w:space="1" w:color="auto"/>
          <w:left w:val="single" w:sz="4" w:space="4" w:color="auto"/>
          <w:bottom w:val="single" w:sz="4" w:space="1" w:color="auto"/>
          <w:right w:val="single" w:sz="4" w:space="4" w:color="auto"/>
        </w:pBdr>
        <w:spacing w:after="0"/>
        <w:rPr>
          <w:noProof/>
          <w:sz w:val="20"/>
          <w:szCs w:val="20"/>
        </w:rPr>
      </w:pPr>
      <w:r>
        <w:rPr>
          <w:noProof/>
          <w:sz w:val="20"/>
          <w:szCs w:val="20"/>
        </w:rPr>
        <w:t>Note: “other” combines biomass and heat energy consumption</w:t>
      </w:r>
    </w:p>
    <w:p>
      <w:pPr>
        <w:pBdr>
          <w:top w:val="single" w:sz="4" w:space="1" w:color="auto"/>
          <w:left w:val="single" w:sz="4" w:space="4" w:color="auto"/>
          <w:bottom w:val="single" w:sz="4" w:space="1" w:color="auto"/>
          <w:right w:val="single" w:sz="4" w:space="4" w:color="auto"/>
        </w:pBdr>
        <w:spacing w:after="0"/>
        <w:rPr>
          <w:noProof/>
          <w:sz w:val="20"/>
          <w:szCs w:val="20"/>
        </w:rPr>
      </w:pPr>
    </w:p>
    <w:p>
      <w:pPr>
        <w:pBdr>
          <w:top w:val="single" w:sz="4" w:space="1" w:color="auto"/>
          <w:left w:val="single" w:sz="4" w:space="4" w:color="auto"/>
          <w:bottom w:val="single" w:sz="4" w:space="1" w:color="auto"/>
          <w:right w:val="single" w:sz="4" w:space="4" w:color="auto"/>
        </w:pBdr>
        <w:rPr>
          <w:noProof/>
          <w:sz w:val="20"/>
          <w:szCs w:val="20"/>
        </w:rPr>
      </w:pPr>
    </w:p>
    <w:p>
      <w:pPr>
        <w:pBdr>
          <w:top w:val="single" w:sz="4" w:space="1" w:color="auto"/>
          <w:left w:val="single" w:sz="4" w:space="4" w:color="auto"/>
          <w:bottom w:val="single" w:sz="4" w:space="1" w:color="auto"/>
          <w:right w:val="single" w:sz="4" w:space="4" w:color="auto"/>
        </w:pBdr>
        <w:spacing w:after="0"/>
        <w:rPr>
          <w:noProof/>
        </w:rPr>
      </w:pPr>
      <w:r>
        <w:rPr>
          <w:b/>
          <w:noProof/>
          <w:lang w:eastAsia="en-GB"/>
        </w:rPr>
        <w:drawing>
          <wp:inline distT="0" distB="0" distL="0" distR="0">
            <wp:extent cx="5708275" cy="2505075"/>
            <wp:effectExtent l="0" t="0" r="698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14175" cy="2507664"/>
                    </a:xfrm>
                    <a:prstGeom prst="rect">
                      <a:avLst/>
                    </a:prstGeom>
                    <a:noFill/>
                  </pic:spPr>
                </pic:pic>
              </a:graphicData>
            </a:graphic>
          </wp:inline>
        </w:drawing>
      </w:r>
    </w:p>
    <w:p>
      <w:pPr>
        <w:pStyle w:val="Caption"/>
      </w:pPr>
      <w:bookmarkStart w:id="129" w:name="_Ref530593880"/>
      <w:bookmarkStart w:id="130" w:name="_Toc530739787"/>
      <w:bookmarkStart w:id="131" w:name="_Toc531178510"/>
      <w:r>
        <w:t xml:space="preserve">Figure </w:t>
      </w:r>
      <w:r>
        <w:fldChar w:fldCharType="begin"/>
      </w:r>
      <w:r>
        <w:instrText xml:space="preserve"> SEQ Figure \* ARABIC </w:instrText>
      </w:r>
      <w:r>
        <w:fldChar w:fldCharType="separate"/>
      </w:r>
      <w:r>
        <w:t>119</w:t>
      </w:r>
      <w:r>
        <w:fldChar w:fldCharType="end"/>
      </w:r>
      <w:bookmarkEnd w:id="129"/>
      <w:r>
        <w:t xml:space="preserve"> - Average energy cost shares per sector – based on available data points, split by energy carrier, 2008-2015 averages</w:t>
      </w:r>
      <w:bookmarkEnd w:id="130"/>
      <w:bookmarkEnd w:id="131"/>
    </w:p>
    <w:p>
      <w:pPr>
        <w:pStyle w:val="Sources"/>
        <w:rPr>
          <w:noProof/>
        </w:rPr>
      </w:pPr>
      <w:r>
        <w:rPr>
          <w:noProof/>
        </w:rPr>
        <w:t>Source: Trinomics et altri study</w:t>
      </w:r>
    </w:p>
    <w:p>
      <w:pPr>
        <w:rPr>
          <w:noProof/>
        </w:rPr>
      </w:pPr>
    </w:p>
    <w:p>
      <w:pPr>
        <w:rPr>
          <w:noProof/>
        </w:rPr>
      </w:pPr>
    </w:p>
    <w:p>
      <w:pPr>
        <w:spacing w:after="0"/>
        <w:jc w:val="left"/>
        <w:rPr>
          <w:noProof/>
        </w:rPr>
      </w:pPr>
      <w:r>
        <w:rPr>
          <w:noProof/>
        </w:rPr>
        <w:br w:type="page"/>
      </w:r>
    </w:p>
    <w:p>
      <w:pPr>
        <w:rPr>
          <w:b/>
          <w:noProof/>
          <w:sz w:val="24"/>
          <w:szCs w:val="24"/>
        </w:rPr>
        <w:sectPr>
          <w:headerReference w:type="even" r:id="rId74"/>
          <w:headerReference w:type="default" r:id="rId75"/>
          <w:footerReference w:type="even" r:id="rId76"/>
          <w:footerReference w:type="default" r:id="rId77"/>
          <w:headerReference w:type="first" r:id="rId78"/>
          <w:footerReference w:type="first" r:id="rId79"/>
          <w:footnotePr>
            <w:numStart w:val="50"/>
          </w:footnotePr>
          <w:type w:val="continuous"/>
          <w:pgSz w:w="11906" w:h="16838" w:code="9"/>
          <w:pgMar w:top="1134" w:right="1417" w:bottom="1134" w:left="1417" w:header="709" w:footer="709" w:gutter="0"/>
          <w:pgNumType w:start="124"/>
          <w:cols w:space="720"/>
          <w:docGrid w:linePitch="360"/>
        </w:sectPr>
      </w:pPr>
    </w:p>
    <w:p>
      <w:pPr>
        <w:pStyle w:val="Caption"/>
      </w:pPr>
      <w:bookmarkStart w:id="132" w:name="_Ref527037384"/>
      <w:bookmarkStart w:id="133" w:name="_Toc525817556"/>
      <w:bookmarkStart w:id="134" w:name="_Toc526433346"/>
      <w:bookmarkStart w:id="135" w:name="_Toc526433599"/>
      <w:bookmarkStart w:id="136" w:name="_Toc526435541"/>
      <w:bookmarkStart w:id="137" w:name="_Toc531178639"/>
      <w:bookmarkEnd w:id="132"/>
      <w:r>
        <w:t xml:space="preserve">Table </w:t>
      </w:r>
      <w:r>
        <w:fldChar w:fldCharType="begin"/>
      </w:r>
      <w:r>
        <w:instrText xml:space="preserve"> SEQ Table \* ARABIC </w:instrText>
      </w:r>
      <w:r>
        <w:fldChar w:fldCharType="separate"/>
      </w:r>
      <w:r>
        <w:t>11</w:t>
      </w:r>
      <w:r>
        <w:fldChar w:fldCharType="end"/>
      </w:r>
      <w:r>
        <w:t xml:space="preserve"> - Energy costs shares in total production costs for manufacturing and non-manufacturing, 2008-2015</w:t>
      </w:r>
      <w:bookmarkEnd w:id="133"/>
      <w:bookmarkEnd w:id="134"/>
      <w:bookmarkEnd w:id="135"/>
      <w:bookmarkEnd w:id="136"/>
      <w:bookmarkEnd w:id="137"/>
    </w:p>
    <w:tbl>
      <w:tblPr>
        <w:tblW w:w="15335" w:type="dxa"/>
        <w:tblCellMar>
          <w:left w:w="70" w:type="dxa"/>
          <w:right w:w="70" w:type="dxa"/>
        </w:tblCellMar>
        <w:tblLook w:val="04A0" w:firstRow="1" w:lastRow="0" w:firstColumn="1" w:lastColumn="0" w:noHBand="0" w:noVBand="1"/>
      </w:tblPr>
      <w:tblGrid>
        <w:gridCol w:w="1980"/>
        <w:gridCol w:w="746"/>
        <w:gridCol w:w="851"/>
        <w:gridCol w:w="850"/>
        <w:gridCol w:w="851"/>
        <w:gridCol w:w="850"/>
        <w:gridCol w:w="851"/>
        <w:gridCol w:w="850"/>
        <w:gridCol w:w="851"/>
        <w:gridCol w:w="850"/>
        <w:gridCol w:w="831"/>
        <w:gridCol w:w="831"/>
        <w:gridCol w:w="710"/>
        <w:gridCol w:w="819"/>
        <w:gridCol w:w="741"/>
        <w:gridCol w:w="485"/>
        <w:gridCol w:w="223"/>
        <w:gridCol w:w="375"/>
        <w:gridCol w:w="334"/>
        <w:gridCol w:w="456"/>
      </w:tblGrid>
      <w:tr>
        <w:trPr>
          <w:gridAfter w:val="1"/>
          <w:wAfter w:w="456" w:type="dxa"/>
          <w:trHeight w:val="689"/>
        </w:trPr>
        <w:tc>
          <w:tcPr>
            <w:tcW w:w="1980"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b/>
                <w:bCs/>
                <w:noProof/>
                <w:color w:val="000000"/>
                <w:sz w:val="16"/>
                <w:szCs w:val="16"/>
                <w:lang w:eastAsia="fr-FR"/>
              </w:rPr>
            </w:pPr>
            <w:r>
              <w:rPr>
                <w:rFonts w:eastAsia="Times New Roman" w:cs="Calibri"/>
                <w:b/>
                <w:bCs/>
                <w:noProof/>
                <w:color w:val="000000"/>
                <w:sz w:val="16"/>
                <w:szCs w:val="16"/>
                <w:lang w:eastAsia="fr-FR"/>
              </w:rPr>
              <w:t> </w:t>
            </w:r>
          </w:p>
        </w:tc>
        <w:tc>
          <w:tcPr>
            <w:tcW w:w="746" w:type="dxa"/>
            <w:tcBorders>
              <w:top w:val="single" w:sz="4" w:space="0" w:color="A6A6A6"/>
              <w:left w:val="nil"/>
              <w:bottom w:val="single" w:sz="4" w:space="0" w:color="A6A6A6"/>
              <w:right w:val="single" w:sz="4" w:space="0" w:color="A6A6A6"/>
            </w:tcBorders>
            <w:shd w:val="clear" w:color="auto" w:fill="auto"/>
            <w:noWrap/>
            <w:vAlign w:val="bottom"/>
            <w:hideMark/>
          </w:tcPr>
          <w:p>
            <w:pPr>
              <w:jc w:val="right"/>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2008</w:t>
            </w:r>
          </w:p>
        </w:tc>
        <w:tc>
          <w:tcPr>
            <w:tcW w:w="851" w:type="dxa"/>
            <w:tcBorders>
              <w:top w:val="single" w:sz="4" w:space="0" w:color="A6A6A6"/>
              <w:left w:val="nil"/>
              <w:bottom w:val="single" w:sz="4" w:space="0" w:color="A6A6A6"/>
              <w:right w:val="single" w:sz="4" w:space="0" w:color="A6A6A6"/>
            </w:tcBorders>
            <w:shd w:val="clear" w:color="auto" w:fill="auto"/>
            <w:noWrap/>
            <w:vAlign w:val="bottom"/>
            <w:hideMark/>
          </w:tcPr>
          <w:p>
            <w:pPr>
              <w:jc w:val="right"/>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2009</w:t>
            </w:r>
          </w:p>
        </w:tc>
        <w:tc>
          <w:tcPr>
            <w:tcW w:w="850" w:type="dxa"/>
            <w:tcBorders>
              <w:top w:val="single" w:sz="4" w:space="0" w:color="A6A6A6"/>
              <w:left w:val="nil"/>
              <w:bottom w:val="single" w:sz="4" w:space="0" w:color="A6A6A6"/>
              <w:right w:val="single" w:sz="4" w:space="0" w:color="A6A6A6"/>
            </w:tcBorders>
            <w:shd w:val="clear" w:color="auto" w:fill="auto"/>
            <w:noWrap/>
            <w:vAlign w:val="bottom"/>
            <w:hideMark/>
          </w:tcPr>
          <w:p>
            <w:pPr>
              <w:jc w:val="right"/>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2010</w:t>
            </w:r>
          </w:p>
        </w:tc>
        <w:tc>
          <w:tcPr>
            <w:tcW w:w="851" w:type="dxa"/>
            <w:tcBorders>
              <w:top w:val="single" w:sz="4" w:space="0" w:color="A6A6A6"/>
              <w:left w:val="nil"/>
              <w:bottom w:val="single" w:sz="4" w:space="0" w:color="A6A6A6"/>
              <w:right w:val="single" w:sz="4" w:space="0" w:color="A6A6A6"/>
            </w:tcBorders>
            <w:shd w:val="clear" w:color="auto" w:fill="auto"/>
            <w:noWrap/>
            <w:vAlign w:val="bottom"/>
            <w:hideMark/>
          </w:tcPr>
          <w:p>
            <w:pPr>
              <w:jc w:val="right"/>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2011</w:t>
            </w:r>
          </w:p>
        </w:tc>
        <w:tc>
          <w:tcPr>
            <w:tcW w:w="850" w:type="dxa"/>
            <w:tcBorders>
              <w:top w:val="single" w:sz="4" w:space="0" w:color="A6A6A6"/>
              <w:left w:val="nil"/>
              <w:bottom w:val="single" w:sz="4" w:space="0" w:color="A6A6A6"/>
              <w:right w:val="single" w:sz="4" w:space="0" w:color="A6A6A6"/>
            </w:tcBorders>
            <w:shd w:val="clear" w:color="auto" w:fill="auto"/>
            <w:noWrap/>
            <w:vAlign w:val="bottom"/>
            <w:hideMark/>
          </w:tcPr>
          <w:p>
            <w:pPr>
              <w:jc w:val="right"/>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2012</w:t>
            </w:r>
          </w:p>
        </w:tc>
        <w:tc>
          <w:tcPr>
            <w:tcW w:w="851" w:type="dxa"/>
            <w:tcBorders>
              <w:top w:val="single" w:sz="4" w:space="0" w:color="A6A6A6"/>
              <w:left w:val="nil"/>
              <w:bottom w:val="single" w:sz="4" w:space="0" w:color="A6A6A6"/>
              <w:right w:val="single" w:sz="4" w:space="0" w:color="A6A6A6"/>
            </w:tcBorders>
            <w:shd w:val="clear" w:color="auto" w:fill="auto"/>
            <w:noWrap/>
            <w:vAlign w:val="bottom"/>
            <w:hideMark/>
          </w:tcPr>
          <w:p>
            <w:pPr>
              <w:jc w:val="right"/>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2013</w:t>
            </w:r>
          </w:p>
        </w:tc>
        <w:tc>
          <w:tcPr>
            <w:tcW w:w="850" w:type="dxa"/>
            <w:tcBorders>
              <w:top w:val="single" w:sz="4" w:space="0" w:color="A6A6A6"/>
              <w:left w:val="nil"/>
              <w:bottom w:val="single" w:sz="4" w:space="0" w:color="A6A6A6"/>
              <w:right w:val="single" w:sz="4" w:space="0" w:color="A6A6A6"/>
            </w:tcBorders>
            <w:shd w:val="clear" w:color="auto" w:fill="auto"/>
            <w:noWrap/>
            <w:vAlign w:val="bottom"/>
            <w:hideMark/>
          </w:tcPr>
          <w:p>
            <w:pPr>
              <w:jc w:val="right"/>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2014</w:t>
            </w:r>
          </w:p>
        </w:tc>
        <w:tc>
          <w:tcPr>
            <w:tcW w:w="851" w:type="dxa"/>
            <w:tcBorders>
              <w:top w:val="single" w:sz="4" w:space="0" w:color="A6A6A6"/>
              <w:left w:val="nil"/>
              <w:bottom w:val="single" w:sz="4" w:space="0" w:color="A6A6A6"/>
              <w:right w:val="single" w:sz="4" w:space="0" w:color="A6A6A6"/>
            </w:tcBorders>
            <w:shd w:val="clear" w:color="auto" w:fill="auto"/>
            <w:noWrap/>
            <w:vAlign w:val="bottom"/>
            <w:hideMark/>
          </w:tcPr>
          <w:p>
            <w:pPr>
              <w:jc w:val="right"/>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2015</w:t>
            </w:r>
          </w:p>
        </w:tc>
        <w:tc>
          <w:tcPr>
            <w:tcW w:w="850" w:type="dxa"/>
            <w:tcBorders>
              <w:top w:val="single" w:sz="4" w:space="0" w:color="A6A6A6"/>
              <w:left w:val="nil"/>
              <w:bottom w:val="single" w:sz="4" w:space="0" w:color="A6A6A6"/>
              <w:right w:val="single" w:sz="4" w:space="0" w:color="A6A6A6"/>
            </w:tcBorders>
            <w:shd w:val="clear" w:color="000000" w:fill="D9E1F2"/>
            <w:vAlign w:val="bottom"/>
            <w:hideMark/>
          </w:tcPr>
          <w:p>
            <w:pPr>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Changes 2008-2015</w:t>
            </w:r>
          </w:p>
        </w:tc>
        <w:tc>
          <w:tcPr>
            <w:tcW w:w="831" w:type="dxa"/>
            <w:tcBorders>
              <w:top w:val="single" w:sz="4" w:space="0" w:color="A6A6A6"/>
              <w:left w:val="nil"/>
              <w:bottom w:val="single" w:sz="4" w:space="0" w:color="A6A6A6"/>
              <w:right w:val="single" w:sz="4" w:space="0" w:color="A6A6A6"/>
            </w:tcBorders>
            <w:shd w:val="clear" w:color="000000" w:fill="D9E1F2"/>
            <w:vAlign w:val="bottom"/>
            <w:hideMark/>
          </w:tcPr>
          <w:p>
            <w:pPr>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Changes 2008-2011</w:t>
            </w:r>
          </w:p>
        </w:tc>
        <w:tc>
          <w:tcPr>
            <w:tcW w:w="831" w:type="dxa"/>
            <w:tcBorders>
              <w:top w:val="single" w:sz="4" w:space="0" w:color="A6A6A6"/>
              <w:left w:val="nil"/>
              <w:bottom w:val="single" w:sz="4" w:space="0" w:color="A6A6A6"/>
              <w:right w:val="single" w:sz="4" w:space="0" w:color="A6A6A6"/>
            </w:tcBorders>
            <w:shd w:val="clear" w:color="000000" w:fill="D9E1F2"/>
            <w:vAlign w:val="bottom"/>
            <w:hideMark/>
          </w:tcPr>
          <w:p>
            <w:pPr>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Changes 2011-2015</w:t>
            </w:r>
          </w:p>
        </w:tc>
        <w:tc>
          <w:tcPr>
            <w:tcW w:w="710" w:type="dxa"/>
            <w:tcBorders>
              <w:top w:val="single" w:sz="4" w:space="0" w:color="A6A6A6"/>
              <w:left w:val="nil"/>
              <w:bottom w:val="single" w:sz="4" w:space="0" w:color="A6A6A6"/>
              <w:right w:val="single" w:sz="4" w:space="0" w:color="A6A6A6"/>
            </w:tcBorders>
            <w:shd w:val="clear" w:color="000000" w:fill="D9E1F2"/>
            <w:vAlign w:val="bottom"/>
            <w:hideMark/>
          </w:tcPr>
          <w:p>
            <w:pPr>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Level 2015</w:t>
            </w:r>
          </w:p>
        </w:tc>
        <w:tc>
          <w:tcPr>
            <w:tcW w:w="819" w:type="dxa"/>
            <w:tcBorders>
              <w:top w:val="single" w:sz="4" w:space="0" w:color="A6A6A6"/>
              <w:left w:val="nil"/>
              <w:bottom w:val="single" w:sz="4" w:space="0" w:color="A6A6A6"/>
              <w:right w:val="single" w:sz="4" w:space="0" w:color="A6A6A6"/>
            </w:tcBorders>
            <w:shd w:val="clear" w:color="000000" w:fill="D9E1F2"/>
            <w:vAlign w:val="bottom"/>
            <w:hideMark/>
          </w:tcPr>
          <w:p>
            <w:pPr>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Average</w:t>
            </w:r>
          </w:p>
        </w:tc>
        <w:tc>
          <w:tcPr>
            <w:tcW w:w="741" w:type="dxa"/>
            <w:tcBorders>
              <w:top w:val="single" w:sz="4" w:space="0" w:color="A6A6A6"/>
              <w:left w:val="nil"/>
              <w:bottom w:val="single" w:sz="4" w:space="0" w:color="A6A6A6"/>
              <w:right w:val="single" w:sz="4" w:space="0" w:color="A6A6A6"/>
            </w:tcBorders>
            <w:shd w:val="clear" w:color="000000" w:fill="D9E1F2"/>
            <w:vAlign w:val="bottom"/>
            <w:hideMark/>
          </w:tcPr>
          <w:p>
            <w:pPr>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Max. level</w:t>
            </w:r>
          </w:p>
        </w:tc>
        <w:tc>
          <w:tcPr>
            <w:tcW w:w="708" w:type="dxa"/>
            <w:gridSpan w:val="2"/>
            <w:tcBorders>
              <w:top w:val="single" w:sz="4" w:space="0" w:color="A6A6A6"/>
              <w:left w:val="nil"/>
              <w:bottom w:val="single" w:sz="4" w:space="0" w:color="A6A6A6"/>
              <w:right w:val="single" w:sz="4" w:space="0" w:color="A6A6A6"/>
            </w:tcBorders>
            <w:shd w:val="clear" w:color="000000" w:fill="D9E1F2"/>
            <w:vAlign w:val="bottom"/>
            <w:hideMark/>
          </w:tcPr>
          <w:p>
            <w:pPr>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Low. level</w:t>
            </w:r>
          </w:p>
        </w:tc>
        <w:tc>
          <w:tcPr>
            <w:tcW w:w="709" w:type="dxa"/>
            <w:gridSpan w:val="2"/>
            <w:tcBorders>
              <w:top w:val="single" w:sz="4" w:space="0" w:color="A6A6A6"/>
              <w:left w:val="nil"/>
              <w:bottom w:val="single" w:sz="4" w:space="0" w:color="A6A6A6"/>
              <w:right w:val="single" w:sz="4" w:space="0" w:color="A6A6A6"/>
            </w:tcBorders>
            <w:shd w:val="clear" w:color="000000" w:fill="D9E1F2"/>
            <w:vAlign w:val="bottom"/>
            <w:hideMark/>
          </w:tcPr>
          <w:p>
            <w:pPr>
              <w:rPr>
                <w:rFonts w:eastAsia="Times New Roman" w:cs="Calibri"/>
                <w:b/>
                <w:bCs/>
                <w:noProof/>
                <w:color w:val="000000"/>
                <w:sz w:val="16"/>
                <w:szCs w:val="16"/>
                <w:lang w:val="fr-FR" w:eastAsia="fr-FR"/>
              </w:rPr>
            </w:pPr>
            <w:r>
              <w:rPr>
                <w:rFonts w:eastAsia="Times New Roman" w:cs="Calibri"/>
                <w:b/>
                <w:bCs/>
                <w:noProof/>
                <w:color w:val="000000"/>
                <w:sz w:val="16"/>
                <w:szCs w:val="16"/>
                <w:lang w:val="fr-FR" w:eastAsia="fr-FR"/>
              </w:rPr>
              <w:t>Diff max-low level</w:t>
            </w:r>
          </w:p>
        </w:tc>
      </w:tr>
      <w:tr>
        <w:trPr>
          <w:trHeight w:val="300"/>
        </w:trPr>
        <w:tc>
          <w:tcPr>
            <w:tcW w:w="13947" w:type="dxa"/>
            <w:gridSpan w:val="16"/>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b/>
                <w:bCs/>
                <w:noProof/>
                <w:color w:val="4472C4"/>
                <w:sz w:val="16"/>
                <w:szCs w:val="16"/>
                <w:lang w:val="fr-FR" w:eastAsia="fr-FR"/>
              </w:rPr>
            </w:pPr>
            <w:r>
              <w:rPr>
                <w:rFonts w:eastAsia="Times New Roman" w:cs="Calibri"/>
                <w:b/>
                <w:bCs/>
                <w:noProof/>
                <w:color w:val="4472C4"/>
                <w:sz w:val="16"/>
                <w:szCs w:val="16"/>
                <w:lang w:val="fr-FR" w:eastAsia="fr-FR"/>
              </w:rPr>
              <w:t>Section C</w:t>
            </w:r>
          </w:p>
        </w:tc>
        <w:tc>
          <w:tcPr>
            <w:tcW w:w="598" w:type="dxa"/>
            <w:gridSpan w:val="2"/>
            <w:tcBorders>
              <w:top w:val="nil"/>
              <w:left w:val="nil"/>
              <w:bottom w:val="nil"/>
              <w:right w:val="nil"/>
            </w:tcBorders>
            <w:shd w:val="clear" w:color="auto" w:fill="auto"/>
            <w:noWrap/>
            <w:vAlign w:val="bottom"/>
            <w:hideMark/>
          </w:tcPr>
          <w:p>
            <w:pPr>
              <w:rPr>
                <w:rFonts w:eastAsia="Times New Roman" w:cs="Calibri"/>
                <w:b/>
                <w:bCs/>
                <w:noProof/>
                <w:color w:val="4472C4"/>
                <w:sz w:val="16"/>
                <w:szCs w:val="16"/>
                <w:lang w:val="fr-FR" w:eastAsia="fr-FR"/>
              </w:rPr>
            </w:pPr>
          </w:p>
        </w:tc>
        <w:tc>
          <w:tcPr>
            <w:tcW w:w="790" w:type="dxa"/>
            <w:gridSpan w:val="2"/>
            <w:tcBorders>
              <w:top w:val="nil"/>
              <w:left w:val="nil"/>
              <w:bottom w:val="nil"/>
              <w:right w:val="nil"/>
            </w:tcBorders>
            <w:shd w:val="clear" w:color="auto" w:fill="auto"/>
            <w:noWrap/>
            <w:vAlign w:val="bottom"/>
            <w:hideMark/>
          </w:tcPr>
          <w:p>
            <w:pPr>
              <w:rPr>
                <w:rFonts w:eastAsia="Times New Roman"/>
                <w:noProof/>
                <w:sz w:val="16"/>
                <w:szCs w:val="16"/>
                <w:lang w:val="fr-FR" w:eastAsia="fr-FR"/>
              </w:rPr>
            </w:pP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C103 - Fruit and vegetables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3,6%</w:t>
            </w:r>
          </w:p>
        </w:tc>
        <w:tc>
          <w:tcPr>
            <w:tcW w:w="708" w:type="dxa"/>
            <w:gridSpan w:val="2"/>
            <w:tcBorders>
              <w:top w:val="single" w:sz="4" w:space="0" w:color="A6A6A6"/>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c>
          <w:tcPr>
            <w:tcW w:w="709" w:type="dxa"/>
            <w:gridSpan w:val="2"/>
            <w:tcBorders>
              <w:top w:val="single" w:sz="4" w:space="0" w:color="A6A6A6"/>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C106 - Grain products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3,3%</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3,8%</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C132 - Textiles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-1,8%</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-0,4%</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3,3%</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6,4%</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C161 - Sawmills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3,6%</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0,4%</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4,1%</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C171 - Pulp and paper</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8,4%</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-3,9%</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8,4%</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10,7%</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13,0%</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8,4%</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4,6%</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C172 - Articles of paper</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C192 - Refineries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C201 - Basic chemicals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5,7%</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5,7%</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6,7%</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7,7%</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5,7%</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C206 - Man-made fibres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6,2%</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6,2%</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8,0%</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12,4%</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6,2%</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6,2%</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C222 - Plastics products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3,5%</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C231 - Glass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8,2%</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8,2%</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9,5%</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10,3%</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8,2%</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C232 - Refractory products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6,6%</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6,1%</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6,1%</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6,3%</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6,9%</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5,8%</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C233 - Clay building materials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11,1%</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-4,4%</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11,1%</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12,4%</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15,4%</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11,0%</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4,4%</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C234 - Porcelain and ceramics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5,2%</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6,0%</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eastAsia="fr-FR"/>
              </w:rPr>
            </w:pPr>
            <w:r>
              <w:rPr>
                <w:rFonts w:eastAsia="Times New Roman" w:cs="Calibri"/>
                <w:noProof/>
                <w:color w:val="000000"/>
                <w:sz w:val="16"/>
                <w:szCs w:val="16"/>
                <w:lang w:eastAsia="fr-FR"/>
              </w:rPr>
              <w:t>C235 - Cement, lime and plaster</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22,1%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22,9%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22,1%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23,5%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16,3%</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-5,8%</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-7,3%</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16,3%</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21,4%</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23,5%</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16,3%</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7,3%</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C237 - Stone</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3,2%</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3,2%</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3,6%</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4,8%</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C239 - Abrasive products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5,3%</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5,1%</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5,1%</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5,1%</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5,8%</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4,8%</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C241 - Iron and steel</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7,5%</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7,5%</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8,8%</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11,9%</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7,3%</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4,6%</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C244 - Non-ferrous metals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3,5%</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-0,5%</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3,5%</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4,2%</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6,0%</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3,5%</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C245 - Casting of metal</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6,0%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4,9%</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4,9%</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5,7%</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7,1%</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4,9%</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2,2%</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tcPr>
          <w:p>
            <w:pPr>
              <w:rPr>
                <w:rFonts w:eastAsia="Times New Roman" w:cs="Calibri"/>
                <w:noProof/>
                <w:color w:val="000000"/>
                <w:sz w:val="16"/>
                <w:szCs w:val="16"/>
                <w:lang w:val="fr-FR" w:eastAsia="fr-FR"/>
              </w:rPr>
            </w:pPr>
          </w:p>
        </w:tc>
        <w:tc>
          <w:tcPr>
            <w:tcW w:w="746"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p>
        </w:tc>
        <w:tc>
          <w:tcPr>
            <w:tcW w:w="851"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p>
        </w:tc>
        <w:tc>
          <w:tcPr>
            <w:tcW w:w="850"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p>
        </w:tc>
        <w:tc>
          <w:tcPr>
            <w:tcW w:w="851"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p>
        </w:tc>
        <w:tc>
          <w:tcPr>
            <w:tcW w:w="850"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p>
        </w:tc>
        <w:tc>
          <w:tcPr>
            <w:tcW w:w="851"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p>
        </w:tc>
        <w:tc>
          <w:tcPr>
            <w:tcW w:w="850"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p>
        </w:tc>
        <w:tc>
          <w:tcPr>
            <w:tcW w:w="851"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p>
        </w:tc>
        <w:tc>
          <w:tcPr>
            <w:tcW w:w="850" w:type="dxa"/>
            <w:tcBorders>
              <w:top w:val="nil"/>
              <w:left w:val="nil"/>
              <w:bottom w:val="single" w:sz="4" w:space="0" w:color="A6A6A6"/>
              <w:right w:val="single" w:sz="4" w:space="0" w:color="A6A6A6"/>
            </w:tcBorders>
            <w:shd w:val="clear" w:color="000000" w:fill="D9E1F2"/>
            <w:noWrap/>
            <w:vAlign w:val="bottom"/>
          </w:tcPr>
          <w:p>
            <w:pPr>
              <w:jc w:val="right"/>
              <w:rPr>
                <w:rFonts w:eastAsia="Times New Roman" w:cs="Calibri"/>
                <w:noProof/>
                <w:color w:val="000000"/>
                <w:sz w:val="16"/>
                <w:szCs w:val="16"/>
                <w:lang w:val="fr-FR" w:eastAsia="fr-FR"/>
              </w:rPr>
            </w:pPr>
          </w:p>
        </w:tc>
        <w:tc>
          <w:tcPr>
            <w:tcW w:w="831" w:type="dxa"/>
            <w:tcBorders>
              <w:top w:val="nil"/>
              <w:left w:val="nil"/>
              <w:bottom w:val="single" w:sz="4" w:space="0" w:color="A6A6A6"/>
              <w:right w:val="single" w:sz="4" w:space="0" w:color="A6A6A6"/>
            </w:tcBorders>
            <w:shd w:val="clear" w:color="000000" w:fill="D9E1F2"/>
            <w:noWrap/>
            <w:vAlign w:val="bottom"/>
          </w:tcPr>
          <w:p>
            <w:pPr>
              <w:jc w:val="right"/>
              <w:rPr>
                <w:rFonts w:eastAsia="Times New Roman" w:cs="Calibri"/>
                <w:noProof/>
                <w:color w:val="000000"/>
                <w:sz w:val="16"/>
                <w:szCs w:val="16"/>
                <w:lang w:val="fr-FR" w:eastAsia="fr-FR"/>
              </w:rPr>
            </w:pPr>
          </w:p>
        </w:tc>
        <w:tc>
          <w:tcPr>
            <w:tcW w:w="831" w:type="dxa"/>
            <w:tcBorders>
              <w:top w:val="nil"/>
              <w:left w:val="nil"/>
              <w:bottom w:val="single" w:sz="4" w:space="0" w:color="A6A6A6"/>
              <w:right w:val="single" w:sz="4" w:space="0" w:color="A6A6A6"/>
            </w:tcBorders>
            <w:shd w:val="clear" w:color="000000" w:fill="D9E1F2"/>
            <w:noWrap/>
            <w:vAlign w:val="bottom"/>
          </w:tcPr>
          <w:p>
            <w:pPr>
              <w:jc w:val="right"/>
              <w:rPr>
                <w:rFonts w:eastAsia="Times New Roman" w:cs="Calibri"/>
                <w:noProof/>
                <w:color w:val="000000"/>
                <w:sz w:val="16"/>
                <w:szCs w:val="16"/>
                <w:lang w:val="fr-FR" w:eastAsia="fr-FR"/>
              </w:rPr>
            </w:pPr>
          </w:p>
        </w:tc>
        <w:tc>
          <w:tcPr>
            <w:tcW w:w="710" w:type="dxa"/>
            <w:tcBorders>
              <w:top w:val="nil"/>
              <w:left w:val="nil"/>
              <w:bottom w:val="single" w:sz="4" w:space="0" w:color="A6A6A6"/>
              <w:right w:val="single" w:sz="4" w:space="0" w:color="A6A6A6"/>
            </w:tcBorders>
            <w:shd w:val="clear" w:color="000000" w:fill="D9E1F2"/>
            <w:noWrap/>
            <w:vAlign w:val="bottom"/>
          </w:tcPr>
          <w:p>
            <w:pPr>
              <w:jc w:val="right"/>
              <w:rPr>
                <w:rFonts w:eastAsia="Times New Roman" w:cs="Calibri"/>
                <w:noProof/>
                <w:color w:val="000000"/>
                <w:sz w:val="16"/>
                <w:szCs w:val="16"/>
                <w:lang w:val="fr-FR" w:eastAsia="fr-FR"/>
              </w:rPr>
            </w:pPr>
          </w:p>
        </w:tc>
        <w:tc>
          <w:tcPr>
            <w:tcW w:w="819" w:type="dxa"/>
            <w:tcBorders>
              <w:top w:val="nil"/>
              <w:left w:val="nil"/>
              <w:bottom w:val="single" w:sz="4" w:space="0" w:color="A6A6A6"/>
              <w:right w:val="single" w:sz="4" w:space="0" w:color="A6A6A6"/>
            </w:tcBorders>
            <w:shd w:val="clear" w:color="000000" w:fill="D9E1F2"/>
            <w:noWrap/>
            <w:vAlign w:val="bottom"/>
          </w:tcPr>
          <w:p>
            <w:pPr>
              <w:jc w:val="right"/>
              <w:rPr>
                <w:rFonts w:eastAsia="Times New Roman" w:cs="Calibri"/>
                <w:noProof/>
                <w:color w:val="000000"/>
                <w:sz w:val="16"/>
                <w:szCs w:val="16"/>
                <w:lang w:val="fr-FR" w:eastAsia="fr-FR"/>
              </w:rPr>
            </w:pPr>
          </w:p>
        </w:tc>
        <w:tc>
          <w:tcPr>
            <w:tcW w:w="741" w:type="dxa"/>
            <w:tcBorders>
              <w:top w:val="nil"/>
              <w:left w:val="nil"/>
              <w:bottom w:val="single" w:sz="4" w:space="0" w:color="A6A6A6"/>
              <w:right w:val="single" w:sz="4" w:space="0" w:color="A6A6A6"/>
            </w:tcBorders>
            <w:shd w:val="clear" w:color="000000" w:fill="D9E1F2"/>
            <w:noWrap/>
            <w:vAlign w:val="bottom"/>
          </w:tcPr>
          <w:p>
            <w:pPr>
              <w:jc w:val="right"/>
              <w:rPr>
                <w:rFonts w:eastAsia="Times New Roman" w:cs="Calibri"/>
                <w:noProof/>
                <w:color w:val="000000"/>
                <w:sz w:val="16"/>
                <w:szCs w:val="16"/>
                <w:lang w:val="fr-FR" w:eastAsia="fr-FR"/>
              </w:rPr>
            </w:pPr>
          </w:p>
        </w:tc>
        <w:tc>
          <w:tcPr>
            <w:tcW w:w="708" w:type="dxa"/>
            <w:gridSpan w:val="2"/>
            <w:tcBorders>
              <w:top w:val="nil"/>
              <w:left w:val="nil"/>
              <w:bottom w:val="single" w:sz="4" w:space="0" w:color="A6A6A6"/>
              <w:right w:val="single" w:sz="4" w:space="0" w:color="A6A6A6"/>
            </w:tcBorders>
            <w:shd w:val="clear" w:color="000000" w:fill="D9E1F2"/>
            <w:noWrap/>
            <w:vAlign w:val="bottom"/>
          </w:tcPr>
          <w:p>
            <w:pPr>
              <w:jc w:val="right"/>
              <w:rPr>
                <w:rFonts w:eastAsia="Times New Roman" w:cs="Calibri"/>
                <w:noProof/>
                <w:color w:val="000000"/>
                <w:sz w:val="16"/>
                <w:szCs w:val="16"/>
                <w:lang w:val="fr-FR" w:eastAsia="fr-FR"/>
              </w:rPr>
            </w:pPr>
          </w:p>
        </w:tc>
        <w:tc>
          <w:tcPr>
            <w:tcW w:w="709" w:type="dxa"/>
            <w:gridSpan w:val="2"/>
            <w:tcBorders>
              <w:top w:val="nil"/>
              <w:left w:val="nil"/>
              <w:bottom w:val="single" w:sz="4" w:space="0" w:color="A6A6A6"/>
              <w:right w:val="single" w:sz="4" w:space="0" w:color="A6A6A6"/>
            </w:tcBorders>
            <w:shd w:val="clear" w:color="000000" w:fill="D9E1F2"/>
            <w:noWrap/>
            <w:vAlign w:val="bottom"/>
          </w:tcPr>
          <w:p>
            <w:pPr>
              <w:jc w:val="right"/>
              <w:rPr>
                <w:rFonts w:eastAsia="Times New Roman" w:cs="Calibri"/>
                <w:noProof/>
                <w:color w:val="000000"/>
                <w:sz w:val="16"/>
                <w:szCs w:val="16"/>
                <w:lang w:val="fr-FR" w:eastAsia="fr-FR"/>
              </w:rPr>
            </w:pPr>
          </w:p>
        </w:tc>
      </w:tr>
      <w:tr>
        <w:trPr>
          <w:gridAfter w:val="1"/>
          <w:wAfter w:w="456" w:type="dxa"/>
          <w:trHeight w:val="416"/>
        </w:trPr>
        <w:tc>
          <w:tcPr>
            <w:tcW w:w="1980" w:type="dxa"/>
            <w:tcBorders>
              <w:top w:val="nil"/>
              <w:left w:val="single" w:sz="4" w:space="0" w:color="A6A6A6"/>
              <w:bottom w:val="single" w:sz="4" w:space="0" w:color="A6A6A6"/>
              <w:right w:val="single" w:sz="4" w:space="0" w:color="A6A6A6"/>
            </w:tcBorders>
            <w:shd w:val="clear" w:color="auto" w:fill="auto"/>
            <w:noWrap/>
            <w:vAlign w:val="bottom"/>
          </w:tcPr>
          <w:p>
            <w:pPr>
              <w:rPr>
                <w:rFonts w:eastAsia="Times New Roman" w:cs="Calibri"/>
                <w:noProof/>
                <w:color w:val="000000"/>
                <w:sz w:val="16"/>
                <w:szCs w:val="16"/>
                <w:lang w:val="fr-FR" w:eastAsia="fr-FR"/>
              </w:rPr>
            </w:pPr>
            <w:r>
              <w:rPr>
                <w:rFonts w:eastAsia="Times New Roman" w:cs="Calibri"/>
                <w:b/>
                <w:bCs/>
                <w:noProof/>
                <w:color w:val="000000"/>
                <w:sz w:val="16"/>
                <w:szCs w:val="16"/>
                <w:lang w:val="fr-FR" w:eastAsia="fr-FR"/>
              </w:rPr>
              <w:t> </w:t>
            </w:r>
          </w:p>
        </w:tc>
        <w:tc>
          <w:tcPr>
            <w:tcW w:w="746"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r>
              <w:rPr>
                <w:rFonts w:eastAsia="Times New Roman" w:cs="Calibri"/>
                <w:b/>
                <w:bCs/>
                <w:noProof/>
                <w:color w:val="000000"/>
                <w:sz w:val="16"/>
                <w:szCs w:val="16"/>
                <w:lang w:val="fr-FR" w:eastAsia="fr-FR"/>
              </w:rPr>
              <w:t>2008</w:t>
            </w:r>
          </w:p>
        </w:tc>
        <w:tc>
          <w:tcPr>
            <w:tcW w:w="851"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r>
              <w:rPr>
                <w:rFonts w:eastAsia="Times New Roman" w:cs="Calibri"/>
                <w:b/>
                <w:bCs/>
                <w:noProof/>
                <w:color w:val="000000"/>
                <w:sz w:val="16"/>
                <w:szCs w:val="16"/>
                <w:lang w:val="fr-FR" w:eastAsia="fr-FR"/>
              </w:rPr>
              <w:t>2009</w:t>
            </w:r>
          </w:p>
        </w:tc>
        <w:tc>
          <w:tcPr>
            <w:tcW w:w="850"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r>
              <w:rPr>
                <w:rFonts w:eastAsia="Times New Roman" w:cs="Calibri"/>
                <w:b/>
                <w:bCs/>
                <w:noProof/>
                <w:color w:val="000000"/>
                <w:sz w:val="16"/>
                <w:szCs w:val="16"/>
                <w:lang w:val="fr-FR" w:eastAsia="fr-FR"/>
              </w:rPr>
              <w:t>2010</w:t>
            </w:r>
          </w:p>
        </w:tc>
        <w:tc>
          <w:tcPr>
            <w:tcW w:w="851"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r>
              <w:rPr>
                <w:rFonts w:eastAsia="Times New Roman" w:cs="Calibri"/>
                <w:b/>
                <w:bCs/>
                <w:noProof/>
                <w:color w:val="000000"/>
                <w:sz w:val="16"/>
                <w:szCs w:val="16"/>
                <w:lang w:val="fr-FR" w:eastAsia="fr-FR"/>
              </w:rPr>
              <w:t>2011</w:t>
            </w:r>
          </w:p>
        </w:tc>
        <w:tc>
          <w:tcPr>
            <w:tcW w:w="850"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r>
              <w:rPr>
                <w:rFonts w:eastAsia="Times New Roman" w:cs="Calibri"/>
                <w:b/>
                <w:bCs/>
                <w:noProof/>
                <w:color w:val="000000"/>
                <w:sz w:val="16"/>
                <w:szCs w:val="16"/>
                <w:lang w:val="fr-FR" w:eastAsia="fr-FR"/>
              </w:rPr>
              <w:t>2012</w:t>
            </w:r>
          </w:p>
        </w:tc>
        <w:tc>
          <w:tcPr>
            <w:tcW w:w="851"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r>
              <w:rPr>
                <w:rFonts w:eastAsia="Times New Roman" w:cs="Calibri"/>
                <w:b/>
                <w:bCs/>
                <w:noProof/>
                <w:color w:val="000000"/>
                <w:sz w:val="16"/>
                <w:szCs w:val="16"/>
                <w:lang w:val="fr-FR" w:eastAsia="fr-FR"/>
              </w:rPr>
              <w:t>2013</w:t>
            </w:r>
          </w:p>
        </w:tc>
        <w:tc>
          <w:tcPr>
            <w:tcW w:w="850"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r>
              <w:rPr>
                <w:rFonts w:eastAsia="Times New Roman" w:cs="Calibri"/>
                <w:b/>
                <w:bCs/>
                <w:noProof/>
                <w:color w:val="000000"/>
                <w:sz w:val="16"/>
                <w:szCs w:val="16"/>
                <w:lang w:val="fr-FR" w:eastAsia="fr-FR"/>
              </w:rPr>
              <w:t>2014</w:t>
            </w:r>
          </w:p>
        </w:tc>
        <w:tc>
          <w:tcPr>
            <w:tcW w:w="851" w:type="dxa"/>
            <w:tcBorders>
              <w:top w:val="nil"/>
              <w:left w:val="nil"/>
              <w:bottom w:val="single" w:sz="4" w:space="0" w:color="A6A6A6"/>
              <w:right w:val="single" w:sz="4" w:space="0" w:color="A6A6A6"/>
            </w:tcBorders>
            <w:shd w:val="clear" w:color="auto" w:fill="auto"/>
            <w:noWrap/>
            <w:vAlign w:val="bottom"/>
          </w:tcPr>
          <w:p>
            <w:pPr>
              <w:jc w:val="right"/>
              <w:rPr>
                <w:rFonts w:eastAsia="Times New Roman" w:cs="Calibri"/>
                <w:noProof/>
                <w:color w:val="000000"/>
                <w:sz w:val="16"/>
                <w:szCs w:val="16"/>
                <w:lang w:val="fr-FR" w:eastAsia="fr-FR"/>
              </w:rPr>
            </w:pPr>
            <w:r>
              <w:rPr>
                <w:rFonts w:eastAsia="Times New Roman" w:cs="Calibri"/>
                <w:b/>
                <w:bCs/>
                <w:noProof/>
                <w:color w:val="000000"/>
                <w:sz w:val="16"/>
                <w:szCs w:val="16"/>
                <w:lang w:val="fr-FR" w:eastAsia="fr-FR"/>
              </w:rPr>
              <w:t>2015</w:t>
            </w:r>
          </w:p>
        </w:tc>
        <w:tc>
          <w:tcPr>
            <w:tcW w:w="850" w:type="dxa"/>
            <w:tcBorders>
              <w:top w:val="nil"/>
              <w:left w:val="nil"/>
              <w:bottom w:val="single" w:sz="4" w:space="0" w:color="A6A6A6"/>
              <w:right w:val="single" w:sz="4" w:space="0" w:color="A6A6A6"/>
            </w:tcBorders>
            <w:shd w:val="clear" w:color="000000" w:fill="D9E1F2"/>
            <w:noWrap/>
            <w:vAlign w:val="bottom"/>
          </w:tcPr>
          <w:p>
            <w:pPr>
              <w:jc w:val="center"/>
              <w:rPr>
                <w:rFonts w:eastAsia="Times New Roman" w:cs="Calibri"/>
                <w:noProof/>
                <w:color w:val="000000"/>
                <w:sz w:val="15"/>
                <w:szCs w:val="15"/>
                <w:lang w:val="fr-FR" w:eastAsia="fr-FR"/>
              </w:rPr>
            </w:pPr>
            <w:r>
              <w:rPr>
                <w:rFonts w:eastAsia="Times New Roman" w:cs="Calibri"/>
                <w:b/>
                <w:bCs/>
                <w:noProof/>
                <w:color w:val="000000"/>
                <w:sz w:val="15"/>
                <w:szCs w:val="15"/>
                <w:lang w:val="fr-FR" w:eastAsia="fr-FR"/>
              </w:rPr>
              <w:t>Changes 2008-2015</w:t>
            </w:r>
          </w:p>
        </w:tc>
        <w:tc>
          <w:tcPr>
            <w:tcW w:w="831" w:type="dxa"/>
            <w:tcBorders>
              <w:top w:val="nil"/>
              <w:left w:val="nil"/>
              <w:bottom w:val="single" w:sz="4" w:space="0" w:color="A6A6A6"/>
              <w:right w:val="single" w:sz="4" w:space="0" w:color="A6A6A6"/>
            </w:tcBorders>
            <w:shd w:val="clear" w:color="000000" w:fill="D9E1F2"/>
            <w:noWrap/>
            <w:vAlign w:val="bottom"/>
          </w:tcPr>
          <w:p>
            <w:pPr>
              <w:jc w:val="center"/>
              <w:rPr>
                <w:rFonts w:eastAsia="Times New Roman" w:cs="Calibri"/>
                <w:noProof/>
                <w:color w:val="000000"/>
                <w:sz w:val="15"/>
                <w:szCs w:val="15"/>
                <w:lang w:val="fr-FR" w:eastAsia="fr-FR"/>
              </w:rPr>
            </w:pPr>
            <w:r>
              <w:rPr>
                <w:rFonts w:eastAsia="Times New Roman" w:cs="Calibri"/>
                <w:b/>
                <w:bCs/>
                <w:noProof/>
                <w:color w:val="000000"/>
                <w:sz w:val="15"/>
                <w:szCs w:val="15"/>
                <w:lang w:val="fr-FR" w:eastAsia="fr-FR"/>
              </w:rPr>
              <w:t>Changes 2008-2011</w:t>
            </w:r>
          </w:p>
        </w:tc>
        <w:tc>
          <w:tcPr>
            <w:tcW w:w="831" w:type="dxa"/>
            <w:tcBorders>
              <w:top w:val="nil"/>
              <w:left w:val="nil"/>
              <w:bottom w:val="single" w:sz="4" w:space="0" w:color="A6A6A6"/>
              <w:right w:val="single" w:sz="4" w:space="0" w:color="A6A6A6"/>
            </w:tcBorders>
            <w:shd w:val="clear" w:color="000000" w:fill="D9E1F2"/>
            <w:noWrap/>
            <w:vAlign w:val="bottom"/>
          </w:tcPr>
          <w:p>
            <w:pPr>
              <w:jc w:val="center"/>
              <w:rPr>
                <w:rFonts w:eastAsia="Times New Roman" w:cs="Calibri"/>
                <w:noProof/>
                <w:color w:val="000000"/>
                <w:sz w:val="15"/>
                <w:szCs w:val="15"/>
                <w:lang w:val="fr-FR" w:eastAsia="fr-FR"/>
              </w:rPr>
            </w:pPr>
            <w:r>
              <w:rPr>
                <w:rFonts w:eastAsia="Times New Roman" w:cs="Calibri"/>
                <w:b/>
                <w:bCs/>
                <w:noProof/>
                <w:color w:val="000000"/>
                <w:sz w:val="15"/>
                <w:szCs w:val="15"/>
                <w:lang w:val="fr-FR" w:eastAsia="fr-FR"/>
              </w:rPr>
              <w:t>Changes 2011-2015</w:t>
            </w:r>
          </w:p>
        </w:tc>
        <w:tc>
          <w:tcPr>
            <w:tcW w:w="710" w:type="dxa"/>
            <w:tcBorders>
              <w:top w:val="nil"/>
              <w:left w:val="nil"/>
              <w:bottom w:val="single" w:sz="4" w:space="0" w:color="A6A6A6"/>
              <w:right w:val="single" w:sz="4" w:space="0" w:color="A6A6A6"/>
            </w:tcBorders>
            <w:shd w:val="clear" w:color="000000" w:fill="D9E1F2"/>
            <w:noWrap/>
            <w:vAlign w:val="bottom"/>
          </w:tcPr>
          <w:p>
            <w:pPr>
              <w:jc w:val="center"/>
              <w:rPr>
                <w:rFonts w:eastAsia="Times New Roman" w:cs="Calibri"/>
                <w:noProof/>
                <w:color w:val="000000"/>
                <w:sz w:val="15"/>
                <w:szCs w:val="15"/>
                <w:lang w:val="fr-FR" w:eastAsia="fr-FR"/>
              </w:rPr>
            </w:pPr>
            <w:r>
              <w:rPr>
                <w:rFonts w:eastAsia="Times New Roman" w:cs="Calibri"/>
                <w:b/>
                <w:bCs/>
                <w:noProof/>
                <w:color w:val="000000"/>
                <w:sz w:val="15"/>
                <w:szCs w:val="15"/>
                <w:lang w:val="fr-FR" w:eastAsia="fr-FR"/>
              </w:rPr>
              <w:t>Level 2015</w:t>
            </w:r>
          </w:p>
        </w:tc>
        <w:tc>
          <w:tcPr>
            <w:tcW w:w="819" w:type="dxa"/>
            <w:tcBorders>
              <w:top w:val="nil"/>
              <w:left w:val="nil"/>
              <w:bottom w:val="single" w:sz="4" w:space="0" w:color="A6A6A6"/>
              <w:right w:val="single" w:sz="4" w:space="0" w:color="A6A6A6"/>
            </w:tcBorders>
            <w:shd w:val="clear" w:color="000000" w:fill="D9E1F2"/>
            <w:noWrap/>
            <w:vAlign w:val="bottom"/>
          </w:tcPr>
          <w:p>
            <w:pPr>
              <w:jc w:val="center"/>
              <w:rPr>
                <w:rFonts w:eastAsia="Times New Roman" w:cs="Calibri"/>
                <w:noProof/>
                <w:color w:val="000000"/>
                <w:sz w:val="15"/>
                <w:szCs w:val="15"/>
                <w:lang w:val="fr-FR" w:eastAsia="fr-FR"/>
              </w:rPr>
            </w:pPr>
            <w:r>
              <w:rPr>
                <w:rFonts w:eastAsia="Times New Roman" w:cs="Calibri"/>
                <w:b/>
                <w:bCs/>
                <w:noProof/>
                <w:color w:val="000000"/>
                <w:sz w:val="15"/>
                <w:szCs w:val="15"/>
                <w:lang w:val="fr-FR" w:eastAsia="fr-FR"/>
              </w:rPr>
              <w:t>Average</w:t>
            </w:r>
          </w:p>
        </w:tc>
        <w:tc>
          <w:tcPr>
            <w:tcW w:w="741" w:type="dxa"/>
            <w:tcBorders>
              <w:top w:val="nil"/>
              <w:left w:val="nil"/>
              <w:bottom w:val="single" w:sz="4" w:space="0" w:color="A6A6A6"/>
              <w:right w:val="single" w:sz="4" w:space="0" w:color="A6A6A6"/>
            </w:tcBorders>
            <w:shd w:val="clear" w:color="000000" w:fill="D9E1F2"/>
            <w:noWrap/>
            <w:vAlign w:val="bottom"/>
          </w:tcPr>
          <w:p>
            <w:pPr>
              <w:jc w:val="center"/>
              <w:rPr>
                <w:rFonts w:eastAsia="Times New Roman" w:cs="Calibri"/>
                <w:noProof/>
                <w:color w:val="000000"/>
                <w:sz w:val="15"/>
                <w:szCs w:val="15"/>
                <w:lang w:val="fr-FR" w:eastAsia="fr-FR"/>
              </w:rPr>
            </w:pPr>
            <w:r>
              <w:rPr>
                <w:rFonts w:eastAsia="Times New Roman" w:cs="Calibri"/>
                <w:b/>
                <w:bCs/>
                <w:noProof/>
                <w:color w:val="000000"/>
                <w:sz w:val="15"/>
                <w:szCs w:val="15"/>
                <w:lang w:val="fr-FR" w:eastAsia="fr-FR"/>
              </w:rPr>
              <w:t>Max. level</w:t>
            </w:r>
          </w:p>
        </w:tc>
        <w:tc>
          <w:tcPr>
            <w:tcW w:w="708" w:type="dxa"/>
            <w:gridSpan w:val="2"/>
            <w:tcBorders>
              <w:top w:val="nil"/>
              <w:left w:val="nil"/>
              <w:bottom w:val="single" w:sz="4" w:space="0" w:color="A6A6A6"/>
              <w:right w:val="single" w:sz="4" w:space="0" w:color="A6A6A6"/>
            </w:tcBorders>
            <w:shd w:val="clear" w:color="000000" w:fill="D9E1F2"/>
            <w:noWrap/>
            <w:vAlign w:val="bottom"/>
          </w:tcPr>
          <w:p>
            <w:pPr>
              <w:jc w:val="center"/>
              <w:rPr>
                <w:rFonts w:eastAsia="Times New Roman" w:cs="Calibri"/>
                <w:noProof/>
                <w:color w:val="000000"/>
                <w:sz w:val="15"/>
                <w:szCs w:val="15"/>
                <w:lang w:val="fr-FR" w:eastAsia="fr-FR"/>
              </w:rPr>
            </w:pPr>
            <w:r>
              <w:rPr>
                <w:rFonts w:eastAsia="Times New Roman" w:cs="Calibri"/>
                <w:b/>
                <w:bCs/>
                <w:noProof/>
                <w:color w:val="000000"/>
                <w:sz w:val="15"/>
                <w:szCs w:val="15"/>
                <w:lang w:val="fr-FR" w:eastAsia="fr-FR"/>
              </w:rPr>
              <w:t>Low. level</w:t>
            </w:r>
          </w:p>
        </w:tc>
        <w:tc>
          <w:tcPr>
            <w:tcW w:w="709" w:type="dxa"/>
            <w:gridSpan w:val="2"/>
            <w:tcBorders>
              <w:top w:val="nil"/>
              <w:left w:val="nil"/>
              <w:bottom w:val="single" w:sz="4" w:space="0" w:color="A6A6A6"/>
              <w:right w:val="single" w:sz="4" w:space="0" w:color="A6A6A6"/>
            </w:tcBorders>
            <w:shd w:val="clear" w:color="000000" w:fill="D9E1F2"/>
            <w:noWrap/>
            <w:vAlign w:val="bottom"/>
          </w:tcPr>
          <w:p>
            <w:pPr>
              <w:jc w:val="right"/>
              <w:rPr>
                <w:rFonts w:eastAsia="Times New Roman" w:cs="Calibri"/>
                <w:noProof/>
                <w:color w:val="000000"/>
                <w:sz w:val="15"/>
                <w:szCs w:val="15"/>
                <w:lang w:val="fr-FR" w:eastAsia="fr-FR"/>
              </w:rPr>
            </w:pPr>
            <w:r>
              <w:rPr>
                <w:rFonts w:eastAsia="Times New Roman" w:cs="Calibri"/>
                <w:b/>
                <w:bCs/>
                <w:noProof/>
                <w:color w:val="000000"/>
                <w:sz w:val="15"/>
                <w:szCs w:val="15"/>
                <w:lang w:val="fr-FR" w:eastAsia="fr-FR"/>
              </w:rPr>
              <w:t>Diff max-low level</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C11 - Beverages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C21 - Pharmaceutical products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C25 - Fabricated metal products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1,9%</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0,0%</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1,9%</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1,9%</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0,5%</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C26 - Computer and electronics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0,0%</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C27 - Electrical equipment</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0,5%</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C28 - Machinery and equipment</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0,4%</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C29 - Motor vehicles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C30 - Other transport equipment</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0,4%</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C32 - Other manufacturing</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0,4%</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C33 - Repair of machinery</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-0,4%</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0,4%</w:t>
            </w:r>
          </w:p>
        </w:tc>
      </w:tr>
      <w:tr>
        <w:trPr>
          <w:trHeight w:val="263"/>
        </w:trPr>
        <w:tc>
          <w:tcPr>
            <w:tcW w:w="13947" w:type="dxa"/>
            <w:gridSpan w:val="16"/>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b/>
                <w:bCs/>
                <w:noProof/>
                <w:color w:val="4472C4"/>
                <w:sz w:val="16"/>
                <w:szCs w:val="16"/>
                <w:lang w:val="fr-FR" w:eastAsia="fr-FR"/>
              </w:rPr>
            </w:pPr>
            <w:r>
              <w:rPr>
                <w:rFonts w:eastAsia="Times New Roman" w:cs="Calibri"/>
                <w:b/>
                <w:bCs/>
                <w:noProof/>
                <w:color w:val="4472C4"/>
                <w:sz w:val="16"/>
                <w:szCs w:val="16"/>
                <w:lang w:val="fr-FR" w:eastAsia="fr-FR"/>
              </w:rPr>
              <w:t>Other sections</w:t>
            </w:r>
          </w:p>
        </w:tc>
        <w:tc>
          <w:tcPr>
            <w:tcW w:w="598" w:type="dxa"/>
            <w:gridSpan w:val="2"/>
            <w:tcBorders>
              <w:top w:val="nil"/>
              <w:left w:val="nil"/>
              <w:bottom w:val="nil"/>
              <w:right w:val="nil"/>
            </w:tcBorders>
            <w:shd w:val="clear" w:color="auto" w:fill="auto"/>
            <w:noWrap/>
            <w:vAlign w:val="bottom"/>
            <w:hideMark/>
          </w:tcPr>
          <w:p>
            <w:pPr>
              <w:rPr>
                <w:rFonts w:eastAsia="Times New Roman" w:cs="Calibri"/>
                <w:b/>
                <w:bCs/>
                <w:noProof/>
                <w:color w:val="4472C4"/>
                <w:sz w:val="16"/>
                <w:szCs w:val="16"/>
                <w:lang w:val="fr-FR" w:eastAsia="fr-FR"/>
              </w:rPr>
            </w:pPr>
          </w:p>
        </w:tc>
        <w:tc>
          <w:tcPr>
            <w:tcW w:w="790" w:type="dxa"/>
            <w:gridSpan w:val="2"/>
            <w:tcBorders>
              <w:top w:val="nil"/>
              <w:left w:val="nil"/>
              <w:bottom w:val="nil"/>
              <w:right w:val="nil"/>
            </w:tcBorders>
            <w:shd w:val="clear" w:color="auto" w:fill="auto"/>
            <w:noWrap/>
            <w:vAlign w:val="bottom"/>
            <w:hideMark/>
          </w:tcPr>
          <w:p>
            <w:pPr>
              <w:rPr>
                <w:rFonts w:eastAsia="Times New Roman"/>
                <w:noProof/>
                <w:sz w:val="16"/>
                <w:szCs w:val="16"/>
                <w:lang w:val="fr-FR" w:eastAsia="fr-FR"/>
              </w:rPr>
            </w:pP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B - Mining and quarrying</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2,9%</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0,5%</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2,9%</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3,4%</w:t>
            </w:r>
          </w:p>
        </w:tc>
        <w:tc>
          <w:tcPr>
            <w:tcW w:w="708" w:type="dxa"/>
            <w:gridSpan w:val="2"/>
            <w:tcBorders>
              <w:top w:val="single" w:sz="4" w:space="0" w:color="A6A6A6"/>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w:t>
            </w:r>
          </w:p>
        </w:tc>
        <w:tc>
          <w:tcPr>
            <w:tcW w:w="709" w:type="dxa"/>
            <w:gridSpan w:val="2"/>
            <w:tcBorders>
              <w:top w:val="single" w:sz="4" w:space="0" w:color="A6A6A6"/>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B06 - Oil and gas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0,5%</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eastAsia="fr-FR"/>
              </w:rPr>
            </w:pPr>
            <w:r>
              <w:rPr>
                <w:rFonts w:eastAsia="Times New Roman" w:cs="Calibri"/>
                <w:noProof/>
                <w:color w:val="000000"/>
                <w:sz w:val="16"/>
                <w:szCs w:val="16"/>
                <w:lang w:eastAsia="fr-FR"/>
              </w:rPr>
              <w:t>B07 - Mining of metal ores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16,6%</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19,7%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19,6%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19,4%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18,4%</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2,6%</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5,0%</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18,4%</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18,5%</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20,8%</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15,8%</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5,0%</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B08 - Other mining</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9,4%</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-0,9%</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9,4%</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10,1%</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10,9%</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9,4%</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eastAsia="fr-FR"/>
              </w:rPr>
            </w:pPr>
            <w:r>
              <w:rPr>
                <w:rFonts w:eastAsia="Times New Roman" w:cs="Calibri"/>
                <w:noProof/>
                <w:color w:val="000000"/>
                <w:sz w:val="16"/>
                <w:szCs w:val="16"/>
                <w:lang w:eastAsia="fr-FR"/>
              </w:rPr>
              <w:t>D35 - Electricity, gas and steam</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12,3%</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11,5%</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-5,5%</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-4,9%</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11,5%</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14,6%</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17,0%</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11,4%</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5,6%</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E38 - Waste management</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4,8%</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-0,5%</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3,9%</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4,8%</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3,0%</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1,8%</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F - Construction</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0,0%</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1,7%</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1,4%</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eastAsia="fr-FR"/>
              </w:rPr>
            </w:pPr>
            <w:r>
              <w:rPr>
                <w:rFonts w:eastAsia="Times New Roman" w:cs="Calibri"/>
                <w:noProof/>
                <w:color w:val="000000"/>
                <w:sz w:val="16"/>
                <w:szCs w:val="16"/>
                <w:lang w:eastAsia="fr-FR"/>
              </w:rPr>
              <w:t>G - Wholesale and retail trade</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0,0%</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0,0%</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0,8%</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0,2%</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H49 - Land transport</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36,3%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31,0%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33,2%</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40,6%</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37,0%</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34,4%</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32,1%</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27,0%</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-9,3%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-13,6%</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27,0%</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33,9%</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40,6%</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27,0%</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13,6%</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H51 - Air transport</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19,5%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16,7%</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21,6%</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20,1%</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23,3%</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20,0%</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24,4%</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20,2%</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0,7%</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0,6%</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0,1%</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20,2%</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20,7%</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24,4%</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16,7%</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7,8%</w:t>
            </w:r>
          </w:p>
        </w:tc>
      </w:tr>
      <w:tr>
        <w:trPr>
          <w:gridAfter w:val="1"/>
          <w:wAfter w:w="456" w:type="dxa"/>
          <w:trHeight w:val="300"/>
        </w:trPr>
        <w:tc>
          <w:tcPr>
            <w:tcW w:w="1980" w:type="dxa"/>
            <w:tcBorders>
              <w:top w:val="nil"/>
              <w:left w:val="single" w:sz="4" w:space="0" w:color="A6A6A6"/>
              <w:bottom w:val="single" w:sz="4" w:space="0" w:color="A6A6A6"/>
              <w:right w:val="single" w:sz="4" w:space="0" w:color="A6A6A6"/>
            </w:tcBorders>
            <w:shd w:val="clear" w:color="auto" w:fill="auto"/>
            <w:noWrap/>
            <w:vAlign w:val="bottom"/>
            <w:hideMark/>
          </w:tcPr>
          <w:p>
            <w:pPr>
              <w:rPr>
                <w:rFonts w:eastAsia="Times New Roman" w:cs="Calibri"/>
                <w:noProof/>
                <w:color w:val="000000"/>
                <w:sz w:val="16"/>
                <w:szCs w:val="16"/>
                <w:lang w:val="fr-FR" w:eastAsia="fr-FR"/>
              </w:rPr>
            </w:pPr>
            <w:r>
              <w:rPr>
                <w:rFonts w:eastAsia="Times New Roman" w:cs="Calibri"/>
                <w:noProof/>
                <w:color w:val="000000"/>
                <w:sz w:val="16"/>
                <w:szCs w:val="16"/>
                <w:lang w:val="fr-FR" w:eastAsia="fr-FR"/>
              </w:rPr>
              <w:t>I - Accomodation and restaurants</w:t>
            </w:r>
          </w:p>
        </w:tc>
        <w:tc>
          <w:tcPr>
            <w:tcW w:w="746"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3,9%</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4,2%</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4,5%</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4,3%</w:t>
            </w:r>
          </w:p>
        </w:tc>
        <w:tc>
          <w:tcPr>
            <w:tcW w:w="850"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851" w:type="dxa"/>
            <w:tcBorders>
              <w:top w:val="nil"/>
              <w:left w:val="nil"/>
              <w:bottom w:val="single" w:sz="4" w:space="0" w:color="A6A6A6"/>
              <w:right w:val="single" w:sz="4" w:space="0" w:color="A6A6A6"/>
            </w:tcBorders>
            <w:shd w:val="clear" w:color="auto" w:fill="auto"/>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3,9%</w:t>
            </w:r>
          </w:p>
        </w:tc>
        <w:tc>
          <w:tcPr>
            <w:tcW w:w="85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0,0%</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83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-0,3%</w:t>
            </w:r>
          </w:p>
        </w:tc>
        <w:tc>
          <w:tcPr>
            <w:tcW w:w="710"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3,9%</w:t>
            </w:r>
          </w:p>
        </w:tc>
        <w:tc>
          <w:tcPr>
            <w:tcW w:w="819"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4,2%</w:t>
            </w:r>
          </w:p>
        </w:tc>
        <w:tc>
          <w:tcPr>
            <w:tcW w:w="741" w:type="dxa"/>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4,7%</w:t>
            </w:r>
          </w:p>
        </w:tc>
        <w:tc>
          <w:tcPr>
            <w:tcW w:w="708"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3,7%</w:t>
            </w:r>
          </w:p>
        </w:tc>
        <w:tc>
          <w:tcPr>
            <w:tcW w:w="709" w:type="dxa"/>
            <w:gridSpan w:val="2"/>
            <w:tcBorders>
              <w:top w:val="nil"/>
              <w:left w:val="nil"/>
              <w:bottom w:val="single" w:sz="4" w:space="0" w:color="A6A6A6"/>
              <w:right w:val="single" w:sz="4" w:space="0" w:color="A6A6A6"/>
            </w:tcBorders>
            <w:shd w:val="clear" w:color="000000" w:fill="D9E1F2"/>
            <w:noWrap/>
            <w:vAlign w:val="bottom"/>
            <w:hideMark/>
          </w:tcPr>
          <w:p>
            <w:pPr>
              <w:jc w:val="right"/>
              <w:rPr>
                <w:rFonts w:eastAsia="Times New Roman" w:cs="Calibri"/>
                <w:noProof/>
                <w:color w:val="000000"/>
                <w:sz w:val="16"/>
                <w:szCs w:val="16"/>
                <w:lang w:val="fr-FR" w:eastAsia="fr-FR"/>
              </w:rPr>
            </w:pPr>
            <w:r>
              <w:rPr>
                <w:rFonts w:eastAsia="Times New Roman" w:cs="Calibri"/>
                <w:noProof/>
                <w:color w:val="000000"/>
                <w:sz w:val="16"/>
                <w:szCs w:val="16"/>
                <w:lang w:val="fr-FR" w:eastAsia="fr-FR"/>
              </w:rPr>
              <w:t>1,1%</w:t>
            </w:r>
          </w:p>
        </w:tc>
      </w:tr>
    </w:tbl>
    <w:p>
      <w:pPr>
        <w:rPr>
          <w:noProof/>
        </w:rPr>
      </w:pPr>
    </w:p>
    <w:p>
      <w:pPr>
        <w:spacing w:after="0"/>
        <w:jc w:val="left"/>
        <w:rPr>
          <w:noProof/>
        </w:rPr>
      </w:pPr>
    </w:p>
    <w:p>
      <w:pPr>
        <w:rPr>
          <w:noProof/>
        </w:rPr>
      </w:pPr>
      <w:r>
        <w:rPr>
          <w:b/>
          <w:bCs/>
          <w:noProof/>
          <w:sz w:val="14"/>
          <w:szCs w:val="14"/>
          <w:lang w:eastAsia="en-GB"/>
        </w:rPr>
        <w:drawing>
          <wp:inline distT="0" distB="0" distL="0" distR="0">
            <wp:extent cx="8997351" cy="4100433"/>
            <wp:effectExtent l="0" t="0" r="0" b="0"/>
            <wp:docPr id="28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03189" cy="4103094"/>
                    </a:xfrm>
                    <a:prstGeom prst="rect">
                      <a:avLst/>
                    </a:prstGeom>
                    <a:noFill/>
                  </pic:spPr>
                </pic:pic>
              </a:graphicData>
            </a:graphic>
          </wp:inline>
        </w:drawing>
      </w:r>
    </w:p>
    <w:p>
      <w:pPr>
        <w:pStyle w:val="Caption"/>
      </w:pPr>
      <w:bookmarkStart w:id="138" w:name="_Ref527037403"/>
      <w:bookmarkStart w:id="139" w:name="_Toc525807864"/>
      <w:bookmarkStart w:id="140" w:name="_Toc526433478"/>
      <w:bookmarkStart w:id="141" w:name="_Toc526433756"/>
      <w:bookmarkStart w:id="142" w:name="_Toc526435698"/>
      <w:bookmarkStart w:id="143" w:name="_Toc530739788"/>
      <w:bookmarkStart w:id="144" w:name="_Toc531178511"/>
      <w:r>
        <w:t xml:space="preserve">Figure </w:t>
      </w:r>
      <w:r>
        <w:fldChar w:fldCharType="begin"/>
      </w:r>
      <w:r>
        <w:instrText xml:space="preserve"> SEQ Figure \* ARABIC </w:instrText>
      </w:r>
      <w:r>
        <w:fldChar w:fldCharType="separate"/>
      </w:r>
      <w:r>
        <w:t>120</w:t>
      </w:r>
      <w:r>
        <w:fldChar w:fldCharType="end"/>
      </w:r>
      <w:bookmarkEnd w:id="138"/>
      <w:r>
        <w:t xml:space="preserve"> - Energy costs shares in total production costs in manufacturing sectors, 2008-2015</w:t>
      </w:r>
      <w:bookmarkEnd w:id="139"/>
      <w:bookmarkEnd w:id="140"/>
      <w:bookmarkEnd w:id="141"/>
      <w:bookmarkEnd w:id="142"/>
      <w:bookmarkEnd w:id="143"/>
      <w:bookmarkEnd w:id="144"/>
    </w:p>
    <w:p>
      <w:pPr>
        <w:pStyle w:val="Sources"/>
        <w:rPr>
          <w:noProof/>
          <w:lang w:val="fr-BE" w:eastAsia="de-DE"/>
        </w:rPr>
      </w:pPr>
      <w:r>
        <w:rPr>
          <w:noProof/>
          <w:lang w:val="fr-BE" w:eastAsia="de-DE"/>
        </w:rPr>
        <w:t>Source: Trinomics et altri study</w:t>
      </w:r>
    </w:p>
    <w:p>
      <w:pPr>
        <w:rPr>
          <w:noProof/>
          <w:lang w:val="fr-BE"/>
        </w:rPr>
      </w:pPr>
    </w:p>
    <w:p>
      <w:pPr>
        <w:rPr>
          <w:noProof/>
          <w:lang w:val="fr-BE"/>
        </w:rPr>
      </w:pPr>
    </w:p>
    <w:p>
      <w:pPr>
        <w:rPr>
          <w:noProof/>
        </w:rPr>
      </w:pPr>
      <w:r>
        <w:rPr>
          <w:noProof/>
          <w:lang w:eastAsia="en-GB"/>
        </w:rPr>
        <w:drawing>
          <wp:inline distT="0" distB="0" distL="0" distR="0">
            <wp:extent cx="9210675" cy="3368596"/>
            <wp:effectExtent l="0" t="0" r="0" b="3810"/>
            <wp:docPr id="547" name="Imag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9911CB5-67DC-4F70-A487-525BB563B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9911CB5-67DC-4F70-A487-525BB563B057}"/>
                        </a:ext>
                      </a:extLst>
                    </pic:cNvPr>
                    <pic:cNvPicPr>
                      <a:picLocks noChangeAspect="1"/>
                    </pic:cNvPicPr>
                  </pic:nvPicPr>
                  <pic:blipFill>
                    <a:blip r:embed="rId81"/>
                    <a:stretch>
                      <a:fillRect/>
                    </a:stretch>
                  </pic:blipFill>
                  <pic:spPr>
                    <a:xfrm>
                      <a:off x="0" y="0"/>
                      <a:ext cx="9221239" cy="3372460"/>
                    </a:xfrm>
                    <a:prstGeom prst="rect">
                      <a:avLst/>
                    </a:prstGeom>
                  </pic:spPr>
                </pic:pic>
              </a:graphicData>
            </a:graphic>
          </wp:inline>
        </w:drawing>
      </w:r>
    </w:p>
    <w:p>
      <w:pPr>
        <w:pStyle w:val="Caption"/>
      </w:pPr>
      <w:bookmarkStart w:id="145" w:name="_Toc525807865"/>
      <w:bookmarkStart w:id="146" w:name="_Toc526433479"/>
      <w:bookmarkStart w:id="147" w:name="_Toc526433757"/>
      <w:bookmarkStart w:id="148" w:name="_Toc526435699"/>
      <w:bookmarkStart w:id="149" w:name="_Toc530739789"/>
      <w:bookmarkStart w:id="150" w:name="_Toc531178512"/>
      <w:r>
        <w:t xml:space="preserve">Figure </w:t>
      </w:r>
      <w:r>
        <w:fldChar w:fldCharType="begin"/>
      </w:r>
      <w:r>
        <w:instrText xml:space="preserve"> SEQ Figure \* ARABIC </w:instrText>
      </w:r>
      <w:r>
        <w:fldChar w:fldCharType="separate"/>
      </w:r>
      <w:r>
        <w:t>121</w:t>
      </w:r>
      <w:r>
        <w:fldChar w:fldCharType="end"/>
      </w:r>
      <w:r>
        <w:t xml:space="preserve"> - Energy costs shares in total production costs in non-manufacturing sectors</w:t>
      </w:r>
      <w:bookmarkEnd w:id="145"/>
      <w:bookmarkEnd w:id="146"/>
      <w:bookmarkEnd w:id="147"/>
      <w:bookmarkEnd w:id="148"/>
      <w:bookmarkEnd w:id="149"/>
      <w:bookmarkEnd w:id="150"/>
    </w:p>
    <w:p>
      <w:pPr>
        <w:pStyle w:val="Sources"/>
        <w:rPr>
          <w:noProof/>
          <w:lang w:eastAsia="de-DE"/>
        </w:rPr>
      </w:pPr>
      <w:r>
        <w:rPr>
          <w:noProof/>
          <w:lang w:eastAsia="de-DE"/>
        </w:rPr>
        <w:t>Source: Trinomics et altri study</w:t>
      </w:r>
    </w:p>
    <w:p>
      <w:pPr>
        <w:spacing w:after="0"/>
        <w:jc w:val="left"/>
        <w:rPr>
          <w:noProof/>
        </w:rPr>
      </w:pPr>
    </w:p>
    <w:p>
      <w:pPr>
        <w:spacing w:after="0"/>
        <w:jc w:val="left"/>
        <w:rPr>
          <w:noProof/>
        </w:rPr>
      </w:pPr>
    </w:p>
    <w:p>
      <w:pPr>
        <w:pBdr>
          <w:top w:val="single" w:sz="4" w:space="1" w:color="auto"/>
          <w:left w:val="single" w:sz="4" w:space="4" w:color="auto"/>
          <w:bottom w:val="single" w:sz="4" w:space="1" w:color="auto"/>
          <w:right w:val="single" w:sz="4" w:space="4" w:color="auto"/>
        </w:pBdr>
        <w:spacing w:after="0"/>
        <w:jc w:val="left"/>
        <w:rPr>
          <w:noProof/>
          <w:sz w:val="24"/>
          <w:szCs w:val="24"/>
        </w:rPr>
        <w:sectPr>
          <w:headerReference w:type="even" r:id="rId82"/>
          <w:headerReference w:type="default" r:id="rId83"/>
          <w:footerReference w:type="even" r:id="rId84"/>
          <w:footerReference w:type="default" r:id="rId85"/>
          <w:headerReference w:type="first" r:id="rId86"/>
          <w:footerReference w:type="first" r:id="rId87"/>
          <w:footnotePr>
            <w:numStart w:val="50"/>
          </w:footnotePr>
          <w:pgSz w:w="16838" w:h="11906" w:orient="landscape" w:code="9"/>
          <w:pgMar w:top="1418" w:right="1134" w:bottom="1418" w:left="1134" w:header="709" w:footer="709" w:gutter="0"/>
          <w:cols w:space="720"/>
          <w:docGrid w:linePitch="360"/>
        </w:sectPr>
      </w:pPr>
      <w:r>
        <w:rPr>
          <w:noProof/>
          <w:sz w:val="24"/>
          <w:szCs w:val="24"/>
        </w:rPr>
        <w:t>Amongst the non-manufacturing sectors for which data was available energy cost shares are particularly high in 5 sectors, being comparable to or higher than cost shares in the most energy intensive manufacturing sectors. These 5 sectors are H49 Land transport (H49), Air transport (H51), Mining of metal ores (B07), Electricity, gas and steam (D36) and other mining (B08). Clearly fuel costs are important drivers of costs in the transport and electricity and gas sectors, whilst mining is also an energy intensive activity. It is notable that energy cost shares in Waste management (E38) and Accommodation and restaurants (I) also have cost shares of 3-5%, which is comparable to many of the energy intensive manufacturing sectors. Energy cost shares are negligible in the construction (F) and Wholesale and retail (G) sectors.</w:t>
      </w:r>
    </w:p>
    <w:p>
      <w:pPr>
        <w:jc w:val="center"/>
        <w:rPr>
          <w:b/>
          <w:noProof/>
          <w:sz w:val="20"/>
          <w:szCs w:val="20"/>
        </w:rPr>
      </w:pPr>
      <w:r>
        <w:rPr>
          <w:b/>
          <w:noProof/>
          <w:sz w:val="20"/>
          <w:szCs w:val="20"/>
        </w:rPr>
        <w:t>Box - Energy costs for refineries</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In sectors like refineries (also chemicals) the impact of energy products on production costs goes beyond the purchases of electricity and gas from external energy suppliers. In refineries energy products are also used as feedstocks (e.g. crude oil) in the industrial process. Moreover, some energy products are also self-produced and self-consumed in the industrial process. Energy costs have thus a key relevance for refineries. </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Estimating the importance of all energy costs for the refinery sector is complex due to the limited or confidential data. The 'purchases of energy' from Eurostat statistics (SBS) represented on average bit less than 3% of the production costs over the last years (Trinomics et altri, 2018). However, the SBS 'purchases of energy' does not include crude oil expenses. These crude oil expenses were estimated to account for more than 80% of the production costs of refineries (CEPS and Ecofys, 2018). </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Finally, refineries also consume petroleum products, refinery gas and petroleum coke for its own use. Such products are self-consumed. The estimation of the monetary amounts from self-generated and self-consumed products (Trinomics et altri) signals that these amounts would represent a small share of total energy costs (few percentage points) which would tend to be smaller where products of the prices are lower (particularly as regards gas). </w:t>
      </w:r>
    </w:p>
    <w:p>
      <w:pPr>
        <w:rPr>
          <w:b/>
          <w:noProof/>
          <w:sz w:val="24"/>
          <w:szCs w:val="24"/>
        </w:rPr>
      </w:pPr>
    </w:p>
    <w:p>
      <w:pPr>
        <w:rPr>
          <w:b/>
          <w:noProof/>
          <w:sz w:val="24"/>
          <w:szCs w:val="24"/>
        </w:rPr>
      </w:pPr>
    </w:p>
    <w:p>
      <w:pPr>
        <w:rPr>
          <w:b/>
          <w:noProof/>
          <w:sz w:val="24"/>
          <w:szCs w:val="24"/>
        </w:rPr>
      </w:pPr>
      <w:r>
        <w:rPr>
          <w:b/>
          <w:noProof/>
          <w:sz w:val="24"/>
          <w:szCs w:val="24"/>
        </w:rPr>
        <w:t xml:space="preserve">Results on Gross Operating Surpluses shares </w:t>
      </w:r>
    </w:p>
    <w:p>
      <w:pPr>
        <w:rPr>
          <w:noProof/>
          <w:sz w:val="24"/>
          <w:szCs w:val="24"/>
        </w:rPr>
      </w:pPr>
      <w:r>
        <w:rPr>
          <w:noProof/>
          <w:sz w:val="24"/>
          <w:szCs w:val="24"/>
        </w:rPr>
        <w:t>Profit margins together with production costs make up the final sales price. Profits therefore play an important role in the cost-competitiveness of firms in the short term (when setting prices). But profits are also relevant for the competitiveness in the long term as they are necessary to attract and enable investment.</w:t>
      </w:r>
    </w:p>
    <w:p>
      <w:pPr>
        <w:rPr>
          <w:noProof/>
          <w:sz w:val="24"/>
          <w:szCs w:val="24"/>
        </w:rPr>
      </w:pPr>
      <w:r>
        <w:rPr>
          <w:noProof/>
          <w:sz w:val="24"/>
          <w:szCs w:val="24"/>
        </w:rPr>
        <w:t>It is thus interesting to analyse the trends on Gross operating surplus</w:t>
      </w:r>
      <w:r>
        <w:rPr>
          <w:rStyle w:val="FootnoteReference"/>
          <w:noProof/>
          <w:sz w:val="24"/>
          <w:szCs w:val="24"/>
        </w:rPr>
        <w:footnoteReference w:id="28"/>
      </w:r>
      <w:r>
        <w:rPr>
          <w:noProof/>
          <w:sz w:val="24"/>
          <w:szCs w:val="24"/>
        </w:rPr>
        <w:t xml:space="preserve"> (GOS, a proxy for profits) for the sectors studied (see the two graphs below in </w:t>
      </w:r>
      <w:r>
        <w:rPr>
          <w:b/>
          <w:noProof/>
          <w:sz w:val="24"/>
        </w:rPr>
        <w:fldChar w:fldCharType="begin"/>
      </w:r>
      <w:r>
        <w:rPr>
          <w:b/>
          <w:noProof/>
          <w:sz w:val="24"/>
          <w:szCs w:val="24"/>
        </w:rPr>
        <w:instrText xml:space="preserve"> REF _Ref525196068 \h  \* MERGEFORMAT </w:instrText>
      </w:r>
      <w:r>
        <w:rPr>
          <w:b/>
          <w:noProof/>
          <w:sz w:val="24"/>
        </w:rPr>
      </w:r>
      <w:r>
        <w:rPr>
          <w:b/>
          <w:noProof/>
          <w:sz w:val="24"/>
        </w:rPr>
        <w:fldChar w:fldCharType="separate"/>
      </w:r>
      <w:r>
        <w:rPr>
          <w:b/>
          <w:noProof/>
          <w:sz w:val="24"/>
          <w:szCs w:val="24"/>
        </w:rPr>
        <w:t>Figure</w:t>
      </w:r>
      <w:r>
        <w:rPr>
          <w:b/>
          <w:noProof/>
        </w:rPr>
        <w:t xml:space="preserve"> 122</w:t>
      </w:r>
      <w:r>
        <w:rPr>
          <w:b/>
          <w:noProof/>
          <w:sz w:val="24"/>
        </w:rPr>
        <w:fldChar w:fldCharType="end"/>
      </w:r>
      <w:r>
        <w:rPr>
          <w:b/>
          <w:noProof/>
          <w:sz w:val="24"/>
        </w:rPr>
        <w:t>)</w:t>
      </w:r>
      <w:r>
        <w:rPr>
          <w:noProof/>
          <w:sz w:val="24"/>
          <w:szCs w:val="24"/>
        </w:rPr>
        <w:t xml:space="preserve"> shows the average GOS share in production costs for the manufacturing sectors between 2008 and 2015. For most of those sectors, the share was between 5-15%, higher for sectors like </w:t>
      </w:r>
      <w:r>
        <w:rPr>
          <w:i/>
          <w:noProof/>
          <w:sz w:val="24"/>
          <w:szCs w:val="24"/>
        </w:rPr>
        <w:t>pharmaceuticals</w:t>
      </w:r>
      <w:r>
        <w:rPr>
          <w:noProof/>
          <w:sz w:val="24"/>
          <w:szCs w:val="24"/>
        </w:rPr>
        <w:t xml:space="preserve">; </w:t>
      </w:r>
      <w:r>
        <w:rPr>
          <w:i/>
          <w:noProof/>
          <w:sz w:val="24"/>
          <w:szCs w:val="24"/>
        </w:rPr>
        <w:t xml:space="preserve">cement, beverages </w:t>
      </w:r>
      <w:r>
        <w:rPr>
          <w:noProof/>
          <w:sz w:val="24"/>
          <w:szCs w:val="24"/>
        </w:rPr>
        <w:t xml:space="preserve">and particularly lower for </w:t>
      </w:r>
      <w:r>
        <w:rPr>
          <w:i/>
          <w:noProof/>
          <w:sz w:val="24"/>
          <w:szCs w:val="24"/>
        </w:rPr>
        <w:t>steel</w:t>
      </w:r>
      <w:r>
        <w:rPr>
          <w:noProof/>
          <w:sz w:val="24"/>
          <w:szCs w:val="24"/>
        </w:rPr>
        <w:t xml:space="preserve"> (only 3.2% and even negative in one year, in 2009). </w:t>
      </w:r>
    </w:p>
    <w:p>
      <w:pPr>
        <w:rPr>
          <w:noProof/>
          <w:sz w:val="24"/>
          <w:szCs w:val="24"/>
        </w:rPr>
      </w:pPr>
      <w:r>
        <w:rPr>
          <w:noProof/>
          <w:sz w:val="24"/>
          <w:szCs w:val="24"/>
        </w:rPr>
        <w:t xml:space="preserve">The GOS shares in production costs increased and decreased across for some sectors alike. The proportionally higher increases were in </w:t>
      </w:r>
      <w:r>
        <w:rPr>
          <w:i/>
          <w:noProof/>
          <w:sz w:val="24"/>
          <w:szCs w:val="24"/>
        </w:rPr>
        <w:t>textiles</w:t>
      </w:r>
      <w:r>
        <w:rPr>
          <w:noProof/>
          <w:sz w:val="24"/>
          <w:szCs w:val="24"/>
        </w:rPr>
        <w:t xml:space="preserve"> (+94%), </w:t>
      </w:r>
      <w:r>
        <w:rPr>
          <w:i/>
          <w:noProof/>
          <w:sz w:val="24"/>
          <w:szCs w:val="24"/>
        </w:rPr>
        <w:t>casting of metal</w:t>
      </w:r>
      <w:r>
        <w:rPr>
          <w:noProof/>
          <w:sz w:val="24"/>
          <w:szCs w:val="24"/>
        </w:rPr>
        <w:t xml:space="preserve">, </w:t>
      </w:r>
      <w:r>
        <w:rPr>
          <w:i/>
          <w:noProof/>
          <w:sz w:val="24"/>
          <w:szCs w:val="24"/>
        </w:rPr>
        <w:t>paper</w:t>
      </w:r>
      <w:r>
        <w:rPr>
          <w:noProof/>
          <w:sz w:val="24"/>
          <w:szCs w:val="24"/>
        </w:rPr>
        <w:t xml:space="preserve">, </w:t>
      </w:r>
      <w:r>
        <w:rPr>
          <w:i/>
          <w:noProof/>
          <w:sz w:val="24"/>
          <w:szCs w:val="24"/>
        </w:rPr>
        <w:t>porcelain</w:t>
      </w:r>
      <w:r>
        <w:rPr>
          <w:noProof/>
          <w:sz w:val="24"/>
          <w:szCs w:val="24"/>
        </w:rPr>
        <w:t xml:space="preserve"> and </w:t>
      </w:r>
      <w:r>
        <w:rPr>
          <w:i/>
          <w:noProof/>
          <w:sz w:val="24"/>
          <w:szCs w:val="24"/>
        </w:rPr>
        <w:t>ceramics</w:t>
      </w:r>
      <w:r>
        <w:rPr>
          <w:noProof/>
          <w:sz w:val="24"/>
          <w:szCs w:val="24"/>
        </w:rPr>
        <w:t xml:space="preserve"> (all the latter around 50%). The most significant declines were in </w:t>
      </w:r>
      <w:r>
        <w:rPr>
          <w:i/>
          <w:noProof/>
          <w:sz w:val="24"/>
          <w:szCs w:val="24"/>
        </w:rPr>
        <w:t>steel</w:t>
      </w:r>
      <w:r>
        <w:rPr>
          <w:noProof/>
          <w:sz w:val="24"/>
          <w:szCs w:val="24"/>
        </w:rPr>
        <w:t xml:space="preserve"> (-57%) and </w:t>
      </w:r>
      <w:r>
        <w:rPr>
          <w:i/>
          <w:noProof/>
          <w:sz w:val="24"/>
          <w:szCs w:val="24"/>
        </w:rPr>
        <w:t>refineries</w:t>
      </w:r>
      <w:r>
        <w:rPr>
          <w:noProof/>
          <w:sz w:val="24"/>
          <w:szCs w:val="24"/>
        </w:rPr>
        <w:t xml:space="preserve">, </w:t>
      </w:r>
      <w:r>
        <w:rPr>
          <w:i/>
          <w:noProof/>
          <w:sz w:val="24"/>
          <w:szCs w:val="24"/>
        </w:rPr>
        <w:t>cement</w:t>
      </w:r>
      <w:r>
        <w:rPr>
          <w:noProof/>
          <w:sz w:val="24"/>
          <w:szCs w:val="24"/>
        </w:rPr>
        <w:t xml:space="preserve">, and </w:t>
      </w:r>
      <w:r>
        <w:rPr>
          <w:i/>
          <w:noProof/>
          <w:sz w:val="24"/>
          <w:szCs w:val="24"/>
        </w:rPr>
        <w:t>motor vehicles</w:t>
      </w:r>
      <w:r>
        <w:rPr>
          <w:noProof/>
          <w:sz w:val="24"/>
          <w:szCs w:val="24"/>
        </w:rPr>
        <w:t xml:space="preserve"> (all the latter around minus 30%). </w:t>
      </w:r>
    </w:p>
    <w:p>
      <w:pPr>
        <w:rPr>
          <w:noProof/>
        </w:rPr>
      </w:pPr>
      <w:r>
        <w:rPr>
          <w:noProof/>
          <w:lang w:eastAsia="en-GB"/>
        </w:rPr>
        <w:drawing>
          <wp:inline distT="0" distB="0" distL="0" distR="0">
            <wp:extent cx="6394658" cy="2799183"/>
            <wp:effectExtent l="0" t="0" r="6350" b="127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10099" cy="2805942"/>
                    </a:xfrm>
                    <a:prstGeom prst="rect">
                      <a:avLst/>
                    </a:prstGeom>
                    <a:noFill/>
                    <a:ln>
                      <a:noFill/>
                    </a:ln>
                  </pic:spPr>
                </pic:pic>
              </a:graphicData>
            </a:graphic>
          </wp:inline>
        </w:drawing>
      </w:r>
      <w:r>
        <w:rPr>
          <w:noProof/>
          <w:lang w:eastAsia="en-GB"/>
        </w:rPr>
        <w:drawing>
          <wp:inline distT="0" distB="0" distL="0" distR="0">
            <wp:extent cx="6054097" cy="2649894"/>
            <wp:effectExtent l="0" t="0" r="381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69666" cy="2656709"/>
                    </a:xfrm>
                    <a:prstGeom prst="rect">
                      <a:avLst/>
                    </a:prstGeom>
                    <a:noFill/>
                    <a:ln>
                      <a:noFill/>
                    </a:ln>
                  </pic:spPr>
                </pic:pic>
              </a:graphicData>
            </a:graphic>
          </wp:inline>
        </w:drawing>
      </w:r>
    </w:p>
    <w:p>
      <w:pPr>
        <w:pStyle w:val="Caption"/>
      </w:pPr>
      <w:bookmarkStart w:id="151" w:name="_Ref525196068"/>
      <w:bookmarkStart w:id="152" w:name="_Toc525807866"/>
      <w:bookmarkStart w:id="153" w:name="_Toc526433480"/>
      <w:bookmarkStart w:id="154" w:name="_Toc526433758"/>
      <w:bookmarkStart w:id="155" w:name="_Toc526435700"/>
      <w:bookmarkStart w:id="156" w:name="_Toc530739790"/>
      <w:bookmarkStart w:id="157" w:name="_Toc531178513"/>
      <w:r>
        <w:t xml:space="preserve">Figure </w:t>
      </w:r>
      <w:r>
        <w:fldChar w:fldCharType="begin"/>
      </w:r>
      <w:r>
        <w:instrText xml:space="preserve"> SEQ Figure \* ARABIC </w:instrText>
      </w:r>
      <w:r>
        <w:fldChar w:fldCharType="separate"/>
      </w:r>
      <w:r>
        <w:t>122</w:t>
      </w:r>
      <w:r>
        <w:fldChar w:fldCharType="end"/>
      </w:r>
      <w:bookmarkEnd w:id="151"/>
      <w:r>
        <w:t xml:space="preserve"> - Gross Operating Surplus in manufacturing sectors (average 2008-2015)</w:t>
      </w:r>
      <w:bookmarkEnd w:id="152"/>
      <w:bookmarkEnd w:id="153"/>
      <w:bookmarkEnd w:id="154"/>
      <w:bookmarkEnd w:id="155"/>
      <w:bookmarkEnd w:id="156"/>
      <w:bookmarkEnd w:id="157"/>
    </w:p>
    <w:p>
      <w:pPr>
        <w:pStyle w:val="Sources"/>
        <w:rPr>
          <w:noProof/>
        </w:rPr>
      </w:pPr>
      <w:r>
        <w:rPr>
          <w:noProof/>
        </w:rPr>
        <w:t>Source: Trinomics et altri study</w:t>
      </w:r>
    </w:p>
    <w:p>
      <w:pPr>
        <w:rPr>
          <w:noProof/>
          <w:sz w:val="20"/>
          <w:szCs w:val="20"/>
        </w:rPr>
      </w:pPr>
      <w:r>
        <w:rPr>
          <w:noProof/>
          <w:sz w:val="20"/>
          <w:szCs w:val="20"/>
        </w:rPr>
        <w:t>Note: Average of for the sector based on the MS for which total production cost and GOS data available for all years</w:t>
      </w:r>
    </w:p>
    <w:p>
      <w:pPr>
        <w:rPr>
          <w:noProof/>
        </w:rPr>
      </w:pPr>
    </w:p>
    <w:p>
      <w:pPr>
        <w:rPr>
          <w:noProof/>
        </w:rPr>
      </w:pPr>
      <w:r>
        <w:rPr>
          <w:noProof/>
        </w:rPr>
        <w:t xml:space="preserve">For the EU as a whole (see </w:t>
      </w:r>
      <w:r>
        <w:rPr>
          <w:b/>
          <w:noProof/>
        </w:rPr>
        <w:fldChar w:fldCharType="begin"/>
      </w:r>
      <w:r>
        <w:rPr>
          <w:b/>
          <w:noProof/>
        </w:rPr>
        <w:instrText xml:space="preserve"> REF _Ref525196128 \h  \* MERGEFORMAT </w:instrText>
      </w:r>
      <w:r>
        <w:rPr>
          <w:b/>
          <w:noProof/>
        </w:rPr>
      </w:r>
      <w:r>
        <w:rPr>
          <w:b/>
          <w:noProof/>
        </w:rPr>
        <w:fldChar w:fldCharType="separate"/>
      </w:r>
      <w:r>
        <w:rPr>
          <w:b/>
          <w:noProof/>
          <w:sz w:val="24"/>
          <w:szCs w:val="24"/>
        </w:rPr>
        <w:t>Figure</w:t>
      </w:r>
      <w:r>
        <w:rPr>
          <w:b/>
          <w:noProof/>
        </w:rPr>
        <w:t xml:space="preserve"> 123</w:t>
      </w:r>
      <w:r>
        <w:rPr>
          <w:b/>
          <w:noProof/>
        </w:rPr>
        <w:fldChar w:fldCharType="end"/>
      </w:r>
      <w:r>
        <w:rPr>
          <w:noProof/>
        </w:rPr>
        <w:t>), GOS shares in production costs oscillated in the range of 11-13%/year between 2008 and 2015, with significant differences between Member States. Poland, the UK and Ireland have the highest surpluses (over 16%) and are closely followed by Greece, Cyprus, Bulgaria and Romania. The lowest surpluses are found in France, Italy, Belgium and Sweden.</w:t>
      </w:r>
    </w:p>
    <w:p>
      <w:pPr>
        <w:rPr>
          <w:noProof/>
        </w:rPr>
      </w:pPr>
      <w:r>
        <w:rPr>
          <w:noProof/>
          <w:lang w:eastAsia="en-GB"/>
        </w:rPr>
        <w:drawing>
          <wp:inline distT="0" distB="0" distL="0" distR="0">
            <wp:extent cx="5758138" cy="26289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3938" cy="2631548"/>
                    </a:xfrm>
                    <a:prstGeom prst="rect">
                      <a:avLst/>
                    </a:prstGeom>
                    <a:noFill/>
                    <a:ln>
                      <a:noFill/>
                    </a:ln>
                  </pic:spPr>
                </pic:pic>
              </a:graphicData>
            </a:graphic>
          </wp:inline>
        </w:drawing>
      </w:r>
    </w:p>
    <w:p>
      <w:pPr>
        <w:pStyle w:val="Caption"/>
      </w:pPr>
      <w:bookmarkStart w:id="158" w:name="_Ref525196128"/>
      <w:bookmarkStart w:id="159" w:name="_Toc525807867"/>
      <w:bookmarkStart w:id="160" w:name="_Toc526433481"/>
      <w:bookmarkStart w:id="161" w:name="_Toc526433759"/>
      <w:bookmarkStart w:id="162" w:name="_Toc526435701"/>
      <w:bookmarkStart w:id="163" w:name="_Toc530739791"/>
      <w:bookmarkStart w:id="164" w:name="_Toc531178514"/>
      <w:r>
        <w:t xml:space="preserve">Figure </w:t>
      </w:r>
      <w:r>
        <w:fldChar w:fldCharType="begin"/>
      </w:r>
      <w:r>
        <w:instrText xml:space="preserve"> SEQ Figure \* ARABIC </w:instrText>
      </w:r>
      <w:r>
        <w:fldChar w:fldCharType="separate"/>
      </w:r>
      <w:r>
        <w:t>123</w:t>
      </w:r>
      <w:r>
        <w:fldChar w:fldCharType="end"/>
      </w:r>
      <w:bookmarkEnd w:id="158"/>
      <w:r>
        <w:t xml:space="preserve"> - Gross Operating Surplus in manufacturing in the EU and Member States, 2008-2015</w:t>
      </w:r>
      <w:bookmarkEnd w:id="159"/>
      <w:bookmarkEnd w:id="160"/>
      <w:bookmarkEnd w:id="161"/>
      <w:bookmarkEnd w:id="162"/>
      <w:bookmarkEnd w:id="163"/>
      <w:bookmarkEnd w:id="164"/>
    </w:p>
    <w:p>
      <w:pPr>
        <w:pStyle w:val="Sources"/>
        <w:rPr>
          <w:noProof/>
          <w:lang w:val="fr-BE"/>
        </w:rPr>
      </w:pPr>
      <w:r>
        <w:rPr>
          <w:noProof/>
          <w:lang w:val="fr-BE"/>
        </w:rPr>
        <w:t>Source: Trinomics et altri study</w:t>
      </w:r>
    </w:p>
    <w:p>
      <w:pPr>
        <w:spacing w:after="0"/>
        <w:jc w:val="left"/>
        <w:rPr>
          <w:noProof/>
        </w:rPr>
      </w:pPr>
    </w:p>
    <w:p>
      <w:pPr>
        <w:spacing w:after="0"/>
        <w:jc w:val="left"/>
        <w:rPr>
          <w:rFonts w:eastAsia="Times New Roman"/>
          <w:b/>
          <w:bCs/>
          <w:noProof/>
          <w:color w:val="000000"/>
          <w:sz w:val="32"/>
          <w:szCs w:val="32"/>
        </w:rPr>
      </w:pPr>
      <w:r>
        <w:rPr>
          <w:noProof/>
        </w:rPr>
        <w:br w:type="page"/>
      </w:r>
    </w:p>
    <w:p>
      <w:pPr>
        <w:pStyle w:val="Heading2"/>
        <w:numPr>
          <w:ilvl w:val="1"/>
          <w:numId w:val="1"/>
        </w:numPr>
        <w:spacing w:after="240"/>
        <w:ind w:left="578" w:hanging="578"/>
        <w:rPr>
          <w:noProof/>
        </w:rPr>
      </w:pPr>
      <w:r>
        <w:rPr>
          <w:noProof/>
        </w:rPr>
        <w:t xml:space="preserve"> </w:t>
      </w:r>
      <w:bookmarkStart w:id="165" w:name="_Toc524619522"/>
      <w:bookmarkStart w:id="166" w:name="_Toc524961069"/>
      <w:bookmarkStart w:id="167" w:name="_Toc525143030"/>
      <w:bookmarkStart w:id="168" w:name="_Toc525222187"/>
      <w:bookmarkStart w:id="169" w:name="_Toc525222356"/>
      <w:bookmarkStart w:id="170" w:name="_Toc526420753"/>
      <w:bookmarkStart w:id="171" w:name="_Toc526433979"/>
      <w:bookmarkStart w:id="172" w:name="_Toc526435921"/>
      <w:bookmarkStart w:id="173" w:name="_Toc530595251"/>
      <w:bookmarkStart w:id="174" w:name="_Toc531178330"/>
      <w:r>
        <w:rPr>
          <w:noProof/>
        </w:rPr>
        <w:t>Exploring energy intensities</w:t>
      </w:r>
      <w:bookmarkEnd w:id="165"/>
      <w:bookmarkEnd w:id="166"/>
      <w:bookmarkEnd w:id="167"/>
      <w:bookmarkEnd w:id="168"/>
      <w:bookmarkEnd w:id="169"/>
      <w:bookmarkEnd w:id="170"/>
      <w:bookmarkEnd w:id="171"/>
      <w:bookmarkEnd w:id="172"/>
      <w:bookmarkEnd w:id="173"/>
      <w:bookmarkEnd w:id="174"/>
      <w:r>
        <w:rPr>
          <w:noProof/>
        </w:rPr>
        <w:t xml:space="preserve"> </w:t>
      </w:r>
      <w:bookmarkEnd w:id="122"/>
    </w:p>
    <w:p>
      <w:pPr>
        <w:rPr>
          <w:noProof/>
        </w:rPr>
      </w:pPr>
      <w:r>
        <w:rPr>
          <w:i/>
          <w:noProof/>
        </w:rPr>
        <w:t>Energy intensity</w:t>
      </w:r>
      <w:r>
        <w:rPr>
          <w:noProof/>
        </w:rPr>
        <w:t xml:space="preserve"> is the result of dividing the energy consumption by the Gross Value Added (GVA). Although is not is not a direct measure of energy efficiency of production (which could be measured by dividing the energy consumption by the volume of production) it is used as proxy of it. This is because comparable production volume data is not easily available. In any case, when using energy intensity as proxy for energy efficiency one should bear in mind that the energy intensity is subject to the factors that change the value added of the production, i.e. there are price effects (which are common and volatile and that can be due to various reasons like demand changes, monetary issues, etc.) that affect the value added and are not related to changes in the volume of production.</w:t>
      </w:r>
    </w:p>
    <w:p>
      <w:pPr>
        <w:rPr>
          <w:noProof/>
        </w:rPr>
      </w:pPr>
      <w:r>
        <w:rPr>
          <w:b/>
          <w:noProof/>
        </w:rPr>
        <w:fldChar w:fldCharType="begin"/>
      </w:r>
      <w:r>
        <w:rPr>
          <w:b/>
          <w:noProof/>
        </w:rPr>
        <w:instrText xml:space="preserve"> REF _Ref525196273 \h  \* MERGEFORMAT </w:instrText>
      </w:r>
      <w:r>
        <w:rPr>
          <w:b/>
          <w:noProof/>
        </w:rPr>
      </w:r>
      <w:r>
        <w:rPr>
          <w:b/>
          <w:noProof/>
        </w:rPr>
        <w:fldChar w:fldCharType="separate"/>
      </w:r>
      <w:r>
        <w:rPr>
          <w:b/>
          <w:noProof/>
          <w:sz w:val="24"/>
          <w:szCs w:val="24"/>
        </w:rPr>
        <w:t>Figure</w:t>
      </w:r>
      <w:r>
        <w:rPr>
          <w:b/>
          <w:noProof/>
        </w:rPr>
        <w:t xml:space="preserve"> 124</w:t>
      </w:r>
      <w:r>
        <w:rPr>
          <w:b/>
          <w:noProof/>
        </w:rPr>
        <w:fldChar w:fldCharType="end"/>
      </w:r>
      <w:r>
        <w:rPr>
          <w:noProof/>
        </w:rPr>
        <w:t xml:space="preserve">, </w:t>
      </w:r>
      <w:r>
        <w:rPr>
          <w:b/>
          <w:noProof/>
        </w:rPr>
        <w:fldChar w:fldCharType="begin"/>
      </w:r>
      <w:r>
        <w:rPr>
          <w:b/>
          <w:noProof/>
        </w:rPr>
        <w:instrText xml:space="preserve"> REF _Ref525196276 \h  \* MERGEFORMAT </w:instrText>
      </w:r>
      <w:r>
        <w:rPr>
          <w:b/>
          <w:noProof/>
        </w:rPr>
      </w:r>
      <w:r>
        <w:rPr>
          <w:b/>
          <w:noProof/>
        </w:rPr>
        <w:fldChar w:fldCharType="separate"/>
      </w:r>
      <w:r>
        <w:rPr>
          <w:b/>
          <w:noProof/>
          <w:sz w:val="24"/>
          <w:szCs w:val="24"/>
        </w:rPr>
        <w:t>Figure</w:t>
      </w:r>
      <w:r>
        <w:rPr>
          <w:b/>
          <w:noProof/>
        </w:rPr>
        <w:t xml:space="preserve"> 125</w:t>
      </w:r>
      <w:r>
        <w:rPr>
          <w:b/>
          <w:noProof/>
        </w:rPr>
        <w:fldChar w:fldCharType="end"/>
      </w:r>
      <w:r>
        <w:rPr>
          <w:noProof/>
        </w:rPr>
        <w:t xml:space="preserve"> and </w:t>
      </w:r>
      <w:r>
        <w:rPr>
          <w:b/>
          <w:noProof/>
        </w:rPr>
        <w:fldChar w:fldCharType="begin"/>
      </w:r>
      <w:r>
        <w:rPr>
          <w:b/>
          <w:noProof/>
        </w:rPr>
        <w:instrText xml:space="preserve"> REF _Ref525196278 \h  \* MERGEFORMAT </w:instrText>
      </w:r>
      <w:r>
        <w:rPr>
          <w:b/>
          <w:noProof/>
        </w:rPr>
      </w:r>
      <w:r>
        <w:rPr>
          <w:b/>
          <w:noProof/>
        </w:rPr>
        <w:fldChar w:fldCharType="separate"/>
      </w:r>
      <w:r>
        <w:rPr>
          <w:b/>
          <w:noProof/>
          <w:sz w:val="24"/>
          <w:szCs w:val="24"/>
        </w:rPr>
        <w:t>Figure</w:t>
      </w:r>
      <w:r>
        <w:rPr>
          <w:b/>
          <w:noProof/>
        </w:rPr>
        <w:t xml:space="preserve"> 126</w:t>
      </w:r>
      <w:r>
        <w:rPr>
          <w:b/>
          <w:noProof/>
        </w:rPr>
        <w:fldChar w:fldCharType="end"/>
      </w:r>
      <w:r>
        <w:rPr>
          <w:noProof/>
        </w:rPr>
        <w:t xml:space="preserve"> (see next page/s) display the energy intensity of selected sectors in the period 2008-2015 showing that:</w:t>
      </w:r>
    </w:p>
    <w:p>
      <w:pPr>
        <w:pStyle w:val="ListParagraph"/>
        <w:numPr>
          <w:ilvl w:val="0"/>
          <w:numId w:val="12"/>
        </w:numPr>
        <w:ind w:left="714" w:hanging="357"/>
        <w:contextualSpacing w:val="0"/>
        <w:rPr>
          <w:noProof/>
        </w:rPr>
      </w:pPr>
      <w:r>
        <w:rPr>
          <w:noProof/>
        </w:rPr>
        <w:t>Energy intensity varies considerably across sectors in accordance to the various production processes (</w:t>
      </w:r>
      <w:r>
        <w:rPr>
          <w:i/>
          <w:noProof/>
        </w:rPr>
        <w:t>steel</w:t>
      </w:r>
      <w:r>
        <w:rPr>
          <w:noProof/>
        </w:rPr>
        <w:t xml:space="preserve"> and </w:t>
      </w:r>
      <w:r>
        <w:rPr>
          <w:i/>
          <w:noProof/>
        </w:rPr>
        <w:t>cement</w:t>
      </w:r>
      <w:r>
        <w:rPr>
          <w:noProof/>
        </w:rPr>
        <w:t xml:space="preserve"> (&gt;2 toe/1000 Euros) and </w:t>
      </w:r>
      <w:r>
        <w:rPr>
          <w:i/>
          <w:noProof/>
        </w:rPr>
        <w:t xml:space="preserve">refineries </w:t>
      </w:r>
      <w:r>
        <w:rPr>
          <w:noProof/>
        </w:rPr>
        <w:t xml:space="preserve">and </w:t>
      </w:r>
      <w:r>
        <w:rPr>
          <w:i/>
          <w:noProof/>
        </w:rPr>
        <w:t>paper</w:t>
      </w:r>
      <w:r>
        <w:rPr>
          <w:noProof/>
        </w:rPr>
        <w:t xml:space="preserve"> (&gt; 1 toe/1000 thousand Euros) display the highest values).</w:t>
      </w:r>
    </w:p>
    <w:p>
      <w:pPr>
        <w:pStyle w:val="ListParagraph"/>
        <w:numPr>
          <w:ilvl w:val="0"/>
          <w:numId w:val="12"/>
        </w:numPr>
        <w:ind w:left="714" w:hanging="357"/>
        <w:contextualSpacing w:val="0"/>
        <w:rPr>
          <w:noProof/>
        </w:rPr>
      </w:pPr>
      <w:r>
        <w:rPr>
          <w:noProof/>
        </w:rPr>
        <w:t xml:space="preserve">Energy intensity decreased in most of the energy intensive sectors like </w:t>
      </w:r>
      <w:r>
        <w:rPr>
          <w:i/>
          <w:noProof/>
        </w:rPr>
        <w:t>steel</w:t>
      </w:r>
      <w:r>
        <w:rPr>
          <w:noProof/>
        </w:rPr>
        <w:t xml:space="preserve"> (-1,9%/year since 2009), </w:t>
      </w:r>
      <w:r>
        <w:rPr>
          <w:i/>
          <w:noProof/>
        </w:rPr>
        <w:t>refineries</w:t>
      </w:r>
      <w:r>
        <w:rPr>
          <w:noProof/>
        </w:rPr>
        <w:t xml:space="preserve"> and </w:t>
      </w:r>
      <w:r>
        <w:rPr>
          <w:i/>
          <w:noProof/>
        </w:rPr>
        <w:t xml:space="preserve">paper </w:t>
      </w:r>
      <w:r>
        <w:rPr>
          <w:noProof/>
        </w:rPr>
        <w:t xml:space="preserve">although it increased in </w:t>
      </w:r>
      <w:r>
        <w:rPr>
          <w:i/>
          <w:noProof/>
        </w:rPr>
        <w:t>cement</w:t>
      </w:r>
      <w:r>
        <w:rPr>
          <w:noProof/>
        </w:rPr>
        <w:t xml:space="preserve"> (by around 3.1%/year since 2009), </w:t>
      </w:r>
      <w:r>
        <w:rPr>
          <w:i/>
          <w:noProof/>
        </w:rPr>
        <w:t>grain products</w:t>
      </w:r>
      <w:r>
        <w:rPr>
          <w:noProof/>
        </w:rPr>
        <w:t xml:space="preserve">, </w:t>
      </w:r>
      <w:r>
        <w:rPr>
          <w:i/>
          <w:noProof/>
        </w:rPr>
        <w:t>sawmills</w:t>
      </w:r>
      <w:r>
        <w:rPr>
          <w:noProof/>
        </w:rPr>
        <w:t xml:space="preserve"> and </w:t>
      </w:r>
      <w:r>
        <w:rPr>
          <w:i/>
          <w:noProof/>
        </w:rPr>
        <w:t>chemicals</w:t>
      </w:r>
      <w:r>
        <w:rPr>
          <w:noProof/>
        </w:rPr>
        <w:t>. For the rest it remained relatively similar levels.</w:t>
      </w:r>
    </w:p>
    <w:p>
      <w:pPr>
        <w:pStyle w:val="ListParagraph"/>
        <w:numPr>
          <w:ilvl w:val="0"/>
          <w:numId w:val="12"/>
        </w:numPr>
        <w:ind w:left="714" w:hanging="357"/>
        <w:contextualSpacing w:val="0"/>
        <w:rPr>
          <w:noProof/>
        </w:rPr>
      </w:pPr>
      <w:r>
        <w:rPr>
          <w:noProof/>
        </w:rPr>
        <w:t xml:space="preserve">Energy intensity was particularly volatile for </w:t>
      </w:r>
      <w:r>
        <w:rPr>
          <w:i/>
          <w:noProof/>
        </w:rPr>
        <w:t>refineries,</w:t>
      </w:r>
      <w:r>
        <w:rPr>
          <w:noProof/>
        </w:rPr>
        <w:t xml:space="preserve"> </w:t>
      </w:r>
      <w:r>
        <w:rPr>
          <w:i/>
          <w:noProof/>
        </w:rPr>
        <w:t>steel</w:t>
      </w:r>
      <w:r>
        <w:rPr>
          <w:noProof/>
        </w:rPr>
        <w:t xml:space="preserve"> and </w:t>
      </w:r>
      <w:r>
        <w:rPr>
          <w:i/>
          <w:noProof/>
        </w:rPr>
        <w:t>man-made fibres</w:t>
      </w:r>
      <w:r>
        <w:rPr>
          <w:noProof/>
        </w:rPr>
        <w:t xml:space="preserve"> probably reflecting price affecting the value added of production.</w:t>
      </w:r>
    </w:p>
    <w:p>
      <w:pPr>
        <w:pStyle w:val="ListParagraph"/>
        <w:numPr>
          <w:ilvl w:val="0"/>
          <w:numId w:val="12"/>
        </w:numPr>
        <w:ind w:left="714" w:hanging="357"/>
        <w:contextualSpacing w:val="0"/>
        <w:rPr>
          <w:noProof/>
        </w:rPr>
      </w:pPr>
      <w:r>
        <w:rPr>
          <w:noProof/>
        </w:rPr>
        <w:t xml:space="preserve">There were also proportionally significant decreases in the less energy intensive manufacturing sectors like in </w:t>
      </w:r>
      <w:r>
        <w:rPr>
          <w:i/>
          <w:noProof/>
        </w:rPr>
        <w:t>textiles</w:t>
      </w:r>
      <w:r>
        <w:rPr>
          <w:noProof/>
        </w:rPr>
        <w:t xml:space="preserve">, </w:t>
      </w:r>
      <w:r>
        <w:rPr>
          <w:i/>
          <w:noProof/>
        </w:rPr>
        <w:t>stone</w:t>
      </w:r>
      <w:r>
        <w:rPr>
          <w:noProof/>
        </w:rPr>
        <w:t xml:space="preserve">, </w:t>
      </w:r>
      <w:r>
        <w:rPr>
          <w:i/>
          <w:noProof/>
        </w:rPr>
        <w:t>articles of paper</w:t>
      </w:r>
      <w:r>
        <w:rPr>
          <w:noProof/>
        </w:rPr>
        <w:t xml:space="preserve">, </w:t>
      </w:r>
      <w:r>
        <w:rPr>
          <w:i/>
          <w:noProof/>
        </w:rPr>
        <w:t>motor vehicles</w:t>
      </w:r>
      <w:r>
        <w:rPr>
          <w:noProof/>
        </w:rPr>
        <w:t xml:space="preserve"> (although for these sectors the indicator lies at a rather low level, i.e. between 0.3 and 0.1 toe/1000euros)</w:t>
      </w:r>
    </w:p>
    <w:p>
      <w:pPr>
        <w:pStyle w:val="ListParagraph"/>
        <w:numPr>
          <w:ilvl w:val="0"/>
          <w:numId w:val="12"/>
        </w:numPr>
        <w:rPr>
          <w:noProof/>
        </w:rPr>
      </w:pPr>
      <w:r>
        <w:rPr>
          <w:noProof/>
        </w:rPr>
        <w:t xml:space="preserve">Energy intensity also decreased in </w:t>
      </w:r>
      <w:r>
        <w:rPr>
          <w:noProof/>
          <w:u w:val="single"/>
        </w:rPr>
        <w:t>non-manufacturing</w:t>
      </w:r>
      <w:r>
        <w:rPr>
          <w:noProof/>
        </w:rPr>
        <w:t xml:space="preserve"> sectors with the highest energy intensity (e.g. </w:t>
      </w:r>
      <w:r>
        <w:rPr>
          <w:i/>
          <w:noProof/>
        </w:rPr>
        <w:t>land transport</w:t>
      </w:r>
      <w:r>
        <w:rPr>
          <w:noProof/>
        </w:rPr>
        <w:t xml:space="preserve">, </w:t>
      </w:r>
      <w:r>
        <w:rPr>
          <w:i/>
          <w:noProof/>
        </w:rPr>
        <w:t>electricity-gas</w:t>
      </w:r>
      <w:r>
        <w:rPr>
          <w:noProof/>
        </w:rPr>
        <w:t xml:space="preserve">, </w:t>
      </w:r>
      <w:r>
        <w:rPr>
          <w:i/>
          <w:noProof/>
        </w:rPr>
        <w:t xml:space="preserve">other mining </w:t>
      </w:r>
      <w:r>
        <w:rPr>
          <w:noProof/>
        </w:rPr>
        <w:t>and</w:t>
      </w:r>
      <w:r>
        <w:rPr>
          <w:i/>
          <w:noProof/>
        </w:rPr>
        <w:t xml:space="preserve"> agriculture</w:t>
      </w:r>
      <w:r>
        <w:rPr>
          <w:noProof/>
        </w:rPr>
        <w:t xml:space="preserve">) and remained relatively stable for the less energy intensive sectors. </w:t>
      </w:r>
    </w:p>
    <w:p>
      <w:pPr>
        <w:rPr>
          <w:noProof/>
        </w:rPr>
      </w:pPr>
    </w:p>
    <w:p>
      <w:pPr>
        <w:rPr>
          <w:noProof/>
        </w:rPr>
      </w:pPr>
    </w:p>
    <w:p>
      <w:pPr>
        <w:rPr>
          <w:noProof/>
        </w:rPr>
        <w:sectPr>
          <w:headerReference w:type="even" r:id="rId91"/>
          <w:headerReference w:type="default" r:id="rId92"/>
          <w:footerReference w:type="even" r:id="rId93"/>
          <w:footerReference w:type="default" r:id="rId94"/>
          <w:headerReference w:type="first" r:id="rId95"/>
          <w:footerReference w:type="first" r:id="rId96"/>
          <w:footnotePr>
            <w:numStart w:val="50"/>
          </w:footnotePr>
          <w:pgSz w:w="11906" w:h="16838" w:code="9"/>
          <w:pgMar w:top="1134" w:right="1418" w:bottom="1134" w:left="1418" w:header="709" w:footer="709" w:gutter="0"/>
          <w:cols w:space="720"/>
          <w:docGrid w:linePitch="360"/>
        </w:sectPr>
      </w:pPr>
    </w:p>
    <w:p>
      <w:pPr>
        <w:jc w:val="center"/>
        <w:rPr>
          <w:noProof/>
        </w:rPr>
      </w:pPr>
    </w:p>
    <w:p>
      <w:pPr>
        <w:jc w:val="center"/>
        <w:rPr>
          <w:noProof/>
          <w:sz w:val="24"/>
          <w:szCs w:val="24"/>
        </w:rPr>
      </w:pPr>
      <w:r>
        <w:rPr>
          <w:noProof/>
          <w:lang w:eastAsia="en-GB"/>
        </w:rPr>
        <w:drawing>
          <wp:inline distT="0" distB="0" distL="0" distR="0">
            <wp:extent cx="8658225" cy="3571300"/>
            <wp:effectExtent l="0" t="0" r="0" b="0"/>
            <wp:docPr id="554" name="Imag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6FD19C-C16F-4B1F-ACC5-A5221A63E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6FD19C-C16F-4B1F-ACC5-A5221A63E3CC}"/>
                        </a:ext>
                      </a:extLst>
                    </pic:cNvPr>
                    <pic:cNvPicPr>
                      <a:picLocks noChangeAspect="1"/>
                    </pic:cNvPicPr>
                  </pic:nvPicPr>
                  <pic:blipFill>
                    <a:blip r:embed="rId97"/>
                    <a:stretch>
                      <a:fillRect/>
                    </a:stretch>
                  </pic:blipFill>
                  <pic:spPr>
                    <a:xfrm>
                      <a:off x="0" y="0"/>
                      <a:ext cx="8703370" cy="3589921"/>
                    </a:xfrm>
                    <a:prstGeom prst="rect">
                      <a:avLst/>
                    </a:prstGeom>
                  </pic:spPr>
                </pic:pic>
              </a:graphicData>
            </a:graphic>
          </wp:inline>
        </w:drawing>
      </w:r>
    </w:p>
    <w:p>
      <w:pPr>
        <w:pStyle w:val="Caption"/>
      </w:pPr>
      <w:bookmarkStart w:id="175" w:name="_Ref525196273"/>
      <w:bookmarkStart w:id="176" w:name="_Toc525807868"/>
      <w:bookmarkStart w:id="177" w:name="_Toc526433482"/>
      <w:bookmarkStart w:id="178" w:name="_Toc526433760"/>
      <w:bookmarkStart w:id="179" w:name="_Toc526435702"/>
      <w:bookmarkStart w:id="180" w:name="_Toc530739792"/>
      <w:bookmarkStart w:id="181" w:name="_Toc531178515"/>
      <w:r>
        <w:t xml:space="preserve">Figure </w:t>
      </w:r>
      <w:r>
        <w:fldChar w:fldCharType="begin"/>
      </w:r>
      <w:r>
        <w:instrText xml:space="preserve"> SEQ Figure \* ARABIC </w:instrText>
      </w:r>
      <w:r>
        <w:fldChar w:fldCharType="separate"/>
      </w:r>
      <w:r>
        <w:t>124</w:t>
      </w:r>
      <w:r>
        <w:fldChar w:fldCharType="end"/>
      </w:r>
      <w:bookmarkEnd w:id="175"/>
      <w:r>
        <w:t xml:space="preserve"> - Energy intensity (consumption/value added in nominal terms) for the most energy intensive manufacturing sectors (average of available countries)</w:t>
      </w:r>
      <w:bookmarkEnd w:id="176"/>
      <w:bookmarkEnd w:id="177"/>
      <w:bookmarkEnd w:id="178"/>
      <w:bookmarkEnd w:id="179"/>
      <w:r>
        <w:rPr>
          <w:rStyle w:val="FootnoteReference"/>
        </w:rPr>
        <w:footnoteReference w:id="29"/>
      </w:r>
      <w:bookmarkEnd w:id="180"/>
      <w:bookmarkEnd w:id="181"/>
    </w:p>
    <w:p>
      <w:pPr>
        <w:pStyle w:val="Sources"/>
        <w:rPr>
          <w:noProof/>
          <w:lang w:val="fr-BE"/>
        </w:rPr>
      </w:pPr>
      <w:r>
        <w:rPr>
          <w:noProof/>
          <w:lang w:val="fr-BE"/>
        </w:rPr>
        <w:t>Source: Trinomics et altri study</w:t>
      </w:r>
    </w:p>
    <w:p>
      <w:pPr>
        <w:spacing w:after="0"/>
        <w:jc w:val="center"/>
        <w:rPr>
          <w:noProof/>
          <w:sz w:val="24"/>
          <w:szCs w:val="24"/>
        </w:rPr>
      </w:pPr>
      <w:r>
        <w:rPr>
          <w:noProof/>
          <w:lang w:eastAsia="en-GB"/>
        </w:rPr>
        <w:drawing>
          <wp:inline distT="0" distB="0" distL="0" distR="0">
            <wp:extent cx="8521064" cy="3514725"/>
            <wp:effectExtent l="0" t="0" r="0" b="0"/>
            <wp:docPr id="557" name="Imag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F9F8B45-96ED-45EF-A6FB-A61B650DC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F9F8B45-96ED-45EF-A6FB-A61B650DC52A}"/>
                        </a:ext>
                      </a:extLst>
                    </pic:cNvPr>
                    <pic:cNvPicPr>
                      <a:picLocks noChangeAspect="1"/>
                    </pic:cNvPicPr>
                  </pic:nvPicPr>
                  <pic:blipFill>
                    <a:blip r:embed="rId98"/>
                    <a:stretch>
                      <a:fillRect/>
                    </a:stretch>
                  </pic:blipFill>
                  <pic:spPr>
                    <a:xfrm>
                      <a:off x="0" y="0"/>
                      <a:ext cx="8568546" cy="3534310"/>
                    </a:xfrm>
                    <a:prstGeom prst="rect">
                      <a:avLst/>
                    </a:prstGeom>
                  </pic:spPr>
                </pic:pic>
              </a:graphicData>
            </a:graphic>
          </wp:inline>
        </w:drawing>
      </w:r>
    </w:p>
    <w:p>
      <w:pPr>
        <w:pStyle w:val="Caption"/>
      </w:pPr>
      <w:bookmarkStart w:id="182" w:name="_Ref525196276"/>
      <w:bookmarkStart w:id="183" w:name="_Toc525807869"/>
      <w:bookmarkStart w:id="184" w:name="_Toc526433483"/>
      <w:bookmarkStart w:id="185" w:name="_Toc526433761"/>
      <w:bookmarkStart w:id="186" w:name="_Toc526435703"/>
      <w:bookmarkStart w:id="187" w:name="_Toc530739793"/>
      <w:bookmarkStart w:id="188" w:name="_Toc531178516"/>
      <w:r>
        <w:t xml:space="preserve">Figure </w:t>
      </w:r>
      <w:r>
        <w:fldChar w:fldCharType="begin"/>
      </w:r>
      <w:r>
        <w:instrText xml:space="preserve"> SEQ Figure \* ARABIC </w:instrText>
      </w:r>
      <w:r>
        <w:fldChar w:fldCharType="separate"/>
      </w:r>
      <w:r>
        <w:t>125</w:t>
      </w:r>
      <w:r>
        <w:fldChar w:fldCharType="end"/>
      </w:r>
      <w:bookmarkEnd w:id="182"/>
      <w:r>
        <w:t xml:space="preserve"> - Energy intensity (consumption/value added in nominal terms) for other manufacturing sectors (average of available countries)</w:t>
      </w:r>
      <w:bookmarkEnd w:id="183"/>
      <w:bookmarkEnd w:id="184"/>
      <w:bookmarkEnd w:id="185"/>
      <w:bookmarkEnd w:id="186"/>
      <w:r>
        <w:rPr>
          <w:rStyle w:val="FootnoteReference"/>
        </w:rPr>
        <w:footnoteReference w:id="30"/>
      </w:r>
      <w:bookmarkEnd w:id="187"/>
      <w:bookmarkEnd w:id="188"/>
    </w:p>
    <w:p>
      <w:pPr>
        <w:pStyle w:val="Sources"/>
        <w:rPr>
          <w:noProof/>
          <w:lang w:val="fr-BE"/>
        </w:rPr>
      </w:pPr>
      <w:r>
        <w:rPr>
          <w:noProof/>
          <w:lang w:val="fr-BE"/>
        </w:rPr>
        <w:t>Source: Trinomics et altri study</w:t>
      </w:r>
    </w:p>
    <w:p>
      <w:pPr>
        <w:spacing w:after="0"/>
        <w:jc w:val="center"/>
        <w:rPr>
          <w:noProof/>
        </w:rPr>
      </w:pPr>
      <w:r>
        <w:rPr>
          <w:noProof/>
          <w:lang w:eastAsia="en-GB"/>
        </w:rPr>
        <w:drawing>
          <wp:inline distT="0" distB="0" distL="0" distR="0">
            <wp:extent cx="8467725" cy="3304478"/>
            <wp:effectExtent l="0" t="0" r="0" b="0"/>
            <wp:docPr id="3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523993" cy="3326436"/>
                    </a:xfrm>
                    <a:prstGeom prst="rect">
                      <a:avLst/>
                    </a:prstGeom>
                    <a:noFill/>
                  </pic:spPr>
                </pic:pic>
              </a:graphicData>
            </a:graphic>
          </wp:inline>
        </w:drawing>
      </w:r>
    </w:p>
    <w:p>
      <w:pPr>
        <w:pStyle w:val="Caption"/>
      </w:pPr>
      <w:bookmarkStart w:id="189" w:name="_Ref525196278"/>
      <w:bookmarkStart w:id="190" w:name="_Toc525807870"/>
      <w:bookmarkStart w:id="191" w:name="_Toc526433484"/>
      <w:bookmarkStart w:id="192" w:name="_Toc526433762"/>
      <w:bookmarkStart w:id="193" w:name="_Toc526435704"/>
      <w:bookmarkStart w:id="194" w:name="_Toc530739794"/>
      <w:bookmarkStart w:id="195" w:name="_Toc531178517"/>
      <w:r>
        <w:t xml:space="preserve">Figure </w:t>
      </w:r>
      <w:r>
        <w:fldChar w:fldCharType="begin"/>
      </w:r>
      <w:r>
        <w:instrText xml:space="preserve"> SEQ Figure \* ARABIC </w:instrText>
      </w:r>
      <w:r>
        <w:fldChar w:fldCharType="separate"/>
      </w:r>
      <w:r>
        <w:t>126</w:t>
      </w:r>
      <w:r>
        <w:fldChar w:fldCharType="end"/>
      </w:r>
      <w:bookmarkEnd w:id="189"/>
      <w:r>
        <w:t xml:space="preserve"> - Energy intensity (consumption/value added in nominal terms) for non- manufacturing sectors (average of available countries)</w:t>
      </w:r>
      <w:bookmarkEnd w:id="190"/>
      <w:bookmarkEnd w:id="191"/>
      <w:bookmarkEnd w:id="192"/>
      <w:bookmarkEnd w:id="193"/>
      <w:r>
        <w:rPr>
          <w:rStyle w:val="FootnoteReference"/>
        </w:rPr>
        <w:footnoteReference w:id="31"/>
      </w:r>
      <w:bookmarkEnd w:id="194"/>
      <w:bookmarkEnd w:id="195"/>
    </w:p>
    <w:p>
      <w:pPr>
        <w:pStyle w:val="Sources"/>
        <w:rPr>
          <w:noProof/>
        </w:rPr>
      </w:pPr>
      <w:r>
        <w:rPr>
          <w:noProof/>
        </w:rPr>
        <w:t>Source: Trinomics et altri study</w:t>
      </w:r>
    </w:p>
    <w:p>
      <w:pPr>
        <w:spacing w:after="0"/>
        <w:jc w:val="center"/>
        <w:rPr>
          <w:noProof/>
        </w:rPr>
        <w:sectPr>
          <w:headerReference w:type="even" r:id="rId100"/>
          <w:headerReference w:type="default" r:id="rId101"/>
          <w:footerReference w:type="even" r:id="rId102"/>
          <w:footerReference w:type="default" r:id="rId103"/>
          <w:headerReference w:type="first" r:id="rId104"/>
          <w:footerReference w:type="first" r:id="rId105"/>
          <w:footnotePr>
            <w:numStart w:val="50"/>
          </w:footnotePr>
          <w:pgSz w:w="16838" w:h="11906" w:orient="landscape" w:code="9"/>
          <w:pgMar w:top="1418" w:right="1134" w:bottom="1418" w:left="1134" w:header="709" w:footer="709" w:gutter="0"/>
          <w:cols w:space="720"/>
          <w:docGrid w:linePitch="360"/>
        </w:sectPr>
      </w:pPr>
    </w:p>
    <w:p>
      <w:pPr>
        <w:jc w:val="center"/>
        <w:rPr>
          <w:noProof/>
        </w:rPr>
      </w:pPr>
    </w:p>
    <w:p>
      <w:pPr>
        <w:pStyle w:val="Heading2"/>
        <w:numPr>
          <w:ilvl w:val="1"/>
          <w:numId w:val="1"/>
        </w:numPr>
        <w:rPr>
          <w:noProof/>
        </w:rPr>
      </w:pPr>
      <w:bookmarkStart w:id="196" w:name="_Toc449014773"/>
      <w:bookmarkStart w:id="197" w:name="_Toc524619523"/>
      <w:bookmarkStart w:id="198" w:name="_Toc524961070"/>
      <w:bookmarkStart w:id="199" w:name="_Toc525143031"/>
      <w:bookmarkStart w:id="200" w:name="_Toc525222188"/>
      <w:bookmarkStart w:id="201" w:name="_Toc525222357"/>
      <w:bookmarkStart w:id="202" w:name="_Toc526420754"/>
      <w:bookmarkStart w:id="203" w:name="_Toc526433980"/>
      <w:bookmarkStart w:id="204" w:name="_Toc526435922"/>
      <w:bookmarkStart w:id="205" w:name="_Toc530595252"/>
      <w:bookmarkStart w:id="206" w:name="_Toc531178331"/>
      <w:bookmarkEnd w:id="196"/>
      <w:r>
        <w:rPr>
          <w:noProof/>
        </w:rPr>
        <w:t>Energy costs drivers</w:t>
      </w:r>
      <w:bookmarkEnd w:id="197"/>
      <w:bookmarkEnd w:id="198"/>
      <w:bookmarkEnd w:id="199"/>
      <w:bookmarkEnd w:id="200"/>
      <w:bookmarkEnd w:id="201"/>
      <w:bookmarkEnd w:id="202"/>
      <w:bookmarkEnd w:id="203"/>
      <w:bookmarkEnd w:id="204"/>
      <w:bookmarkEnd w:id="205"/>
      <w:bookmarkEnd w:id="206"/>
      <w:r>
        <w:rPr>
          <w:noProof/>
        </w:rPr>
        <w:t xml:space="preserve"> </w:t>
      </w:r>
    </w:p>
    <w:p>
      <w:pPr>
        <w:rPr>
          <w:noProof/>
          <w:sz w:val="24"/>
          <w:szCs w:val="24"/>
        </w:rPr>
      </w:pPr>
    </w:p>
    <w:p>
      <w:pPr>
        <w:rPr>
          <w:noProof/>
          <w:sz w:val="24"/>
          <w:szCs w:val="24"/>
        </w:rPr>
      </w:pPr>
      <w:r>
        <w:rPr>
          <w:noProof/>
          <w:sz w:val="24"/>
          <w:szCs w:val="24"/>
        </w:rPr>
        <w:t xml:space="preserve">Changes in energy costs over time can be the result of several factors. In this section we estimate how changes on energy prices, output and energy intensity impact energy costs. The section relies on the main findings of the decomposition analyses undertaken in the </w:t>
      </w:r>
      <w:r>
        <w:rPr>
          <w:i/>
          <w:noProof/>
          <w:sz w:val="24"/>
          <w:szCs w:val="24"/>
        </w:rPr>
        <w:t>Trinomics et altri</w:t>
      </w:r>
      <w:r>
        <w:rPr>
          <w:noProof/>
          <w:sz w:val="24"/>
          <w:szCs w:val="24"/>
        </w:rPr>
        <w:t xml:space="preserve"> study which assesses the extent to which these three factors affected the energy costs of selected energy-intensive sectors over 2010-2015. </w:t>
      </w:r>
    </w:p>
    <w:p>
      <w:pPr>
        <w:rPr>
          <w:noProof/>
          <w:sz w:val="24"/>
          <w:szCs w:val="24"/>
        </w:rPr>
      </w:pPr>
      <w:r>
        <w:rPr>
          <w:noProof/>
          <w:sz w:val="24"/>
          <w:szCs w:val="24"/>
        </w:rPr>
        <w:t xml:space="preserve">The decomposition was carried out using the </w:t>
      </w:r>
      <w:r>
        <w:rPr>
          <w:i/>
          <w:noProof/>
          <w:sz w:val="24"/>
          <w:szCs w:val="24"/>
        </w:rPr>
        <w:t>Log Mean Divisia Index (LMDI)</w:t>
      </w:r>
      <w:r>
        <w:rPr>
          <w:noProof/>
          <w:sz w:val="24"/>
          <w:szCs w:val="24"/>
        </w:rPr>
        <w:t xml:space="preserve"> which shows for a given percentage change in energy costs over the period, the extent to which this change is attributable to changes in each driver over the same period. To make that analysis it was necessary to estimate the prices and the consumption by sector. The purchases of energy resulting from multiplying the estimated prices and consumption were not always similar to the results from historical data coming from 'purchases of energy' collected in Eurostat. A residual (the difference between the two) was therefore introduced in the analysis to take into account for these data discrepancies and ensure a coherent approach in the analysis of the energy costs in this document</w:t>
      </w:r>
      <w:r>
        <w:rPr>
          <w:rStyle w:val="FootnoteReference"/>
          <w:noProof/>
          <w:sz w:val="24"/>
          <w:szCs w:val="24"/>
        </w:rPr>
        <w:footnoteReference w:id="32"/>
      </w:r>
      <w:r>
        <w:rPr>
          <w:noProof/>
          <w:sz w:val="24"/>
          <w:szCs w:val="24"/>
        </w:rPr>
        <w:t>.</w:t>
      </w:r>
    </w:p>
    <w:p>
      <w:pPr>
        <w:rPr>
          <w:noProof/>
          <w:sz w:val="24"/>
          <w:szCs w:val="24"/>
        </w:rPr>
      </w:pPr>
      <w:r>
        <w:rPr>
          <w:noProof/>
          <w:sz w:val="24"/>
          <w:szCs w:val="24"/>
        </w:rPr>
        <w:t xml:space="preserve">The ratio between energy costs and total production costs is also a good indicator of the impact on total costs and competitiveness of a sector. In this section after the analysis of the factors driving the real energy costs (numerator of the ratio) we also look at the factors that drive the production costs (denominator) so we can also assess the actual evolution of the </w:t>
      </w:r>
      <w:r>
        <w:rPr>
          <w:i/>
          <w:noProof/>
          <w:sz w:val="24"/>
          <w:szCs w:val="24"/>
        </w:rPr>
        <w:t>ratio</w:t>
      </w:r>
      <w:r>
        <w:rPr>
          <w:noProof/>
          <w:sz w:val="24"/>
          <w:szCs w:val="24"/>
        </w:rPr>
        <w:t>.</w:t>
      </w:r>
    </w:p>
    <w:p>
      <w:pPr>
        <w:pStyle w:val="Heading3"/>
        <w:numPr>
          <w:ilvl w:val="2"/>
          <w:numId w:val="1"/>
        </w:numPr>
        <w:rPr>
          <w:noProof/>
        </w:rPr>
      </w:pPr>
      <w:bookmarkStart w:id="207" w:name="_Toc468890478"/>
      <w:bookmarkStart w:id="208" w:name="_Toc449014775"/>
      <w:r>
        <w:rPr>
          <w:noProof/>
        </w:rPr>
        <w:t xml:space="preserve"> </w:t>
      </w:r>
      <w:bookmarkStart w:id="209" w:name="_Toc524619524"/>
      <w:bookmarkStart w:id="210" w:name="_Toc524961071"/>
      <w:bookmarkStart w:id="211" w:name="_Toc525143032"/>
      <w:bookmarkStart w:id="212" w:name="_Toc525222189"/>
      <w:bookmarkStart w:id="213" w:name="_Toc525222358"/>
      <w:bookmarkStart w:id="214" w:name="_Toc526420755"/>
      <w:bookmarkStart w:id="215" w:name="_Toc526433981"/>
      <w:bookmarkStart w:id="216" w:name="_Toc526435923"/>
      <w:bookmarkStart w:id="217" w:name="_Toc530595253"/>
      <w:bookmarkStart w:id="218" w:name="_Toc531178332"/>
      <w:r>
        <w:rPr>
          <w:noProof/>
        </w:rPr>
        <w:t>Drivers of energy costs (Purchases of energy)</w:t>
      </w:r>
      <w:bookmarkEnd w:id="209"/>
      <w:bookmarkEnd w:id="210"/>
      <w:bookmarkEnd w:id="211"/>
      <w:bookmarkEnd w:id="212"/>
      <w:bookmarkEnd w:id="213"/>
      <w:bookmarkEnd w:id="214"/>
      <w:bookmarkEnd w:id="215"/>
      <w:bookmarkEnd w:id="216"/>
      <w:bookmarkEnd w:id="217"/>
      <w:bookmarkEnd w:id="218"/>
      <w:r>
        <w:rPr>
          <w:noProof/>
        </w:rPr>
        <w:t xml:space="preserve"> </w:t>
      </w:r>
      <w:bookmarkEnd w:id="207"/>
    </w:p>
    <w:p>
      <w:pPr>
        <w:jc w:val="center"/>
        <w:rPr>
          <w:noProof/>
        </w:rPr>
      </w:pPr>
      <w:bookmarkStart w:id="219" w:name="_Toc443559021"/>
      <w:bookmarkStart w:id="220" w:name="_Toc444001540"/>
      <w:bookmarkStart w:id="221" w:name="_Toc444688283"/>
      <w:bookmarkStart w:id="222" w:name="_Toc444695872"/>
      <w:bookmarkStart w:id="223" w:name="_Toc444765187"/>
      <w:bookmarkStart w:id="224" w:name="_Toc444779696"/>
      <w:bookmarkStart w:id="225" w:name="_Toc445187667"/>
      <w:bookmarkEnd w:id="208"/>
    </w:p>
    <w:p>
      <w:pPr>
        <w:rPr>
          <w:noProof/>
          <w:sz w:val="24"/>
          <w:szCs w:val="24"/>
        </w:rPr>
      </w:pPr>
      <w:r>
        <w:rPr>
          <w:noProof/>
          <w:sz w:val="24"/>
          <w:szCs w:val="24"/>
        </w:rPr>
        <w:t xml:space="preserve">Using the LMDI decomposition, the key drivers of energy costs can be identified. </w:t>
      </w:r>
    </w:p>
    <w:p>
      <w:pPr>
        <w:rPr>
          <w:noProof/>
        </w:rPr>
      </w:pPr>
      <m:oMath>
        <m:r>
          <w:rPr>
            <w:rFonts w:ascii="Cambria Math" w:eastAsia="Times New Roman" w:hAnsi="Cambria Math"/>
            <w:noProof/>
            <w:snapToGrid w:val="0"/>
          </w:rPr>
          <m:t>Energy costs= Output</m:t>
        </m:r>
        <m:d>
          <m:dPr>
            <m:ctrlPr>
              <w:rPr>
                <w:rFonts w:ascii="Cambria Math" w:eastAsia="Times New Roman" w:hAnsi="Cambria Math"/>
                <w:i/>
                <w:noProof/>
                <w:snapToGrid w:val="0"/>
              </w:rPr>
            </m:ctrlPr>
          </m:dPr>
          <m:e>
            <m:r>
              <w:rPr>
                <w:rFonts w:ascii="Cambria Math" w:eastAsia="Times New Roman" w:hAnsi="Cambria Math"/>
                <w:noProof/>
                <w:snapToGrid w:val="0"/>
              </w:rPr>
              <m:t>constant</m:t>
            </m:r>
          </m:e>
        </m:d>
        <m:r>
          <w:rPr>
            <w:rFonts w:ascii="Cambria Math" w:eastAsia="Times New Roman" w:hAnsi="Cambria Math"/>
            <w:noProof/>
            <w:snapToGrid w:val="0"/>
          </w:rPr>
          <m:t>×</m:t>
        </m:r>
        <m:f>
          <m:fPr>
            <m:ctrlPr>
              <w:rPr>
                <w:rFonts w:ascii="Cambria Math" w:eastAsia="Times New Roman" w:hAnsi="Cambria Math"/>
                <w:i/>
                <w:noProof/>
                <w:snapToGrid w:val="0"/>
              </w:rPr>
            </m:ctrlPr>
          </m:fPr>
          <m:num>
            <m:r>
              <w:rPr>
                <w:rFonts w:ascii="Cambria Math" w:eastAsia="Times New Roman" w:hAnsi="Cambria Math"/>
                <w:noProof/>
                <w:snapToGrid w:val="0"/>
              </w:rPr>
              <m:t>Energy</m:t>
            </m:r>
          </m:num>
          <m:den>
            <m:r>
              <w:rPr>
                <w:rFonts w:ascii="Cambria Math" w:eastAsia="Times New Roman" w:hAnsi="Cambria Math"/>
                <w:noProof/>
                <w:snapToGrid w:val="0"/>
              </w:rPr>
              <m:t xml:space="preserve">Output </m:t>
            </m:r>
            <m:d>
              <m:dPr>
                <m:ctrlPr>
                  <w:rPr>
                    <w:rFonts w:ascii="Cambria Math" w:eastAsia="Times New Roman" w:hAnsi="Cambria Math"/>
                    <w:i/>
                    <w:noProof/>
                    <w:snapToGrid w:val="0"/>
                  </w:rPr>
                </m:ctrlPr>
              </m:dPr>
              <m:e>
                <m:r>
                  <w:rPr>
                    <w:rFonts w:ascii="Cambria Math" w:eastAsia="Times New Roman" w:hAnsi="Cambria Math"/>
                    <w:noProof/>
                    <w:snapToGrid w:val="0"/>
                  </w:rPr>
                  <m:t>constant</m:t>
                </m:r>
              </m:e>
            </m:d>
          </m:den>
        </m:f>
        <m:r>
          <w:rPr>
            <w:rFonts w:ascii="Cambria Math" w:eastAsia="Times New Roman" w:hAnsi="Cambria Math"/>
            <w:noProof/>
            <w:snapToGrid w:val="0"/>
          </w:rPr>
          <m:t xml:space="preserve"> × Price of energy</m:t>
        </m:r>
      </m:oMath>
      <w:r>
        <w:rPr>
          <w:noProof/>
          <w:snapToGrid w:val="0"/>
        </w:rPr>
        <w:t xml:space="preserve"> </w:t>
      </w:r>
    </w:p>
    <w:p>
      <w:pPr>
        <w:rPr>
          <w:noProof/>
        </w:rPr>
      </w:pPr>
    </w:p>
    <w:p>
      <w:pPr>
        <w:rPr>
          <w:noProof/>
          <w:sz w:val="24"/>
          <w:szCs w:val="24"/>
        </w:rPr>
      </w:pPr>
      <w:r>
        <w:rPr>
          <w:noProof/>
          <w:sz w:val="24"/>
          <w:szCs w:val="24"/>
        </w:rPr>
        <w:t>The analysis in this section aims to use LMDI decomposition to explain the behaviour of the energy costs observed as energy purchases of energy from SBS data. Thus, a residual is introduced in the analysis to account for the difference between estimated energy costs and the SBS data for energy purchases of energy. For the purposes of this analysis, the change in energy costs over time is defined as follows:</w:t>
      </w:r>
    </w:p>
    <w:p>
      <w:pPr>
        <w:spacing w:before="240" w:line="280" w:lineRule="exact"/>
        <w:ind w:left="-426" w:right="-144" w:hanging="142"/>
        <w:rPr>
          <w:rFonts w:eastAsiaTheme="minorEastAsia"/>
          <w:noProof/>
          <w:snapToGrid w:val="0"/>
        </w:rPr>
      </w:pPr>
      <m:oMathPara>
        <m:oMath>
          <m:r>
            <w:rPr>
              <w:rFonts w:ascii="Cambria Math" w:eastAsia="Times New Roman" w:hAnsi="Cambria Math"/>
              <w:noProof/>
              <w:snapToGrid w:val="0"/>
            </w:rPr>
            <m:t>∆Energy Costs=</m:t>
          </m:r>
          <m:d>
            <m:dPr>
              <m:ctrlPr>
                <w:rPr>
                  <w:rFonts w:ascii="Cambria Math" w:eastAsia="Times New Roman" w:hAnsi="Cambria Math"/>
                  <w:i/>
                  <w:noProof/>
                  <w:snapToGrid w:val="0"/>
                </w:rPr>
              </m:ctrlPr>
            </m:dPr>
            <m:e>
              <m:r>
                <w:rPr>
                  <w:rFonts w:ascii="Cambria Math" w:eastAsia="Times New Roman" w:hAnsi="Cambria Math"/>
                  <w:noProof/>
                  <w:snapToGrid w:val="0"/>
                </w:rPr>
                <m:t>real</m:t>
              </m:r>
            </m:e>
          </m:d>
          <m:r>
            <w:rPr>
              <w:rFonts w:ascii="Cambria Math" w:eastAsia="Times New Roman" w:hAnsi="Cambria Math"/>
              <w:noProof/>
              <w:snapToGrid w:val="0"/>
            </w:rPr>
            <m:t xml:space="preserve"> output effect+</m:t>
          </m:r>
          <m:d>
            <m:dPr>
              <m:ctrlPr>
                <w:rPr>
                  <w:rFonts w:ascii="Cambria Math" w:eastAsia="Times New Roman" w:hAnsi="Cambria Math"/>
                  <w:i/>
                  <w:noProof/>
                  <w:snapToGrid w:val="0"/>
                </w:rPr>
              </m:ctrlPr>
            </m:dPr>
            <m:e>
              <m:r>
                <w:rPr>
                  <w:rFonts w:ascii="Cambria Math" w:eastAsia="Times New Roman" w:hAnsi="Cambria Math"/>
                  <w:noProof/>
                  <w:snapToGrid w:val="0"/>
                </w:rPr>
                <m:t>real</m:t>
              </m:r>
            </m:e>
          </m:d>
          <m:r>
            <w:rPr>
              <w:rFonts w:ascii="Cambria Math" w:eastAsia="Times New Roman" w:hAnsi="Cambria Math"/>
              <w:noProof/>
              <w:snapToGrid w:val="0"/>
            </w:rPr>
            <m:t xml:space="preserve"> energy intensity effect+price effect+residual</m:t>
          </m:r>
        </m:oMath>
      </m:oMathPara>
    </w:p>
    <w:p>
      <w:pPr>
        <w:rPr>
          <w:noProof/>
        </w:rPr>
      </w:pPr>
    </w:p>
    <w:p>
      <w:pPr>
        <w:rPr>
          <w:noProof/>
        </w:rPr>
      </w:pPr>
      <w:r>
        <w:rPr>
          <w:noProof/>
        </w:rPr>
        <w:br w:type="page"/>
      </w:r>
    </w:p>
    <w:p>
      <w:pPr>
        <w:rPr>
          <w:noProof/>
        </w:rPr>
      </w:pPr>
    </w:p>
    <w:p>
      <w:pPr>
        <w:rPr>
          <w:noProof/>
          <w:sz w:val="24"/>
          <w:szCs w:val="24"/>
        </w:rPr>
      </w:pPr>
      <w:r>
        <w:rPr>
          <w:noProof/>
          <w:sz w:val="24"/>
          <w:szCs w:val="24"/>
        </w:rPr>
        <w:t xml:space="preserve">Where </w:t>
      </w:r>
    </w:p>
    <w:p>
      <w:pPr>
        <w:numPr>
          <w:ilvl w:val="0"/>
          <w:numId w:val="4"/>
        </w:numPr>
        <w:spacing w:after="0" w:line="300" w:lineRule="atLeast"/>
        <w:contextualSpacing/>
        <w:jc w:val="left"/>
        <w:rPr>
          <w:noProof/>
          <w:sz w:val="24"/>
          <w:szCs w:val="24"/>
        </w:rPr>
      </w:pPr>
      <w:r>
        <w:rPr>
          <w:b/>
          <w:noProof/>
          <w:sz w:val="24"/>
          <w:szCs w:val="24"/>
        </w:rPr>
        <w:t>Output effect:</w:t>
      </w:r>
      <w:r>
        <w:rPr>
          <w:noProof/>
          <w:sz w:val="24"/>
          <w:szCs w:val="24"/>
        </w:rPr>
        <w:t xml:space="preserve"> the effect of changes in real production (GVA), </w:t>
      </w:r>
    </w:p>
    <w:p>
      <w:pPr>
        <w:numPr>
          <w:ilvl w:val="0"/>
          <w:numId w:val="4"/>
        </w:numPr>
        <w:spacing w:after="0" w:line="300" w:lineRule="atLeast"/>
        <w:contextualSpacing/>
        <w:jc w:val="left"/>
        <w:rPr>
          <w:noProof/>
          <w:sz w:val="24"/>
          <w:szCs w:val="24"/>
        </w:rPr>
      </w:pPr>
      <w:r>
        <w:rPr>
          <w:b/>
          <w:noProof/>
          <w:sz w:val="24"/>
          <w:szCs w:val="24"/>
        </w:rPr>
        <w:t>(Real) Energy intensity effect:</w:t>
      </w:r>
      <w:r>
        <w:rPr>
          <w:noProof/>
          <w:sz w:val="24"/>
          <w:szCs w:val="24"/>
        </w:rPr>
        <w:t xml:space="preserve"> the effect of changes in energy per unit of real output (GVA) over time due to energy efficiency measures, behavioural changes and industry structural change;</w:t>
      </w:r>
    </w:p>
    <w:p>
      <w:pPr>
        <w:numPr>
          <w:ilvl w:val="0"/>
          <w:numId w:val="4"/>
        </w:numPr>
        <w:spacing w:after="0" w:line="300" w:lineRule="atLeast"/>
        <w:contextualSpacing/>
        <w:jc w:val="left"/>
        <w:rPr>
          <w:noProof/>
          <w:sz w:val="24"/>
          <w:szCs w:val="24"/>
        </w:rPr>
      </w:pPr>
      <w:r>
        <w:rPr>
          <w:b/>
          <w:noProof/>
          <w:sz w:val="24"/>
          <w:szCs w:val="24"/>
        </w:rPr>
        <w:t>Price effects:</w:t>
      </w:r>
      <w:r>
        <w:rPr>
          <w:noProof/>
          <w:sz w:val="24"/>
          <w:szCs w:val="24"/>
        </w:rPr>
        <w:t xml:space="preserve"> the effect of changes in coal, gas and electricity prices.</w:t>
      </w:r>
    </w:p>
    <w:p>
      <w:pPr>
        <w:pStyle w:val="ListParagraph"/>
        <w:numPr>
          <w:ilvl w:val="0"/>
          <w:numId w:val="4"/>
        </w:numPr>
        <w:rPr>
          <w:noProof/>
        </w:rPr>
      </w:pPr>
      <w:r>
        <w:rPr>
          <w:noProof/>
          <w:sz w:val="24"/>
          <w:szCs w:val="24"/>
        </w:rPr>
        <w:t xml:space="preserve">The </w:t>
      </w:r>
      <w:r>
        <w:rPr>
          <w:b/>
          <w:noProof/>
          <w:sz w:val="24"/>
          <w:szCs w:val="24"/>
        </w:rPr>
        <w:t xml:space="preserve">residual, </w:t>
      </w:r>
      <w:r>
        <w:rPr>
          <w:noProof/>
          <w:sz w:val="24"/>
          <w:szCs w:val="24"/>
        </w:rPr>
        <w:t>which</w:t>
      </w:r>
      <w:r>
        <w:rPr>
          <w:b/>
          <w:noProof/>
          <w:sz w:val="24"/>
          <w:szCs w:val="24"/>
        </w:rPr>
        <w:t xml:space="preserve"> </w:t>
      </w:r>
      <w:r>
        <w:rPr>
          <w:noProof/>
          <w:sz w:val="24"/>
          <w:szCs w:val="24"/>
        </w:rPr>
        <w:t>includes the effect of unexplained data discrepancy with Eurostat SBS</w:t>
      </w:r>
      <w:r>
        <w:rPr>
          <w:noProof/>
        </w:rPr>
        <w:t xml:space="preserve"> </w:t>
      </w:r>
      <w:r>
        <w:rPr>
          <w:noProof/>
          <w:sz w:val="24"/>
          <w:szCs w:val="24"/>
        </w:rPr>
        <w:t>data on 'purchases of energy'.</w:t>
      </w:r>
    </w:p>
    <w:p>
      <w:pPr>
        <w:jc w:val="center"/>
        <w:rPr>
          <w:b/>
          <w:noProof/>
          <w:sz w:val="20"/>
          <w:szCs w:val="20"/>
        </w:rPr>
      </w:pPr>
      <w:r>
        <w:rPr>
          <w:b/>
          <w:noProof/>
          <w:sz w:val="20"/>
          <w:szCs w:val="20"/>
        </w:rPr>
        <w:t>Box – Interpretation of results</w:t>
      </w:r>
    </w:p>
    <w:p>
      <w:pPr>
        <w:pBdr>
          <w:top w:val="single" w:sz="4" w:space="1" w:color="auto"/>
          <w:left w:val="single" w:sz="4" w:space="4" w:color="auto"/>
          <w:bottom w:val="single" w:sz="4" w:space="1" w:color="auto"/>
          <w:right w:val="single" w:sz="4" w:space="4" w:color="auto"/>
        </w:pBdr>
        <w:rPr>
          <w:noProof/>
        </w:rPr>
      </w:pPr>
      <w:r>
        <w:rPr>
          <w:noProof/>
        </w:rPr>
        <w:t>The interpretation of some of these effects is complex in some cases and may deserve some additional explanations.</w:t>
      </w:r>
    </w:p>
    <w:p>
      <w:pPr>
        <w:pBdr>
          <w:top w:val="single" w:sz="4" w:space="1" w:color="auto"/>
          <w:left w:val="single" w:sz="4" w:space="4" w:color="auto"/>
          <w:bottom w:val="single" w:sz="4" w:space="1" w:color="auto"/>
          <w:right w:val="single" w:sz="4" w:space="4" w:color="auto"/>
        </w:pBdr>
        <w:rPr>
          <w:noProof/>
        </w:rPr>
      </w:pPr>
      <w:r>
        <w:rPr>
          <w:noProof/>
        </w:rPr>
        <w:t xml:space="preserve">The unexplained </w:t>
      </w:r>
      <w:r>
        <w:rPr>
          <w:b/>
          <w:noProof/>
        </w:rPr>
        <w:t>residual</w:t>
      </w:r>
      <w:r>
        <w:rPr>
          <w:noProof/>
        </w:rPr>
        <w:t xml:space="preserve"> likely arises from missing data, in particular, on energy consumption. In these cases, data gaps were filled using sectoral energy-intensity figures for those countries where data is available. In some cases, that meant relying on trends of very few countries (Germany and few others) to predict the wider sectoral trends at the EU28 level. Therefore it is possible that the residual is partly reflecting some energy intensity effects that were impossible to identify from the limited energy consumption data available. Industry restructuring is indeed typical in periods following economic crises and intense international competition as the one suffered for some of the analysed energy intensive industries in the period under study. On the other hand, the residual was calculated as the difference from the Eurostat SBS data in order to ensure a coherent analysis in this section in line with the analysis on the previous sections of the chapter. However Eurostat SBS data could also present some inconsistencies as it is based on surveys which might also be partially incomplete.</w:t>
      </w:r>
    </w:p>
    <w:p>
      <w:pPr>
        <w:pBdr>
          <w:top w:val="single" w:sz="4" w:space="1" w:color="auto"/>
          <w:left w:val="single" w:sz="4" w:space="4" w:color="auto"/>
          <w:bottom w:val="single" w:sz="4" w:space="1" w:color="auto"/>
          <w:right w:val="single" w:sz="4" w:space="4" w:color="auto"/>
        </w:pBdr>
        <w:rPr>
          <w:noProof/>
        </w:rPr>
      </w:pPr>
      <w:r>
        <w:rPr>
          <w:noProof/>
        </w:rPr>
        <w:t xml:space="preserve">The interpretation of the </w:t>
      </w:r>
      <w:r>
        <w:rPr>
          <w:b/>
          <w:noProof/>
        </w:rPr>
        <w:t>price effect</w:t>
      </w:r>
      <w:r>
        <w:rPr>
          <w:noProof/>
        </w:rPr>
        <w:t xml:space="preserve"> is more complex that it seems and also </w:t>
      </w:r>
      <w:bookmarkStart w:id="226" w:name="_Hlk523207571"/>
      <w:r>
        <w:rPr>
          <w:noProof/>
        </w:rPr>
        <w:t>deserves further explanations. The price effect captures the effect of changes in weighted-average energy prices on energy costs faced by firms. The prices used are nominal and exclude all recoverable tax and levies (such as VAT). The price effects are estimated by combining (fixed) estimates of the energy mix at a sectoral level and estimates of energy prices (by fuel) over the period 2010-2015. Energy price for each sector and fuel is estimated by using the Eurostat production price band in which most industrial production would fall into</w:t>
      </w:r>
      <w:r>
        <w:rPr>
          <w:rStyle w:val="FootnoteReference"/>
          <w:noProof/>
        </w:rPr>
        <w:footnoteReference w:id="33"/>
      </w:r>
      <w:r>
        <w:rPr>
          <w:noProof/>
        </w:rPr>
        <w:t>. Therefore the price effect does not capture the behaviour of other fuel prices (price of biomass or heat) which are assumed to behave in line with the weighted average from coal, gas and electricity prices. Finally, price for each industry sector at the EU28 level, the Member State level prices are weighted by the total value of production (by Member State). Thus, the EU28 level results for each industry sector reflect a double-weighting of price: (i) (fixed) fuel shares used to derive a representative weighted-average fuel price for each industry and each Member State (ii) (dynamic) Member State production shares used to weight the Member State -level price effects, to derive an EU average price effect for each industry sector. The latter means that prices changes can be due to changes on the production structure of the sector at EU level (shifts of production across MS) which results on changes on the weights used for calculating the prices.</w:t>
      </w:r>
    </w:p>
    <w:bookmarkEnd w:id="226"/>
    <w:p>
      <w:pPr>
        <w:rPr>
          <w:b/>
          <w:noProof/>
        </w:rPr>
      </w:pPr>
      <w:r>
        <w:rPr>
          <w:b/>
          <w:noProof/>
        </w:rPr>
        <w:br w:type="page"/>
      </w:r>
    </w:p>
    <w:p>
      <w:pPr>
        <w:rPr>
          <w:b/>
          <w:noProof/>
        </w:rPr>
      </w:pPr>
    </w:p>
    <w:p>
      <w:pPr>
        <w:rPr>
          <w:b/>
          <w:noProof/>
          <w:sz w:val="24"/>
          <w:szCs w:val="24"/>
        </w:rPr>
      </w:pPr>
      <w:r>
        <w:rPr>
          <w:b/>
          <w:noProof/>
          <w:sz w:val="24"/>
          <w:szCs w:val="24"/>
        </w:rPr>
        <w:t>Results of the analysis of energy cost drivers at EU level</w:t>
      </w:r>
    </w:p>
    <w:p>
      <w:pPr>
        <w:rPr>
          <w:noProof/>
          <w:sz w:val="24"/>
          <w:szCs w:val="24"/>
        </w:rPr>
      </w:pPr>
      <w:r>
        <w:rPr>
          <w:noProof/>
          <w:sz w:val="24"/>
          <w:szCs w:val="24"/>
        </w:rPr>
        <w:t>At aggregate level across all the manufacturing sectors analysed, the change of energy costs over the period 2010-2015 fell by 8%. This was the result of the following combined effects:</w:t>
      </w:r>
    </w:p>
    <w:p>
      <w:pPr>
        <w:pStyle w:val="ListParagraph"/>
        <w:numPr>
          <w:ilvl w:val="0"/>
          <w:numId w:val="5"/>
        </w:numPr>
        <w:spacing w:after="0" w:line="300" w:lineRule="atLeast"/>
        <w:jc w:val="left"/>
        <w:rPr>
          <w:noProof/>
          <w:sz w:val="24"/>
          <w:szCs w:val="24"/>
        </w:rPr>
      </w:pPr>
      <w:r>
        <w:rPr>
          <w:noProof/>
          <w:sz w:val="24"/>
          <w:szCs w:val="24"/>
        </w:rPr>
        <w:t xml:space="preserve">energy price increases contributed to an increase of 7% in energy costs; </w:t>
      </w:r>
    </w:p>
    <w:p>
      <w:pPr>
        <w:pStyle w:val="ListParagraph"/>
        <w:numPr>
          <w:ilvl w:val="0"/>
          <w:numId w:val="5"/>
        </w:numPr>
        <w:spacing w:after="0" w:line="300" w:lineRule="atLeast"/>
        <w:jc w:val="left"/>
        <w:rPr>
          <w:noProof/>
          <w:sz w:val="24"/>
          <w:szCs w:val="24"/>
        </w:rPr>
      </w:pPr>
      <w:r>
        <w:rPr>
          <w:noProof/>
          <w:sz w:val="24"/>
          <w:szCs w:val="24"/>
        </w:rPr>
        <w:t>real output changes had an impact close to zero on energy costs;</w:t>
      </w:r>
    </w:p>
    <w:p>
      <w:pPr>
        <w:pStyle w:val="ListParagraph"/>
        <w:numPr>
          <w:ilvl w:val="0"/>
          <w:numId w:val="5"/>
        </w:numPr>
        <w:spacing w:after="0" w:line="300" w:lineRule="atLeast"/>
        <w:jc w:val="left"/>
        <w:rPr>
          <w:noProof/>
          <w:sz w:val="24"/>
          <w:szCs w:val="24"/>
        </w:rPr>
      </w:pPr>
      <w:r>
        <w:rPr>
          <w:noProof/>
          <w:sz w:val="24"/>
          <w:szCs w:val="24"/>
        </w:rPr>
        <w:t>lower energy-intensity contributed to energy savings that reduced energy costs by 4%.</w:t>
      </w:r>
    </w:p>
    <w:p>
      <w:pPr>
        <w:pStyle w:val="ListParagraph"/>
        <w:numPr>
          <w:ilvl w:val="0"/>
          <w:numId w:val="5"/>
        </w:numPr>
        <w:spacing w:after="0" w:line="300" w:lineRule="atLeast"/>
        <w:jc w:val="left"/>
        <w:rPr>
          <w:noProof/>
          <w:sz w:val="24"/>
          <w:szCs w:val="24"/>
        </w:rPr>
      </w:pPr>
      <w:r>
        <w:rPr>
          <w:noProof/>
          <w:sz w:val="24"/>
          <w:szCs w:val="24"/>
        </w:rPr>
        <w:t xml:space="preserve">The residual (unidentifiable factors) drove energy costs down by 10% </w:t>
      </w:r>
    </w:p>
    <w:p>
      <w:pPr>
        <w:pStyle w:val="ListParagraph"/>
        <w:spacing w:after="0" w:line="300" w:lineRule="atLeast"/>
        <w:ind w:left="1346"/>
        <w:jc w:val="left"/>
        <w:rPr>
          <w:noProof/>
        </w:rPr>
      </w:pPr>
    </w:p>
    <w:p>
      <w:pPr>
        <w:jc w:val="center"/>
        <w:rPr>
          <w:noProof/>
        </w:rPr>
      </w:pPr>
    </w:p>
    <w:p>
      <w:pPr>
        <w:rPr>
          <w:b/>
          <w:noProof/>
        </w:rPr>
      </w:pPr>
      <w:r>
        <w:rPr>
          <w:noProof/>
          <w:lang w:eastAsia="en-GB"/>
        </w:rPr>
        <w:drawing>
          <wp:inline distT="0" distB="0" distL="0" distR="0">
            <wp:extent cx="5746771" cy="2832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49608" cy="2833498"/>
                    </a:xfrm>
                    <a:prstGeom prst="rect">
                      <a:avLst/>
                    </a:prstGeom>
                    <a:noFill/>
                    <a:ln>
                      <a:noFill/>
                    </a:ln>
                  </pic:spPr>
                </pic:pic>
              </a:graphicData>
            </a:graphic>
          </wp:inline>
        </w:drawing>
      </w:r>
    </w:p>
    <w:p>
      <w:pPr>
        <w:pStyle w:val="Caption"/>
      </w:pPr>
      <w:bookmarkStart w:id="227" w:name="_Toc525807871"/>
      <w:bookmarkStart w:id="228" w:name="_Toc526433485"/>
      <w:bookmarkStart w:id="229" w:name="_Toc526433763"/>
      <w:bookmarkStart w:id="230" w:name="_Toc526435705"/>
      <w:bookmarkStart w:id="231" w:name="_Toc530739795"/>
      <w:bookmarkStart w:id="232" w:name="_Toc531178518"/>
      <w:r>
        <w:t xml:space="preserve">Figure </w:t>
      </w:r>
      <w:r>
        <w:fldChar w:fldCharType="begin"/>
      </w:r>
      <w:r>
        <w:instrText xml:space="preserve"> SEQ Figure \* ARABIC </w:instrText>
      </w:r>
      <w:r>
        <w:fldChar w:fldCharType="separate"/>
      </w:r>
      <w:r>
        <w:t>127</w:t>
      </w:r>
      <w:r>
        <w:fldChar w:fldCharType="end"/>
      </w:r>
      <w:r>
        <w:t xml:space="preserve"> - Drivers of energy costs (absolute changes)</w:t>
      </w:r>
      <w:bookmarkEnd w:id="227"/>
      <w:bookmarkEnd w:id="228"/>
      <w:bookmarkEnd w:id="229"/>
      <w:bookmarkEnd w:id="230"/>
      <w:bookmarkEnd w:id="231"/>
      <w:bookmarkEnd w:id="232"/>
      <w:r>
        <w:t xml:space="preserve"> </w:t>
      </w:r>
    </w:p>
    <w:p>
      <w:pPr>
        <w:pStyle w:val="Sources"/>
        <w:rPr>
          <w:noProof/>
        </w:rPr>
      </w:pPr>
      <w:r>
        <w:rPr>
          <w:noProof/>
        </w:rPr>
        <w:t>Source: Trinomics et altri</w:t>
      </w:r>
    </w:p>
    <w:p>
      <w:pPr>
        <w:rPr>
          <w:b/>
          <w:noProof/>
          <w:sz w:val="24"/>
          <w:szCs w:val="24"/>
        </w:rPr>
      </w:pPr>
      <w:r>
        <w:rPr>
          <w:b/>
          <w:noProof/>
          <w:sz w:val="24"/>
          <w:szCs w:val="24"/>
        </w:rPr>
        <w:t>Results of the analysis energy costs drivers by sectors</w:t>
      </w:r>
    </w:p>
    <w:p>
      <w:pPr>
        <w:rPr>
          <w:noProof/>
          <w:sz w:val="24"/>
          <w:szCs w:val="24"/>
        </w:rPr>
      </w:pPr>
      <w:r>
        <w:rPr>
          <w:b/>
          <w:noProof/>
          <w:sz w:val="24"/>
          <w:szCs w:val="24"/>
        </w:rPr>
        <w:fldChar w:fldCharType="begin"/>
      </w:r>
      <w:r>
        <w:rPr>
          <w:b/>
          <w:noProof/>
          <w:sz w:val="24"/>
          <w:szCs w:val="24"/>
        </w:rPr>
        <w:instrText xml:space="preserve"> REF _Ref524977859 \h  \* MERGEFORMAT </w:instrText>
      </w:r>
      <w:r>
        <w:rPr>
          <w:b/>
          <w:noProof/>
          <w:sz w:val="24"/>
          <w:szCs w:val="24"/>
        </w:rPr>
      </w:r>
      <w:r>
        <w:rPr>
          <w:b/>
          <w:noProof/>
          <w:sz w:val="24"/>
          <w:szCs w:val="24"/>
        </w:rPr>
        <w:fldChar w:fldCharType="separate"/>
      </w:r>
      <w:r>
        <w:rPr>
          <w:b/>
          <w:noProof/>
          <w:sz w:val="24"/>
          <w:szCs w:val="24"/>
        </w:rPr>
        <w:t>Figure 128</w:t>
      </w:r>
      <w:r>
        <w:rPr>
          <w:b/>
          <w:noProof/>
          <w:sz w:val="24"/>
          <w:szCs w:val="24"/>
        </w:rPr>
        <w:fldChar w:fldCharType="end"/>
      </w:r>
      <w:r>
        <w:rPr>
          <w:noProof/>
          <w:sz w:val="24"/>
          <w:szCs w:val="24"/>
        </w:rPr>
        <w:t xml:space="preserve"> summarises the analysis of the impact of energy cost drivers by sectors. It shows that the magnitude of the various effects across sectors is very diverse. The value of the residual also varies significantly across sectors signalling which sectors have the most robust estimates of the effects. A more detailed analysis by sector can be found in Annex 2.</w:t>
      </w:r>
    </w:p>
    <w:p>
      <w:pPr>
        <w:jc w:val="center"/>
        <w:rPr>
          <w:noProof/>
        </w:rPr>
      </w:pPr>
      <w:r>
        <w:rPr>
          <w:noProof/>
          <w:lang w:eastAsia="en-GB"/>
        </w:rPr>
        <w:drawing>
          <wp:inline distT="0" distB="0" distL="0" distR="0">
            <wp:extent cx="4505325" cy="53039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21061" cy="5322433"/>
                    </a:xfrm>
                    <a:prstGeom prst="rect">
                      <a:avLst/>
                    </a:prstGeom>
                    <a:noFill/>
                    <a:ln>
                      <a:noFill/>
                    </a:ln>
                  </pic:spPr>
                </pic:pic>
              </a:graphicData>
            </a:graphic>
          </wp:inline>
        </w:drawing>
      </w:r>
      <w:r>
        <w:rPr>
          <w:noProof/>
        </w:rPr>
        <w:t xml:space="preserve"> </w:t>
      </w:r>
    </w:p>
    <w:p>
      <w:pPr>
        <w:pStyle w:val="Caption"/>
      </w:pPr>
      <w:bookmarkStart w:id="233" w:name="_Ref524977859"/>
      <w:bookmarkStart w:id="234" w:name="_Ref524977778"/>
      <w:bookmarkStart w:id="235" w:name="_Toc525807872"/>
      <w:bookmarkStart w:id="236" w:name="_Toc526433486"/>
      <w:bookmarkStart w:id="237" w:name="_Toc526433764"/>
      <w:bookmarkStart w:id="238" w:name="_Toc526435706"/>
      <w:bookmarkStart w:id="239" w:name="_Toc530739796"/>
      <w:bookmarkStart w:id="240" w:name="_Toc531178519"/>
      <w:r>
        <w:t xml:space="preserve">Figure </w:t>
      </w:r>
      <w:r>
        <w:fldChar w:fldCharType="begin"/>
      </w:r>
      <w:r>
        <w:instrText xml:space="preserve"> SEQ Figure \* ARABIC </w:instrText>
      </w:r>
      <w:r>
        <w:fldChar w:fldCharType="separate"/>
      </w:r>
      <w:r>
        <w:t>128</w:t>
      </w:r>
      <w:r>
        <w:fldChar w:fldCharType="end"/>
      </w:r>
      <w:bookmarkEnd w:id="233"/>
      <w:r>
        <w:t xml:space="preserve"> - Drivers of change in energy costs in EU manufacturing sectors over 2010-2015 (%)</w:t>
      </w:r>
      <w:bookmarkEnd w:id="234"/>
      <w:bookmarkEnd w:id="235"/>
      <w:bookmarkEnd w:id="236"/>
      <w:bookmarkEnd w:id="237"/>
      <w:bookmarkEnd w:id="238"/>
      <w:bookmarkEnd w:id="239"/>
      <w:bookmarkEnd w:id="240"/>
    </w:p>
    <w:p>
      <w:pPr>
        <w:pStyle w:val="Sources"/>
        <w:rPr>
          <w:noProof/>
        </w:rPr>
      </w:pPr>
      <w:r>
        <w:rPr>
          <w:noProof/>
        </w:rPr>
        <w:t>NB: Industry sectors are ordered according to energy intensity</w:t>
      </w:r>
    </w:p>
    <w:p>
      <w:pPr>
        <w:rPr>
          <w:noProof/>
          <w:sz w:val="24"/>
          <w:szCs w:val="24"/>
        </w:rPr>
      </w:pPr>
    </w:p>
    <w:p>
      <w:pPr>
        <w:rPr>
          <w:noProof/>
          <w:sz w:val="24"/>
          <w:szCs w:val="24"/>
        </w:rPr>
      </w:pPr>
      <w:r>
        <w:rPr>
          <w:noProof/>
          <w:sz w:val="24"/>
          <w:szCs w:val="24"/>
        </w:rPr>
        <w:t xml:space="preserve">The </w:t>
      </w:r>
      <w:r>
        <w:rPr>
          <w:b/>
          <w:noProof/>
          <w:sz w:val="24"/>
          <w:szCs w:val="24"/>
        </w:rPr>
        <w:t>price effect</w:t>
      </w:r>
      <w:r>
        <w:rPr>
          <w:noProof/>
          <w:sz w:val="24"/>
          <w:szCs w:val="24"/>
        </w:rPr>
        <w:t xml:space="preserve"> was positive across almost all industry sectors analysed contributing to a 5%-10% increase in current energy costs over the period 2010-2015. The price effect mainly reflects increases in prices of electricity, which accounts for the largest share of energy consumption for many of the sectors studied. Gas is also important for many energy-intensive industries but gas prices remained roughly stable over the period.</w:t>
      </w:r>
    </w:p>
    <w:p>
      <w:pPr>
        <w:rPr>
          <w:noProof/>
          <w:sz w:val="24"/>
          <w:szCs w:val="24"/>
        </w:rPr>
      </w:pPr>
      <w:r>
        <w:rPr>
          <w:noProof/>
          <w:sz w:val="24"/>
          <w:szCs w:val="24"/>
        </w:rPr>
        <w:t xml:space="preserve">The price effect were modest (contributed a 0-5% increase in energy costs) in sectors like </w:t>
      </w:r>
      <w:r>
        <w:rPr>
          <w:i/>
          <w:noProof/>
          <w:sz w:val="24"/>
          <w:szCs w:val="24"/>
        </w:rPr>
        <w:t xml:space="preserve">Beverages (C11); Weaving of textiles (C132); Cement (C235), Fabricated metal products, except machinery and equipment (C25); Basic chemicals (C201). </w:t>
      </w:r>
      <w:r>
        <w:rPr>
          <w:noProof/>
          <w:sz w:val="24"/>
          <w:szCs w:val="24"/>
        </w:rPr>
        <w:t>In these sectors, the low price effect is largely because production took place in Member States where energy price rises were more modest and/or production shifted to Member States where energy prices are lower</w:t>
      </w:r>
      <w:r>
        <w:rPr>
          <w:rStyle w:val="FootnoteReference"/>
          <w:noProof/>
          <w:sz w:val="24"/>
          <w:szCs w:val="24"/>
        </w:rPr>
        <w:footnoteReference w:id="34"/>
      </w:r>
      <w:r>
        <w:rPr>
          <w:noProof/>
          <w:sz w:val="24"/>
          <w:szCs w:val="24"/>
        </w:rPr>
        <w:t xml:space="preserve">. The decline on oil prices over the period also contributed to bring down the price effect in oil intensive sectors like </w:t>
      </w:r>
      <w:r>
        <w:rPr>
          <w:i/>
          <w:noProof/>
          <w:sz w:val="24"/>
          <w:szCs w:val="24"/>
        </w:rPr>
        <w:t>Basic chemicals (C201)</w:t>
      </w:r>
      <w:r>
        <w:rPr>
          <w:rStyle w:val="FootnoteReference"/>
          <w:i/>
          <w:noProof/>
          <w:sz w:val="24"/>
          <w:szCs w:val="24"/>
        </w:rPr>
        <w:footnoteReference w:id="35"/>
      </w:r>
      <w:r>
        <w:rPr>
          <w:noProof/>
          <w:sz w:val="24"/>
          <w:szCs w:val="24"/>
        </w:rPr>
        <w:t xml:space="preserve"> and particularly C</w:t>
      </w:r>
      <w:r>
        <w:rPr>
          <w:i/>
          <w:noProof/>
          <w:sz w:val="24"/>
          <w:szCs w:val="24"/>
        </w:rPr>
        <w:t>ement (C235)</w:t>
      </w:r>
      <w:r>
        <w:rPr>
          <w:noProof/>
          <w:sz w:val="24"/>
          <w:szCs w:val="24"/>
        </w:rPr>
        <w:t xml:space="preserve">. The largest price effect was estimated in </w:t>
      </w:r>
      <w:r>
        <w:rPr>
          <w:i/>
          <w:noProof/>
          <w:sz w:val="24"/>
          <w:szCs w:val="24"/>
        </w:rPr>
        <w:t>Computer, electronic and optical products (C26)</w:t>
      </w:r>
      <w:r>
        <w:rPr>
          <w:noProof/>
          <w:sz w:val="24"/>
          <w:szCs w:val="24"/>
        </w:rPr>
        <w:t xml:space="preserve"> which relies on electricity very importantly (80% of the sector's energy costs) and is prominently located in Member States which experienced significant electricity price rises over 2010-2015</w:t>
      </w:r>
      <w:r>
        <w:rPr>
          <w:rStyle w:val="FootnoteReference"/>
          <w:noProof/>
          <w:sz w:val="24"/>
          <w:szCs w:val="24"/>
        </w:rPr>
        <w:footnoteReference w:id="36"/>
      </w:r>
      <w:r>
        <w:rPr>
          <w:noProof/>
          <w:sz w:val="24"/>
          <w:szCs w:val="24"/>
        </w:rPr>
        <w:t>.</w:t>
      </w:r>
    </w:p>
    <w:p>
      <w:pPr>
        <w:rPr>
          <w:noProof/>
          <w:sz w:val="24"/>
          <w:szCs w:val="24"/>
        </w:rPr>
      </w:pPr>
      <w:r>
        <w:rPr>
          <w:noProof/>
          <w:sz w:val="24"/>
          <w:szCs w:val="24"/>
        </w:rPr>
        <w:t xml:space="preserve">The </w:t>
      </w:r>
      <w:r>
        <w:rPr>
          <w:b/>
          <w:noProof/>
          <w:sz w:val="24"/>
          <w:szCs w:val="24"/>
        </w:rPr>
        <w:t>real output effect</w:t>
      </w:r>
      <w:r>
        <w:rPr>
          <w:noProof/>
          <w:sz w:val="24"/>
          <w:szCs w:val="24"/>
        </w:rPr>
        <w:t xml:space="preserve"> was negative for most of the more energy-intensive industry sectors and positive for most of the less energy-intensive industry sectors, reflecting that for high energy-intensity industry sectors reductions in energy costs are closely linked to lower economic activity. The sectors (and Member States) that saw the largest falls in real output over 2010-2015 include </w:t>
      </w:r>
      <w:r>
        <w:rPr>
          <w:i/>
          <w:noProof/>
          <w:sz w:val="24"/>
          <w:szCs w:val="24"/>
        </w:rPr>
        <w:t xml:space="preserve">Basic chemicals (C201) </w:t>
      </w:r>
      <w:r>
        <w:rPr>
          <w:noProof/>
          <w:sz w:val="24"/>
          <w:szCs w:val="24"/>
        </w:rPr>
        <w:t xml:space="preserve">in France; </w:t>
      </w:r>
      <w:r>
        <w:rPr>
          <w:i/>
          <w:noProof/>
          <w:sz w:val="24"/>
          <w:szCs w:val="24"/>
        </w:rPr>
        <w:t>Man-made fibres (C206)</w:t>
      </w:r>
      <w:r>
        <w:rPr>
          <w:noProof/>
          <w:sz w:val="24"/>
          <w:szCs w:val="24"/>
        </w:rPr>
        <w:t xml:space="preserve"> in the UK, the Netherlands, Belgium and Spain; </w:t>
      </w:r>
      <w:r>
        <w:rPr>
          <w:i/>
          <w:noProof/>
          <w:sz w:val="24"/>
          <w:szCs w:val="24"/>
        </w:rPr>
        <w:t>Cement (C235)</w:t>
      </w:r>
      <w:r>
        <w:rPr>
          <w:noProof/>
          <w:sz w:val="24"/>
          <w:szCs w:val="24"/>
        </w:rPr>
        <w:t xml:space="preserve"> in Spain, Italy and Greece; </w:t>
      </w:r>
      <w:r>
        <w:rPr>
          <w:i/>
          <w:noProof/>
          <w:sz w:val="24"/>
          <w:szCs w:val="24"/>
        </w:rPr>
        <w:t>Cutting stone (C237)</w:t>
      </w:r>
      <w:r>
        <w:rPr>
          <w:noProof/>
          <w:sz w:val="24"/>
          <w:szCs w:val="24"/>
        </w:rPr>
        <w:t xml:space="preserve"> in Italy and Spain.</w:t>
      </w:r>
    </w:p>
    <w:p>
      <w:pPr>
        <w:rPr>
          <w:noProof/>
          <w:sz w:val="24"/>
          <w:szCs w:val="24"/>
        </w:rPr>
      </w:pPr>
      <w:r>
        <w:rPr>
          <w:noProof/>
          <w:sz w:val="24"/>
          <w:szCs w:val="24"/>
        </w:rPr>
        <w:t xml:space="preserve">The largest positive output effects appeared in sectors which are less affected by energy price increases like the </w:t>
      </w:r>
      <w:r>
        <w:rPr>
          <w:i/>
          <w:noProof/>
          <w:sz w:val="24"/>
          <w:szCs w:val="24"/>
        </w:rPr>
        <w:t>Motor vehicles (C29)</w:t>
      </w:r>
      <w:r>
        <w:rPr>
          <w:noProof/>
          <w:sz w:val="24"/>
          <w:szCs w:val="24"/>
        </w:rPr>
        <w:t xml:space="preserve"> and </w:t>
      </w:r>
      <w:r>
        <w:rPr>
          <w:i/>
          <w:noProof/>
          <w:sz w:val="24"/>
          <w:szCs w:val="24"/>
        </w:rPr>
        <w:t>Other transport equipment (C30)</w:t>
      </w:r>
      <w:r>
        <w:rPr>
          <w:noProof/>
          <w:sz w:val="24"/>
          <w:szCs w:val="24"/>
        </w:rPr>
        <w:t>, where rises in real output</w:t>
      </w:r>
      <w:r>
        <w:rPr>
          <w:rStyle w:val="FootnoteReference"/>
          <w:noProof/>
          <w:sz w:val="24"/>
          <w:szCs w:val="24"/>
        </w:rPr>
        <w:footnoteReference w:id="37"/>
      </w:r>
      <w:r>
        <w:rPr>
          <w:noProof/>
          <w:sz w:val="24"/>
          <w:szCs w:val="24"/>
        </w:rPr>
        <w:t xml:space="preserve"> contributed to a 23% and 10% increase in energy costs, respectively.</w:t>
      </w:r>
    </w:p>
    <w:p>
      <w:pPr>
        <w:rPr>
          <w:noProof/>
          <w:sz w:val="24"/>
          <w:szCs w:val="24"/>
        </w:rPr>
      </w:pPr>
      <w:r>
        <w:rPr>
          <w:b/>
          <w:noProof/>
          <w:sz w:val="24"/>
          <w:szCs w:val="24"/>
        </w:rPr>
        <w:t>Energy-intensity</w:t>
      </w:r>
      <w:r>
        <w:rPr>
          <w:noProof/>
          <w:sz w:val="24"/>
          <w:szCs w:val="24"/>
        </w:rPr>
        <w:t xml:space="preserve"> </w:t>
      </w:r>
      <w:r>
        <w:rPr>
          <w:b/>
          <w:noProof/>
          <w:sz w:val="24"/>
          <w:szCs w:val="24"/>
        </w:rPr>
        <w:t>effects</w:t>
      </w:r>
      <w:r>
        <w:rPr>
          <w:noProof/>
          <w:sz w:val="24"/>
          <w:szCs w:val="24"/>
        </w:rPr>
        <w:t xml:space="preserve"> suggest that, in most cases, the energy intensity of manufacturing industries fell over the period. These results have however to be taken with precaution as, in many cases, they are reliant on data (or estimations) from very few countries</w:t>
      </w:r>
      <w:r>
        <w:rPr>
          <w:rStyle w:val="FootnoteReference"/>
          <w:noProof/>
          <w:sz w:val="24"/>
          <w:szCs w:val="24"/>
        </w:rPr>
        <w:footnoteReference w:id="38"/>
      </w:r>
      <w:r>
        <w:rPr>
          <w:noProof/>
          <w:sz w:val="24"/>
          <w:szCs w:val="24"/>
        </w:rPr>
        <w:t>. The negative energy intensity effect can represent improvements in energy efficiency (due to behavioural change or investments in more energy efficient processes in response to higher prices or policies</w:t>
      </w:r>
      <w:r>
        <w:rPr>
          <w:rStyle w:val="FootnoteReference"/>
          <w:noProof/>
          <w:sz w:val="24"/>
          <w:szCs w:val="24"/>
        </w:rPr>
        <w:footnoteReference w:id="39"/>
      </w:r>
      <w:r>
        <w:rPr>
          <w:noProof/>
          <w:sz w:val="24"/>
          <w:szCs w:val="24"/>
        </w:rPr>
        <w:t>) but also structural changes within sectors (as there can be considerable heterogeneity at the level of aggregation studied, i.e. NACE 3-digit level)</w:t>
      </w:r>
      <w:r>
        <w:rPr>
          <w:rStyle w:val="FootnoteReference"/>
          <w:noProof/>
          <w:sz w:val="24"/>
          <w:szCs w:val="24"/>
        </w:rPr>
        <w:footnoteReference w:id="40"/>
      </w:r>
      <w:r>
        <w:rPr>
          <w:noProof/>
          <w:sz w:val="24"/>
          <w:szCs w:val="24"/>
        </w:rPr>
        <w:t>. It is interesting to see that reduction in (real) energy intensity appeared systematically among the ‘less energy-intensive’ sectors while it was not always the case for the 'most energy-intensive sectors'. This however might be due to the fact that data for the most energy-intensive industry sectors was sparser.</w:t>
      </w:r>
    </w:p>
    <w:p>
      <w:pPr>
        <w:spacing w:after="0"/>
        <w:jc w:val="left"/>
        <w:rPr>
          <w:noProof/>
        </w:rPr>
      </w:pPr>
      <w:r>
        <w:rPr>
          <w:noProof/>
        </w:rPr>
        <w:br w:type="page"/>
      </w:r>
    </w:p>
    <w:p>
      <w:pPr>
        <w:rPr>
          <w:noProof/>
        </w:rPr>
      </w:pPr>
    </w:p>
    <w:p>
      <w:pPr>
        <w:pStyle w:val="Heading3"/>
        <w:numPr>
          <w:ilvl w:val="2"/>
          <w:numId w:val="1"/>
        </w:numPr>
        <w:rPr>
          <w:noProof/>
        </w:rPr>
      </w:pPr>
      <w:bookmarkStart w:id="241" w:name="_Toc468890479"/>
      <w:r>
        <w:rPr>
          <w:noProof/>
        </w:rPr>
        <w:t xml:space="preserve"> </w:t>
      </w:r>
      <w:bookmarkStart w:id="242" w:name="_Toc524619525"/>
      <w:bookmarkStart w:id="243" w:name="_Toc524961072"/>
      <w:bookmarkStart w:id="244" w:name="_Toc525143033"/>
      <w:bookmarkStart w:id="245" w:name="_Toc525222190"/>
      <w:bookmarkStart w:id="246" w:name="_Toc525222359"/>
      <w:bookmarkStart w:id="247" w:name="_Toc526420756"/>
      <w:bookmarkStart w:id="248" w:name="_Toc526433982"/>
      <w:bookmarkStart w:id="249" w:name="_Toc526435924"/>
      <w:bookmarkStart w:id="250" w:name="_Toc530595254"/>
      <w:bookmarkStart w:id="251" w:name="_Toc531178333"/>
      <w:r>
        <w:rPr>
          <w:noProof/>
        </w:rPr>
        <w:t>Impact of energy costs on Total Production Costs</w:t>
      </w:r>
      <w:bookmarkEnd w:id="242"/>
      <w:bookmarkEnd w:id="243"/>
      <w:bookmarkEnd w:id="244"/>
      <w:bookmarkEnd w:id="245"/>
      <w:bookmarkEnd w:id="246"/>
      <w:bookmarkEnd w:id="247"/>
      <w:bookmarkEnd w:id="248"/>
      <w:bookmarkEnd w:id="249"/>
      <w:bookmarkEnd w:id="250"/>
      <w:bookmarkEnd w:id="251"/>
      <w:r>
        <w:rPr>
          <w:noProof/>
        </w:rPr>
        <w:t xml:space="preserve"> </w:t>
      </w:r>
      <w:bookmarkEnd w:id="241"/>
    </w:p>
    <w:p>
      <w:pPr>
        <w:tabs>
          <w:tab w:val="left" w:pos="3870"/>
        </w:tabs>
        <w:rPr>
          <w:noProof/>
        </w:rPr>
      </w:pPr>
      <w:r>
        <w:rPr>
          <w:noProof/>
        </w:rPr>
        <w:tab/>
      </w:r>
    </w:p>
    <w:p>
      <w:pPr>
        <w:rPr>
          <w:noProof/>
          <w:sz w:val="24"/>
          <w:szCs w:val="24"/>
        </w:rPr>
      </w:pPr>
      <w:r>
        <w:rPr>
          <w:noProof/>
          <w:sz w:val="24"/>
          <w:szCs w:val="24"/>
        </w:rPr>
        <w:t>Based on Eurostat SBS data for energy purchases and total production costs, this section assesses the results of the decomposition of total production costs in order to assess the extent to which total production costs were driven by changes in energy costs.</w:t>
      </w:r>
    </w:p>
    <w:p>
      <w:pPr>
        <w:rPr>
          <w:noProof/>
        </w:rPr>
      </w:pPr>
      <w:r>
        <w:rPr>
          <w:noProof/>
        </w:rPr>
        <w:t xml:space="preserve"> </w:t>
      </w:r>
    </w:p>
    <w:p>
      <w:pPr>
        <w:spacing w:before="240" w:line="280" w:lineRule="exact"/>
        <w:rPr>
          <w:rFonts w:eastAsiaTheme="minorEastAsia"/>
          <w:noProof/>
          <w:snapToGrid w:val="0"/>
        </w:rPr>
      </w:pPr>
      <m:oMathPara>
        <m:oMath>
          <m:r>
            <w:rPr>
              <w:rFonts w:ascii="Cambria Math" w:eastAsia="Times New Roman" w:hAnsi="Cambria Math"/>
              <w:noProof/>
              <w:snapToGrid w:val="0"/>
            </w:rPr>
            <m:t xml:space="preserve">Total production costs= Energy costs+ Other costs of production </m:t>
          </m:r>
        </m:oMath>
      </m:oMathPara>
    </w:p>
    <w:p>
      <w:pPr>
        <w:spacing w:before="240" w:line="280" w:lineRule="exact"/>
        <w:rPr>
          <w:rFonts w:eastAsiaTheme="minorEastAsia"/>
          <w:noProof/>
          <w:snapToGrid w:val="0"/>
        </w:rPr>
      </w:pPr>
      <m:oMathPara>
        <m:oMath>
          <m:r>
            <w:rPr>
              <w:rFonts w:ascii="Cambria Math" w:eastAsia="Times New Roman" w:hAnsi="Cambria Math"/>
              <w:noProof/>
              <w:snapToGrid w:val="0"/>
            </w:rPr>
            <m:t>∆Total production costs =∆Energy costs+ ∆Other costs of production</m:t>
          </m:r>
        </m:oMath>
      </m:oMathPara>
    </w:p>
    <w:p>
      <w:pPr>
        <w:jc w:val="center"/>
        <w:rPr>
          <w:b/>
          <w:noProof/>
        </w:rPr>
      </w:pPr>
    </w:p>
    <w:p>
      <w:pPr>
        <w:rPr>
          <w:noProof/>
          <w:sz w:val="24"/>
          <w:szCs w:val="24"/>
        </w:rPr>
      </w:pPr>
      <w:r>
        <w:rPr>
          <w:noProof/>
          <w:sz w:val="24"/>
          <w:szCs w:val="24"/>
        </w:rPr>
        <w:t xml:space="preserve">The result of the analysis by </w:t>
      </w:r>
      <w:r>
        <w:rPr>
          <w:i/>
          <w:noProof/>
          <w:sz w:val="24"/>
          <w:szCs w:val="24"/>
        </w:rPr>
        <w:t>Trinomics et altri</w:t>
      </w:r>
      <w:r>
        <w:rPr>
          <w:noProof/>
          <w:sz w:val="24"/>
          <w:szCs w:val="24"/>
        </w:rPr>
        <w:t xml:space="preserve"> estimates that, at aggregated level, energy costs had a close to zero impact on increasing total production costs over the period of study (2010-2015). </w:t>
      </w:r>
    </w:p>
    <w:p>
      <w:pPr>
        <w:rPr>
          <w:noProof/>
          <w:sz w:val="24"/>
          <w:szCs w:val="24"/>
        </w:rPr>
      </w:pPr>
      <w:r>
        <w:rPr>
          <w:noProof/>
          <w:sz w:val="24"/>
          <w:szCs w:val="24"/>
        </w:rPr>
        <w:t xml:space="preserve">At sector level, the impact of </w:t>
      </w:r>
      <w:bookmarkStart w:id="252" w:name="_Hlk519526008"/>
      <w:r>
        <w:rPr>
          <w:noProof/>
          <w:sz w:val="24"/>
          <w:szCs w:val="24"/>
        </w:rPr>
        <w:t xml:space="preserve">changes in energy costs on total production costs was more diverse (See </w:t>
      </w:r>
      <w:r>
        <w:rPr>
          <w:noProof/>
          <w:sz w:val="24"/>
          <w:szCs w:val="24"/>
        </w:rPr>
        <w:fldChar w:fldCharType="begin"/>
      </w:r>
      <w:r>
        <w:rPr>
          <w:noProof/>
          <w:sz w:val="24"/>
          <w:szCs w:val="24"/>
        </w:rPr>
        <w:instrText xml:space="preserve"> REF _Ref525053343 \h  \* MERGEFORMAT </w:instrText>
      </w:r>
      <w:r>
        <w:rPr>
          <w:noProof/>
          <w:sz w:val="24"/>
          <w:szCs w:val="24"/>
        </w:rPr>
      </w:r>
      <w:r>
        <w:rPr>
          <w:noProof/>
          <w:sz w:val="24"/>
          <w:szCs w:val="24"/>
        </w:rPr>
        <w:fldChar w:fldCharType="separate"/>
      </w:r>
      <w:r>
        <w:rPr>
          <w:noProof/>
          <w:sz w:val="24"/>
          <w:szCs w:val="24"/>
        </w:rPr>
        <w:t>Table 12</w:t>
      </w:r>
      <w:r>
        <w:rPr>
          <w:noProof/>
          <w:sz w:val="24"/>
          <w:szCs w:val="24"/>
        </w:rPr>
        <w:fldChar w:fldCharType="end"/>
      </w:r>
      <w:r>
        <w:rPr>
          <w:noProof/>
          <w:sz w:val="24"/>
          <w:szCs w:val="24"/>
        </w:rPr>
        <w:t>), ranging from -8% to +1%. I</w:t>
      </w:r>
      <w:bookmarkEnd w:id="252"/>
      <w:r>
        <w:rPr>
          <w:noProof/>
          <w:sz w:val="24"/>
          <w:szCs w:val="24"/>
        </w:rPr>
        <w:t xml:space="preserve">n almost all cases the impact of energy costs was smaller than other cost drivers. Energy costs drove significant reductions in total costs of production in </w:t>
      </w:r>
      <w:r>
        <w:rPr>
          <w:i/>
          <w:noProof/>
          <w:sz w:val="24"/>
          <w:szCs w:val="24"/>
        </w:rPr>
        <w:t xml:space="preserve">Cement (-8%), Basic iron and steel (-3%), Paper (-2%), Man-made fibres (-2%), Clay building materials (-1%), Basic chemicals (-1%), Casting of metals (-1%) </w:t>
      </w:r>
      <w:r>
        <w:rPr>
          <w:noProof/>
          <w:sz w:val="24"/>
          <w:szCs w:val="24"/>
        </w:rPr>
        <w:t>and</w:t>
      </w:r>
      <w:r>
        <w:rPr>
          <w:i/>
          <w:noProof/>
          <w:sz w:val="24"/>
          <w:szCs w:val="24"/>
        </w:rPr>
        <w:t xml:space="preserve"> Cutting of stone (-1%). Cement</w:t>
      </w:r>
      <w:r>
        <w:rPr>
          <w:noProof/>
          <w:sz w:val="24"/>
          <w:szCs w:val="24"/>
        </w:rPr>
        <w:t xml:space="preserve"> was the only sector in which energy costs explained more than half of the reduction in total production costs, with energy costs falling primarily due to reductions in output. Among the less energy intensive sectors,</w:t>
      </w:r>
      <w:r>
        <w:rPr>
          <w:i/>
          <w:noProof/>
          <w:sz w:val="24"/>
          <w:szCs w:val="24"/>
        </w:rPr>
        <w:t xml:space="preserve"> </w:t>
      </w:r>
      <w:r>
        <w:rPr>
          <w:noProof/>
          <w:sz w:val="24"/>
          <w:szCs w:val="24"/>
        </w:rPr>
        <w:t xml:space="preserve">energy costs (mainly driven by efficiency improvements, structural change and lower real output) had a negative impact on production costs only for </w:t>
      </w:r>
      <w:r>
        <w:rPr>
          <w:i/>
          <w:noProof/>
          <w:sz w:val="24"/>
          <w:szCs w:val="24"/>
        </w:rPr>
        <w:t>Weaving of textiles (-2%)</w:t>
      </w:r>
      <w:r>
        <w:rPr>
          <w:noProof/>
          <w:sz w:val="24"/>
          <w:szCs w:val="24"/>
        </w:rPr>
        <w:t>.</w:t>
      </w:r>
    </w:p>
    <w:p>
      <w:pPr>
        <w:pStyle w:val="Caption"/>
      </w:pPr>
      <w:bookmarkStart w:id="253" w:name="_Ref525053343"/>
      <w:bookmarkStart w:id="254" w:name="_Toc525817557"/>
      <w:bookmarkStart w:id="255" w:name="_Toc526433347"/>
      <w:bookmarkStart w:id="256" w:name="_Toc526433600"/>
      <w:bookmarkStart w:id="257" w:name="_Toc526435542"/>
      <w:bookmarkStart w:id="258" w:name="_Toc531178640"/>
      <w:r>
        <w:t xml:space="preserve">Table </w:t>
      </w:r>
      <w:r>
        <w:fldChar w:fldCharType="begin"/>
      </w:r>
      <w:r>
        <w:instrText xml:space="preserve"> SEQ Table \* ARABIC </w:instrText>
      </w:r>
      <w:r>
        <w:fldChar w:fldCharType="separate"/>
      </w:r>
      <w:r>
        <w:t>12</w:t>
      </w:r>
      <w:r>
        <w:fldChar w:fldCharType="end"/>
      </w:r>
      <w:bookmarkEnd w:id="253"/>
      <w:r>
        <w:t>- Drivers of total production costs in manufacturing sectors</w:t>
      </w:r>
      <w:bookmarkEnd w:id="254"/>
      <w:bookmarkEnd w:id="255"/>
      <w:bookmarkEnd w:id="256"/>
      <w:bookmarkEnd w:id="257"/>
      <w:bookmarkEnd w:id="258"/>
    </w:p>
    <w:tbl>
      <w:tblPr>
        <w:tblStyle w:val="Table17"/>
        <w:tblW w:w="8784" w:type="dxa"/>
        <w:tblLayout w:type="fixed"/>
        <w:tblLook w:val="04A0" w:firstRow="1" w:lastRow="0" w:firstColumn="1" w:lastColumn="0" w:noHBand="0" w:noVBand="1"/>
      </w:tblPr>
      <w:tblGrid>
        <w:gridCol w:w="704"/>
        <w:gridCol w:w="3260"/>
        <w:gridCol w:w="1276"/>
        <w:gridCol w:w="1134"/>
        <w:gridCol w:w="1276"/>
        <w:gridCol w:w="1134"/>
      </w:tblGrid>
      <w:tr>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04" w:type="dxa"/>
          </w:tcPr>
          <w:p>
            <w:pPr>
              <w:rPr>
                <w:rFonts w:eastAsia="Times New Roman" w:cs="Times New Roman"/>
                <w:noProof/>
                <w:sz w:val="16"/>
                <w:szCs w:val="16"/>
                <w:lang w:eastAsia="fr-FR"/>
              </w:rPr>
            </w:pPr>
            <w:r>
              <w:rPr>
                <w:rFonts w:eastAsia="Times New Roman" w:cs="Times New Roman"/>
                <w:noProof/>
                <w:sz w:val="16"/>
                <w:szCs w:val="16"/>
                <w:lang w:eastAsia="fr-FR"/>
              </w:rPr>
              <w:t>Code</w:t>
            </w:r>
          </w:p>
        </w:tc>
        <w:tc>
          <w:tcPr>
            <w:tcW w:w="3260" w:type="dxa"/>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rFonts w:eastAsia="Times New Roman" w:cs="Times New Roman"/>
                <w:noProof/>
                <w:sz w:val="16"/>
                <w:szCs w:val="16"/>
                <w:lang w:eastAsia="fr-FR"/>
              </w:rPr>
              <w:t>Description</w:t>
            </w:r>
          </w:p>
        </w:tc>
        <w:tc>
          <w:tcPr>
            <w:tcW w:w="1276"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Main energy carrier used by sector</w:t>
            </w:r>
          </w:p>
        </w:tc>
        <w:tc>
          <w:tcPr>
            <w:tcW w:w="1134"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Energy cost effect</w:t>
            </w:r>
          </w:p>
        </w:tc>
        <w:tc>
          <w:tcPr>
            <w:tcW w:w="1276"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Other cost effect</w:t>
            </w:r>
          </w:p>
        </w:tc>
        <w:tc>
          <w:tcPr>
            <w:tcW w:w="1134"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Total effect</w:t>
            </w:r>
          </w:p>
        </w:tc>
      </w:tr>
      <w:tr>
        <w:trPr>
          <w:trHeight w:val="255"/>
        </w:trPr>
        <w:tc>
          <w:tcPr>
            <w:cnfStyle w:val="001000000000" w:firstRow="0" w:lastRow="0" w:firstColumn="1" w:lastColumn="0" w:oddVBand="0" w:evenVBand="0" w:oddHBand="0" w:evenHBand="0" w:firstRowFirstColumn="0" w:firstRowLastColumn="0" w:lastRowFirstColumn="0" w:lastRowLastColumn="0"/>
            <w:tcW w:w="8784" w:type="dxa"/>
            <w:gridSpan w:val="6"/>
          </w:tcPr>
          <w:p>
            <w:pPr>
              <w:jc w:val="center"/>
              <w:rPr>
                <w:rFonts w:eastAsia="Times New Roman" w:cs="Times New Roman"/>
                <w:b/>
                <w:i/>
                <w:noProof/>
                <w:color w:val="000000"/>
                <w:sz w:val="16"/>
                <w:szCs w:val="16"/>
                <w:lang w:eastAsia="fr-FR"/>
              </w:rPr>
            </w:pPr>
            <w:r>
              <w:rPr>
                <w:rFonts w:eastAsia="Times New Roman" w:cs="Times New Roman"/>
                <w:b/>
                <w:i/>
                <w:noProof/>
                <w:color w:val="000000"/>
                <w:sz w:val="16"/>
                <w:szCs w:val="16"/>
                <w:lang w:eastAsia="fr-FR"/>
              </w:rPr>
              <w:t>High energy-intensity sectors</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C235</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cement, lime and plaster</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Oil</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-8%</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-7%</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-15%</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i/>
                <w:iCs/>
                <w:noProof/>
                <w:color w:val="000000"/>
                <w:sz w:val="16"/>
                <w:szCs w:val="16"/>
              </w:rPr>
            </w:pPr>
            <w:r>
              <w:rPr>
                <w:noProof/>
                <w:sz w:val="16"/>
                <w:szCs w:val="16"/>
              </w:rPr>
              <w:t>C233</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clay building materials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i/>
                <w:iCs/>
                <w:noProof/>
                <w:color w:val="000000"/>
                <w:sz w:val="16"/>
                <w:szCs w:val="16"/>
              </w:rPr>
            </w:pPr>
            <w:r>
              <w:rPr>
                <w:noProof/>
                <w:sz w:val="16"/>
                <w:szCs w:val="16"/>
              </w:rPr>
              <w:t>C171</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pulp, paper and paperboard</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7%</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C231</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glass and glass products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C241</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basic iron and steel and of ferro-alloys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-8%</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-10%</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C206</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man-made fibres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-7%</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C232</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refractory products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C201</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basic chemicals, fertilisers and nitrogen compounds, plastics and synthetic rubber in primary forms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7%</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7%</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C239</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abrasive products and non-metallic mineral products n.e.c.</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10%</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C245</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Casting of metals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C234</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other porcelain and ceramic products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14%</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14%</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C192</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refined petroleum products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Oil (chemical feedstock); Natural Gas (energy input)</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-15%</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-14%</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C244</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basic precious and other non-ferrous metals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17%</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17%</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C237</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Cutting, shaping and finishing of stone</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-20%</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-21%</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C161</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Sawmilling and planing of wood</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22%</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22%</w:t>
            </w:r>
          </w:p>
        </w:tc>
      </w:tr>
      <w:tr>
        <w:trPr>
          <w:trHeight w:val="255"/>
        </w:trPr>
        <w:tc>
          <w:tcPr>
            <w:cnfStyle w:val="001000000000" w:firstRow="0" w:lastRow="0" w:firstColumn="1" w:lastColumn="0" w:oddVBand="0" w:evenVBand="0" w:oddHBand="0" w:evenHBand="0" w:firstRowFirstColumn="0" w:firstRowLastColumn="0" w:lastRowFirstColumn="0" w:lastRowLastColumn="0"/>
            <w:tcW w:w="8784" w:type="dxa"/>
            <w:gridSpan w:val="6"/>
          </w:tcPr>
          <w:p>
            <w:pPr>
              <w:jc w:val="center"/>
              <w:rPr>
                <w:rFonts w:eastAsia="Times New Roman" w:cs="Times New Roman"/>
                <w:b/>
                <w:noProof/>
                <w:color w:val="000000"/>
                <w:sz w:val="16"/>
                <w:szCs w:val="16"/>
                <w:lang w:eastAsia="fr-FR"/>
              </w:rPr>
            </w:pPr>
            <w:r>
              <w:rPr>
                <w:rFonts w:eastAsia="Times New Roman" w:cs="Times New Roman"/>
                <w:b/>
                <w:i/>
                <w:noProof/>
                <w:color w:val="000000"/>
                <w:sz w:val="16"/>
                <w:szCs w:val="16"/>
                <w:lang w:eastAsia="fr-FR"/>
              </w:rPr>
              <w:t>Lower energy-intensity sectors</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C106</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grain mill products, starches and starch products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23%</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23%</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C222</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plastics products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18%</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18%</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C172</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articles of paper and paperboard</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C103</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Processing and preserving of fruit and vegetables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25%</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26%</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C11</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beverages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6%</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6%</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C132</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Weaving of textiles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C25</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fabricated metal products, except machinery and equipment</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C21</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basic pharmaceutical products and pharmaceutical preparations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17%</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17%</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C32</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Other manufacturing</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15%</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15%</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C33</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Repair and installation of machinery and equipment</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14%</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14%</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C27</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electrical equipment</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10%</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C28</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machinery and equipment n.e.c.</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22%</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22%</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C26</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computer, electronic and optical products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C30</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other transport equipment</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Natural Gas</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28%</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28%</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noProof/>
                <w:sz w:val="16"/>
                <w:szCs w:val="16"/>
              </w:rPr>
            </w:pPr>
            <w:r>
              <w:rPr>
                <w:noProof/>
                <w:sz w:val="16"/>
                <w:szCs w:val="16"/>
              </w:rPr>
              <w:t>C29</w:t>
            </w:r>
          </w:p>
        </w:tc>
        <w:tc>
          <w:tcPr>
            <w:tcW w:w="3260"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Manufacture of motor vehicles, trailers and semi-trailers</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Electricity</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1276"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42%</w:t>
            </w:r>
          </w:p>
        </w:tc>
        <w:tc>
          <w:tcPr>
            <w:tcW w:w="1134"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42%</w:t>
            </w:r>
          </w:p>
        </w:tc>
      </w:tr>
    </w:tbl>
    <w:p>
      <w:pPr>
        <w:pStyle w:val="Sources"/>
        <w:rPr>
          <w:noProof/>
        </w:rPr>
      </w:pPr>
      <w:r>
        <w:rPr>
          <w:noProof/>
        </w:rPr>
        <w:t>Source: Trinomics et altri study</w:t>
      </w:r>
    </w:p>
    <w:p>
      <w:pPr>
        <w:rPr>
          <w:noProof/>
          <w:color w:val="000000" w:themeColor="text1"/>
          <w:sz w:val="24"/>
          <w:szCs w:val="24"/>
          <w:lang w:eastAsia="de-DE"/>
        </w:rPr>
      </w:pPr>
    </w:p>
    <w:p>
      <w:pPr>
        <w:pStyle w:val="Heading3"/>
        <w:numPr>
          <w:ilvl w:val="2"/>
          <w:numId w:val="1"/>
        </w:numPr>
        <w:rPr>
          <w:noProof/>
        </w:rPr>
      </w:pPr>
      <w:bookmarkStart w:id="259" w:name="_Toc524619526"/>
      <w:bookmarkStart w:id="260" w:name="_Toc524961073"/>
      <w:bookmarkStart w:id="261" w:name="_Toc525143034"/>
      <w:bookmarkStart w:id="262" w:name="_Toc525222191"/>
      <w:bookmarkStart w:id="263" w:name="_Toc525222360"/>
      <w:bookmarkStart w:id="264" w:name="_Toc526420757"/>
      <w:bookmarkStart w:id="265" w:name="_Toc526433983"/>
      <w:bookmarkStart w:id="266" w:name="_Toc526435925"/>
      <w:bookmarkStart w:id="267" w:name="_Toc530595255"/>
      <w:bookmarkStart w:id="268" w:name="_Toc531178334"/>
      <w:r>
        <w:rPr>
          <w:noProof/>
        </w:rPr>
        <w:t>Drivers of the energy costs as a share of production costs</w:t>
      </w:r>
      <w:bookmarkEnd w:id="259"/>
      <w:bookmarkEnd w:id="260"/>
      <w:bookmarkEnd w:id="261"/>
      <w:bookmarkEnd w:id="262"/>
      <w:bookmarkEnd w:id="263"/>
      <w:bookmarkEnd w:id="264"/>
      <w:bookmarkEnd w:id="265"/>
      <w:bookmarkEnd w:id="266"/>
      <w:bookmarkEnd w:id="267"/>
      <w:bookmarkEnd w:id="268"/>
      <w:r>
        <w:rPr>
          <w:noProof/>
        </w:rPr>
        <w:t xml:space="preserve"> </w:t>
      </w:r>
    </w:p>
    <w:p>
      <w:pPr>
        <w:rPr>
          <w:noProof/>
          <w:sz w:val="24"/>
          <w:szCs w:val="24"/>
        </w:rPr>
      </w:pPr>
    </w:p>
    <w:p>
      <w:pPr>
        <w:rPr>
          <w:noProof/>
          <w:sz w:val="24"/>
          <w:szCs w:val="24"/>
        </w:rPr>
      </w:pPr>
      <w:r>
        <w:rPr>
          <w:noProof/>
          <w:sz w:val="24"/>
          <w:szCs w:val="24"/>
        </w:rPr>
        <w:t>The energy costs shares in total production costs (</w:t>
      </w:r>
      <m:oMath>
        <m:r>
          <w:rPr>
            <w:rFonts w:ascii="Cambria Math" w:hAnsi="Cambria Math"/>
            <w:noProof/>
            <w:sz w:val="24"/>
            <w:szCs w:val="24"/>
          </w:rPr>
          <m:t xml:space="preserve"> </m:t>
        </m:r>
        <m:f>
          <m:fPr>
            <m:ctrlPr>
              <w:rPr>
                <w:rFonts w:ascii="Cambria Math" w:hAnsi="Cambria Math"/>
                <w:i/>
                <w:noProof/>
                <w:sz w:val="24"/>
                <w:szCs w:val="24"/>
              </w:rPr>
            </m:ctrlPr>
          </m:fPr>
          <m:num>
            <m:r>
              <w:rPr>
                <w:rFonts w:ascii="Cambria Math" w:hAnsi="Cambria Math"/>
                <w:noProof/>
                <w:sz w:val="24"/>
                <w:szCs w:val="24"/>
              </w:rPr>
              <m:t>Energy costs</m:t>
            </m:r>
          </m:num>
          <m:den>
            <m:r>
              <w:rPr>
                <w:rFonts w:ascii="Cambria Math" w:hAnsi="Cambria Math"/>
                <w:noProof/>
                <w:sz w:val="24"/>
                <w:szCs w:val="24"/>
              </w:rPr>
              <m:t>Total production costs</m:t>
            </m:r>
          </m:den>
        </m:f>
        <m:r>
          <w:rPr>
            <w:rFonts w:ascii="Cambria Math" w:hAnsi="Cambria Math"/>
            <w:noProof/>
            <w:sz w:val="24"/>
            <w:szCs w:val="24"/>
          </w:rPr>
          <m:t xml:space="preserve"> </m:t>
        </m:r>
      </m:oMath>
      <w:r>
        <w:rPr>
          <w:noProof/>
          <w:sz w:val="24"/>
          <w:szCs w:val="24"/>
        </w:rPr>
        <w:t xml:space="preserve">) is a useful measure for assessing energy cost impacts. It is therefore interesting to see how this ratio has been affected by the dynamics in energy costs (the numerator of the ratio) and total production costs (the denominator). </w:t>
      </w:r>
    </w:p>
    <w:p>
      <w:pPr>
        <w:pStyle w:val="Caption"/>
      </w:pPr>
      <w:bookmarkStart w:id="269" w:name="_Ref525056742"/>
      <w:bookmarkStart w:id="270" w:name="_Toc525817558"/>
      <w:bookmarkStart w:id="271" w:name="_Toc526433348"/>
      <w:bookmarkStart w:id="272" w:name="_Toc526433601"/>
      <w:bookmarkStart w:id="273" w:name="_Toc526435543"/>
      <w:bookmarkStart w:id="274" w:name="_Toc531178641"/>
      <w:r>
        <w:t xml:space="preserve">Table </w:t>
      </w:r>
      <w:r>
        <w:fldChar w:fldCharType="begin"/>
      </w:r>
      <w:r>
        <w:instrText xml:space="preserve"> SEQ Table \* ARABIC </w:instrText>
      </w:r>
      <w:r>
        <w:fldChar w:fldCharType="separate"/>
      </w:r>
      <w:r>
        <w:t>13</w:t>
      </w:r>
      <w:r>
        <w:fldChar w:fldCharType="end"/>
      </w:r>
      <w:bookmarkEnd w:id="269"/>
      <w:r>
        <w:t xml:space="preserve"> - Changes in energy costs and total production costs by sector</w:t>
      </w:r>
      <w:bookmarkEnd w:id="270"/>
      <w:bookmarkEnd w:id="271"/>
      <w:bookmarkEnd w:id="272"/>
      <w:bookmarkEnd w:id="273"/>
      <w:bookmarkEnd w:id="274"/>
    </w:p>
    <w:tbl>
      <w:tblPr>
        <w:tblStyle w:val="Table17"/>
        <w:tblW w:w="8784" w:type="dxa"/>
        <w:tblLayout w:type="fixed"/>
        <w:tblLook w:val="04A0" w:firstRow="1" w:lastRow="0" w:firstColumn="1" w:lastColumn="0" w:noHBand="0" w:noVBand="1"/>
      </w:tblPr>
      <w:tblGrid>
        <w:gridCol w:w="704"/>
        <w:gridCol w:w="3119"/>
        <w:gridCol w:w="1275"/>
        <w:gridCol w:w="1228"/>
        <w:gridCol w:w="1229"/>
        <w:gridCol w:w="1229"/>
      </w:tblGrid>
      <w:tr>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04" w:type="dxa"/>
          </w:tcPr>
          <w:p>
            <w:pPr>
              <w:rPr>
                <w:rFonts w:eastAsia="Times New Roman" w:cs="Times New Roman"/>
                <w:noProof/>
                <w:sz w:val="16"/>
                <w:szCs w:val="16"/>
                <w:lang w:eastAsia="fr-FR"/>
              </w:rPr>
            </w:pPr>
            <w:bookmarkStart w:id="275" w:name="_Hlk523231813"/>
            <w:r>
              <w:rPr>
                <w:rFonts w:eastAsia="Times New Roman" w:cs="Times New Roman"/>
                <w:noProof/>
                <w:sz w:val="16"/>
                <w:szCs w:val="16"/>
                <w:lang w:eastAsia="fr-FR"/>
              </w:rPr>
              <w:t>Code</w:t>
            </w:r>
          </w:p>
        </w:tc>
        <w:tc>
          <w:tcPr>
            <w:tcW w:w="3119" w:type="dxa"/>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rFonts w:eastAsia="Times New Roman" w:cs="Times New Roman"/>
                <w:noProof/>
                <w:sz w:val="16"/>
                <w:szCs w:val="16"/>
                <w:lang w:eastAsia="fr-FR"/>
              </w:rPr>
              <w:t>Description</w:t>
            </w:r>
          </w:p>
        </w:tc>
        <w:tc>
          <w:tcPr>
            <w:tcW w:w="1275"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Main energy carrier used by sector</w:t>
            </w:r>
          </w:p>
        </w:tc>
        <w:tc>
          <w:tcPr>
            <w:tcW w:w="1228"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Change in energy costs (%)</w:t>
            </w:r>
          </w:p>
        </w:tc>
        <w:tc>
          <w:tcPr>
            <w:tcW w:w="1229"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Change in total production costs (%)</w:t>
            </w:r>
          </w:p>
        </w:tc>
        <w:tc>
          <w:tcPr>
            <w:tcW w:w="1229"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Percentage point change in ratio of energy costs in total costs</w:t>
            </w:r>
          </w:p>
        </w:tc>
      </w:tr>
      <w:tr>
        <w:trPr>
          <w:trHeight w:val="255"/>
        </w:trPr>
        <w:tc>
          <w:tcPr>
            <w:cnfStyle w:val="001000000000" w:firstRow="0" w:lastRow="0" w:firstColumn="1" w:lastColumn="0" w:oddVBand="0" w:evenVBand="0" w:oddHBand="0" w:evenHBand="0" w:firstRowFirstColumn="0" w:firstRowLastColumn="0" w:lastRowFirstColumn="0" w:lastRowLastColumn="0"/>
            <w:tcW w:w="8784" w:type="dxa"/>
            <w:gridSpan w:val="6"/>
          </w:tcPr>
          <w:p>
            <w:pPr>
              <w:jc w:val="center"/>
              <w:rPr>
                <w:rFonts w:eastAsia="Times New Roman" w:cs="Times New Roman"/>
                <w:b/>
                <w:i/>
                <w:noProof/>
                <w:color w:val="000000"/>
                <w:sz w:val="16"/>
                <w:szCs w:val="16"/>
                <w:lang w:eastAsia="fr-FR"/>
              </w:rPr>
            </w:pPr>
            <w:r>
              <w:rPr>
                <w:rFonts w:eastAsia="Times New Roman" w:cs="Times New Roman"/>
                <w:b/>
                <w:i/>
                <w:noProof/>
                <w:color w:val="000000"/>
                <w:sz w:val="16"/>
                <w:szCs w:val="16"/>
                <w:lang w:eastAsia="fr-FR"/>
              </w:rPr>
              <w:t>High energy-intensity sectors</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C235</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cement, lime and plaster</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Oil</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-37%</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-15%</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-5.8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i/>
                <w:iCs/>
                <w:noProof/>
                <w:color w:val="000000"/>
                <w:sz w:val="16"/>
                <w:szCs w:val="16"/>
              </w:rPr>
            </w:pPr>
            <w:r>
              <w:rPr>
                <w:noProof/>
                <w:sz w:val="16"/>
                <w:szCs w:val="16"/>
              </w:rPr>
              <w:t>C233</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clay building materials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-5%</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-0.7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i/>
                <w:iCs/>
                <w:noProof/>
                <w:color w:val="000000"/>
                <w:sz w:val="16"/>
                <w:szCs w:val="16"/>
              </w:rPr>
            </w:pPr>
            <w:r>
              <w:rPr>
                <w:noProof/>
                <w:sz w:val="16"/>
                <w:szCs w:val="16"/>
              </w:rPr>
              <w:t>C171</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pulp, paper and paperboard</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-19%</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7%</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-2.7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C231</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glass and glass products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0%</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-0.7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C241</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basic iron and steel and of ferro-alloys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-29%</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-10%</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-2.0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C206</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man-made fibres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-27%</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-1.6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C232</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refractory products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-5%</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-0.2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C201</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basic chemicals, fertilisers and nitrogen compounds, plastics and synthetic rubber in primary forms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7%</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-1.1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C239</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abrasive products and non-metallic mineral products n.e.c.</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15%</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+0.2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C245</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Casting of metals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-1.1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C234</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other porcelain and ceramic products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14%</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-0.6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C192</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refined petroleum products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Oil (chemical feedstock); Natural Gas (energy input)</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31%</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-14%</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1.3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C244</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basic precious and other non-ferrous metals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17%</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-0.7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C237</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Cutting, shaping and finishing of stone</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-23%</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-21%</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-0.1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C161</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Sawmilling and planing of wood</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5%</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22%</w:t>
            </w:r>
          </w:p>
        </w:tc>
        <w:tc>
          <w:tcPr>
            <w:tcW w:w="1229" w:type="dxa"/>
            <w:tcBorders>
              <w:top w:val="nil"/>
              <w:left w:val="nil"/>
              <w:bottom w:val="single" w:sz="8" w:space="0" w:color="005962"/>
              <w:right w:val="single" w:sz="8" w:space="0" w:color="005962"/>
            </w:tcBorders>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-0.5 pp</w:t>
            </w:r>
          </w:p>
        </w:tc>
      </w:tr>
      <w:tr>
        <w:trPr>
          <w:trHeight w:val="255"/>
        </w:trPr>
        <w:tc>
          <w:tcPr>
            <w:cnfStyle w:val="001000000000" w:firstRow="0" w:lastRow="0" w:firstColumn="1" w:lastColumn="0" w:oddVBand="0" w:evenVBand="0" w:oddHBand="0" w:evenHBand="0" w:firstRowFirstColumn="0" w:firstRowLastColumn="0" w:lastRowFirstColumn="0" w:lastRowLastColumn="0"/>
            <w:tcW w:w="8784" w:type="dxa"/>
            <w:gridSpan w:val="6"/>
          </w:tcPr>
          <w:p>
            <w:pPr>
              <w:jc w:val="center"/>
              <w:rPr>
                <w:rFonts w:eastAsia="Times New Roman" w:cs="Times New Roman"/>
                <w:b/>
                <w:noProof/>
                <w:color w:val="000000"/>
                <w:sz w:val="16"/>
                <w:szCs w:val="16"/>
                <w:lang w:eastAsia="fr-FR"/>
              </w:rPr>
            </w:pPr>
            <w:r>
              <w:rPr>
                <w:rFonts w:eastAsia="Times New Roman" w:cs="Times New Roman"/>
                <w:b/>
                <w:i/>
                <w:noProof/>
                <w:color w:val="000000"/>
                <w:sz w:val="16"/>
                <w:szCs w:val="16"/>
                <w:lang w:eastAsia="fr-FR"/>
              </w:rPr>
              <w:t>Lower energy-intensity sectors</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C106</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grain mill products, starches and starch products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23%</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-0.3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C222</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plastics products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6%</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18%</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-0.3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C172</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articles of paper and paperboard</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-10%</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11%</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-0.6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C103</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Processing and preserving of fruit and vegetables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10%</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26%</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-0.4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C11</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beverages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6%</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-0.2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C132</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Weaving of textiles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-44%</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-1.5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C25</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fabricated metal products, except machinery and equipment</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-8%</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-0.4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C21</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basic pharmaceutical products and pharmaceutical preparations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6%</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17%</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-0.1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C32</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Other manufacturing</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-10%</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15%</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-0.3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C33</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Repair and installation of machinery and equipment</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-3%</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14%</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-0.2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C27</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electrical equipment</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9%</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-0.2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C28</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machinery and equipment n.e.c.</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4%</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22%</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-0.1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C26</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computer, electronic and optical products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rFonts w:eastAsia="Times New Roman" w:cs="Times New Roman"/>
                <w:noProof/>
                <w:color w:val="000000"/>
                <w:sz w:val="16"/>
                <w:szCs w:val="16"/>
                <w:lang w:eastAsia="fr-FR"/>
              </w:rPr>
              <w:t>+0.1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C30</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other transport equipment</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Natural Gas</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13%</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28%</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rFonts w:eastAsia="Times New Roman" w:cs="Times New Roman"/>
                <w:noProof/>
                <w:color w:val="000000"/>
                <w:sz w:val="16"/>
                <w:szCs w:val="16"/>
                <w:lang w:eastAsia="fr-FR"/>
              </w:rPr>
              <w:t>-0.1 pp</w:t>
            </w:r>
          </w:p>
        </w:tc>
      </w:tr>
      <w:tr>
        <w:trPr>
          <w:trHeight w:val="255"/>
        </w:trPr>
        <w:tc>
          <w:tcPr>
            <w:cnfStyle w:val="001000000000" w:firstRow="0" w:lastRow="0" w:firstColumn="1" w:lastColumn="0" w:oddVBand="0" w:evenVBand="0" w:oddHBand="0" w:evenHBand="0" w:firstRowFirstColumn="0" w:firstRowLastColumn="0" w:lastRowFirstColumn="0" w:lastRowLastColumn="0"/>
            <w:tcW w:w="704" w:type="dxa"/>
            <w:tcBorders>
              <w:top w:val="nil"/>
              <w:left w:val="single" w:sz="8" w:space="0" w:color="005962"/>
              <w:bottom w:val="single" w:sz="8" w:space="0" w:color="005962"/>
              <w:right w:val="single" w:sz="8" w:space="0" w:color="005962"/>
            </w:tcBorders>
            <w:vAlign w:val="top"/>
          </w:tcPr>
          <w:p>
            <w:pPr>
              <w:rPr>
                <w:rFonts w:eastAsia="Times New Roman" w:cs="Times New Roman"/>
                <w:noProof/>
                <w:color w:val="000000"/>
                <w:sz w:val="16"/>
                <w:szCs w:val="16"/>
                <w:lang w:eastAsia="fr-FR"/>
              </w:rPr>
            </w:pPr>
            <w:r>
              <w:rPr>
                <w:noProof/>
                <w:sz w:val="16"/>
                <w:szCs w:val="16"/>
              </w:rPr>
              <w:t>C29</w:t>
            </w:r>
          </w:p>
        </w:tc>
        <w:tc>
          <w:tcPr>
            <w:tcW w:w="311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noProof/>
                <w:sz w:val="16"/>
                <w:szCs w:val="16"/>
              </w:rPr>
              <w:t>Manufacture of motor vehicles, trailers and semi-trailers</w:t>
            </w:r>
          </w:p>
        </w:tc>
        <w:tc>
          <w:tcPr>
            <w:tcW w:w="1275"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Electricity</w:t>
            </w:r>
          </w:p>
        </w:tc>
        <w:tc>
          <w:tcPr>
            <w:tcW w:w="1228"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42%</w:t>
            </w:r>
          </w:p>
        </w:tc>
        <w:tc>
          <w:tcPr>
            <w:tcW w:w="1229" w:type="dxa"/>
            <w:tcBorders>
              <w:top w:val="nil"/>
              <w:left w:val="nil"/>
              <w:bottom w:val="single" w:sz="8" w:space="0" w:color="005962"/>
              <w:right w:val="single" w:sz="8" w:space="0" w:color="005962"/>
            </w:tcBorders>
            <w:vAlign w:val="top"/>
          </w:tcPr>
          <w:p>
            <w:pPr>
              <w:cnfStyle w:val="000000000000" w:firstRow="0" w:lastRow="0" w:firstColumn="0" w:lastColumn="0" w:oddVBand="0" w:evenVBand="0" w:oddHBand="0" w:evenHBand="0" w:firstRowFirstColumn="0" w:firstRowLastColumn="0" w:lastRowFirstColumn="0" w:lastRowLastColumn="0"/>
              <w:rPr>
                <w:noProof/>
                <w:sz w:val="16"/>
                <w:szCs w:val="16"/>
              </w:rPr>
            </w:pPr>
            <w:r>
              <w:rPr>
                <w:rFonts w:eastAsia="Times New Roman" w:cs="Times New Roman"/>
                <w:noProof/>
                <w:color w:val="000000"/>
                <w:sz w:val="16"/>
                <w:szCs w:val="16"/>
                <w:lang w:eastAsia="fr-FR"/>
              </w:rPr>
              <w:t>-0.1 pp</w:t>
            </w:r>
          </w:p>
        </w:tc>
      </w:tr>
    </w:tbl>
    <w:p>
      <w:pPr>
        <w:pStyle w:val="Sources"/>
        <w:rPr>
          <w:noProof/>
        </w:rPr>
      </w:pPr>
      <w:bookmarkStart w:id="276" w:name="_Toc525817399"/>
      <w:bookmarkStart w:id="277" w:name="_Toc526433487"/>
      <w:bookmarkStart w:id="278" w:name="_Toc526433765"/>
      <w:bookmarkStart w:id="279" w:name="_Toc526435707"/>
      <w:bookmarkStart w:id="280" w:name="_Toc530739797"/>
      <w:bookmarkEnd w:id="275"/>
      <w:r>
        <w:rPr>
          <w:noProof/>
        </w:rPr>
        <w:t>Source: Trinomics et altri study</w:t>
      </w:r>
      <w:bookmarkEnd w:id="276"/>
      <w:bookmarkEnd w:id="277"/>
      <w:bookmarkEnd w:id="278"/>
      <w:bookmarkEnd w:id="279"/>
      <w:bookmarkEnd w:id="280"/>
    </w:p>
    <w:p>
      <w:pPr>
        <w:rPr>
          <w:noProof/>
          <w:sz w:val="20"/>
          <w:szCs w:val="20"/>
        </w:rPr>
      </w:pPr>
      <w:bookmarkStart w:id="281" w:name="_Toc525817400"/>
      <w:bookmarkStart w:id="282" w:name="_Toc526433488"/>
      <w:bookmarkStart w:id="283" w:name="_Toc526433766"/>
      <w:bookmarkStart w:id="284" w:name="_Toc526435708"/>
      <w:bookmarkStart w:id="285" w:name="_Toc530739798"/>
      <w:r>
        <w:rPr>
          <w:noProof/>
          <w:sz w:val="20"/>
          <w:szCs w:val="20"/>
        </w:rPr>
        <w:t>Note: Energy costs are taken from the ‘Purchases of Energy Products’ data (from Eurostat SBS). Other costs comprise ‘personnel costs’ and ‘costs of goods and services, net of energy costs', calculated from the Eurostat SBS data. Results are rounded to the nearest percentage point and cases where the energy cost effect and the other cost effect do not sum to the total effect are due to rounding.</w:t>
      </w:r>
      <w:bookmarkEnd w:id="281"/>
      <w:bookmarkEnd w:id="282"/>
      <w:bookmarkEnd w:id="283"/>
      <w:bookmarkEnd w:id="284"/>
      <w:bookmarkEnd w:id="285"/>
    </w:p>
    <w:bookmarkStart w:id="286" w:name="_Hlk519526084"/>
    <w:p>
      <w:pPr>
        <w:rPr>
          <w:i/>
          <w:noProof/>
          <w:sz w:val="24"/>
          <w:szCs w:val="24"/>
        </w:rPr>
      </w:pPr>
      <w:r>
        <w:rPr>
          <w:b/>
          <w:noProof/>
          <w:sz w:val="24"/>
          <w:szCs w:val="24"/>
        </w:rPr>
        <w:fldChar w:fldCharType="begin"/>
      </w:r>
      <w:r>
        <w:rPr>
          <w:b/>
          <w:noProof/>
          <w:sz w:val="24"/>
          <w:szCs w:val="24"/>
        </w:rPr>
        <w:instrText xml:space="preserve"> REF _Ref525056742 \h  \* MERGEFORMAT </w:instrText>
      </w:r>
      <w:r>
        <w:rPr>
          <w:b/>
          <w:noProof/>
          <w:sz w:val="24"/>
          <w:szCs w:val="24"/>
        </w:rPr>
      </w:r>
      <w:r>
        <w:rPr>
          <w:b/>
          <w:noProof/>
          <w:sz w:val="24"/>
          <w:szCs w:val="24"/>
        </w:rPr>
        <w:fldChar w:fldCharType="separate"/>
      </w:r>
      <w:r>
        <w:rPr>
          <w:b/>
          <w:noProof/>
          <w:sz w:val="24"/>
          <w:szCs w:val="24"/>
        </w:rPr>
        <w:t>Table 13</w:t>
      </w:r>
      <w:r>
        <w:rPr>
          <w:b/>
          <w:noProof/>
          <w:sz w:val="24"/>
          <w:szCs w:val="24"/>
        </w:rPr>
        <w:fldChar w:fldCharType="end"/>
      </w:r>
      <w:r>
        <w:rPr>
          <w:noProof/>
          <w:sz w:val="24"/>
          <w:szCs w:val="24"/>
        </w:rPr>
        <w:t xml:space="preserve"> shows that the energy costs shares in total production costs have fallen among nearly all sectors over the period of study. There was a wide variation in changes in energy costs (the numerator) over the period, with around half of the sectors experiencing increases in energy costs and the other half experiencing decreases. </w:t>
      </w:r>
      <w:bookmarkEnd w:id="286"/>
      <w:r>
        <w:rPr>
          <w:noProof/>
          <w:sz w:val="24"/>
          <w:szCs w:val="24"/>
        </w:rPr>
        <w:t xml:space="preserve">This means that, even though energy costs have increased among some sectors, they have not increased by as much as other non-energy costs of production resulting in lower energy costs shares. For most of the less energy-intensity industries, the ratio of energy costs in total production costs fell by -0.1pp to -0.6pp. For the more energy intensive sectors, there were typically larger reductions in the ratio of energy costs to total production costs, particularly in </w:t>
      </w:r>
      <w:r>
        <w:rPr>
          <w:i/>
          <w:noProof/>
          <w:sz w:val="24"/>
          <w:szCs w:val="24"/>
        </w:rPr>
        <w:t>Cement (-5.8pp), Paper (-2.7pp), Basic iron and steel (-2 pp), Man-made fibres (-1.6pp) and Weaving of textiles (-1.5pp).</w:t>
      </w:r>
    </w:p>
    <w:p>
      <w:pPr>
        <w:rPr>
          <w:noProof/>
          <w:sz w:val="24"/>
          <w:szCs w:val="24"/>
        </w:rPr>
      </w:pPr>
      <w:r>
        <w:rPr>
          <w:b/>
          <w:i/>
          <w:noProof/>
          <w:sz w:val="24"/>
          <w:szCs w:val="24"/>
        </w:rPr>
        <w:fldChar w:fldCharType="begin"/>
      </w:r>
      <w:r>
        <w:rPr>
          <w:b/>
          <w:i/>
          <w:noProof/>
          <w:sz w:val="24"/>
          <w:szCs w:val="24"/>
        </w:rPr>
        <w:instrText xml:space="preserve"> REF _Ref525056688 \h  \* MERGEFORMAT </w:instrText>
      </w:r>
      <w:r>
        <w:rPr>
          <w:b/>
          <w:i/>
          <w:noProof/>
          <w:sz w:val="24"/>
          <w:szCs w:val="24"/>
        </w:rPr>
      </w:r>
      <w:r>
        <w:rPr>
          <w:b/>
          <w:i/>
          <w:noProof/>
          <w:sz w:val="24"/>
          <w:szCs w:val="24"/>
        </w:rPr>
        <w:fldChar w:fldCharType="separate"/>
      </w:r>
      <w:r>
        <w:rPr>
          <w:b/>
          <w:noProof/>
          <w:sz w:val="24"/>
          <w:szCs w:val="24"/>
        </w:rPr>
        <w:t>Figure 129</w:t>
      </w:r>
      <w:r>
        <w:rPr>
          <w:b/>
          <w:i/>
          <w:noProof/>
          <w:sz w:val="24"/>
          <w:szCs w:val="24"/>
        </w:rPr>
        <w:fldChar w:fldCharType="end"/>
      </w:r>
      <w:r>
        <w:rPr>
          <w:i/>
          <w:noProof/>
          <w:sz w:val="24"/>
          <w:szCs w:val="24"/>
        </w:rPr>
        <w:t xml:space="preserve"> </w:t>
      </w:r>
      <w:r>
        <w:rPr>
          <w:noProof/>
          <w:sz w:val="24"/>
          <w:szCs w:val="24"/>
        </w:rPr>
        <w:t>shows that</w:t>
      </w:r>
      <w:r>
        <w:rPr>
          <w:i/>
          <w:noProof/>
          <w:sz w:val="24"/>
          <w:szCs w:val="24"/>
        </w:rPr>
        <w:t xml:space="preserve"> </w:t>
      </w:r>
      <w:r>
        <w:rPr>
          <w:noProof/>
          <w:sz w:val="24"/>
          <w:szCs w:val="24"/>
        </w:rPr>
        <w:t>the only sector in which energy costs increased at a faster rate than other non-energy costs of production over the period were</w:t>
      </w:r>
      <w:r>
        <w:rPr>
          <w:i/>
          <w:noProof/>
          <w:sz w:val="24"/>
          <w:szCs w:val="24"/>
        </w:rPr>
        <w:t xml:space="preserve"> Computer products, abrasive non-metallic products </w:t>
      </w:r>
      <w:r>
        <w:rPr>
          <w:noProof/>
          <w:sz w:val="24"/>
          <w:szCs w:val="24"/>
        </w:rPr>
        <w:t>and</w:t>
      </w:r>
      <w:r>
        <w:rPr>
          <w:i/>
          <w:noProof/>
          <w:sz w:val="24"/>
          <w:szCs w:val="24"/>
        </w:rPr>
        <w:t xml:space="preserve"> refinery products</w:t>
      </w:r>
      <w:r>
        <w:rPr>
          <w:noProof/>
          <w:sz w:val="24"/>
          <w:szCs w:val="24"/>
        </w:rPr>
        <w:t xml:space="preserve">. </w:t>
      </w:r>
    </w:p>
    <w:p>
      <w:pPr>
        <w:pStyle w:val="Caption"/>
      </w:pPr>
    </w:p>
    <w:tbl>
      <w:tblPr>
        <w:tblStyle w:val="Table17"/>
        <w:tblW w:w="8284" w:type="dxa"/>
        <w:tblLayout w:type="fixed"/>
        <w:tblLook w:val="04A0" w:firstRow="1" w:lastRow="0" w:firstColumn="1" w:lastColumn="0" w:noHBand="0" w:noVBand="1"/>
      </w:tblPr>
      <w:tblGrid>
        <w:gridCol w:w="1555"/>
        <w:gridCol w:w="3118"/>
        <w:gridCol w:w="3611"/>
      </w:tblGrid>
      <w:tr>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4F81BD" w:themeFill="accent1"/>
          </w:tcPr>
          <w:p>
            <w:pPr>
              <w:rPr>
                <w:rFonts w:eastAsia="Times New Roman" w:cs="Times New Roman"/>
                <w:noProof/>
                <w:sz w:val="16"/>
                <w:szCs w:val="16"/>
                <w:lang w:eastAsia="fr-FR"/>
              </w:rPr>
            </w:pPr>
          </w:p>
        </w:tc>
        <w:tc>
          <w:tcPr>
            <w:tcW w:w="3118"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Reduction in energy costs over 2010-2015</w:t>
            </w:r>
          </w:p>
        </w:tc>
        <w:tc>
          <w:tcPr>
            <w:tcW w:w="3611" w:type="dxa"/>
            <w:vAlign w:val="top"/>
          </w:tcPr>
          <w:p>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6"/>
                <w:szCs w:val="16"/>
                <w:lang w:eastAsia="fr-FR"/>
              </w:rPr>
            </w:pPr>
            <w:r>
              <w:rPr>
                <w:noProof/>
                <w:sz w:val="16"/>
                <w:szCs w:val="16"/>
              </w:rPr>
              <w:t>Increase in energy costs over 2010-2015</w:t>
            </w:r>
          </w:p>
        </w:tc>
      </w:tr>
      <w:tr>
        <w:trPr>
          <w:trHeight w:val="679"/>
        </w:trPr>
        <w:tc>
          <w:tcPr>
            <w:cnfStyle w:val="001000000000" w:firstRow="0" w:lastRow="0" w:firstColumn="1" w:lastColumn="0" w:oddVBand="0" w:evenVBand="0" w:oddHBand="0" w:evenHBand="0" w:firstRowFirstColumn="0" w:firstRowLastColumn="0" w:lastRowFirstColumn="0" w:lastRowLastColumn="0"/>
            <w:tcW w:w="1555" w:type="dxa"/>
            <w:tcBorders>
              <w:top w:val="nil"/>
              <w:left w:val="single" w:sz="8" w:space="0" w:color="005962"/>
              <w:bottom w:val="single" w:sz="8" w:space="0" w:color="005962"/>
              <w:right w:val="single" w:sz="8" w:space="0" w:color="005962"/>
            </w:tcBorders>
            <w:shd w:val="clear" w:color="auto" w:fill="4F81BD" w:themeFill="accent1"/>
            <w:vAlign w:val="top"/>
          </w:tcPr>
          <w:p>
            <w:pPr>
              <w:rPr>
                <w:rFonts w:eastAsia="Times New Roman" w:cs="Times New Roman"/>
                <w:noProof/>
                <w:color w:val="000000"/>
                <w:sz w:val="16"/>
                <w:szCs w:val="16"/>
                <w:lang w:eastAsia="fr-FR"/>
              </w:rPr>
            </w:pPr>
            <w:r>
              <w:rPr>
                <w:b/>
                <w:noProof/>
                <w:color w:val="FFFFFF" w:themeColor="background1"/>
                <w:sz w:val="16"/>
                <w:szCs w:val="16"/>
              </w:rPr>
              <w:t>Energy costs grew at a slower rate than non-energy costs of production</w:t>
            </w:r>
          </w:p>
        </w:tc>
        <w:tc>
          <w:tcPr>
            <w:tcW w:w="3118" w:type="dxa"/>
            <w:tcBorders>
              <w:top w:val="nil"/>
              <w:left w:val="nil"/>
              <w:bottom w:val="single" w:sz="8" w:space="0" w:color="005962"/>
              <w:right w:val="single" w:sz="8" w:space="0" w:color="005962"/>
            </w:tcBorders>
          </w:tcPr>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Fabricated metal products (C25)</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Repair and installation of machinery (C33)</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Cutting and shaping stone (C237)</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Weaving of textiles (C132)</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Beverages (C11)</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Refractory products (C232)</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 xml:space="preserve">Cement, lime and plaster (C235 </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Clay building materials (C233)</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Electrical equipment (C27)</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Other manufacturing (C32)</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 xml:space="preserve">Paper and paperboard (C172) </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Pulp, paper and paperboard (C171)</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Glass (C231)</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Iron and steel (C241)</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Basic and non-ferrous metals (C244)</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Chemicals (C201)</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Man-made fibres (C206)</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Casting of metals (C245)</w:t>
            </w:r>
          </w:p>
          <w:p>
            <w:pPr>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p>
        </w:tc>
        <w:tc>
          <w:tcPr>
            <w:tcW w:w="3611" w:type="dxa"/>
            <w:tcBorders>
              <w:top w:val="nil"/>
              <w:left w:val="nil"/>
              <w:bottom w:val="single" w:sz="8" w:space="0" w:color="005962"/>
              <w:right w:val="single" w:sz="8" w:space="0" w:color="005962"/>
            </w:tcBorders>
            <w:vAlign w:val="top"/>
          </w:tcPr>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Other transport equipment (C30)</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Fruit and vegetables (C103)</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Plastics products (C222)</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Grain mill products, starches (C106)</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Motor vehicles (C29)</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Sawmilling and planing of wood (C161)</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Machinery and equipment n.e.c. (C28)</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Pharmaceutical products (C21)</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Other porcelain and ceramic (C234)</w:t>
            </w:r>
          </w:p>
        </w:tc>
      </w:tr>
      <w:tr>
        <w:trPr>
          <w:trHeight w:val="679"/>
        </w:trPr>
        <w:tc>
          <w:tcPr>
            <w:cnfStyle w:val="001000000000" w:firstRow="0" w:lastRow="0" w:firstColumn="1" w:lastColumn="0" w:oddVBand="0" w:evenVBand="0" w:oddHBand="0" w:evenHBand="0" w:firstRowFirstColumn="0" w:firstRowLastColumn="0" w:lastRowFirstColumn="0" w:lastRowLastColumn="0"/>
            <w:tcW w:w="1555" w:type="dxa"/>
            <w:tcBorders>
              <w:top w:val="nil"/>
              <w:left w:val="single" w:sz="8" w:space="0" w:color="005962"/>
              <w:bottom w:val="single" w:sz="8" w:space="0" w:color="005962"/>
              <w:right w:val="single" w:sz="8" w:space="0" w:color="005962"/>
            </w:tcBorders>
            <w:shd w:val="clear" w:color="auto" w:fill="4F81BD" w:themeFill="accent1"/>
            <w:vAlign w:val="top"/>
          </w:tcPr>
          <w:p>
            <w:pPr>
              <w:rPr>
                <w:b/>
                <w:noProof/>
                <w:color w:val="FFFFFF" w:themeColor="background1"/>
                <w:sz w:val="16"/>
                <w:szCs w:val="16"/>
              </w:rPr>
            </w:pPr>
            <w:r>
              <w:rPr>
                <w:b/>
                <w:noProof/>
                <w:color w:val="FFFFFF" w:themeColor="background1"/>
                <w:sz w:val="16"/>
                <w:szCs w:val="16"/>
              </w:rPr>
              <w:t>Energy costs grew at a faster rate than non-energy costs of production</w:t>
            </w:r>
          </w:p>
        </w:tc>
        <w:tc>
          <w:tcPr>
            <w:tcW w:w="3118" w:type="dxa"/>
            <w:tcBorders>
              <w:top w:val="nil"/>
              <w:left w:val="nil"/>
              <w:bottom w:val="single" w:sz="8" w:space="0" w:color="005962"/>
              <w:right w:val="single" w:sz="8" w:space="0" w:color="005962"/>
            </w:tcBorders>
          </w:tcPr>
          <w:p>
            <w:pPr>
              <w:pStyle w:val="ListParagraph"/>
              <w:ind w:left="36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w:t>
            </w:r>
          </w:p>
        </w:tc>
        <w:tc>
          <w:tcPr>
            <w:tcW w:w="3611" w:type="dxa"/>
            <w:tcBorders>
              <w:top w:val="nil"/>
              <w:left w:val="nil"/>
              <w:bottom w:val="single" w:sz="8" w:space="0" w:color="005962"/>
              <w:right w:val="single" w:sz="8" w:space="0" w:color="005962"/>
            </w:tcBorders>
            <w:vAlign w:val="top"/>
          </w:tcPr>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eastAsia="fr-FR"/>
              </w:rPr>
            </w:pPr>
            <w:r>
              <w:rPr>
                <w:rFonts w:eastAsia="Times New Roman" w:cs="Times New Roman"/>
                <w:noProof/>
                <w:color w:val="000000"/>
                <w:sz w:val="16"/>
                <w:szCs w:val="16"/>
                <w:lang w:eastAsia="fr-FR"/>
              </w:rPr>
              <w:t>Computer, electronic and optical C26)</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val="it-IT" w:eastAsia="fr-FR"/>
              </w:rPr>
            </w:pPr>
            <w:r>
              <w:rPr>
                <w:rFonts w:eastAsia="Times New Roman" w:cs="Times New Roman"/>
                <w:noProof/>
                <w:color w:val="000000"/>
                <w:sz w:val="16"/>
                <w:szCs w:val="16"/>
                <w:lang w:val="it-IT" w:eastAsia="fr-FR"/>
              </w:rPr>
              <w:t>Abrasive non-mettalic minerals(C239)</w:t>
            </w:r>
          </w:p>
          <w:p>
            <w:pPr>
              <w:pStyle w:val="ListParagraph"/>
              <w:numPr>
                <w:ilvl w:val="0"/>
                <w:numId w:val="21"/>
              </w:num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val="it-IT" w:eastAsia="fr-FR"/>
              </w:rPr>
            </w:pPr>
            <w:r>
              <w:rPr>
                <w:rFonts w:eastAsia="Times New Roman" w:cs="Times New Roman"/>
                <w:noProof/>
                <w:color w:val="000000"/>
                <w:sz w:val="16"/>
                <w:szCs w:val="16"/>
                <w:lang w:val="it-IT" w:eastAsia="fr-FR"/>
              </w:rPr>
              <w:t>Refined petroleum products (C192)</w:t>
            </w:r>
          </w:p>
          <w:p>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noProof/>
                <w:color w:val="000000"/>
                <w:sz w:val="16"/>
                <w:szCs w:val="16"/>
                <w:lang w:val="it-IT" w:eastAsia="fr-FR"/>
              </w:rPr>
            </w:pPr>
          </w:p>
        </w:tc>
      </w:tr>
    </w:tbl>
    <w:p>
      <w:pPr>
        <w:pStyle w:val="Caption"/>
      </w:pPr>
      <w:bookmarkStart w:id="287" w:name="_Ref525056688"/>
      <w:bookmarkStart w:id="288" w:name="_Ref525056679"/>
      <w:bookmarkStart w:id="289" w:name="_Toc525807873"/>
      <w:bookmarkStart w:id="290" w:name="_Toc526433489"/>
      <w:bookmarkStart w:id="291" w:name="_Toc526433767"/>
      <w:bookmarkStart w:id="292" w:name="_Toc526435709"/>
      <w:bookmarkStart w:id="293" w:name="_Toc530739799"/>
      <w:bookmarkStart w:id="294" w:name="_Toc531178520"/>
      <w:r>
        <w:t xml:space="preserve">Figure </w:t>
      </w:r>
      <w:r>
        <w:fldChar w:fldCharType="begin"/>
      </w:r>
      <w:r>
        <w:instrText xml:space="preserve"> SEQ Figure \* ARABIC </w:instrText>
      </w:r>
      <w:r>
        <w:fldChar w:fldCharType="separate"/>
      </w:r>
      <w:r>
        <w:t>129</w:t>
      </w:r>
      <w:r>
        <w:fldChar w:fldCharType="end"/>
      </w:r>
      <w:bookmarkEnd w:id="287"/>
      <w:r>
        <w:t xml:space="preserve"> - Classification of sectors by comparing the dynamics of energy costs dynamics vs productions costs</w:t>
      </w:r>
      <w:bookmarkEnd w:id="288"/>
      <w:bookmarkEnd w:id="289"/>
      <w:bookmarkEnd w:id="290"/>
      <w:bookmarkEnd w:id="291"/>
      <w:bookmarkEnd w:id="292"/>
      <w:bookmarkEnd w:id="293"/>
      <w:bookmarkEnd w:id="294"/>
    </w:p>
    <w:p>
      <w:pPr>
        <w:pStyle w:val="Sources"/>
        <w:rPr>
          <w:noProof/>
          <w:lang w:val="fr-BE"/>
        </w:rPr>
      </w:pPr>
      <w:r>
        <w:rPr>
          <w:noProof/>
          <w:lang w:val="fr-BE"/>
        </w:rPr>
        <w:t>Source: Trinomics et altri study</w:t>
      </w:r>
    </w:p>
    <w:p>
      <w:pPr>
        <w:rPr>
          <w:noProof/>
          <w:color w:val="000000" w:themeColor="text1"/>
          <w:sz w:val="24"/>
          <w:szCs w:val="24"/>
          <w:lang w:val="fr-BE" w:eastAsia="de-DE"/>
        </w:rPr>
      </w:pPr>
    </w:p>
    <w:p>
      <w:pPr>
        <w:pStyle w:val="Heading2"/>
        <w:numPr>
          <w:ilvl w:val="1"/>
          <w:numId w:val="1"/>
        </w:numPr>
        <w:rPr>
          <w:noProof/>
        </w:rPr>
      </w:pPr>
      <w:bookmarkStart w:id="295" w:name="_Toc468890480"/>
      <w:bookmarkEnd w:id="219"/>
      <w:bookmarkEnd w:id="220"/>
      <w:bookmarkEnd w:id="221"/>
      <w:bookmarkEnd w:id="222"/>
      <w:bookmarkEnd w:id="223"/>
      <w:bookmarkEnd w:id="224"/>
      <w:bookmarkEnd w:id="225"/>
      <w:r>
        <w:rPr>
          <w:noProof/>
          <w:lang w:val="fr-BE"/>
        </w:rPr>
        <w:t xml:space="preserve"> </w:t>
      </w:r>
      <w:bookmarkStart w:id="296" w:name="_Toc524619527"/>
      <w:bookmarkStart w:id="297" w:name="_Toc524961074"/>
      <w:bookmarkStart w:id="298" w:name="_Toc525143035"/>
      <w:bookmarkStart w:id="299" w:name="_Toc525222192"/>
      <w:bookmarkStart w:id="300" w:name="_Toc525222361"/>
      <w:bookmarkStart w:id="301" w:name="_Toc526420758"/>
      <w:bookmarkStart w:id="302" w:name="_Toc526433984"/>
      <w:bookmarkStart w:id="303" w:name="_Toc526435926"/>
      <w:bookmarkStart w:id="304" w:name="_Ref526863035"/>
      <w:bookmarkStart w:id="305" w:name="_Toc530595256"/>
      <w:bookmarkStart w:id="306" w:name="_Toc531178335"/>
      <w:r>
        <w:rPr>
          <w:noProof/>
        </w:rPr>
        <w:t>International comparisons</w:t>
      </w:r>
      <w:bookmarkStart w:id="307" w:name="_Toc468890481"/>
      <w:bookmarkEnd w:id="295"/>
      <w:bookmarkEnd w:id="296"/>
      <w:bookmarkEnd w:id="297"/>
      <w:bookmarkEnd w:id="298"/>
      <w:bookmarkEnd w:id="299"/>
      <w:bookmarkEnd w:id="300"/>
      <w:bookmarkEnd w:id="301"/>
      <w:bookmarkEnd w:id="302"/>
      <w:bookmarkEnd w:id="303"/>
      <w:bookmarkEnd w:id="304"/>
      <w:bookmarkEnd w:id="305"/>
      <w:bookmarkEnd w:id="306"/>
    </w:p>
    <w:p>
      <w:pPr>
        <w:rPr>
          <w:noProof/>
        </w:rPr>
      </w:pPr>
    </w:p>
    <w:p>
      <w:pPr>
        <w:rPr>
          <w:noProof/>
          <w:sz w:val="24"/>
          <w:szCs w:val="24"/>
        </w:rPr>
      </w:pPr>
      <w:r>
        <w:rPr>
          <w:noProof/>
        </w:rPr>
        <w:t>I</w:t>
      </w:r>
      <w:r>
        <w:rPr>
          <w:noProof/>
          <w:sz w:val="24"/>
          <w:szCs w:val="24"/>
        </w:rPr>
        <w:t>nternational competitiveness is a relative matter. We need to compare the energy costs to the EU trading partner to assess what is their actual impact on the cost-competiveness of our industry. The same applies to the energy efficiency indicators which can influence the relative energy consumption and therefore the energy costs. Finally, prices of energy products should also be compared as they are usually the main drivers of the energy costs. While data on international prices is relatively robust, the data available for energy costs and energy efficiency is rather limited and the results of the latter should be taken with certain caution.</w:t>
      </w:r>
    </w:p>
    <w:p>
      <w:pPr>
        <w:rPr>
          <w:noProof/>
          <w:sz w:val="24"/>
          <w:szCs w:val="24"/>
        </w:rPr>
      </w:pPr>
      <w:r>
        <w:rPr>
          <w:noProof/>
          <w:sz w:val="24"/>
          <w:szCs w:val="24"/>
        </w:rPr>
        <w:t xml:space="preserve">The chapter compares retail industrial prices for the EU industry with those in G20 Members. It relies on the results of the </w:t>
      </w:r>
      <w:r>
        <w:rPr>
          <w:i/>
          <w:noProof/>
          <w:sz w:val="24"/>
          <w:szCs w:val="24"/>
        </w:rPr>
        <w:t>Trinomics et altri</w:t>
      </w:r>
      <w:r>
        <w:rPr>
          <w:noProof/>
          <w:sz w:val="24"/>
          <w:szCs w:val="24"/>
        </w:rPr>
        <w:t xml:space="preserve"> study. It focuses on the international comparisons of prices for electricity and gas, which are the most relevant for energy costs in most of manufacturing. International comparisons on oil products prices can be also found in </w:t>
      </w:r>
      <w:r>
        <w:rPr>
          <w:b/>
          <w:noProof/>
          <w:sz w:val="24"/>
          <w:szCs w:val="24"/>
        </w:rPr>
        <w:t>section 3.3.7</w:t>
      </w:r>
      <w:r>
        <w:rPr>
          <w:noProof/>
          <w:sz w:val="24"/>
          <w:szCs w:val="24"/>
        </w:rPr>
        <w:t xml:space="preserve"> as they are also relevant for the energy costs in some specific manufacturing sectors and non-manufacturing sectors. </w:t>
      </w:r>
    </w:p>
    <w:p>
      <w:pPr>
        <w:rPr>
          <w:noProof/>
        </w:rPr>
      </w:pPr>
    </w:p>
    <w:p>
      <w:pPr>
        <w:pStyle w:val="Heading3"/>
        <w:numPr>
          <w:ilvl w:val="2"/>
          <w:numId w:val="1"/>
        </w:numPr>
        <w:rPr>
          <w:noProof/>
        </w:rPr>
      </w:pPr>
      <w:r>
        <w:rPr>
          <w:noProof/>
        </w:rPr>
        <w:t xml:space="preserve"> </w:t>
      </w:r>
      <w:bookmarkStart w:id="308" w:name="_Toc524619528"/>
      <w:bookmarkStart w:id="309" w:name="_Toc524961075"/>
      <w:bookmarkStart w:id="310" w:name="_Toc525143036"/>
      <w:bookmarkStart w:id="311" w:name="_Toc525222193"/>
      <w:bookmarkStart w:id="312" w:name="_Toc525222362"/>
      <w:bookmarkStart w:id="313" w:name="_Toc526420759"/>
      <w:bookmarkStart w:id="314" w:name="_Toc526433985"/>
      <w:bookmarkStart w:id="315" w:name="_Toc526435927"/>
      <w:bookmarkStart w:id="316" w:name="_Toc530595257"/>
      <w:bookmarkStart w:id="317" w:name="_Toc531178336"/>
      <w:r>
        <w:rPr>
          <w:noProof/>
        </w:rPr>
        <w:t xml:space="preserve">Energy costs vs </w:t>
      </w:r>
      <w:bookmarkEnd w:id="307"/>
      <w:r>
        <w:rPr>
          <w:noProof/>
        </w:rPr>
        <w:t>other G20 countries</w:t>
      </w:r>
      <w:bookmarkEnd w:id="308"/>
      <w:bookmarkEnd w:id="309"/>
      <w:bookmarkEnd w:id="310"/>
      <w:bookmarkEnd w:id="311"/>
      <w:bookmarkEnd w:id="312"/>
      <w:bookmarkEnd w:id="313"/>
      <w:bookmarkEnd w:id="314"/>
      <w:bookmarkEnd w:id="315"/>
      <w:bookmarkEnd w:id="316"/>
      <w:bookmarkEnd w:id="317"/>
      <w:r>
        <w:rPr>
          <w:noProof/>
        </w:rPr>
        <w:t xml:space="preserve"> </w:t>
      </w:r>
    </w:p>
    <w:p>
      <w:pPr>
        <w:rPr>
          <w:noProof/>
        </w:rPr>
      </w:pPr>
    </w:p>
    <w:p>
      <w:pPr>
        <w:rPr>
          <w:noProof/>
        </w:rPr>
      </w:pPr>
      <w:r>
        <w:rPr>
          <w:noProof/>
        </w:rPr>
        <w:t>In this section the energy costs of EU sectors are compared to those in main EU trading partners in order to assess the competitiveness of EU sectors. Unfortunately, as noted in the previous sections, specific data on energy cost shares is relatively limited across the main non-EU G20 partners.</w:t>
      </w:r>
    </w:p>
    <w:p>
      <w:pPr>
        <w:rPr>
          <w:noProof/>
        </w:rPr>
      </w:pPr>
      <w:r>
        <w:rPr>
          <w:b/>
          <w:noProof/>
        </w:rPr>
        <w:fldChar w:fldCharType="begin"/>
      </w:r>
      <w:r>
        <w:rPr>
          <w:b/>
          <w:noProof/>
        </w:rPr>
        <w:instrText xml:space="preserve"> REF _Ref525050535 \h  \* MERGEFORMAT </w:instrText>
      </w:r>
      <w:r>
        <w:rPr>
          <w:b/>
          <w:noProof/>
        </w:rPr>
      </w:r>
      <w:r>
        <w:rPr>
          <w:b/>
          <w:noProof/>
        </w:rPr>
        <w:fldChar w:fldCharType="separate"/>
      </w:r>
      <w:r>
        <w:rPr>
          <w:b/>
          <w:noProof/>
        </w:rPr>
        <w:t>Figure 130</w:t>
      </w:r>
      <w:r>
        <w:rPr>
          <w:b/>
          <w:noProof/>
        </w:rPr>
        <w:fldChar w:fldCharType="end"/>
      </w:r>
      <w:r>
        <w:rPr>
          <w:b/>
          <w:noProof/>
        </w:rPr>
        <w:t xml:space="preserve"> </w:t>
      </w:r>
      <w:r>
        <w:rPr>
          <w:noProof/>
        </w:rPr>
        <w:t>shows a comparison of energy costs shares in production costs for the sectors and countries for which equivalent energy cost and production cost data were found.</w:t>
      </w:r>
    </w:p>
    <w:p>
      <w:pPr>
        <w:rPr>
          <w:noProof/>
        </w:rPr>
      </w:pPr>
      <w:r>
        <w:rPr>
          <w:noProof/>
        </w:rPr>
        <w:t xml:space="preserve"> </w:t>
      </w:r>
      <w:r>
        <w:rPr>
          <w:noProof/>
          <w:lang w:eastAsia="en-GB"/>
        </w:rPr>
        <w:drawing>
          <wp:inline distT="0" distB="0" distL="0" distR="0">
            <wp:extent cx="5759450" cy="2188987"/>
            <wp:effectExtent l="0" t="0" r="0" b="190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9450" cy="2188987"/>
                    </a:xfrm>
                    <a:prstGeom prst="rect">
                      <a:avLst/>
                    </a:prstGeom>
                    <a:noFill/>
                    <a:ln>
                      <a:noFill/>
                    </a:ln>
                  </pic:spPr>
                </pic:pic>
              </a:graphicData>
            </a:graphic>
          </wp:inline>
        </w:drawing>
      </w:r>
    </w:p>
    <w:p>
      <w:pPr>
        <w:pStyle w:val="Caption"/>
      </w:pPr>
      <w:r>
        <w:t xml:space="preserve"> </w:t>
      </w:r>
      <w:bookmarkStart w:id="318" w:name="_Ref525050535"/>
      <w:bookmarkStart w:id="319" w:name="_Toc525807874"/>
      <w:bookmarkStart w:id="320" w:name="_Toc526433490"/>
      <w:bookmarkStart w:id="321" w:name="_Toc526433768"/>
      <w:bookmarkStart w:id="322" w:name="_Toc526435710"/>
      <w:bookmarkStart w:id="323" w:name="_Toc530739800"/>
      <w:bookmarkStart w:id="324" w:name="_Toc531178521"/>
      <w:r>
        <w:t xml:space="preserve">Figure </w:t>
      </w:r>
      <w:r>
        <w:fldChar w:fldCharType="begin"/>
      </w:r>
      <w:r>
        <w:instrText xml:space="preserve"> SEQ Figure \* ARABIC </w:instrText>
      </w:r>
      <w:r>
        <w:fldChar w:fldCharType="separate"/>
      </w:r>
      <w:r>
        <w:t>130</w:t>
      </w:r>
      <w:r>
        <w:fldChar w:fldCharType="end"/>
      </w:r>
      <w:bookmarkEnd w:id="318"/>
      <w:r>
        <w:t xml:space="preserve"> - International comparision of energy costs shares for selected energy intensive sectors</w:t>
      </w:r>
      <w:bookmarkEnd w:id="319"/>
      <w:bookmarkEnd w:id="320"/>
      <w:bookmarkEnd w:id="321"/>
      <w:bookmarkEnd w:id="322"/>
      <w:bookmarkEnd w:id="323"/>
      <w:bookmarkEnd w:id="324"/>
    </w:p>
    <w:p>
      <w:pPr>
        <w:pStyle w:val="Sources"/>
        <w:rPr>
          <w:noProof/>
          <w:lang w:eastAsia="de-DE"/>
        </w:rPr>
      </w:pPr>
      <w:r>
        <w:rPr>
          <w:noProof/>
          <w:lang w:eastAsia="de-DE"/>
        </w:rPr>
        <w:t>Source: Trinomics et altri study</w:t>
      </w:r>
    </w:p>
    <w:p>
      <w:pPr>
        <w:rPr>
          <w:noProof/>
          <w:sz w:val="24"/>
          <w:szCs w:val="24"/>
        </w:rPr>
      </w:pPr>
      <w:r>
        <w:rPr>
          <w:noProof/>
          <w:sz w:val="24"/>
          <w:szCs w:val="24"/>
        </w:rPr>
        <w:t xml:space="preserve">The data for the available sectors show that EU shares in production costs are comparable to those of the US except for </w:t>
      </w:r>
      <w:r>
        <w:rPr>
          <w:i/>
          <w:noProof/>
          <w:sz w:val="24"/>
          <w:szCs w:val="24"/>
        </w:rPr>
        <w:t>steel</w:t>
      </w:r>
      <w:r>
        <w:rPr>
          <w:noProof/>
          <w:sz w:val="24"/>
          <w:szCs w:val="24"/>
        </w:rPr>
        <w:t xml:space="preserve"> and </w:t>
      </w:r>
      <w:r>
        <w:rPr>
          <w:i/>
          <w:noProof/>
          <w:sz w:val="24"/>
          <w:szCs w:val="24"/>
        </w:rPr>
        <w:t>non-ferrous metals</w:t>
      </w:r>
      <w:r>
        <w:rPr>
          <w:noProof/>
          <w:sz w:val="24"/>
          <w:szCs w:val="24"/>
        </w:rPr>
        <w:t>. As to Japan, costs shares are higher in the EU energy costs shares in the 3 sectors for which data was available. These results are in line with those found in the 2016 energy prices and costs report where comparisons could be made for a larger number of sectors and were pointing to higher energy costs shares in energy intensive industries in the EU compared to Japan and similar energy costs shares in the EU and the US, with the exception of sectors subjected to higher international competitive pressure, for which EU cost shares were lower.</w:t>
      </w:r>
    </w:p>
    <w:p>
      <w:pPr>
        <w:rPr>
          <w:noProof/>
          <w:sz w:val="24"/>
          <w:szCs w:val="24"/>
        </w:rPr>
      </w:pPr>
      <w:r>
        <w:rPr>
          <w:noProof/>
          <w:sz w:val="24"/>
          <w:szCs w:val="24"/>
        </w:rPr>
        <w:t xml:space="preserve">By using production value rather than production costs as the basis of the comparison the international analysis can be expanded to include South Korea and other sectors (See </w:t>
      </w:r>
      <w:r>
        <w:rPr>
          <w:noProof/>
          <w:sz w:val="24"/>
          <w:szCs w:val="24"/>
        </w:rPr>
        <w:fldChar w:fldCharType="begin"/>
      </w:r>
      <w:r>
        <w:rPr>
          <w:noProof/>
          <w:sz w:val="24"/>
          <w:szCs w:val="24"/>
        </w:rPr>
        <w:instrText xml:space="preserve"> REF _Ref525050651 \h  \* MERGEFORMAT </w:instrText>
      </w:r>
      <w:r>
        <w:rPr>
          <w:noProof/>
          <w:sz w:val="24"/>
          <w:szCs w:val="24"/>
        </w:rPr>
      </w:r>
      <w:r>
        <w:rPr>
          <w:noProof/>
          <w:sz w:val="24"/>
          <w:szCs w:val="24"/>
        </w:rPr>
        <w:fldChar w:fldCharType="separate"/>
      </w:r>
      <w:r>
        <w:rPr>
          <w:b/>
          <w:noProof/>
          <w:sz w:val="24"/>
          <w:szCs w:val="24"/>
        </w:rPr>
        <w:t>Figure 131</w:t>
      </w:r>
      <w:r>
        <w:rPr>
          <w:noProof/>
          <w:sz w:val="24"/>
          <w:szCs w:val="24"/>
        </w:rPr>
        <w:fldChar w:fldCharType="end"/>
      </w:r>
      <w:r>
        <w:rPr>
          <w:noProof/>
          <w:sz w:val="24"/>
          <w:szCs w:val="24"/>
        </w:rPr>
        <w:t xml:space="preserve"> and </w:t>
      </w:r>
      <w:r>
        <w:rPr>
          <w:b/>
          <w:noProof/>
          <w:sz w:val="24"/>
          <w:szCs w:val="24"/>
        </w:rPr>
        <w:fldChar w:fldCharType="begin"/>
      </w:r>
      <w:r>
        <w:rPr>
          <w:b/>
          <w:noProof/>
          <w:sz w:val="24"/>
          <w:szCs w:val="24"/>
        </w:rPr>
        <w:instrText xml:space="preserve"> REF _Ref525050700 \h  \* MERGEFORMAT </w:instrText>
      </w:r>
      <w:r>
        <w:rPr>
          <w:b/>
          <w:noProof/>
          <w:sz w:val="24"/>
          <w:szCs w:val="24"/>
        </w:rPr>
      </w:r>
      <w:r>
        <w:rPr>
          <w:b/>
          <w:noProof/>
          <w:sz w:val="24"/>
          <w:szCs w:val="24"/>
        </w:rPr>
        <w:fldChar w:fldCharType="separate"/>
      </w:r>
      <w:r>
        <w:rPr>
          <w:b/>
          <w:noProof/>
          <w:sz w:val="24"/>
          <w:szCs w:val="24"/>
        </w:rPr>
        <w:t>Figure 132</w:t>
      </w:r>
      <w:r>
        <w:rPr>
          <w:b/>
          <w:noProof/>
          <w:sz w:val="24"/>
          <w:szCs w:val="24"/>
        </w:rPr>
        <w:fldChar w:fldCharType="end"/>
      </w:r>
      <w:r>
        <w:rPr>
          <w:noProof/>
          <w:sz w:val="24"/>
          <w:szCs w:val="24"/>
        </w:rPr>
        <w:t>). It is important to bear in mind that comparing energy costs to production value is not the same as comparing to production costs. Production value includes profits and this variable is much more volatile and also depends of other factors than production costs.</w:t>
      </w:r>
    </w:p>
    <w:p>
      <w:pPr>
        <w:jc w:val="center"/>
        <w:rPr>
          <w:noProof/>
        </w:rPr>
      </w:pPr>
      <w:r>
        <w:rPr>
          <w:noProof/>
          <w:lang w:eastAsia="en-GB"/>
        </w:rPr>
        <w:drawing>
          <wp:inline distT="0" distB="0" distL="0" distR="0">
            <wp:extent cx="6119655" cy="2107671"/>
            <wp:effectExtent l="0" t="0" r="0" b="698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30815" cy="2111515"/>
                    </a:xfrm>
                    <a:prstGeom prst="rect">
                      <a:avLst/>
                    </a:prstGeom>
                    <a:noFill/>
                    <a:ln>
                      <a:noFill/>
                    </a:ln>
                  </pic:spPr>
                </pic:pic>
              </a:graphicData>
            </a:graphic>
          </wp:inline>
        </w:drawing>
      </w:r>
    </w:p>
    <w:p>
      <w:pPr>
        <w:pStyle w:val="Caption"/>
      </w:pPr>
      <w:bookmarkStart w:id="325" w:name="_Ref525050651"/>
      <w:bookmarkStart w:id="326" w:name="_Toc525807875"/>
      <w:bookmarkStart w:id="327" w:name="_Toc526433491"/>
      <w:bookmarkStart w:id="328" w:name="_Toc526433769"/>
      <w:bookmarkStart w:id="329" w:name="_Toc526435711"/>
      <w:bookmarkStart w:id="330" w:name="_Toc530739801"/>
      <w:bookmarkStart w:id="331" w:name="_Toc531178522"/>
      <w:r>
        <w:t xml:space="preserve">Figure </w:t>
      </w:r>
      <w:r>
        <w:fldChar w:fldCharType="begin"/>
      </w:r>
      <w:r>
        <w:instrText xml:space="preserve"> SEQ Figure \* ARABIC </w:instrText>
      </w:r>
      <w:r>
        <w:fldChar w:fldCharType="separate"/>
      </w:r>
      <w:r>
        <w:t>131</w:t>
      </w:r>
      <w:r>
        <w:fldChar w:fldCharType="end"/>
      </w:r>
      <w:bookmarkEnd w:id="325"/>
      <w:r>
        <w:t xml:space="preserve"> - Energy costs shares in production value for the most energy intensive sectors in manufacturing, 2008-2015</w:t>
      </w:r>
      <w:bookmarkEnd w:id="326"/>
      <w:bookmarkEnd w:id="327"/>
      <w:bookmarkEnd w:id="328"/>
      <w:bookmarkEnd w:id="329"/>
      <w:bookmarkEnd w:id="330"/>
      <w:bookmarkEnd w:id="331"/>
    </w:p>
    <w:p>
      <w:pPr>
        <w:rPr>
          <w:noProof/>
          <w:sz w:val="20"/>
          <w:szCs w:val="20"/>
        </w:rPr>
      </w:pPr>
      <w:r>
        <w:rPr>
          <w:noProof/>
          <w:sz w:val="20"/>
          <w:szCs w:val="20"/>
        </w:rPr>
        <w:t>Source: Trinomics et altri study</w:t>
      </w:r>
    </w:p>
    <w:p>
      <w:pPr>
        <w:jc w:val="center"/>
        <w:rPr>
          <w:noProof/>
          <w:sz w:val="24"/>
          <w:szCs w:val="24"/>
        </w:rPr>
      </w:pPr>
      <w:r>
        <w:rPr>
          <w:noProof/>
          <w:lang w:eastAsia="en-GB"/>
        </w:rPr>
        <w:drawing>
          <wp:inline distT="0" distB="0" distL="0" distR="0">
            <wp:extent cx="6463480" cy="1782147"/>
            <wp:effectExtent l="0" t="0" r="0" b="889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75511" cy="1785464"/>
                    </a:xfrm>
                    <a:prstGeom prst="rect">
                      <a:avLst/>
                    </a:prstGeom>
                    <a:noFill/>
                    <a:ln>
                      <a:noFill/>
                    </a:ln>
                  </pic:spPr>
                </pic:pic>
              </a:graphicData>
            </a:graphic>
          </wp:inline>
        </w:drawing>
      </w:r>
    </w:p>
    <w:p>
      <w:pPr>
        <w:pStyle w:val="Caption"/>
      </w:pPr>
      <w:bookmarkStart w:id="332" w:name="_Ref525050700"/>
      <w:bookmarkStart w:id="333" w:name="_Toc525807876"/>
      <w:bookmarkStart w:id="334" w:name="_Toc526433492"/>
      <w:bookmarkStart w:id="335" w:name="_Toc526433770"/>
      <w:bookmarkStart w:id="336" w:name="_Toc526435712"/>
      <w:bookmarkStart w:id="337" w:name="_Toc530739802"/>
      <w:bookmarkStart w:id="338" w:name="_Toc531178523"/>
      <w:r>
        <w:t xml:space="preserve">Figure </w:t>
      </w:r>
      <w:r>
        <w:fldChar w:fldCharType="begin"/>
      </w:r>
      <w:r>
        <w:instrText xml:space="preserve"> SEQ Figure \* ARABIC </w:instrText>
      </w:r>
      <w:r>
        <w:fldChar w:fldCharType="separate"/>
      </w:r>
      <w:r>
        <w:t>132</w:t>
      </w:r>
      <w:r>
        <w:fldChar w:fldCharType="end"/>
      </w:r>
      <w:bookmarkEnd w:id="332"/>
      <w:r>
        <w:t xml:space="preserve"> - Energy costs shares in production value for other manufacturing sectors, 2008-2015</w:t>
      </w:r>
      <w:bookmarkEnd w:id="333"/>
      <w:bookmarkEnd w:id="334"/>
      <w:bookmarkEnd w:id="335"/>
      <w:bookmarkEnd w:id="336"/>
      <w:bookmarkEnd w:id="337"/>
      <w:bookmarkEnd w:id="338"/>
    </w:p>
    <w:p>
      <w:pPr>
        <w:pStyle w:val="Sources"/>
        <w:rPr>
          <w:noProof/>
        </w:rPr>
      </w:pPr>
      <w:r>
        <w:rPr>
          <w:noProof/>
        </w:rPr>
        <w:t>Source: Trinomics et altri study</w:t>
      </w:r>
    </w:p>
    <w:p>
      <w:pPr>
        <w:rPr>
          <w:noProof/>
          <w:sz w:val="24"/>
          <w:szCs w:val="24"/>
        </w:rPr>
      </w:pPr>
      <w:r>
        <w:rPr>
          <w:noProof/>
          <w:sz w:val="24"/>
          <w:szCs w:val="24"/>
        </w:rPr>
        <w:t xml:space="preserve">When we look at the energy costs shares in production value we observe that in most cases the EU shares continue to be higher than in those Japan although in some cases EU shares become comparable or even lower (i.e. for </w:t>
      </w:r>
      <w:r>
        <w:rPr>
          <w:i/>
          <w:noProof/>
          <w:sz w:val="24"/>
          <w:szCs w:val="24"/>
        </w:rPr>
        <w:t>computer and electronics</w:t>
      </w:r>
      <w:r>
        <w:rPr>
          <w:noProof/>
          <w:sz w:val="24"/>
          <w:szCs w:val="24"/>
        </w:rPr>
        <w:t xml:space="preserve">; </w:t>
      </w:r>
      <w:r>
        <w:rPr>
          <w:i/>
          <w:noProof/>
          <w:sz w:val="24"/>
          <w:szCs w:val="24"/>
        </w:rPr>
        <w:t>cement</w:t>
      </w:r>
      <w:r>
        <w:rPr>
          <w:noProof/>
          <w:sz w:val="24"/>
          <w:szCs w:val="24"/>
        </w:rPr>
        <w:t xml:space="preserve"> and </w:t>
      </w:r>
      <w:r>
        <w:rPr>
          <w:i/>
          <w:noProof/>
          <w:sz w:val="24"/>
          <w:szCs w:val="24"/>
        </w:rPr>
        <w:t>refineries</w:t>
      </w:r>
      <w:r>
        <w:rPr>
          <w:noProof/>
          <w:sz w:val="24"/>
          <w:szCs w:val="24"/>
        </w:rPr>
        <w:t xml:space="preserve">). The EU energy cost shares were also higher than those in South Korea for almost all the sectors (particularly much higher than in </w:t>
      </w:r>
      <w:r>
        <w:rPr>
          <w:i/>
          <w:noProof/>
          <w:sz w:val="24"/>
          <w:szCs w:val="24"/>
        </w:rPr>
        <w:t>sawmills</w:t>
      </w:r>
      <w:r>
        <w:rPr>
          <w:noProof/>
          <w:sz w:val="24"/>
          <w:szCs w:val="24"/>
        </w:rPr>
        <w:t xml:space="preserve"> and </w:t>
      </w:r>
      <w:r>
        <w:rPr>
          <w:i/>
          <w:noProof/>
          <w:sz w:val="24"/>
          <w:szCs w:val="24"/>
        </w:rPr>
        <w:t>transport equipment</w:t>
      </w:r>
      <w:r>
        <w:rPr>
          <w:noProof/>
          <w:sz w:val="24"/>
          <w:szCs w:val="24"/>
        </w:rPr>
        <w:t xml:space="preserve">; and with the only exception of </w:t>
      </w:r>
      <w:r>
        <w:rPr>
          <w:i/>
          <w:noProof/>
          <w:sz w:val="24"/>
          <w:szCs w:val="24"/>
        </w:rPr>
        <w:t>clay building materials</w:t>
      </w:r>
      <w:r>
        <w:rPr>
          <w:noProof/>
          <w:sz w:val="24"/>
          <w:szCs w:val="24"/>
        </w:rPr>
        <w:t>).</w:t>
      </w:r>
    </w:p>
    <w:p>
      <w:pPr>
        <w:rPr>
          <w:noProof/>
          <w:sz w:val="24"/>
          <w:szCs w:val="24"/>
        </w:rPr>
      </w:pPr>
      <w:r>
        <w:rPr>
          <w:noProof/>
          <w:sz w:val="24"/>
          <w:szCs w:val="24"/>
        </w:rPr>
        <w:t>As to Norway, the result of the comparison is mixed. For some sectors the energy cost shares are much lower than in the EU (</w:t>
      </w:r>
      <w:r>
        <w:rPr>
          <w:i/>
          <w:noProof/>
          <w:sz w:val="24"/>
          <w:szCs w:val="24"/>
        </w:rPr>
        <w:t>Grain</w:t>
      </w:r>
      <w:r>
        <w:rPr>
          <w:noProof/>
          <w:sz w:val="24"/>
          <w:szCs w:val="24"/>
        </w:rPr>
        <w:t xml:space="preserve">, </w:t>
      </w:r>
      <w:r>
        <w:rPr>
          <w:i/>
          <w:noProof/>
          <w:sz w:val="24"/>
          <w:szCs w:val="24"/>
        </w:rPr>
        <w:t>Glass</w:t>
      </w:r>
      <w:r>
        <w:rPr>
          <w:noProof/>
          <w:sz w:val="24"/>
          <w:szCs w:val="24"/>
        </w:rPr>
        <w:t xml:space="preserve">, </w:t>
      </w:r>
      <w:r>
        <w:rPr>
          <w:i/>
          <w:noProof/>
          <w:sz w:val="24"/>
          <w:szCs w:val="24"/>
        </w:rPr>
        <w:t>Refractory Products</w:t>
      </w:r>
      <w:r>
        <w:rPr>
          <w:noProof/>
          <w:sz w:val="24"/>
          <w:szCs w:val="24"/>
        </w:rPr>
        <w:t xml:space="preserve">) while for some other they are much higher (paper, chemicals, steel and non-ferrous metals). </w:t>
      </w:r>
    </w:p>
    <w:p>
      <w:pPr>
        <w:rPr>
          <w:noProof/>
          <w:sz w:val="24"/>
          <w:szCs w:val="24"/>
        </w:rPr>
      </w:pPr>
      <w:r>
        <w:rPr>
          <w:noProof/>
          <w:sz w:val="24"/>
          <w:szCs w:val="24"/>
        </w:rPr>
        <w:t>EU energy cost shares were in general lower in the EU than those of Turkey with the exceptions of few sectors (</w:t>
      </w:r>
      <w:r>
        <w:rPr>
          <w:i/>
          <w:noProof/>
          <w:sz w:val="24"/>
          <w:szCs w:val="24"/>
        </w:rPr>
        <w:t>fruit and</w:t>
      </w:r>
      <w:r>
        <w:rPr>
          <w:noProof/>
          <w:sz w:val="24"/>
          <w:szCs w:val="24"/>
        </w:rPr>
        <w:t xml:space="preserve"> </w:t>
      </w:r>
      <w:r>
        <w:rPr>
          <w:i/>
          <w:noProof/>
          <w:sz w:val="24"/>
          <w:szCs w:val="24"/>
        </w:rPr>
        <w:t>vegetables</w:t>
      </w:r>
      <w:r>
        <w:rPr>
          <w:noProof/>
          <w:sz w:val="24"/>
          <w:szCs w:val="24"/>
        </w:rPr>
        <w:t xml:space="preserve">, </w:t>
      </w:r>
      <w:r>
        <w:rPr>
          <w:i/>
          <w:noProof/>
          <w:sz w:val="24"/>
          <w:szCs w:val="24"/>
        </w:rPr>
        <w:t>chemicals</w:t>
      </w:r>
      <w:r>
        <w:rPr>
          <w:noProof/>
          <w:sz w:val="24"/>
          <w:szCs w:val="24"/>
        </w:rPr>
        <w:t xml:space="preserve">, abrasive </w:t>
      </w:r>
      <w:r>
        <w:rPr>
          <w:i/>
          <w:noProof/>
          <w:sz w:val="24"/>
          <w:szCs w:val="24"/>
        </w:rPr>
        <w:t>products</w:t>
      </w:r>
      <w:r>
        <w:rPr>
          <w:noProof/>
          <w:sz w:val="24"/>
          <w:szCs w:val="24"/>
        </w:rPr>
        <w:t xml:space="preserve">, </w:t>
      </w:r>
      <w:r>
        <w:rPr>
          <w:i/>
          <w:noProof/>
          <w:sz w:val="24"/>
          <w:szCs w:val="24"/>
        </w:rPr>
        <w:t>non-ferrous metals</w:t>
      </w:r>
      <w:r>
        <w:rPr>
          <w:noProof/>
          <w:sz w:val="24"/>
          <w:szCs w:val="24"/>
        </w:rPr>
        <w:t xml:space="preserve"> and </w:t>
      </w:r>
      <w:r>
        <w:rPr>
          <w:i/>
          <w:noProof/>
          <w:sz w:val="24"/>
          <w:szCs w:val="24"/>
        </w:rPr>
        <w:t>repair of machinery</w:t>
      </w:r>
      <w:r>
        <w:rPr>
          <w:noProof/>
          <w:sz w:val="24"/>
          <w:szCs w:val="24"/>
        </w:rPr>
        <w:t>.</w:t>
      </w:r>
    </w:p>
    <w:p>
      <w:pPr>
        <w:rPr>
          <w:noProof/>
          <w:sz w:val="24"/>
          <w:szCs w:val="24"/>
        </w:rPr>
      </w:pPr>
      <w:r>
        <w:rPr>
          <w:noProof/>
          <w:sz w:val="24"/>
          <w:szCs w:val="24"/>
        </w:rPr>
        <w:t xml:space="preserve">Some observations can be drawn on some of the sectors. For </w:t>
      </w:r>
      <w:r>
        <w:rPr>
          <w:i/>
          <w:noProof/>
          <w:sz w:val="24"/>
          <w:szCs w:val="24"/>
        </w:rPr>
        <w:t xml:space="preserve">Grain products, </w:t>
      </w:r>
      <w:r>
        <w:rPr>
          <w:noProof/>
          <w:sz w:val="24"/>
          <w:szCs w:val="24"/>
        </w:rPr>
        <w:t>the EU average energy cost share is higher than in the US (where production is highly mechanised) and Norway; it is however similar to that in Turkey. For s</w:t>
      </w:r>
      <w:r>
        <w:rPr>
          <w:i/>
          <w:noProof/>
          <w:sz w:val="24"/>
          <w:szCs w:val="24"/>
        </w:rPr>
        <w:t>awmills</w:t>
      </w:r>
      <w:r>
        <w:rPr>
          <w:noProof/>
          <w:sz w:val="24"/>
          <w:szCs w:val="24"/>
        </w:rPr>
        <w:t xml:space="preserve"> costs in the EU are a little lower than those in the US on average, but higher than in the other countries.  For </w:t>
      </w:r>
      <w:r>
        <w:rPr>
          <w:i/>
          <w:noProof/>
          <w:sz w:val="24"/>
          <w:szCs w:val="24"/>
        </w:rPr>
        <w:t xml:space="preserve">Glass, </w:t>
      </w:r>
      <w:r>
        <w:rPr>
          <w:noProof/>
          <w:sz w:val="24"/>
          <w:szCs w:val="24"/>
        </w:rPr>
        <w:t>the</w:t>
      </w:r>
      <w:r>
        <w:rPr>
          <w:i/>
          <w:noProof/>
          <w:sz w:val="24"/>
          <w:szCs w:val="24"/>
        </w:rPr>
        <w:t xml:space="preserve"> </w:t>
      </w:r>
      <w:r>
        <w:rPr>
          <w:noProof/>
          <w:sz w:val="24"/>
          <w:szCs w:val="24"/>
        </w:rPr>
        <w:t xml:space="preserve">EU cost shares are lower than in the US and Turkey, but higher than in Norway. For </w:t>
      </w:r>
      <w:r>
        <w:rPr>
          <w:i/>
          <w:noProof/>
          <w:sz w:val="24"/>
          <w:szCs w:val="24"/>
        </w:rPr>
        <w:t>steel</w:t>
      </w:r>
      <w:r>
        <w:rPr>
          <w:noProof/>
          <w:sz w:val="24"/>
          <w:szCs w:val="24"/>
        </w:rPr>
        <w:t xml:space="preserve"> and </w:t>
      </w:r>
      <w:r>
        <w:rPr>
          <w:i/>
          <w:noProof/>
          <w:sz w:val="24"/>
          <w:szCs w:val="24"/>
        </w:rPr>
        <w:t>non-ferrous metals</w:t>
      </w:r>
      <w:r>
        <w:rPr>
          <w:noProof/>
          <w:sz w:val="24"/>
          <w:szCs w:val="24"/>
        </w:rPr>
        <w:t xml:space="preserve"> the EU energy cost shares are lower than in Norway and comparable to those in Turkey, but higher than those in the US and Japan (and, for non-ferrous metals,  particularly much higher than in South Korea).</w:t>
      </w:r>
    </w:p>
    <w:p>
      <w:pPr>
        <w:pStyle w:val="Heading3"/>
        <w:numPr>
          <w:ilvl w:val="2"/>
          <w:numId w:val="1"/>
        </w:numPr>
        <w:rPr>
          <w:noProof/>
        </w:rPr>
      </w:pPr>
      <w:bookmarkStart w:id="339" w:name="_Toc524619529"/>
      <w:bookmarkStart w:id="340" w:name="_Toc524961076"/>
      <w:bookmarkStart w:id="341" w:name="_Toc525143037"/>
      <w:bookmarkStart w:id="342" w:name="_Toc525222194"/>
      <w:bookmarkStart w:id="343" w:name="_Toc525222363"/>
      <w:bookmarkStart w:id="344" w:name="_Toc526420760"/>
      <w:bookmarkStart w:id="345" w:name="_Toc526433986"/>
      <w:bookmarkStart w:id="346" w:name="_Toc526435928"/>
      <w:bookmarkStart w:id="347" w:name="_Toc530595258"/>
      <w:bookmarkStart w:id="348" w:name="_Toc531178337"/>
      <w:r>
        <w:rPr>
          <w:noProof/>
        </w:rPr>
        <w:t>Energy intensity of EU sectors vs other G20</w:t>
      </w:r>
      <w:bookmarkEnd w:id="339"/>
      <w:bookmarkEnd w:id="340"/>
      <w:bookmarkEnd w:id="341"/>
      <w:bookmarkEnd w:id="342"/>
      <w:bookmarkEnd w:id="343"/>
      <w:bookmarkEnd w:id="344"/>
      <w:bookmarkEnd w:id="345"/>
      <w:bookmarkEnd w:id="346"/>
      <w:bookmarkEnd w:id="347"/>
      <w:bookmarkEnd w:id="348"/>
    </w:p>
    <w:p>
      <w:pPr>
        <w:rPr>
          <w:noProof/>
        </w:rPr>
      </w:pPr>
    </w:p>
    <w:p>
      <w:pPr>
        <w:rPr>
          <w:noProof/>
          <w:sz w:val="24"/>
          <w:szCs w:val="24"/>
        </w:rPr>
      </w:pPr>
      <w:r>
        <w:rPr>
          <w:noProof/>
          <w:sz w:val="24"/>
          <w:szCs w:val="24"/>
        </w:rPr>
        <w:t>Energy efficiency can also be factor for international competitiveness (the more energy efficient a firm is, the lower its relative consumption and energy costs). By comparing energy intensities across one can have an indication of the different energy efficiency in these compared sectors and countries. This complements the understanding of the role of energy cost shares. One should also be aware that the international data on energy intensity is rather limited (with often only one or two other international comparators available) and that these results should not be generalised.</w:t>
      </w:r>
    </w:p>
    <w:p>
      <w:pPr>
        <w:spacing w:after="0" w:line="300" w:lineRule="atLeast"/>
        <w:jc w:val="left"/>
        <w:rPr>
          <w:noProof/>
          <w:sz w:val="24"/>
          <w:szCs w:val="24"/>
        </w:rPr>
      </w:pPr>
      <w:r>
        <w:rPr>
          <w:b/>
          <w:noProof/>
          <w:sz w:val="24"/>
          <w:szCs w:val="24"/>
        </w:rPr>
        <w:fldChar w:fldCharType="begin"/>
      </w:r>
      <w:r>
        <w:rPr>
          <w:b/>
          <w:noProof/>
          <w:sz w:val="24"/>
          <w:szCs w:val="24"/>
        </w:rPr>
        <w:instrText xml:space="preserve"> REF _Ref527039701 \h  \* MERGEFORMAT </w:instrText>
      </w:r>
      <w:r>
        <w:rPr>
          <w:b/>
          <w:noProof/>
          <w:sz w:val="24"/>
          <w:szCs w:val="24"/>
        </w:rPr>
      </w:r>
      <w:r>
        <w:rPr>
          <w:b/>
          <w:noProof/>
          <w:sz w:val="24"/>
          <w:szCs w:val="24"/>
        </w:rPr>
        <w:fldChar w:fldCharType="separate"/>
      </w:r>
      <w:r>
        <w:rPr>
          <w:b/>
          <w:noProof/>
          <w:sz w:val="24"/>
          <w:szCs w:val="24"/>
        </w:rPr>
        <w:t>Figure 133</w:t>
      </w:r>
      <w:r>
        <w:rPr>
          <w:b/>
          <w:noProof/>
          <w:sz w:val="24"/>
          <w:szCs w:val="24"/>
        </w:rPr>
        <w:fldChar w:fldCharType="end"/>
      </w:r>
      <w:r>
        <w:rPr>
          <w:b/>
          <w:noProof/>
          <w:sz w:val="24"/>
          <w:szCs w:val="24"/>
        </w:rPr>
        <w:t xml:space="preserve"> </w:t>
      </w:r>
      <w:r>
        <w:rPr>
          <w:noProof/>
          <w:sz w:val="24"/>
          <w:szCs w:val="24"/>
        </w:rPr>
        <w:t xml:space="preserve">and </w:t>
      </w:r>
      <w:r>
        <w:rPr>
          <w:b/>
          <w:noProof/>
          <w:sz w:val="24"/>
          <w:szCs w:val="24"/>
        </w:rPr>
        <w:fldChar w:fldCharType="begin"/>
      </w:r>
      <w:r>
        <w:rPr>
          <w:b/>
          <w:noProof/>
          <w:sz w:val="24"/>
          <w:szCs w:val="24"/>
        </w:rPr>
        <w:instrText xml:space="preserve"> REF _Ref527039703 \h  \* MERGEFORMAT </w:instrText>
      </w:r>
      <w:r>
        <w:rPr>
          <w:b/>
          <w:noProof/>
          <w:sz w:val="24"/>
          <w:szCs w:val="24"/>
        </w:rPr>
      </w:r>
      <w:r>
        <w:rPr>
          <w:b/>
          <w:noProof/>
          <w:sz w:val="24"/>
          <w:szCs w:val="24"/>
        </w:rPr>
        <w:fldChar w:fldCharType="separate"/>
      </w:r>
      <w:r>
        <w:rPr>
          <w:b/>
          <w:noProof/>
          <w:sz w:val="24"/>
          <w:szCs w:val="24"/>
        </w:rPr>
        <w:t>Figure 134</w:t>
      </w:r>
      <w:r>
        <w:rPr>
          <w:b/>
          <w:noProof/>
          <w:sz w:val="24"/>
          <w:szCs w:val="24"/>
        </w:rPr>
        <w:fldChar w:fldCharType="end"/>
      </w:r>
      <w:r>
        <w:rPr>
          <w:noProof/>
          <w:sz w:val="24"/>
          <w:szCs w:val="24"/>
        </w:rPr>
        <w:t xml:space="preserve"> display the trends in energy intensity on the available sectors and countries. Although it is difficult to draw any general conclusions it can be observed that that:</w:t>
      </w:r>
    </w:p>
    <w:p>
      <w:pPr>
        <w:spacing w:after="0" w:line="300" w:lineRule="atLeast"/>
        <w:jc w:val="left"/>
        <w:rPr>
          <w:noProof/>
          <w:sz w:val="24"/>
          <w:szCs w:val="24"/>
        </w:rPr>
      </w:pPr>
    </w:p>
    <w:p>
      <w:pPr>
        <w:pStyle w:val="ListParagraph"/>
        <w:numPr>
          <w:ilvl w:val="0"/>
          <w:numId w:val="13"/>
        </w:numPr>
        <w:spacing w:line="300" w:lineRule="atLeast"/>
        <w:ind w:left="567" w:hanging="567"/>
        <w:contextualSpacing w:val="0"/>
        <w:rPr>
          <w:noProof/>
          <w:sz w:val="24"/>
          <w:szCs w:val="24"/>
        </w:rPr>
      </w:pPr>
      <w:r>
        <w:rPr>
          <w:noProof/>
          <w:sz w:val="24"/>
          <w:szCs w:val="24"/>
        </w:rPr>
        <w:t xml:space="preserve">Energy intensities in the EU compared to those in the US show considerable variation per sector for which data is available, with the EU being less energy intensive in </w:t>
      </w:r>
      <w:r>
        <w:rPr>
          <w:i/>
          <w:noProof/>
          <w:sz w:val="24"/>
          <w:szCs w:val="24"/>
        </w:rPr>
        <w:t>beverages</w:t>
      </w:r>
      <w:r>
        <w:rPr>
          <w:noProof/>
          <w:sz w:val="24"/>
          <w:szCs w:val="24"/>
        </w:rPr>
        <w:t xml:space="preserve">, </w:t>
      </w:r>
      <w:r>
        <w:rPr>
          <w:i/>
          <w:noProof/>
          <w:sz w:val="24"/>
          <w:szCs w:val="24"/>
        </w:rPr>
        <w:t>glass</w:t>
      </w:r>
      <w:r>
        <w:rPr>
          <w:noProof/>
          <w:sz w:val="24"/>
          <w:szCs w:val="24"/>
        </w:rPr>
        <w:t xml:space="preserve">, </w:t>
      </w:r>
      <w:r>
        <w:rPr>
          <w:i/>
          <w:noProof/>
          <w:sz w:val="24"/>
          <w:szCs w:val="24"/>
        </w:rPr>
        <w:t>fabricated metal products</w:t>
      </w:r>
      <w:r>
        <w:rPr>
          <w:noProof/>
          <w:sz w:val="24"/>
          <w:szCs w:val="24"/>
        </w:rPr>
        <w:t xml:space="preserve">, and the US being less energy intensive in </w:t>
      </w:r>
      <w:r>
        <w:rPr>
          <w:i/>
          <w:noProof/>
          <w:sz w:val="24"/>
          <w:szCs w:val="24"/>
        </w:rPr>
        <w:t>chemicals</w:t>
      </w:r>
      <w:r>
        <w:rPr>
          <w:noProof/>
          <w:sz w:val="24"/>
          <w:szCs w:val="24"/>
        </w:rPr>
        <w:t xml:space="preserve">, </w:t>
      </w:r>
      <w:r>
        <w:rPr>
          <w:i/>
          <w:noProof/>
          <w:sz w:val="24"/>
          <w:szCs w:val="24"/>
        </w:rPr>
        <w:t>Man-made fibres</w:t>
      </w:r>
      <w:r>
        <w:rPr>
          <w:noProof/>
          <w:sz w:val="24"/>
          <w:szCs w:val="24"/>
        </w:rPr>
        <w:t xml:space="preserve"> and </w:t>
      </w:r>
      <w:r>
        <w:rPr>
          <w:i/>
          <w:noProof/>
          <w:sz w:val="24"/>
          <w:szCs w:val="24"/>
        </w:rPr>
        <w:t>computers and electronics</w:t>
      </w:r>
      <w:r>
        <w:rPr>
          <w:noProof/>
          <w:sz w:val="24"/>
          <w:szCs w:val="24"/>
        </w:rPr>
        <w:t>.</w:t>
      </w:r>
    </w:p>
    <w:p>
      <w:pPr>
        <w:pStyle w:val="ListParagraph"/>
        <w:numPr>
          <w:ilvl w:val="0"/>
          <w:numId w:val="13"/>
        </w:numPr>
        <w:spacing w:line="300" w:lineRule="atLeast"/>
        <w:ind w:left="567" w:hanging="567"/>
        <w:contextualSpacing w:val="0"/>
        <w:jc w:val="left"/>
        <w:rPr>
          <w:noProof/>
          <w:sz w:val="24"/>
          <w:szCs w:val="24"/>
        </w:rPr>
      </w:pPr>
      <w:r>
        <w:rPr>
          <w:noProof/>
          <w:sz w:val="24"/>
          <w:szCs w:val="24"/>
        </w:rPr>
        <w:t xml:space="preserve">The EU is less energy intensive than China in every sector for which data is available (except for </w:t>
      </w:r>
      <w:r>
        <w:rPr>
          <w:i/>
          <w:noProof/>
          <w:sz w:val="24"/>
          <w:szCs w:val="24"/>
        </w:rPr>
        <w:t xml:space="preserve">refineries </w:t>
      </w:r>
      <w:r>
        <w:rPr>
          <w:noProof/>
          <w:sz w:val="24"/>
          <w:szCs w:val="24"/>
        </w:rPr>
        <w:t xml:space="preserve">for which the EU have the highest energy intensity of the countries for which data was available). </w:t>
      </w:r>
    </w:p>
    <w:p>
      <w:pPr>
        <w:pStyle w:val="ListParagraph"/>
        <w:numPr>
          <w:ilvl w:val="0"/>
          <w:numId w:val="13"/>
        </w:numPr>
        <w:spacing w:line="300" w:lineRule="atLeast"/>
        <w:ind w:left="567" w:hanging="567"/>
        <w:contextualSpacing w:val="0"/>
        <w:jc w:val="left"/>
        <w:rPr>
          <w:noProof/>
          <w:sz w:val="24"/>
          <w:szCs w:val="24"/>
        </w:rPr>
      </w:pPr>
      <w:r>
        <w:rPr>
          <w:noProof/>
          <w:sz w:val="24"/>
          <w:szCs w:val="24"/>
        </w:rPr>
        <w:t>The EU sectors are also systematically less energy intensive that those in Turkey (note that the data set was the most complete)</w:t>
      </w:r>
    </w:p>
    <w:p>
      <w:pPr>
        <w:rPr>
          <w:noProof/>
        </w:rPr>
      </w:pPr>
    </w:p>
    <w:p>
      <w:pPr>
        <w:rPr>
          <w:noProof/>
        </w:rPr>
      </w:pPr>
      <w:r>
        <w:rPr>
          <w:noProof/>
        </w:rPr>
        <w:br w:type="page"/>
      </w:r>
    </w:p>
    <w:p>
      <w:pPr>
        <w:rPr>
          <w:noProof/>
        </w:rPr>
        <w:sectPr>
          <w:headerReference w:type="even" r:id="rId111"/>
          <w:headerReference w:type="default" r:id="rId112"/>
          <w:footerReference w:type="even" r:id="rId113"/>
          <w:footerReference w:type="default" r:id="rId114"/>
          <w:headerReference w:type="first" r:id="rId115"/>
          <w:footerReference w:type="first" r:id="rId116"/>
          <w:footnotePr>
            <w:numStart w:val="50"/>
          </w:footnotePr>
          <w:pgSz w:w="11906" w:h="16838" w:code="9"/>
          <w:pgMar w:top="1134" w:right="1418" w:bottom="1134" w:left="1418" w:header="709" w:footer="709" w:gutter="0"/>
          <w:cols w:space="720"/>
          <w:docGrid w:linePitch="360"/>
        </w:sectPr>
      </w:pPr>
    </w:p>
    <w:p>
      <w:pPr>
        <w:rPr>
          <w:noProof/>
        </w:rPr>
      </w:pPr>
    </w:p>
    <w:p>
      <w:pPr>
        <w:jc w:val="center"/>
        <w:rPr>
          <w:noProof/>
        </w:rPr>
      </w:pPr>
      <w:r>
        <w:rPr>
          <w:noProof/>
          <w:lang w:eastAsia="en-GB"/>
        </w:rPr>
        <w:drawing>
          <wp:inline distT="0" distB="0" distL="0" distR="0">
            <wp:extent cx="9393382" cy="3172113"/>
            <wp:effectExtent l="0" t="0" r="0" b="9525"/>
            <wp:docPr id="320"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438004" cy="3187182"/>
                    </a:xfrm>
                    <a:prstGeom prst="rect">
                      <a:avLst/>
                    </a:prstGeom>
                    <a:noFill/>
                  </pic:spPr>
                </pic:pic>
              </a:graphicData>
            </a:graphic>
          </wp:inline>
        </w:drawing>
      </w:r>
    </w:p>
    <w:p>
      <w:pPr>
        <w:pStyle w:val="Caption"/>
      </w:pPr>
      <w:bookmarkStart w:id="349" w:name="_Ref527039701"/>
      <w:bookmarkStart w:id="350" w:name="_Toc525807877"/>
      <w:bookmarkStart w:id="351" w:name="_Toc526433493"/>
      <w:bookmarkStart w:id="352" w:name="_Toc526433771"/>
      <w:bookmarkStart w:id="353" w:name="_Toc526435713"/>
      <w:bookmarkStart w:id="354" w:name="_Toc530739803"/>
      <w:bookmarkStart w:id="355" w:name="_Toc531178524"/>
      <w:r>
        <w:t xml:space="preserve">Figure </w:t>
      </w:r>
      <w:r>
        <w:fldChar w:fldCharType="begin"/>
      </w:r>
      <w:r>
        <w:instrText xml:space="preserve"> SEQ Figure \* ARABIC </w:instrText>
      </w:r>
      <w:r>
        <w:fldChar w:fldCharType="separate"/>
      </w:r>
      <w:r>
        <w:t>133</w:t>
      </w:r>
      <w:r>
        <w:fldChar w:fldCharType="end"/>
      </w:r>
      <w:bookmarkEnd w:id="349"/>
      <w:r>
        <w:t xml:space="preserve"> - Energy intensity international comparisons for the most energy intensive manufacturing sectors</w:t>
      </w:r>
      <w:bookmarkEnd w:id="350"/>
      <w:bookmarkEnd w:id="351"/>
      <w:bookmarkEnd w:id="352"/>
      <w:bookmarkEnd w:id="353"/>
      <w:bookmarkEnd w:id="354"/>
      <w:bookmarkEnd w:id="355"/>
    </w:p>
    <w:p>
      <w:pPr>
        <w:pStyle w:val="Sources"/>
        <w:rPr>
          <w:noProof/>
        </w:rPr>
      </w:pPr>
      <w:r>
        <w:rPr>
          <w:noProof/>
        </w:rPr>
        <w:t>Source: Trinomics et altri study</w:t>
      </w:r>
    </w:p>
    <w:p>
      <w:pPr>
        <w:pStyle w:val="Sources"/>
        <w:rPr>
          <w:noProof/>
        </w:rPr>
      </w:pPr>
      <w:r>
        <w:rPr>
          <w:noProof/>
        </w:rPr>
        <w:t>Note: data limited for available sectors and countries</w:t>
      </w:r>
    </w:p>
    <w:p>
      <w:pPr>
        <w:rPr>
          <w:noProof/>
        </w:rPr>
      </w:pPr>
    </w:p>
    <w:p>
      <w:pPr>
        <w:jc w:val="center"/>
        <w:rPr>
          <w:noProof/>
        </w:rPr>
      </w:pPr>
      <w:r>
        <w:rPr>
          <w:noProof/>
          <w:lang w:eastAsia="en-GB"/>
        </w:rPr>
        <w:drawing>
          <wp:inline distT="0" distB="0" distL="0" distR="0">
            <wp:extent cx="9405257" cy="3062034"/>
            <wp:effectExtent l="0" t="0" r="5715" b="5080"/>
            <wp:docPr id="322"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493307" cy="3090700"/>
                    </a:xfrm>
                    <a:prstGeom prst="rect">
                      <a:avLst/>
                    </a:prstGeom>
                    <a:noFill/>
                  </pic:spPr>
                </pic:pic>
              </a:graphicData>
            </a:graphic>
          </wp:inline>
        </w:drawing>
      </w:r>
    </w:p>
    <w:p>
      <w:pPr>
        <w:pStyle w:val="Caption"/>
      </w:pPr>
      <w:bookmarkStart w:id="356" w:name="_Ref527039703"/>
      <w:bookmarkStart w:id="357" w:name="_Toc525807878"/>
      <w:bookmarkStart w:id="358" w:name="_Toc526433494"/>
      <w:bookmarkStart w:id="359" w:name="_Toc526433772"/>
      <w:bookmarkStart w:id="360" w:name="_Toc526435714"/>
      <w:bookmarkStart w:id="361" w:name="_Toc530739804"/>
      <w:bookmarkStart w:id="362" w:name="_Toc531178525"/>
      <w:r>
        <w:t xml:space="preserve">Figure </w:t>
      </w:r>
      <w:r>
        <w:fldChar w:fldCharType="begin"/>
      </w:r>
      <w:r>
        <w:instrText xml:space="preserve"> SEQ Figure \* ARABIC </w:instrText>
      </w:r>
      <w:r>
        <w:fldChar w:fldCharType="separate"/>
      </w:r>
      <w:r>
        <w:t>134</w:t>
      </w:r>
      <w:r>
        <w:fldChar w:fldCharType="end"/>
      </w:r>
      <w:bookmarkEnd w:id="356"/>
      <w:r>
        <w:t xml:space="preserve"> - Energy intensity international comparisons for other manufacturing sectors</w:t>
      </w:r>
      <w:bookmarkEnd w:id="357"/>
      <w:bookmarkEnd w:id="358"/>
      <w:bookmarkEnd w:id="359"/>
      <w:bookmarkEnd w:id="360"/>
      <w:bookmarkEnd w:id="361"/>
      <w:bookmarkEnd w:id="362"/>
    </w:p>
    <w:p>
      <w:pPr>
        <w:pStyle w:val="Sources"/>
        <w:rPr>
          <w:noProof/>
        </w:rPr>
      </w:pPr>
      <w:r>
        <w:rPr>
          <w:noProof/>
        </w:rPr>
        <w:t>Source: Trinomics et altri study</w:t>
      </w:r>
    </w:p>
    <w:p>
      <w:pPr>
        <w:pStyle w:val="Sources"/>
        <w:rPr>
          <w:noProof/>
        </w:rPr>
      </w:pPr>
      <w:r>
        <w:rPr>
          <w:noProof/>
        </w:rPr>
        <w:t>Note: data limited for available sectors and countries</w:t>
      </w:r>
    </w:p>
    <w:p>
      <w:pPr>
        <w:rPr>
          <w:noProof/>
        </w:rPr>
      </w:pPr>
    </w:p>
    <w:p>
      <w:pPr>
        <w:spacing w:after="0"/>
        <w:jc w:val="left"/>
        <w:rPr>
          <w:noProof/>
        </w:rPr>
        <w:sectPr>
          <w:headerReference w:type="even" r:id="rId119"/>
          <w:headerReference w:type="default" r:id="rId120"/>
          <w:footerReference w:type="even" r:id="rId121"/>
          <w:footerReference w:type="default" r:id="rId122"/>
          <w:headerReference w:type="first" r:id="rId123"/>
          <w:footerReference w:type="first" r:id="rId124"/>
          <w:footnotePr>
            <w:numStart w:val="50"/>
          </w:footnotePr>
          <w:pgSz w:w="16838" w:h="11906" w:orient="landscape" w:code="9"/>
          <w:pgMar w:top="1418" w:right="1134" w:bottom="1418" w:left="1134" w:header="709" w:footer="709" w:gutter="0"/>
          <w:cols w:space="720"/>
          <w:docGrid w:linePitch="360"/>
        </w:sectPr>
      </w:pPr>
    </w:p>
    <w:p>
      <w:pPr>
        <w:spacing w:after="0"/>
        <w:jc w:val="left"/>
        <w:rPr>
          <w:noProof/>
        </w:rPr>
      </w:pPr>
    </w:p>
    <w:p>
      <w:pPr>
        <w:pStyle w:val="Heading3"/>
        <w:numPr>
          <w:ilvl w:val="2"/>
          <w:numId w:val="1"/>
        </w:numPr>
        <w:rPr>
          <w:noProof/>
        </w:rPr>
      </w:pPr>
      <w:bookmarkStart w:id="363" w:name="_Toc449014781"/>
      <w:bookmarkStart w:id="364" w:name="_Toc449098116"/>
      <w:bookmarkStart w:id="365" w:name="_Toc468890482"/>
      <w:r>
        <w:rPr>
          <w:noProof/>
        </w:rPr>
        <w:t xml:space="preserve"> </w:t>
      </w:r>
      <w:bookmarkStart w:id="366" w:name="_Toc524619530"/>
      <w:bookmarkStart w:id="367" w:name="_Toc524961077"/>
      <w:bookmarkStart w:id="368" w:name="_Toc525143038"/>
      <w:bookmarkStart w:id="369" w:name="_Toc525222195"/>
      <w:bookmarkStart w:id="370" w:name="_Toc525222364"/>
      <w:bookmarkStart w:id="371" w:name="_Toc526420761"/>
      <w:bookmarkStart w:id="372" w:name="_Toc526433987"/>
      <w:bookmarkStart w:id="373" w:name="_Toc526435929"/>
      <w:bookmarkStart w:id="374" w:name="_Ref527036800"/>
      <w:bookmarkStart w:id="375" w:name="_Toc530595259"/>
      <w:bookmarkStart w:id="376" w:name="_Toc531178338"/>
      <w:r>
        <w:rPr>
          <w:noProof/>
        </w:rPr>
        <w:t>Industrial electricity prices</w:t>
      </w:r>
      <w:bookmarkEnd w:id="363"/>
      <w:bookmarkEnd w:id="364"/>
      <w:bookmarkEnd w:id="365"/>
      <w:r>
        <w:rPr>
          <w:noProof/>
        </w:rPr>
        <w:t>: EU vs G20 countries</w:t>
      </w:r>
      <w:bookmarkEnd w:id="366"/>
      <w:bookmarkEnd w:id="367"/>
      <w:bookmarkEnd w:id="368"/>
      <w:bookmarkEnd w:id="369"/>
      <w:bookmarkEnd w:id="370"/>
      <w:bookmarkEnd w:id="371"/>
      <w:bookmarkEnd w:id="372"/>
      <w:bookmarkEnd w:id="373"/>
      <w:bookmarkEnd w:id="374"/>
      <w:bookmarkEnd w:id="375"/>
      <w:bookmarkEnd w:id="376"/>
    </w:p>
    <w:p>
      <w:pPr>
        <w:rPr>
          <w:noProof/>
        </w:rPr>
      </w:pPr>
    </w:p>
    <w:p>
      <w:pPr>
        <w:rPr>
          <w:noProof/>
          <w:sz w:val="24"/>
          <w:szCs w:val="24"/>
        </w:rPr>
      </w:pPr>
      <w:r>
        <w:rPr>
          <w:noProof/>
          <w:sz w:val="24"/>
          <w:szCs w:val="24"/>
        </w:rPr>
        <w:t xml:space="preserve">This section compares retail industrial prices for electricity in the EU industry with those in G20 Members. It relies on the results of the </w:t>
      </w:r>
      <w:r>
        <w:rPr>
          <w:i/>
          <w:noProof/>
          <w:sz w:val="24"/>
          <w:szCs w:val="24"/>
        </w:rPr>
        <w:t>Trinomics et altri</w:t>
      </w:r>
      <w:r>
        <w:rPr>
          <w:noProof/>
          <w:sz w:val="24"/>
          <w:szCs w:val="24"/>
        </w:rPr>
        <w:t xml:space="preserve"> study. International comparisons of electricity prices are very relevant for an assessment of cost competitiveness of sectors. Indeed electricity is the energy carrier which most often has the highest potential to impact the energy costs differential between energy intensive sectors in manufacturing. </w:t>
      </w:r>
    </w:p>
    <w:p>
      <w:pPr>
        <w:rPr>
          <w:noProof/>
          <w:sz w:val="24"/>
          <w:szCs w:val="24"/>
        </w:rPr>
      </w:pPr>
      <w:r>
        <w:rPr>
          <w:noProof/>
          <w:sz w:val="24"/>
          <w:szCs w:val="24"/>
        </w:rPr>
        <w:t xml:space="preserve">Retail electricity prices for industry have relatively complete datasets. The price data covers EU28 and G20 countries from 2008-2018. EU28 prices are based on consumption band assumptions (mainly Eurostat consumption band ID) while data for non-EU G20 countries is normally based on the average of the countries (not based on consumption bands). The price data is however widely comparable (i.e. comparability checks were undertaken can be found in the study by </w:t>
      </w:r>
      <w:r>
        <w:rPr>
          <w:i/>
          <w:noProof/>
          <w:sz w:val="24"/>
          <w:szCs w:val="24"/>
        </w:rPr>
        <w:t>Trinomics et altri</w:t>
      </w:r>
      <w:r>
        <w:rPr>
          <w:noProof/>
          <w:sz w:val="24"/>
          <w:szCs w:val="24"/>
        </w:rPr>
        <w:t>). Finally, prices are exclusive of VAT and recoverable taxes and levies but include (non-recoverable) excise taxes and levies.</w:t>
      </w:r>
    </w:p>
    <w:p>
      <w:pPr>
        <w:rPr>
          <w:noProof/>
          <w:sz w:val="24"/>
          <w:szCs w:val="24"/>
        </w:rPr>
      </w:pPr>
      <w:r>
        <w:rPr>
          <w:noProof/>
          <w:sz w:val="24"/>
          <w:szCs w:val="24"/>
        </w:rPr>
        <w:t xml:space="preserve">The main conclusions that can be drawn from this data are: </w:t>
      </w:r>
    </w:p>
    <w:p>
      <w:pPr>
        <w:pStyle w:val="ListParagraph"/>
        <w:numPr>
          <w:ilvl w:val="0"/>
          <w:numId w:val="14"/>
        </w:numPr>
        <w:ind w:left="284" w:hanging="284"/>
        <w:rPr>
          <w:noProof/>
          <w:sz w:val="24"/>
          <w:szCs w:val="24"/>
        </w:rPr>
      </w:pPr>
      <w:r>
        <w:rPr>
          <w:noProof/>
          <w:sz w:val="24"/>
          <w:szCs w:val="24"/>
        </w:rPr>
        <w:t xml:space="preserve">EU28 average prices increased from around 100 EUR/MWh in 2008 to 120 EUR/MWh by 2013-2014, but since then prices have slowly declined to around 110 EUR/MWh. </w:t>
      </w:r>
    </w:p>
    <w:p>
      <w:pPr>
        <w:pStyle w:val="ListParagraph"/>
        <w:ind w:left="284" w:hanging="284"/>
        <w:rPr>
          <w:noProof/>
          <w:sz w:val="24"/>
          <w:szCs w:val="24"/>
        </w:rPr>
      </w:pPr>
    </w:p>
    <w:p>
      <w:pPr>
        <w:pStyle w:val="ListParagraph"/>
        <w:numPr>
          <w:ilvl w:val="0"/>
          <w:numId w:val="14"/>
        </w:numPr>
        <w:ind w:left="284" w:hanging="284"/>
        <w:rPr>
          <w:noProof/>
          <w:sz w:val="24"/>
          <w:szCs w:val="24"/>
        </w:rPr>
      </w:pPr>
      <w:r>
        <w:rPr>
          <w:noProof/>
          <w:sz w:val="24"/>
          <w:szCs w:val="24"/>
        </w:rPr>
        <w:t xml:space="preserve">US prices are around half the EU average levels and have not changed significantly between 2008 and 2018.(See </w:t>
      </w:r>
      <w:r>
        <w:rPr>
          <w:b/>
          <w:noProof/>
          <w:sz w:val="24"/>
          <w:szCs w:val="24"/>
        </w:rPr>
        <w:fldChar w:fldCharType="begin"/>
      </w:r>
      <w:r>
        <w:rPr>
          <w:b/>
          <w:noProof/>
          <w:sz w:val="24"/>
          <w:szCs w:val="24"/>
        </w:rPr>
        <w:instrText xml:space="preserve"> REF _Ref525115707 \h  \* MERGEFORMAT </w:instrText>
      </w:r>
      <w:r>
        <w:rPr>
          <w:b/>
          <w:noProof/>
          <w:sz w:val="24"/>
          <w:szCs w:val="24"/>
        </w:rPr>
      </w:r>
      <w:r>
        <w:rPr>
          <w:b/>
          <w:noProof/>
          <w:sz w:val="24"/>
          <w:szCs w:val="24"/>
        </w:rPr>
        <w:fldChar w:fldCharType="separate"/>
      </w:r>
      <w:r>
        <w:rPr>
          <w:b/>
          <w:noProof/>
          <w:sz w:val="24"/>
          <w:szCs w:val="24"/>
        </w:rPr>
        <w:t>Figure 135</w:t>
      </w:r>
      <w:r>
        <w:rPr>
          <w:b/>
          <w:noProof/>
          <w:sz w:val="24"/>
          <w:szCs w:val="24"/>
        </w:rPr>
        <w:fldChar w:fldCharType="end"/>
      </w:r>
      <w:r>
        <w:rPr>
          <w:b/>
          <w:noProof/>
          <w:sz w:val="24"/>
          <w:szCs w:val="24"/>
        </w:rPr>
        <w:t>)</w:t>
      </w:r>
    </w:p>
    <w:p>
      <w:pPr>
        <w:pStyle w:val="ListParagraph"/>
        <w:ind w:left="284"/>
        <w:rPr>
          <w:noProof/>
          <w:sz w:val="24"/>
          <w:szCs w:val="24"/>
        </w:rPr>
      </w:pPr>
    </w:p>
    <w:p>
      <w:pPr>
        <w:pStyle w:val="ListParagraph"/>
        <w:numPr>
          <w:ilvl w:val="0"/>
          <w:numId w:val="14"/>
        </w:numPr>
        <w:ind w:left="284" w:hanging="284"/>
        <w:rPr>
          <w:noProof/>
          <w:sz w:val="24"/>
          <w:szCs w:val="24"/>
        </w:rPr>
      </w:pPr>
      <w:r>
        <w:rPr>
          <w:noProof/>
          <w:sz w:val="24"/>
          <w:szCs w:val="24"/>
        </w:rPr>
        <w:t xml:space="preserve">Prices in Japan were higher than the EU28 average but have declined since 2012 and converged in 2015-2016 to a broadly similar level .(See </w:t>
      </w:r>
      <w:r>
        <w:rPr>
          <w:b/>
          <w:noProof/>
          <w:sz w:val="24"/>
          <w:szCs w:val="24"/>
        </w:rPr>
        <w:fldChar w:fldCharType="begin"/>
      </w:r>
      <w:r>
        <w:rPr>
          <w:b/>
          <w:noProof/>
          <w:sz w:val="24"/>
          <w:szCs w:val="24"/>
        </w:rPr>
        <w:instrText xml:space="preserve"> REF _Ref525115707 \h  \* MERGEFORMAT </w:instrText>
      </w:r>
      <w:r>
        <w:rPr>
          <w:b/>
          <w:noProof/>
          <w:sz w:val="24"/>
          <w:szCs w:val="24"/>
        </w:rPr>
      </w:r>
      <w:r>
        <w:rPr>
          <w:b/>
          <w:noProof/>
          <w:sz w:val="24"/>
          <w:szCs w:val="24"/>
        </w:rPr>
        <w:fldChar w:fldCharType="separate"/>
      </w:r>
      <w:r>
        <w:rPr>
          <w:b/>
          <w:noProof/>
          <w:sz w:val="24"/>
          <w:szCs w:val="24"/>
        </w:rPr>
        <w:t>Figure 135</w:t>
      </w:r>
      <w:r>
        <w:rPr>
          <w:b/>
          <w:noProof/>
          <w:sz w:val="24"/>
          <w:szCs w:val="24"/>
        </w:rPr>
        <w:fldChar w:fldCharType="end"/>
      </w:r>
      <w:r>
        <w:rPr>
          <w:noProof/>
          <w:sz w:val="24"/>
          <w:szCs w:val="24"/>
        </w:rPr>
        <w:t>)</w:t>
      </w:r>
    </w:p>
    <w:p>
      <w:pPr>
        <w:pStyle w:val="ListParagraph"/>
        <w:ind w:left="284" w:hanging="284"/>
        <w:rPr>
          <w:noProof/>
          <w:sz w:val="24"/>
          <w:szCs w:val="24"/>
        </w:rPr>
      </w:pPr>
    </w:p>
    <w:p>
      <w:pPr>
        <w:pStyle w:val="ListParagraph"/>
        <w:numPr>
          <w:ilvl w:val="0"/>
          <w:numId w:val="14"/>
        </w:numPr>
        <w:ind w:left="284" w:hanging="284"/>
        <w:rPr>
          <w:noProof/>
          <w:sz w:val="24"/>
          <w:szCs w:val="24"/>
        </w:rPr>
      </w:pPr>
      <w:r>
        <w:rPr>
          <w:noProof/>
          <w:sz w:val="24"/>
          <w:szCs w:val="24"/>
        </w:rPr>
        <w:t xml:space="preserve">Prices in China began at a comparable level to EU prices but have declined since 2011 and thus diverged from EU levels. (See </w:t>
      </w:r>
      <w:r>
        <w:rPr>
          <w:b/>
          <w:noProof/>
          <w:sz w:val="24"/>
          <w:szCs w:val="24"/>
        </w:rPr>
        <w:fldChar w:fldCharType="begin"/>
      </w:r>
      <w:r>
        <w:rPr>
          <w:b/>
          <w:noProof/>
          <w:sz w:val="24"/>
          <w:szCs w:val="24"/>
        </w:rPr>
        <w:instrText xml:space="preserve"> REF _Ref525115707 \h  \* MERGEFORMAT </w:instrText>
      </w:r>
      <w:r>
        <w:rPr>
          <w:b/>
          <w:noProof/>
          <w:sz w:val="24"/>
          <w:szCs w:val="24"/>
        </w:rPr>
      </w:r>
      <w:r>
        <w:rPr>
          <w:b/>
          <w:noProof/>
          <w:sz w:val="24"/>
          <w:szCs w:val="24"/>
        </w:rPr>
        <w:fldChar w:fldCharType="separate"/>
      </w:r>
      <w:r>
        <w:rPr>
          <w:b/>
          <w:noProof/>
          <w:sz w:val="24"/>
          <w:szCs w:val="24"/>
        </w:rPr>
        <w:t>Figure 135</w:t>
      </w:r>
      <w:r>
        <w:rPr>
          <w:b/>
          <w:noProof/>
          <w:sz w:val="24"/>
          <w:szCs w:val="24"/>
        </w:rPr>
        <w:fldChar w:fldCharType="end"/>
      </w:r>
      <w:r>
        <w:rPr>
          <w:noProof/>
          <w:sz w:val="24"/>
          <w:szCs w:val="24"/>
        </w:rPr>
        <w:t>)</w:t>
      </w:r>
    </w:p>
    <w:p>
      <w:pPr>
        <w:pStyle w:val="ListParagraph"/>
        <w:ind w:left="284"/>
        <w:rPr>
          <w:noProof/>
        </w:rPr>
      </w:pPr>
    </w:p>
    <w:p>
      <w:pPr>
        <w:pStyle w:val="ListParagraph"/>
        <w:rPr>
          <w:noProof/>
        </w:rPr>
      </w:pPr>
      <w:r>
        <w:rPr>
          <w:noProof/>
          <w:lang w:eastAsia="en-GB"/>
        </w:rPr>
        <w:drawing>
          <wp:inline distT="0" distB="0" distL="0" distR="0">
            <wp:extent cx="4641011" cy="2995211"/>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60431" cy="3007744"/>
                    </a:xfrm>
                    <a:prstGeom prst="rect">
                      <a:avLst/>
                    </a:prstGeom>
                    <a:noFill/>
                    <a:ln>
                      <a:noFill/>
                    </a:ln>
                  </pic:spPr>
                </pic:pic>
              </a:graphicData>
            </a:graphic>
          </wp:inline>
        </w:drawing>
      </w:r>
    </w:p>
    <w:p>
      <w:pPr>
        <w:pStyle w:val="Caption"/>
      </w:pPr>
      <w:bookmarkStart w:id="377" w:name="_Ref525115707"/>
      <w:bookmarkStart w:id="378" w:name="_Ref525115701"/>
      <w:bookmarkStart w:id="379" w:name="_Toc525807879"/>
      <w:bookmarkStart w:id="380" w:name="_Toc526433495"/>
      <w:bookmarkStart w:id="381" w:name="_Toc526433773"/>
      <w:bookmarkStart w:id="382" w:name="_Toc526435715"/>
      <w:bookmarkStart w:id="383" w:name="_Toc530739805"/>
      <w:bookmarkStart w:id="384" w:name="_Toc531178526"/>
      <w:r>
        <w:t xml:space="preserve">Figure </w:t>
      </w:r>
      <w:r>
        <w:fldChar w:fldCharType="begin"/>
      </w:r>
      <w:r>
        <w:instrText xml:space="preserve"> SEQ Figure \* ARABIC </w:instrText>
      </w:r>
      <w:r>
        <w:fldChar w:fldCharType="separate"/>
      </w:r>
      <w:r>
        <w:t>135</w:t>
      </w:r>
      <w:r>
        <w:fldChar w:fldCharType="end"/>
      </w:r>
      <w:bookmarkEnd w:id="377"/>
      <w:r>
        <w:t xml:space="preserve"> – Retail electricity prices for industry: EU vs China, Japan &amp; US, 2008-2018</w:t>
      </w:r>
      <w:bookmarkEnd w:id="378"/>
      <w:bookmarkEnd w:id="379"/>
      <w:bookmarkEnd w:id="380"/>
      <w:bookmarkEnd w:id="381"/>
      <w:bookmarkEnd w:id="382"/>
      <w:bookmarkEnd w:id="383"/>
      <w:bookmarkEnd w:id="384"/>
    </w:p>
    <w:p>
      <w:pPr>
        <w:pStyle w:val="Sources"/>
        <w:rPr>
          <w:noProof/>
        </w:rPr>
      </w:pPr>
      <w:r>
        <w:rPr>
          <w:noProof/>
        </w:rPr>
        <w:t>Sources: Eurostat, CEIC and IEA</w:t>
      </w:r>
    </w:p>
    <w:p>
      <w:pPr>
        <w:pStyle w:val="ListParagraph"/>
        <w:numPr>
          <w:ilvl w:val="0"/>
          <w:numId w:val="14"/>
        </w:numPr>
        <w:rPr>
          <w:noProof/>
          <w:sz w:val="24"/>
          <w:szCs w:val="24"/>
        </w:rPr>
      </w:pPr>
      <w:r>
        <w:rPr>
          <w:noProof/>
          <w:sz w:val="24"/>
          <w:szCs w:val="24"/>
        </w:rPr>
        <w:t xml:space="preserve">Most other G20 countries (Canada, India, Russia, Mexico, South Korea, Saudi Arabia, and Turkey) also have lower prices than the EU average. Only Brazil has higher prices. Prices in South Korea are lower but increasing and converging to EU levels, whilst prices in Mexico (already below cost) are diverging as they have significantly decreased since 2014. (See </w:t>
      </w:r>
      <w:r>
        <w:rPr>
          <w:b/>
          <w:noProof/>
          <w:sz w:val="24"/>
          <w:szCs w:val="24"/>
        </w:rPr>
        <w:fldChar w:fldCharType="begin"/>
      </w:r>
      <w:r>
        <w:rPr>
          <w:b/>
          <w:noProof/>
          <w:sz w:val="24"/>
          <w:szCs w:val="24"/>
        </w:rPr>
        <w:instrText xml:space="preserve"> REF _Ref525115771 \h  \* MERGEFORMAT </w:instrText>
      </w:r>
      <w:r>
        <w:rPr>
          <w:b/>
          <w:noProof/>
          <w:sz w:val="24"/>
          <w:szCs w:val="24"/>
        </w:rPr>
      </w:r>
      <w:r>
        <w:rPr>
          <w:b/>
          <w:noProof/>
          <w:sz w:val="24"/>
          <w:szCs w:val="24"/>
        </w:rPr>
        <w:fldChar w:fldCharType="separate"/>
      </w:r>
      <w:r>
        <w:rPr>
          <w:b/>
          <w:noProof/>
          <w:sz w:val="24"/>
          <w:szCs w:val="24"/>
        </w:rPr>
        <w:t>Figure 136</w:t>
      </w:r>
      <w:r>
        <w:rPr>
          <w:b/>
          <w:noProof/>
          <w:sz w:val="24"/>
          <w:szCs w:val="24"/>
        </w:rPr>
        <w:fldChar w:fldCharType="end"/>
      </w:r>
      <w:r>
        <w:rPr>
          <w:noProof/>
          <w:sz w:val="24"/>
          <w:szCs w:val="24"/>
        </w:rPr>
        <w:t>)</w:t>
      </w:r>
    </w:p>
    <w:p>
      <w:pPr>
        <w:pStyle w:val="ListParagraph"/>
        <w:rPr>
          <w:noProof/>
        </w:rPr>
      </w:pPr>
    </w:p>
    <w:p>
      <w:pPr>
        <w:jc w:val="center"/>
        <w:rPr>
          <w:noProof/>
        </w:rPr>
      </w:pPr>
      <w:r>
        <w:rPr>
          <w:noProof/>
          <w:lang w:eastAsia="en-GB"/>
        </w:rPr>
        <w:drawing>
          <wp:inline distT="0" distB="0" distL="0" distR="0">
            <wp:extent cx="5286375" cy="3852446"/>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95224" cy="3858895"/>
                    </a:xfrm>
                    <a:prstGeom prst="rect">
                      <a:avLst/>
                    </a:prstGeom>
                    <a:noFill/>
                    <a:ln>
                      <a:noFill/>
                    </a:ln>
                  </pic:spPr>
                </pic:pic>
              </a:graphicData>
            </a:graphic>
          </wp:inline>
        </w:drawing>
      </w:r>
    </w:p>
    <w:p>
      <w:pPr>
        <w:pStyle w:val="Caption"/>
      </w:pPr>
      <w:bookmarkStart w:id="385" w:name="_Ref525115771"/>
      <w:bookmarkStart w:id="386" w:name="_Toc525807880"/>
      <w:bookmarkStart w:id="387" w:name="_Toc526433496"/>
      <w:bookmarkStart w:id="388" w:name="_Toc526433774"/>
      <w:bookmarkStart w:id="389" w:name="_Toc526435716"/>
      <w:bookmarkStart w:id="390" w:name="_Toc530739806"/>
      <w:bookmarkStart w:id="391" w:name="_Toc531178527"/>
      <w:r>
        <w:t xml:space="preserve">Figure </w:t>
      </w:r>
      <w:r>
        <w:fldChar w:fldCharType="begin"/>
      </w:r>
      <w:r>
        <w:instrText xml:space="preserve"> SEQ Figure \* ARABIC </w:instrText>
      </w:r>
      <w:r>
        <w:fldChar w:fldCharType="separate"/>
      </w:r>
      <w:r>
        <w:t>136</w:t>
      </w:r>
      <w:r>
        <w:fldChar w:fldCharType="end"/>
      </w:r>
      <w:bookmarkEnd w:id="385"/>
      <w:r>
        <w:t xml:space="preserve"> - Retail electricity prices for industry: EU vs other G20, 2007-2018</w:t>
      </w:r>
      <w:bookmarkEnd w:id="386"/>
      <w:bookmarkEnd w:id="387"/>
      <w:bookmarkEnd w:id="388"/>
      <w:bookmarkEnd w:id="389"/>
      <w:bookmarkEnd w:id="390"/>
      <w:bookmarkEnd w:id="391"/>
    </w:p>
    <w:p>
      <w:pPr>
        <w:pStyle w:val="Sources"/>
        <w:rPr>
          <w:noProof/>
        </w:rPr>
      </w:pPr>
      <w:r>
        <w:rPr>
          <w:noProof/>
        </w:rPr>
        <w:t>Sources: Eurostat, CEIC, IEA, ERRA</w:t>
      </w:r>
    </w:p>
    <w:p>
      <w:pPr>
        <w:pStyle w:val="ListParagraph"/>
        <w:rPr>
          <w:noProof/>
        </w:rPr>
      </w:pPr>
    </w:p>
    <w:p>
      <w:pPr>
        <w:pStyle w:val="ListParagraph"/>
        <w:rPr>
          <w:noProof/>
        </w:rPr>
      </w:pPr>
    </w:p>
    <w:p>
      <w:pPr>
        <w:pStyle w:val="ListParagraph"/>
        <w:rPr>
          <w:noProof/>
        </w:rPr>
      </w:pPr>
    </w:p>
    <w:p>
      <w:pPr>
        <w:pStyle w:val="ListParagraph"/>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For Argentina, Australia, India there is only information from price indices (and not absolute price data). The evolution of the indices indicate that EU average prices have increased by around 10% since 2008 (+1.1%/year) while real price indices declined in India and particularly in Argentina. The Australian price index has increased in real terms by more than 60% over the period. – See </w:t>
      </w:r>
      <w:r>
        <w:rPr>
          <w:b/>
          <w:noProof/>
          <w:sz w:val="24"/>
          <w:szCs w:val="24"/>
        </w:rPr>
        <w:fldChar w:fldCharType="begin"/>
      </w:r>
      <w:r>
        <w:rPr>
          <w:b/>
          <w:noProof/>
          <w:sz w:val="24"/>
          <w:szCs w:val="24"/>
        </w:rPr>
        <w:instrText xml:space="preserve"> REF _Ref525115847 \h  \* MERGEFORMAT </w:instrText>
      </w:r>
      <w:r>
        <w:rPr>
          <w:b/>
          <w:noProof/>
          <w:sz w:val="24"/>
          <w:szCs w:val="24"/>
        </w:rPr>
      </w:r>
      <w:r>
        <w:rPr>
          <w:b/>
          <w:noProof/>
          <w:sz w:val="24"/>
          <w:szCs w:val="24"/>
        </w:rPr>
        <w:fldChar w:fldCharType="separate"/>
      </w:r>
      <w:r>
        <w:rPr>
          <w:b/>
          <w:noProof/>
          <w:sz w:val="24"/>
          <w:szCs w:val="24"/>
        </w:rPr>
        <w:t>Figure 137</w:t>
      </w:r>
      <w:r>
        <w:rPr>
          <w:b/>
          <w:noProof/>
          <w:sz w:val="24"/>
          <w:szCs w:val="24"/>
        </w:rPr>
        <w:fldChar w:fldCharType="end"/>
      </w:r>
    </w:p>
    <w:p>
      <w:pPr>
        <w:pStyle w:val="ListParagraph"/>
        <w:rPr>
          <w:noProof/>
        </w:rPr>
      </w:pPr>
    </w:p>
    <w:p>
      <w:pPr>
        <w:jc w:val="center"/>
        <w:rPr>
          <w:noProof/>
        </w:rPr>
      </w:pPr>
    </w:p>
    <w:p>
      <w:pPr>
        <w:rPr>
          <w:noProof/>
        </w:rPr>
      </w:pPr>
      <w:r>
        <w:rPr>
          <w:noProof/>
          <w:lang w:eastAsia="en-GB"/>
        </w:rPr>
        <w:drawing>
          <wp:inline distT="0" distB="0" distL="0" distR="0">
            <wp:extent cx="5267601" cy="359627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87692" cy="3609992"/>
                    </a:xfrm>
                    <a:prstGeom prst="rect">
                      <a:avLst/>
                    </a:prstGeom>
                    <a:noFill/>
                    <a:ln>
                      <a:noFill/>
                    </a:ln>
                  </pic:spPr>
                </pic:pic>
              </a:graphicData>
            </a:graphic>
          </wp:inline>
        </w:drawing>
      </w:r>
    </w:p>
    <w:p>
      <w:pPr>
        <w:pStyle w:val="Caption"/>
      </w:pPr>
      <w:bookmarkStart w:id="392" w:name="_Ref525115847"/>
      <w:bookmarkStart w:id="393" w:name="_Toc525807881"/>
      <w:bookmarkStart w:id="394" w:name="_Toc526433497"/>
      <w:bookmarkStart w:id="395" w:name="_Toc526433775"/>
      <w:bookmarkStart w:id="396" w:name="_Toc526435717"/>
      <w:bookmarkStart w:id="397" w:name="_Toc530739807"/>
      <w:bookmarkStart w:id="398" w:name="_Toc531178528"/>
      <w:r>
        <w:t xml:space="preserve">Figure </w:t>
      </w:r>
      <w:r>
        <w:fldChar w:fldCharType="begin"/>
      </w:r>
      <w:r>
        <w:instrText xml:space="preserve"> SEQ Figure \* ARABIC </w:instrText>
      </w:r>
      <w:r>
        <w:fldChar w:fldCharType="separate"/>
      </w:r>
      <w:r>
        <w:t>137</w:t>
      </w:r>
      <w:r>
        <w:fldChar w:fldCharType="end"/>
      </w:r>
      <w:bookmarkEnd w:id="392"/>
      <w:r>
        <w:t xml:space="preserve"> – Retail electricity indexes prices for industry: EU vs Argentina, Australia &amp; India, 2008-2018</w:t>
      </w:r>
      <w:bookmarkEnd w:id="393"/>
      <w:bookmarkEnd w:id="394"/>
      <w:bookmarkEnd w:id="395"/>
      <w:bookmarkEnd w:id="396"/>
      <w:bookmarkEnd w:id="397"/>
      <w:bookmarkEnd w:id="398"/>
    </w:p>
    <w:p>
      <w:pPr>
        <w:pStyle w:val="Sources"/>
        <w:rPr>
          <w:noProof/>
        </w:rPr>
      </w:pPr>
      <w:r>
        <w:rPr>
          <w:noProof/>
        </w:rPr>
        <w:t>Sources: Eurostat, CEIC and IEA</w:t>
      </w:r>
    </w:p>
    <w:p>
      <w:pPr>
        <w:pStyle w:val="ListParagraph"/>
        <w:rPr>
          <w:noProof/>
        </w:rPr>
      </w:pPr>
    </w:p>
    <w:p>
      <w:pPr>
        <w:pStyle w:val="ListParagraph"/>
        <w:numPr>
          <w:ilvl w:val="0"/>
          <w:numId w:val="14"/>
        </w:numPr>
        <w:rPr>
          <w:noProof/>
        </w:rPr>
      </w:pPr>
      <w:r>
        <w:rPr>
          <w:noProof/>
          <w:sz w:val="24"/>
          <w:szCs w:val="24"/>
        </w:rPr>
        <w:t xml:space="preserve">Price differentials (in real prices 2017) did not evolve favourably for the EU in most of the cases as EU prices increased (by 10%) while prices decreased in most of the G-20 countries (with the exception of Indonesia and South Korea). As a result of this divergent evolution, the price gap with the US and China (which was already favourable for these two countries at the start of the period analysed) has widened slightly. The gap with Japan (which was favourable for the EU) has shrunk. The price gap with the EU increased for most of the other G-20 countries, or in the case of Brazil, prices that were initially higher converged towards EU levels. Only the price gap with South Korea evolved favourably for the EU (while the gap with Indonesia remained roughly stable) – See </w:t>
      </w:r>
      <w:r>
        <w:rPr>
          <w:noProof/>
          <w:sz w:val="24"/>
          <w:szCs w:val="24"/>
        </w:rPr>
        <w:fldChar w:fldCharType="begin"/>
      </w:r>
      <w:r>
        <w:rPr>
          <w:noProof/>
          <w:sz w:val="24"/>
          <w:szCs w:val="24"/>
        </w:rPr>
        <w:instrText xml:space="preserve"> REF _Ref531167210 \h </w:instrText>
      </w:r>
      <w:r>
        <w:rPr>
          <w:noProof/>
          <w:sz w:val="24"/>
          <w:szCs w:val="24"/>
        </w:rPr>
      </w:r>
      <w:r>
        <w:rPr>
          <w:noProof/>
          <w:sz w:val="24"/>
          <w:szCs w:val="24"/>
        </w:rPr>
        <w:fldChar w:fldCharType="separate"/>
      </w:r>
      <w:r>
        <w:rPr>
          <w:noProof/>
        </w:rPr>
        <w:t>Table 14</w:t>
      </w:r>
      <w:r>
        <w:rPr>
          <w:noProof/>
          <w:sz w:val="24"/>
          <w:szCs w:val="24"/>
        </w:rPr>
        <w:fldChar w:fldCharType="end"/>
      </w:r>
      <w:r>
        <w:rPr>
          <w:noProof/>
          <w:sz w:val="24"/>
          <w:szCs w:val="24"/>
        </w:rPr>
        <w:t xml:space="preserve"> </w:t>
      </w:r>
      <w:r>
        <w:rPr>
          <w:noProof/>
        </w:rPr>
        <w:fldChar w:fldCharType="begin"/>
      </w:r>
      <w:r>
        <w:rPr>
          <w:noProof/>
        </w:rPr>
        <w:instrText xml:space="preserve"> REF _Ref525116175 \h  \* MERGEFORMAT </w:instrText>
      </w:r>
      <w:r>
        <w:rPr>
          <w:noProof/>
        </w:rPr>
      </w:r>
      <w:r>
        <w:rPr>
          <w:noProof/>
        </w:rPr>
        <w:fldChar w:fldCharType="end"/>
      </w:r>
    </w:p>
    <w:p>
      <w:pPr>
        <w:pStyle w:val="ListParagraph"/>
        <w:rPr>
          <w:noProof/>
        </w:rPr>
      </w:pPr>
    </w:p>
    <w:p>
      <w:pPr>
        <w:spacing w:after="0"/>
        <w:jc w:val="left"/>
        <w:rPr>
          <w:rFonts w:ascii="Calibri" w:hAnsi="Calibri"/>
          <w:noProof/>
          <w:sz w:val="20"/>
          <w:lang w:eastAsia="en-GB"/>
        </w:rPr>
      </w:pPr>
      <w:bookmarkStart w:id="399" w:name="_Ref517709302"/>
      <w:bookmarkStart w:id="400" w:name="_Toc519542716"/>
      <w:r>
        <w:rPr>
          <w:noProof/>
        </w:rPr>
        <w:br w:type="page"/>
      </w:r>
    </w:p>
    <w:p>
      <w:pPr>
        <w:pStyle w:val="Caption"/>
      </w:pPr>
      <w:bookmarkStart w:id="401" w:name="_Ref525116175"/>
      <w:bookmarkStart w:id="402" w:name="_Ref531167210"/>
      <w:bookmarkStart w:id="403" w:name="_Ref525116166"/>
      <w:bookmarkStart w:id="404" w:name="_Toc525817559"/>
      <w:bookmarkStart w:id="405" w:name="_Toc526433349"/>
      <w:bookmarkStart w:id="406" w:name="_Toc526433602"/>
      <w:bookmarkStart w:id="407" w:name="_Toc526435544"/>
      <w:bookmarkStart w:id="408" w:name="_Toc531178642"/>
      <w:bookmarkEnd w:id="401"/>
      <w:r>
        <w:t xml:space="preserve">Table </w:t>
      </w:r>
      <w:r>
        <w:fldChar w:fldCharType="begin"/>
      </w:r>
      <w:r>
        <w:instrText xml:space="preserve"> SEQ Table \* ARABIC </w:instrText>
      </w:r>
      <w:r>
        <w:fldChar w:fldCharType="separate"/>
      </w:r>
      <w:r>
        <w:t>14</w:t>
      </w:r>
      <w:r>
        <w:fldChar w:fldCharType="end"/>
      </w:r>
      <w:bookmarkEnd w:id="402"/>
      <w:r>
        <w:t xml:space="preserve"> - Changes in retail industrial electricity prices compared to EU prices, constant 2017 EUR/MWh</w:t>
      </w:r>
      <w:bookmarkEnd w:id="403"/>
      <w:bookmarkEnd w:id="404"/>
      <w:bookmarkEnd w:id="405"/>
      <w:bookmarkEnd w:id="406"/>
      <w:bookmarkEnd w:id="407"/>
      <w:bookmarkEnd w:id="408"/>
    </w:p>
    <w:tbl>
      <w:tblPr>
        <w:tblW w:w="8821" w:type="dxa"/>
        <w:tblInd w:w="562" w:type="dxa"/>
        <w:tblLook w:val="04A0" w:firstRow="1" w:lastRow="0" w:firstColumn="1" w:lastColumn="0" w:noHBand="0" w:noVBand="1"/>
      </w:tblPr>
      <w:tblGrid>
        <w:gridCol w:w="1340"/>
        <w:gridCol w:w="1017"/>
        <w:gridCol w:w="1017"/>
        <w:gridCol w:w="840"/>
        <w:gridCol w:w="840"/>
        <w:gridCol w:w="840"/>
        <w:gridCol w:w="1080"/>
        <w:gridCol w:w="999"/>
        <w:gridCol w:w="848"/>
      </w:tblGrid>
      <w:tr>
        <w:trPr>
          <w:trHeight w:val="934"/>
        </w:trPr>
        <w:tc>
          <w:tcPr>
            <w:tcW w:w="1340" w:type="dxa"/>
            <w:tcBorders>
              <w:top w:val="single" w:sz="4" w:space="0" w:color="B9BBBB"/>
              <w:left w:val="single" w:sz="4" w:space="0" w:color="B9BBBB"/>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Country</w:t>
            </w:r>
          </w:p>
        </w:tc>
        <w:tc>
          <w:tcPr>
            <w:tcW w:w="1017"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Start price [EUR2017]</w:t>
            </w:r>
          </w:p>
        </w:tc>
        <w:tc>
          <w:tcPr>
            <w:tcW w:w="1017"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End price [EUR2017]</w:t>
            </w:r>
          </w:p>
        </w:tc>
        <w:tc>
          <w:tcPr>
            <w:tcW w:w="840"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EUR</w:t>
            </w:r>
          </w:p>
        </w:tc>
        <w:tc>
          <w:tcPr>
            <w:tcW w:w="840"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w:t>
            </w:r>
          </w:p>
        </w:tc>
        <w:tc>
          <w:tcPr>
            <w:tcW w:w="840"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Start Gap [EUR]</w:t>
            </w:r>
          </w:p>
        </w:tc>
        <w:tc>
          <w:tcPr>
            <w:tcW w:w="1080"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End Gap [EUR]</w:t>
            </w:r>
          </w:p>
        </w:tc>
        <w:tc>
          <w:tcPr>
            <w:tcW w:w="999"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Difference [EUR]</w:t>
            </w:r>
          </w:p>
        </w:tc>
        <w:tc>
          <w:tcPr>
            <w:tcW w:w="848"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Impact for EU</w:t>
            </w:r>
          </w:p>
        </w:tc>
      </w:tr>
      <w:tr>
        <w:trPr>
          <w:trHeight w:val="225"/>
        </w:trPr>
        <w:tc>
          <w:tcPr>
            <w:tcW w:w="1340" w:type="dxa"/>
            <w:tcBorders>
              <w:top w:val="single" w:sz="4" w:space="0" w:color="auto"/>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EU28</w:t>
            </w:r>
          </w:p>
        </w:tc>
        <w:tc>
          <w:tcPr>
            <w:tcW w:w="1017" w:type="dxa"/>
            <w:tcBorders>
              <w:top w:val="single" w:sz="4" w:space="0" w:color="auto"/>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101.33</w:t>
            </w:r>
          </w:p>
        </w:tc>
        <w:tc>
          <w:tcPr>
            <w:tcW w:w="1017" w:type="dxa"/>
            <w:tcBorders>
              <w:top w:val="single" w:sz="4" w:space="0" w:color="auto"/>
              <w:left w:val="nil"/>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112.05</w:t>
            </w:r>
          </w:p>
        </w:tc>
        <w:tc>
          <w:tcPr>
            <w:tcW w:w="840" w:type="dxa"/>
            <w:tcBorders>
              <w:top w:val="single" w:sz="4" w:space="0" w:color="auto"/>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10.72</w:t>
            </w:r>
          </w:p>
        </w:tc>
        <w:tc>
          <w:tcPr>
            <w:tcW w:w="840" w:type="dxa"/>
            <w:tcBorders>
              <w:top w:val="single" w:sz="4" w:space="0" w:color="auto"/>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10.6%</w:t>
            </w:r>
          </w:p>
        </w:tc>
        <w:tc>
          <w:tcPr>
            <w:tcW w:w="840" w:type="dxa"/>
            <w:tcBorders>
              <w:top w:val="single" w:sz="4" w:space="0" w:color="auto"/>
              <w:left w:val="nil"/>
              <w:bottom w:val="nil"/>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80" w:type="dxa"/>
            <w:tcBorders>
              <w:top w:val="single" w:sz="4" w:space="0" w:color="auto"/>
              <w:left w:val="nil"/>
              <w:bottom w:val="nil"/>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single" w:sz="4" w:space="0" w:color="auto"/>
              <w:left w:val="nil"/>
              <w:bottom w:val="nil"/>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single" w:sz="4" w:space="0" w:color="auto"/>
              <w:left w:val="nil"/>
              <w:bottom w:val="nil"/>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Argentina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17"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4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0" w:type="dxa"/>
            <w:tcBorders>
              <w:top w:val="single" w:sz="4" w:space="0" w:color="B9BBBB"/>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80" w:type="dxa"/>
            <w:tcBorders>
              <w:top w:val="single" w:sz="4" w:space="0" w:color="B9BBBB"/>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single" w:sz="4" w:space="0" w:color="B9BBBB"/>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single" w:sz="4" w:space="0" w:color="D1D1D2"/>
              <w:left w:val="single" w:sz="4" w:space="0" w:color="D1D1D2"/>
              <w:bottom w:val="single" w:sz="4" w:space="0" w:color="D1D1D2"/>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Australia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17"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4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0"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8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single" w:sz="4" w:space="0" w:color="D1D1D2"/>
              <w:bottom w:val="single" w:sz="4" w:space="0" w:color="D1D1D2"/>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Brazil</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151.51</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144.48</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-7.03</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-4.6%</w:t>
            </w:r>
          </w:p>
        </w:tc>
        <w:tc>
          <w:tcPr>
            <w:tcW w:w="84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50.18</w:t>
            </w:r>
          </w:p>
        </w:tc>
        <w:tc>
          <w:tcPr>
            <w:tcW w:w="108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32.43</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-17.75</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Canada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71.53</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70.66</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-0.87</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-1.2%</w:t>
            </w:r>
          </w:p>
        </w:tc>
        <w:tc>
          <w:tcPr>
            <w:tcW w:w="84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-29.80</w:t>
            </w:r>
          </w:p>
        </w:tc>
        <w:tc>
          <w:tcPr>
            <w:tcW w:w="10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-41.39</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-11.59</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China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109.83</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99.65</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-10.18</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-9.3%</w:t>
            </w:r>
          </w:p>
        </w:tc>
        <w:tc>
          <w:tcPr>
            <w:tcW w:w="84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8.50</w:t>
            </w:r>
          </w:p>
        </w:tc>
        <w:tc>
          <w:tcPr>
            <w:tcW w:w="10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-12.40</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-20.90</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India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17"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4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0"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8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single" w:sz="4" w:space="0" w:color="D1D1D2"/>
              <w:bottom w:val="single" w:sz="4" w:space="0" w:color="D1D1D2"/>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Indonesia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65.01</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71.30</w:t>
            </w:r>
          </w:p>
        </w:tc>
        <w:tc>
          <w:tcPr>
            <w:tcW w:w="84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6.29</w:t>
            </w:r>
          </w:p>
        </w:tc>
        <w:tc>
          <w:tcPr>
            <w:tcW w:w="84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9.7%</w:t>
            </w:r>
          </w:p>
        </w:tc>
        <w:tc>
          <w:tcPr>
            <w:tcW w:w="84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-36.32</w:t>
            </w:r>
          </w:p>
        </w:tc>
        <w:tc>
          <w:tcPr>
            <w:tcW w:w="10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-40.75</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-4.43</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Japan</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140.15</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134.58</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-5.57</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-4.0%</w:t>
            </w:r>
          </w:p>
        </w:tc>
        <w:tc>
          <w:tcPr>
            <w:tcW w:w="84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38.82</w:t>
            </w:r>
          </w:p>
        </w:tc>
        <w:tc>
          <w:tcPr>
            <w:tcW w:w="108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22.53</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-16.29</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Mexico</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127.10</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63.20</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-63.90</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-50.3%</w:t>
            </w:r>
          </w:p>
        </w:tc>
        <w:tc>
          <w:tcPr>
            <w:tcW w:w="84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25.77</w:t>
            </w:r>
          </w:p>
        </w:tc>
        <w:tc>
          <w:tcPr>
            <w:tcW w:w="10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-48.85</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-74.62</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Russia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64.00</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56.33</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-7.67</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-12.0%</w:t>
            </w:r>
          </w:p>
        </w:tc>
        <w:tc>
          <w:tcPr>
            <w:tcW w:w="84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-37.33</w:t>
            </w:r>
          </w:p>
        </w:tc>
        <w:tc>
          <w:tcPr>
            <w:tcW w:w="10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-55.72</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-18.39</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Saudi Arabia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47.25</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43.60</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-3.66</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-7.7%</w:t>
            </w:r>
          </w:p>
        </w:tc>
        <w:tc>
          <w:tcPr>
            <w:tcW w:w="84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-54.08</w:t>
            </w:r>
          </w:p>
        </w:tc>
        <w:tc>
          <w:tcPr>
            <w:tcW w:w="10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-68.46</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-14.38</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South Africa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17"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4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0"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8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single" w:sz="4" w:space="0" w:color="D1D1D2"/>
              <w:bottom w:val="single" w:sz="4" w:space="0" w:color="D1D1D2"/>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South Korea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62.94</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85.82</w:t>
            </w:r>
          </w:p>
        </w:tc>
        <w:tc>
          <w:tcPr>
            <w:tcW w:w="84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22.88</w:t>
            </w:r>
          </w:p>
        </w:tc>
        <w:tc>
          <w:tcPr>
            <w:tcW w:w="84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36.3%</w:t>
            </w:r>
          </w:p>
        </w:tc>
        <w:tc>
          <w:tcPr>
            <w:tcW w:w="84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-38.39</w:t>
            </w:r>
          </w:p>
        </w:tc>
        <w:tc>
          <w:tcPr>
            <w:tcW w:w="10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-26.23</w:t>
            </w:r>
          </w:p>
        </w:tc>
        <w:tc>
          <w:tcPr>
            <w:tcW w:w="99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12.16</w:t>
            </w:r>
          </w:p>
        </w:tc>
        <w:tc>
          <w:tcPr>
            <w:tcW w:w="848"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25"/>
        </w:trPr>
        <w:tc>
          <w:tcPr>
            <w:tcW w:w="1340"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Turkey</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70.21</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56.80</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-13.41</w:t>
            </w:r>
          </w:p>
        </w:tc>
        <w:tc>
          <w:tcPr>
            <w:tcW w:w="84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-19.1%</w:t>
            </w:r>
          </w:p>
        </w:tc>
        <w:tc>
          <w:tcPr>
            <w:tcW w:w="84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-31.12</w:t>
            </w:r>
          </w:p>
        </w:tc>
        <w:tc>
          <w:tcPr>
            <w:tcW w:w="10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-55.25</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-24.13</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trPr>
        <w:tc>
          <w:tcPr>
            <w:tcW w:w="1340" w:type="dxa"/>
            <w:tcBorders>
              <w:top w:val="nil"/>
              <w:left w:val="single" w:sz="4" w:space="0" w:color="auto"/>
              <w:bottom w:val="single" w:sz="4" w:space="0" w:color="auto"/>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USA</w:t>
            </w:r>
          </w:p>
        </w:tc>
        <w:tc>
          <w:tcPr>
            <w:tcW w:w="1017" w:type="dxa"/>
            <w:tcBorders>
              <w:top w:val="nil"/>
              <w:left w:val="single" w:sz="4" w:space="0" w:color="D1D1D2"/>
              <w:bottom w:val="single" w:sz="4" w:space="0" w:color="auto"/>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63.85</w:t>
            </w:r>
          </w:p>
        </w:tc>
        <w:tc>
          <w:tcPr>
            <w:tcW w:w="1017" w:type="dxa"/>
            <w:tcBorders>
              <w:top w:val="nil"/>
              <w:left w:val="nil"/>
              <w:bottom w:val="single" w:sz="4" w:space="0" w:color="auto"/>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58.71</w:t>
            </w:r>
          </w:p>
        </w:tc>
        <w:tc>
          <w:tcPr>
            <w:tcW w:w="840" w:type="dxa"/>
            <w:tcBorders>
              <w:top w:val="single" w:sz="4" w:space="0" w:color="D1D1D2"/>
              <w:left w:val="single" w:sz="4" w:space="0" w:color="D1D1D2"/>
              <w:bottom w:val="single" w:sz="4" w:space="0" w:color="auto"/>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-5.14</w:t>
            </w:r>
          </w:p>
        </w:tc>
        <w:tc>
          <w:tcPr>
            <w:tcW w:w="840" w:type="dxa"/>
            <w:tcBorders>
              <w:top w:val="single" w:sz="4" w:space="0" w:color="D1D1D2"/>
              <w:left w:val="single" w:sz="4" w:space="0" w:color="D1D1D2"/>
              <w:bottom w:val="single" w:sz="4" w:space="0" w:color="auto"/>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-8.1%</w:t>
            </w:r>
          </w:p>
        </w:tc>
        <w:tc>
          <w:tcPr>
            <w:tcW w:w="840"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-37.48</w:t>
            </w:r>
          </w:p>
        </w:tc>
        <w:tc>
          <w:tcPr>
            <w:tcW w:w="1080"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-53.34</w:t>
            </w:r>
          </w:p>
        </w:tc>
        <w:tc>
          <w:tcPr>
            <w:tcW w:w="999"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-15.86</w:t>
            </w:r>
          </w:p>
        </w:tc>
        <w:tc>
          <w:tcPr>
            <w:tcW w:w="848" w:type="dxa"/>
            <w:tcBorders>
              <w:top w:val="single" w:sz="4" w:space="0" w:color="D1D1D2"/>
              <w:left w:val="single" w:sz="4" w:space="0" w:color="D1D1D2"/>
              <w:bottom w:val="single" w:sz="4" w:space="0" w:color="auto"/>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bl>
    <w:p>
      <w:pPr>
        <w:pStyle w:val="Sources"/>
        <w:rPr>
          <w:noProof/>
          <w:lang w:val="fr-BE"/>
        </w:rPr>
      </w:pPr>
      <w:r>
        <w:rPr>
          <w:noProof/>
          <w:lang w:val="fr-BE"/>
        </w:rPr>
        <w:t>Source: Trinomics et altri study.</w:t>
      </w:r>
    </w:p>
    <w:p>
      <w:pPr>
        <w:rPr>
          <w:noProof/>
          <w:sz w:val="20"/>
          <w:szCs w:val="20"/>
        </w:rPr>
      </w:pPr>
      <w:r>
        <w:rPr>
          <w:noProof/>
          <w:sz w:val="20"/>
          <w:szCs w:val="20"/>
        </w:rPr>
        <w:t>Note: a positive impact for the EU is recorded if the price gap has improved over time, e.g. that if a country had lower prices initially the gap is now smaller or prices are higher than the EU average, or if a country had higher prices and that the gap has increased. A negative impact is recorded if a country had lower prices than the EU, and that the gap has now increased, or if the country had higher prices than the EU but this gap has narrowed or the country now has lower prices.</w:t>
      </w:r>
    </w:p>
    <w:p>
      <w:pPr>
        <w:rPr>
          <w:noProof/>
        </w:rPr>
      </w:pPr>
    </w:p>
    <w:p>
      <w:pPr>
        <w:pStyle w:val="ListParagraph"/>
        <w:numPr>
          <w:ilvl w:val="0"/>
          <w:numId w:val="14"/>
        </w:numPr>
        <w:rPr>
          <w:noProof/>
          <w:sz w:val="24"/>
          <w:szCs w:val="24"/>
        </w:rPr>
      </w:pPr>
      <w:r>
        <w:rPr>
          <w:noProof/>
          <w:sz w:val="24"/>
          <w:szCs w:val="24"/>
        </w:rPr>
        <w:t xml:space="preserve">The analysis of the drivers of international prices (see </w:t>
      </w:r>
      <w:r>
        <w:rPr>
          <w:noProof/>
          <w:sz w:val="24"/>
          <w:szCs w:val="24"/>
        </w:rPr>
        <w:fldChar w:fldCharType="begin"/>
      </w:r>
      <w:r>
        <w:rPr>
          <w:noProof/>
          <w:sz w:val="24"/>
          <w:szCs w:val="24"/>
        </w:rPr>
        <w:instrText xml:space="preserve"> REF _Ref525116726 \h  \* MERGEFORMAT </w:instrText>
      </w:r>
      <w:r>
        <w:rPr>
          <w:noProof/>
          <w:sz w:val="24"/>
          <w:szCs w:val="24"/>
        </w:rPr>
      </w:r>
      <w:r>
        <w:rPr>
          <w:noProof/>
          <w:sz w:val="24"/>
          <w:szCs w:val="24"/>
        </w:rPr>
        <w:fldChar w:fldCharType="separate"/>
      </w:r>
      <w:r>
        <w:rPr>
          <w:noProof/>
          <w:sz w:val="24"/>
          <w:szCs w:val="24"/>
        </w:rPr>
        <w:t>Table 15</w:t>
      </w:r>
      <w:r>
        <w:rPr>
          <w:noProof/>
          <w:sz w:val="24"/>
          <w:szCs w:val="24"/>
        </w:rPr>
        <w:fldChar w:fldCharType="end"/>
      </w:r>
      <w:r>
        <w:rPr>
          <w:noProof/>
          <w:sz w:val="24"/>
          <w:szCs w:val="24"/>
        </w:rPr>
        <w:t xml:space="preserve">) shows that monetary effects (inflation and exchange rate changes) played a very significant role in the evolution of nominal prices. High inflation played a key role in pushing up prices in countries like Brazil and Indonesia. In Russia and Turkey the effects of high inflation were mitigated or offset by exchange rates depreciations. Exchange rate appreciations also played a role in pushing up Chinese and US prices. EU prices increased by around 12% in real terms between 2008 and 2017 (1.3%/year). In contrast, real prices declined in Brazil, Mexico, China, the US and Saudi Arabia. However, national prices increased in real terms in the remainder of the G20 in a comparable or higher magnitude. </w:t>
      </w:r>
    </w:p>
    <w:p>
      <w:pPr>
        <w:rPr>
          <w:noProof/>
        </w:rPr>
      </w:pPr>
    </w:p>
    <w:p>
      <w:pPr>
        <w:spacing w:after="0" w:line="276" w:lineRule="auto"/>
        <w:rPr>
          <w:noProof/>
        </w:rPr>
        <w:sectPr>
          <w:headerReference w:type="even" r:id="rId128"/>
          <w:headerReference w:type="default" r:id="rId129"/>
          <w:footerReference w:type="even" r:id="rId130"/>
          <w:footerReference w:type="default" r:id="rId131"/>
          <w:headerReference w:type="first" r:id="rId132"/>
          <w:footerReference w:type="first" r:id="rId133"/>
          <w:footnotePr>
            <w:numStart w:val="50"/>
          </w:footnotePr>
          <w:pgSz w:w="11906" w:h="16838"/>
          <w:pgMar w:top="1440" w:right="1440" w:bottom="1440" w:left="1440" w:header="709" w:footer="567" w:gutter="0"/>
          <w:cols w:space="708"/>
          <w:docGrid w:linePitch="360"/>
        </w:sectPr>
      </w:pPr>
    </w:p>
    <w:bookmarkEnd w:id="399"/>
    <w:bookmarkEnd w:id="400"/>
    <w:p>
      <w:pPr>
        <w:spacing w:after="0" w:line="276" w:lineRule="auto"/>
        <w:rPr>
          <w:noProof/>
        </w:rPr>
      </w:pPr>
    </w:p>
    <w:p>
      <w:pPr>
        <w:pStyle w:val="Caption"/>
      </w:pPr>
      <w:bookmarkStart w:id="409" w:name="_Ref525116726"/>
      <w:bookmarkStart w:id="410" w:name="_Toc525817560"/>
      <w:bookmarkStart w:id="411" w:name="_Toc526433350"/>
      <w:bookmarkStart w:id="412" w:name="_Toc526433603"/>
      <w:bookmarkStart w:id="413" w:name="_Toc526435545"/>
      <w:bookmarkStart w:id="414" w:name="_Toc531178643"/>
      <w:r>
        <w:t xml:space="preserve">Table </w:t>
      </w:r>
      <w:r>
        <w:fldChar w:fldCharType="begin"/>
      </w:r>
      <w:r>
        <w:instrText xml:space="preserve"> SEQ Table \* ARABIC </w:instrText>
      </w:r>
      <w:r>
        <w:fldChar w:fldCharType="separate"/>
      </w:r>
      <w:r>
        <w:t>15</w:t>
      </w:r>
      <w:r>
        <w:fldChar w:fldCharType="end"/>
      </w:r>
      <w:bookmarkEnd w:id="409"/>
      <w:r>
        <w:t xml:space="preserve"> - Factors in observed industrial retail electricity price changes per country, nominal prices, per MWh</w:t>
      </w:r>
      <w:bookmarkEnd w:id="410"/>
      <w:bookmarkEnd w:id="411"/>
      <w:bookmarkEnd w:id="412"/>
      <w:bookmarkEnd w:id="413"/>
      <w:bookmarkEnd w:id="414"/>
    </w:p>
    <w:tbl>
      <w:tblPr>
        <w:tblW w:w="14284" w:type="dxa"/>
        <w:tblLook w:val="04A0" w:firstRow="1" w:lastRow="0" w:firstColumn="1" w:lastColumn="0" w:noHBand="0" w:noVBand="1"/>
      </w:tblPr>
      <w:tblGrid>
        <w:gridCol w:w="1720"/>
        <w:gridCol w:w="1120"/>
        <w:gridCol w:w="1120"/>
        <w:gridCol w:w="1120"/>
        <w:gridCol w:w="1120"/>
        <w:gridCol w:w="980"/>
        <w:gridCol w:w="972"/>
        <w:gridCol w:w="920"/>
        <w:gridCol w:w="1000"/>
        <w:gridCol w:w="1200"/>
        <w:gridCol w:w="1060"/>
        <w:gridCol w:w="972"/>
        <w:gridCol w:w="980"/>
      </w:tblGrid>
      <w:tr>
        <w:trPr>
          <w:trHeight w:val="1398"/>
        </w:trPr>
        <w:tc>
          <w:tcPr>
            <w:tcW w:w="1720" w:type="dxa"/>
            <w:tcBorders>
              <w:top w:val="single" w:sz="4" w:space="0" w:color="B9BBBB"/>
              <w:left w:val="single" w:sz="4" w:space="0" w:color="B9BBBB"/>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Country</w:t>
            </w:r>
          </w:p>
        </w:tc>
        <w:tc>
          <w:tcPr>
            <w:tcW w:w="1120"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Start date</w:t>
            </w:r>
          </w:p>
        </w:tc>
        <w:tc>
          <w:tcPr>
            <w:tcW w:w="1120"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End date</w:t>
            </w:r>
          </w:p>
        </w:tc>
        <w:tc>
          <w:tcPr>
            <w:tcW w:w="1120"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Nominal Start price EUR</w:t>
            </w:r>
          </w:p>
        </w:tc>
        <w:tc>
          <w:tcPr>
            <w:tcW w:w="1120"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due to inflation [EUR]</w:t>
            </w:r>
          </w:p>
        </w:tc>
        <w:tc>
          <w:tcPr>
            <w:tcW w:w="980"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due to price change in national currency [EUR]</w:t>
            </w:r>
          </w:p>
        </w:tc>
        <w:tc>
          <w:tcPr>
            <w:tcW w:w="972"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Exchange rate effect [EUR]</w:t>
            </w:r>
          </w:p>
        </w:tc>
        <w:tc>
          <w:tcPr>
            <w:tcW w:w="920" w:type="dxa"/>
            <w:tcBorders>
              <w:top w:val="nil"/>
              <w:left w:val="single" w:sz="4" w:space="0" w:color="B9BBBB"/>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 change [EUR]</w:t>
            </w:r>
          </w:p>
        </w:tc>
        <w:tc>
          <w:tcPr>
            <w:tcW w:w="1000"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Nominal End price EUR</w:t>
            </w:r>
          </w:p>
        </w:tc>
        <w:tc>
          <w:tcPr>
            <w:tcW w:w="1200"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due to inflation [%]</w:t>
            </w:r>
          </w:p>
        </w:tc>
        <w:tc>
          <w:tcPr>
            <w:tcW w:w="1060"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due to real price change in national currency [%]</w:t>
            </w:r>
          </w:p>
        </w:tc>
        <w:tc>
          <w:tcPr>
            <w:tcW w:w="972"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Exchange rate effect [%]</w:t>
            </w:r>
          </w:p>
        </w:tc>
        <w:tc>
          <w:tcPr>
            <w:tcW w:w="980" w:type="dxa"/>
            <w:tcBorders>
              <w:top w:val="nil"/>
              <w:left w:val="single" w:sz="4" w:space="0" w:color="B9BBBB"/>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 change [%]</w:t>
            </w:r>
          </w:p>
        </w:tc>
      </w:tr>
      <w:tr>
        <w:trPr>
          <w:trHeight w:val="225"/>
        </w:trPr>
        <w:tc>
          <w:tcPr>
            <w:tcW w:w="1720" w:type="dxa"/>
            <w:tcBorders>
              <w:top w:val="single" w:sz="4" w:space="0" w:color="auto"/>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EU28</w:t>
            </w:r>
          </w:p>
        </w:tc>
        <w:tc>
          <w:tcPr>
            <w:tcW w:w="1120" w:type="dxa"/>
            <w:tcBorders>
              <w:top w:val="single" w:sz="4" w:space="0" w:color="auto"/>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1120" w:type="dxa"/>
            <w:tcBorders>
              <w:top w:val="single" w:sz="4" w:space="0" w:color="auto"/>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2017-11</w:t>
            </w:r>
          </w:p>
        </w:tc>
        <w:tc>
          <w:tcPr>
            <w:tcW w:w="1120" w:type="dxa"/>
            <w:tcBorders>
              <w:top w:val="single" w:sz="4" w:space="0" w:color="auto"/>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92.80</w:t>
            </w:r>
          </w:p>
        </w:tc>
        <w:tc>
          <w:tcPr>
            <w:tcW w:w="1120" w:type="dxa"/>
            <w:tcBorders>
              <w:top w:val="single" w:sz="4" w:space="0" w:color="auto"/>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8.20</w:t>
            </w:r>
          </w:p>
        </w:tc>
        <w:tc>
          <w:tcPr>
            <w:tcW w:w="980" w:type="dxa"/>
            <w:tcBorders>
              <w:top w:val="single" w:sz="4" w:space="0" w:color="auto"/>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11.05</w:t>
            </w:r>
          </w:p>
        </w:tc>
        <w:tc>
          <w:tcPr>
            <w:tcW w:w="972" w:type="dxa"/>
            <w:tcBorders>
              <w:top w:val="single" w:sz="4" w:space="0" w:color="auto"/>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0.00</w:t>
            </w:r>
          </w:p>
        </w:tc>
        <w:tc>
          <w:tcPr>
            <w:tcW w:w="920" w:type="dxa"/>
            <w:tcBorders>
              <w:top w:val="single" w:sz="4" w:space="0" w:color="auto"/>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19.25</w:t>
            </w:r>
          </w:p>
        </w:tc>
        <w:tc>
          <w:tcPr>
            <w:tcW w:w="1000" w:type="dxa"/>
            <w:tcBorders>
              <w:top w:val="single" w:sz="4" w:space="0" w:color="auto"/>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112.05</w:t>
            </w:r>
          </w:p>
        </w:tc>
        <w:tc>
          <w:tcPr>
            <w:tcW w:w="1200" w:type="dxa"/>
            <w:tcBorders>
              <w:top w:val="single" w:sz="4" w:space="0" w:color="auto"/>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8.8%</w:t>
            </w:r>
          </w:p>
        </w:tc>
        <w:tc>
          <w:tcPr>
            <w:tcW w:w="1060" w:type="dxa"/>
            <w:tcBorders>
              <w:top w:val="single" w:sz="4" w:space="0" w:color="auto"/>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11.9%</w:t>
            </w:r>
          </w:p>
        </w:tc>
        <w:tc>
          <w:tcPr>
            <w:tcW w:w="972" w:type="dxa"/>
            <w:tcBorders>
              <w:top w:val="single" w:sz="4" w:space="0" w:color="auto"/>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w:t>
            </w:r>
          </w:p>
        </w:tc>
        <w:tc>
          <w:tcPr>
            <w:tcW w:w="980" w:type="dxa"/>
            <w:tcBorders>
              <w:top w:val="single" w:sz="4" w:space="0" w:color="auto"/>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20.7%</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Argentina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No data</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20"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120"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00" w:type="dxa"/>
            <w:tcBorders>
              <w:top w:val="nil"/>
              <w:left w:val="nil"/>
              <w:bottom w:val="single" w:sz="4" w:space="0" w:color="D1D1D2"/>
              <w:right w:val="single" w:sz="4" w:space="0" w:color="auto"/>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20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6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0" w:type="dxa"/>
            <w:tcBorders>
              <w:top w:val="nil"/>
              <w:left w:val="nil"/>
              <w:bottom w:val="single" w:sz="4" w:space="0" w:color="D1D1D2"/>
              <w:right w:val="single" w:sz="4" w:space="0" w:color="auto"/>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Australia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No data</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20"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120"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00" w:type="dxa"/>
            <w:tcBorders>
              <w:top w:val="nil"/>
              <w:left w:val="nil"/>
              <w:bottom w:val="single" w:sz="4" w:space="0" w:color="D1D1D2"/>
              <w:right w:val="single" w:sz="4" w:space="0" w:color="auto"/>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20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6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0" w:type="dxa"/>
            <w:tcBorders>
              <w:top w:val="nil"/>
              <w:left w:val="nil"/>
              <w:bottom w:val="single" w:sz="4" w:space="0" w:color="D1D1D2"/>
              <w:right w:val="single" w:sz="4" w:space="0" w:color="auto"/>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Brazil</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2008-12</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2016-12</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111.68</w:t>
            </w:r>
          </w:p>
        </w:tc>
        <w:tc>
          <w:tcPr>
            <w:tcW w:w="11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71.01</w:t>
            </w:r>
          </w:p>
        </w:tc>
        <w:tc>
          <w:tcPr>
            <w:tcW w:w="98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-15.02</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-14.87</w:t>
            </w:r>
          </w:p>
        </w:tc>
        <w:tc>
          <w:tcPr>
            <w:tcW w:w="9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41.12</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152.80</w:t>
            </w:r>
          </w:p>
        </w:tc>
        <w:tc>
          <w:tcPr>
            <w:tcW w:w="1200"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63.6%</w:t>
            </w:r>
          </w:p>
        </w:tc>
        <w:tc>
          <w:tcPr>
            <w:tcW w:w="106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-13.4%</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-13.3%</w:t>
            </w:r>
          </w:p>
        </w:tc>
        <w:tc>
          <w:tcPr>
            <w:tcW w:w="98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36.8%</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Canada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48.18</w:t>
            </w:r>
          </w:p>
        </w:tc>
        <w:tc>
          <w:tcPr>
            <w:tcW w:w="11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4.02</w:t>
            </w:r>
          </w:p>
        </w:tc>
        <w:tc>
          <w:tcPr>
            <w:tcW w:w="9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23.20</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-2.86</w:t>
            </w:r>
          </w:p>
        </w:tc>
        <w:tc>
          <w:tcPr>
            <w:tcW w:w="9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24.36</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72.55</w:t>
            </w:r>
          </w:p>
        </w:tc>
        <w:tc>
          <w:tcPr>
            <w:tcW w:w="1200"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8.3%</w:t>
            </w:r>
          </w:p>
        </w:tc>
        <w:tc>
          <w:tcPr>
            <w:tcW w:w="106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48.2%</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-5.9%</w:t>
            </w:r>
          </w:p>
        </w:tc>
        <w:tc>
          <w:tcPr>
            <w:tcW w:w="98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50.6%</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China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2017-12</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62.87</w:t>
            </w:r>
          </w:p>
        </w:tc>
        <w:tc>
          <w:tcPr>
            <w:tcW w:w="11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14.43</w:t>
            </w:r>
          </w:p>
        </w:tc>
        <w:tc>
          <w:tcPr>
            <w:tcW w:w="98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-5.98</w:t>
            </w:r>
          </w:p>
        </w:tc>
        <w:tc>
          <w:tcPr>
            <w:tcW w:w="97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26.03</w:t>
            </w:r>
          </w:p>
        </w:tc>
        <w:tc>
          <w:tcPr>
            <w:tcW w:w="9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34.48</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97.34</w:t>
            </w:r>
          </w:p>
        </w:tc>
        <w:tc>
          <w:tcPr>
            <w:tcW w:w="1200"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23.0%</w:t>
            </w:r>
          </w:p>
        </w:tc>
        <w:tc>
          <w:tcPr>
            <w:tcW w:w="106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-9.5%</w:t>
            </w:r>
          </w:p>
        </w:tc>
        <w:tc>
          <w:tcPr>
            <w:tcW w:w="97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41.4%</w:t>
            </w:r>
          </w:p>
        </w:tc>
        <w:tc>
          <w:tcPr>
            <w:tcW w:w="98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54.8%</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India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No data</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20"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120"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00" w:type="dxa"/>
            <w:tcBorders>
              <w:top w:val="nil"/>
              <w:left w:val="nil"/>
              <w:bottom w:val="single" w:sz="4" w:space="0" w:color="D1D1D2"/>
              <w:right w:val="single" w:sz="4" w:space="0" w:color="auto"/>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20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6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0" w:type="dxa"/>
            <w:tcBorders>
              <w:top w:val="nil"/>
              <w:left w:val="nil"/>
              <w:bottom w:val="single" w:sz="4" w:space="0" w:color="D1D1D2"/>
              <w:right w:val="single" w:sz="4" w:space="0" w:color="auto"/>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Indonesia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2008-12</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2016-12</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40.72</w:t>
            </w:r>
          </w:p>
        </w:tc>
        <w:tc>
          <w:tcPr>
            <w:tcW w:w="11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18.18</w:t>
            </w:r>
          </w:p>
        </w:tc>
        <w:tc>
          <w:tcPr>
            <w:tcW w:w="9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9.96</w:t>
            </w:r>
          </w:p>
        </w:tc>
        <w:tc>
          <w:tcPr>
            <w:tcW w:w="97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5.56</w:t>
            </w:r>
          </w:p>
        </w:tc>
        <w:tc>
          <w:tcPr>
            <w:tcW w:w="9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33.70</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74.41</w:t>
            </w:r>
          </w:p>
        </w:tc>
        <w:tc>
          <w:tcPr>
            <w:tcW w:w="1200"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44.6%</w:t>
            </w:r>
          </w:p>
        </w:tc>
        <w:tc>
          <w:tcPr>
            <w:tcW w:w="106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24.5%</w:t>
            </w:r>
          </w:p>
        </w:tc>
        <w:tc>
          <w:tcPr>
            <w:tcW w:w="97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13.7%</w:t>
            </w:r>
          </w:p>
        </w:tc>
        <w:tc>
          <w:tcPr>
            <w:tcW w:w="98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82.8%</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Japan</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94.40</w:t>
            </w:r>
          </w:p>
        </w:tc>
        <w:tc>
          <w:tcPr>
            <w:tcW w:w="112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-1.15</w:t>
            </w:r>
          </w:p>
        </w:tc>
        <w:tc>
          <w:tcPr>
            <w:tcW w:w="9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18.50</w:t>
            </w:r>
          </w:p>
        </w:tc>
        <w:tc>
          <w:tcPr>
            <w:tcW w:w="97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26.44</w:t>
            </w:r>
          </w:p>
        </w:tc>
        <w:tc>
          <w:tcPr>
            <w:tcW w:w="9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43.79</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138.19</w:t>
            </w:r>
          </w:p>
        </w:tc>
        <w:tc>
          <w:tcPr>
            <w:tcW w:w="1200" w:type="dxa"/>
            <w:tcBorders>
              <w:top w:val="single" w:sz="4" w:space="0" w:color="D1D1D2"/>
              <w:left w:val="single" w:sz="4" w:space="0" w:color="auto"/>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-1.2%</w:t>
            </w:r>
          </w:p>
        </w:tc>
        <w:tc>
          <w:tcPr>
            <w:tcW w:w="106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19.6%</w:t>
            </w:r>
          </w:p>
        </w:tc>
        <w:tc>
          <w:tcPr>
            <w:tcW w:w="97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28.0%</w:t>
            </w:r>
          </w:p>
        </w:tc>
        <w:tc>
          <w:tcPr>
            <w:tcW w:w="98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46.4%</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Mexico</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85.61</w:t>
            </w:r>
          </w:p>
        </w:tc>
        <w:tc>
          <w:tcPr>
            <w:tcW w:w="11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26.29</w:t>
            </w:r>
          </w:p>
        </w:tc>
        <w:tc>
          <w:tcPr>
            <w:tcW w:w="98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-32.71</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-14.30</w:t>
            </w:r>
          </w:p>
        </w:tc>
        <w:tc>
          <w:tcPr>
            <w:tcW w:w="92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-20.72</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64.89</w:t>
            </w:r>
          </w:p>
        </w:tc>
        <w:tc>
          <w:tcPr>
            <w:tcW w:w="1200"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30.7%</w:t>
            </w:r>
          </w:p>
        </w:tc>
        <w:tc>
          <w:tcPr>
            <w:tcW w:w="106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-38.2%</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-16.7%</w:t>
            </w:r>
          </w:p>
        </w:tc>
        <w:tc>
          <w:tcPr>
            <w:tcW w:w="980"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-24.2%</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Russia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2015-4</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43.11</w:t>
            </w:r>
          </w:p>
        </w:tc>
        <w:tc>
          <w:tcPr>
            <w:tcW w:w="11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30.16</w:t>
            </w:r>
          </w:p>
        </w:tc>
        <w:tc>
          <w:tcPr>
            <w:tcW w:w="9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17.35</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-33.08</w:t>
            </w:r>
          </w:p>
        </w:tc>
        <w:tc>
          <w:tcPr>
            <w:tcW w:w="9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14.43</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57.54</w:t>
            </w:r>
          </w:p>
        </w:tc>
        <w:tc>
          <w:tcPr>
            <w:tcW w:w="1200"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70.0%</w:t>
            </w:r>
          </w:p>
        </w:tc>
        <w:tc>
          <w:tcPr>
            <w:tcW w:w="106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40.2%</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-76.7%</w:t>
            </w:r>
          </w:p>
        </w:tc>
        <w:tc>
          <w:tcPr>
            <w:tcW w:w="98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33.5%</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Saudi Arabia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2009-1</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2015-4</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35.65</w:t>
            </w:r>
          </w:p>
        </w:tc>
        <w:tc>
          <w:tcPr>
            <w:tcW w:w="11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6.78</w:t>
            </w:r>
          </w:p>
        </w:tc>
        <w:tc>
          <w:tcPr>
            <w:tcW w:w="98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-3.78</w:t>
            </w:r>
          </w:p>
        </w:tc>
        <w:tc>
          <w:tcPr>
            <w:tcW w:w="97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5.89</w:t>
            </w:r>
          </w:p>
        </w:tc>
        <w:tc>
          <w:tcPr>
            <w:tcW w:w="9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8.89</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44.53</w:t>
            </w:r>
          </w:p>
        </w:tc>
        <w:tc>
          <w:tcPr>
            <w:tcW w:w="1200"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19.0%</w:t>
            </w:r>
          </w:p>
        </w:tc>
        <w:tc>
          <w:tcPr>
            <w:tcW w:w="1060"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-10.6%</w:t>
            </w:r>
          </w:p>
        </w:tc>
        <w:tc>
          <w:tcPr>
            <w:tcW w:w="97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16.5%</w:t>
            </w:r>
          </w:p>
        </w:tc>
        <w:tc>
          <w:tcPr>
            <w:tcW w:w="98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24.9%</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South Africa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No data</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120"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120"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20"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00" w:type="dxa"/>
            <w:tcBorders>
              <w:top w:val="nil"/>
              <w:left w:val="nil"/>
              <w:bottom w:val="single" w:sz="4" w:space="0" w:color="D1D1D2"/>
              <w:right w:val="single" w:sz="4" w:space="0" w:color="auto"/>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20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6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80" w:type="dxa"/>
            <w:tcBorders>
              <w:top w:val="nil"/>
              <w:left w:val="nil"/>
              <w:bottom w:val="single" w:sz="4" w:space="0" w:color="D1D1D2"/>
              <w:right w:val="single" w:sz="4" w:space="0" w:color="auto"/>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South Korea</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42.40</w:t>
            </w:r>
          </w:p>
        </w:tc>
        <w:tc>
          <w:tcPr>
            <w:tcW w:w="11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6.35</w:t>
            </w:r>
          </w:p>
        </w:tc>
        <w:tc>
          <w:tcPr>
            <w:tcW w:w="9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34.28</w:t>
            </w:r>
          </w:p>
        </w:tc>
        <w:tc>
          <w:tcPr>
            <w:tcW w:w="97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5.09</w:t>
            </w:r>
          </w:p>
        </w:tc>
        <w:tc>
          <w:tcPr>
            <w:tcW w:w="9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45.72</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88.12</w:t>
            </w:r>
          </w:p>
        </w:tc>
        <w:tc>
          <w:tcPr>
            <w:tcW w:w="1200"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15.0%</w:t>
            </w:r>
          </w:p>
        </w:tc>
        <w:tc>
          <w:tcPr>
            <w:tcW w:w="106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80.9%</w:t>
            </w:r>
          </w:p>
        </w:tc>
        <w:tc>
          <w:tcPr>
            <w:tcW w:w="97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12.0%</w:t>
            </w:r>
          </w:p>
        </w:tc>
        <w:tc>
          <w:tcPr>
            <w:tcW w:w="98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107.8%</w:t>
            </w:r>
          </w:p>
        </w:tc>
      </w:tr>
      <w:tr>
        <w:trPr>
          <w:trHeight w:val="225"/>
        </w:trPr>
        <w:tc>
          <w:tcPr>
            <w:tcW w:w="1720" w:type="dxa"/>
            <w:tcBorders>
              <w:top w:val="nil"/>
              <w:left w:val="single" w:sz="4" w:space="0" w:color="auto"/>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Turkey</w:t>
            </w:r>
          </w:p>
        </w:tc>
        <w:tc>
          <w:tcPr>
            <w:tcW w:w="1120"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1120"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2017-7</w:t>
            </w:r>
          </w:p>
        </w:tc>
        <w:tc>
          <w:tcPr>
            <w:tcW w:w="1120"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64.30</w:t>
            </w:r>
          </w:p>
        </w:tc>
        <w:tc>
          <w:tcPr>
            <w:tcW w:w="112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42.27</w:t>
            </w:r>
          </w:p>
        </w:tc>
        <w:tc>
          <w:tcPr>
            <w:tcW w:w="980"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27.94</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-77.71</w:t>
            </w:r>
          </w:p>
        </w:tc>
        <w:tc>
          <w:tcPr>
            <w:tcW w:w="920"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-7.50</w:t>
            </w:r>
          </w:p>
        </w:tc>
        <w:tc>
          <w:tcPr>
            <w:tcW w:w="1000"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56.80</w:t>
            </w:r>
          </w:p>
        </w:tc>
        <w:tc>
          <w:tcPr>
            <w:tcW w:w="1200"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65.7%</w:t>
            </w:r>
          </w:p>
        </w:tc>
        <w:tc>
          <w:tcPr>
            <w:tcW w:w="1060"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43.5%</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-120.9%</w:t>
            </w:r>
          </w:p>
        </w:tc>
        <w:tc>
          <w:tcPr>
            <w:tcW w:w="980"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-11.7%</w:t>
            </w:r>
          </w:p>
        </w:tc>
      </w:tr>
      <w:tr>
        <w:trPr>
          <w:trHeight w:val="225"/>
        </w:trPr>
        <w:tc>
          <w:tcPr>
            <w:tcW w:w="1720" w:type="dxa"/>
            <w:tcBorders>
              <w:top w:val="nil"/>
              <w:left w:val="single" w:sz="4" w:space="0" w:color="auto"/>
              <w:bottom w:val="single" w:sz="4" w:space="0" w:color="auto"/>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USA</w:t>
            </w:r>
          </w:p>
        </w:tc>
        <w:tc>
          <w:tcPr>
            <w:tcW w:w="1120" w:type="dxa"/>
            <w:tcBorders>
              <w:top w:val="nil"/>
              <w:left w:val="single" w:sz="4" w:space="0" w:color="D1D1D2"/>
              <w:bottom w:val="single" w:sz="4" w:space="0" w:color="auto"/>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1120" w:type="dxa"/>
            <w:tcBorders>
              <w:top w:val="nil"/>
              <w:left w:val="nil"/>
              <w:bottom w:val="single" w:sz="4" w:space="0" w:color="auto"/>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2017-12</w:t>
            </w:r>
          </w:p>
        </w:tc>
        <w:tc>
          <w:tcPr>
            <w:tcW w:w="1120" w:type="dxa"/>
            <w:tcBorders>
              <w:top w:val="nil"/>
              <w:left w:val="nil"/>
              <w:bottom w:val="single" w:sz="4" w:space="0" w:color="auto"/>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43.01</w:t>
            </w:r>
          </w:p>
        </w:tc>
        <w:tc>
          <w:tcPr>
            <w:tcW w:w="1120"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5.65</w:t>
            </w:r>
          </w:p>
        </w:tc>
        <w:tc>
          <w:tcPr>
            <w:tcW w:w="980" w:type="dxa"/>
            <w:tcBorders>
              <w:top w:val="single" w:sz="4" w:space="0" w:color="B9BBBB"/>
              <w:left w:val="single" w:sz="4" w:space="0" w:color="B9BBBB"/>
              <w:bottom w:val="single" w:sz="4" w:space="0" w:color="auto"/>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-3.61</w:t>
            </w:r>
          </w:p>
        </w:tc>
        <w:tc>
          <w:tcPr>
            <w:tcW w:w="972"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10.97</w:t>
            </w:r>
          </w:p>
        </w:tc>
        <w:tc>
          <w:tcPr>
            <w:tcW w:w="920"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13.01</w:t>
            </w:r>
          </w:p>
        </w:tc>
        <w:tc>
          <w:tcPr>
            <w:tcW w:w="1000" w:type="dxa"/>
            <w:tcBorders>
              <w:top w:val="nil"/>
              <w:left w:val="nil"/>
              <w:bottom w:val="single" w:sz="4" w:space="0" w:color="auto"/>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56.02</w:t>
            </w:r>
          </w:p>
        </w:tc>
        <w:tc>
          <w:tcPr>
            <w:tcW w:w="1200" w:type="dxa"/>
            <w:tcBorders>
              <w:top w:val="single" w:sz="4" w:space="0" w:color="D1D1D2"/>
              <w:left w:val="single" w:sz="4" w:space="0" w:color="auto"/>
              <w:bottom w:val="single" w:sz="4" w:space="0" w:color="auto"/>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13.1%</w:t>
            </w:r>
          </w:p>
        </w:tc>
        <w:tc>
          <w:tcPr>
            <w:tcW w:w="1060" w:type="dxa"/>
            <w:tcBorders>
              <w:top w:val="single" w:sz="4" w:space="0" w:color="D1D1D2"/>
              <w:left w:val="single" w:sz="4" w:space="0" w:color="D1D1D2"/>
              <w:bottom w:val="single" w:sz="4" w:space="0" w:color="auto"/>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-8.4%</w:t>
            </w:r>
          </w:p>
        </w:tc>
        <w:tc>
          <w:tcPr>
            <w:tcW w:w="972" w:type="dxa"/>
            <w:tcBorders>
              <w:top w:val="single" w:sz="4" w:space="0" w:color="D1D1D2"/>
              <w:left w:val="single" w:sz="4" w:space="0" w:color="D1D1D2"/>
              <w:bottom w:val="single" w:sz="4" w:space="0" w:color="auto"/>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25.5%</w:t>
            </w:r>
          </w:p>
        </w:tc>
        <w:tc>
          <w:tcPr>
            <w:tcW w:w="980" w:type="dxa"/>
            <w:tcBorders>
              <w:top w:val="single" w:sz="4" w:space="0" w:color="D1D1D2"/>
              <w:left w:val="single" w:sz="4" w:space="0" w:color="D1D1D2"/>
              <w:bottom w:val="single" w:sz="4" w:space="0" w:color="auto"/>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30.2%</w:t>
            </w:r>
          </w:p>
        </w:tc>
      </w:tr>
    </w:tbl>
    <w:p>
      <w:pPr>
        <w:pStyle w:val="Sources"/>
        <w:rPr>
          <w:noProof/>
        </w:rPr>
      </w:pPr>
      <w:r>
        <w:rPr>
          <w:noProof/>
        </w:rPr>
        <w:t>Source: Trinomics et altri.study</w:t>
      </w:r>
    </w:p>
    <w:p>
      <w:pPr>
        <w:rPr>
          <w:noProof/>
          <w:sz w:val="16"/>
          <w:szCs w:val="16"/>
        </w:rPr>
      </w:pPr>
      <w:r>
        <w:rPr>
          <w:noProof/>
          <w:sz w:val="16"/>
          <w:szCs w:val="16"/>
        </w:rPr>
        <w:t xml:space="preserve">Explanation: this table shows the different components of the observed nominal price change, decomposed into inflation, price change and exchange rate effects. By summing the components between the Nominal start price EUR and Total change [EUR] the total change can be calculated, this corresponds to the difference between the Nominal Start price EUR and the Nominal End price EUR. </w:t>
      </w:r>
    </w:p>
    <w:p>
      <w:pPr>
        <w:rPr>
          <w:noProof/>
          <w:sz w:val="16"/>
          <w:szCs w:val="16"/>
        </w:rPr>
      </w:pPr>
      <w:r>
        <w:rPr>
          <w:noProof/>
          <w:sz w:val="16"/>
          <w:szCs w:val="16"/>
        </w:rPr>
        <w:t>Note: this table presents nominal prices, differences can be observed with the previous table which used constant prices, the start prices differ due to application of the currency deflator for the constant price calculation, whilst the end prices differ due to small differences in the conversions used in the two calculations, this latter difference is typically less than +/- 5% of the price.</w:t>
      </w:r>
    </w:p>
    <w:p>
      <w:pPr>
        <w:pStyle w:val="ListParagraph"/>
        <w:rPr>
          <w:noProof/>
        </w:rPr>
      </w:pPr>
    </w:p>
    <w:p>
      <w:pPr>
        <w:spacing w:after="0" w:line="276" w:lineRule="auto"/>
        <w:rPr>
          <w:noProof/>
        </w:rPr>
        <w:sectPr>
          <w:headerReference w:type="even" r:id="rId134"/>
          <w:headerReference w:type="default" r:id="rId135"/>
          <w:footerReference w:type="even" r:id="rId136"/>
          <w:footerReference w:type="default" r:id="rId137"/>
          <w:headerReference w:type="first" r:id="rId138"/>
          <w:footerReference w:type="first" r:id="rId139"/>
          <w:footnotePr>
            <w:numStart w:val="50"/>
          </w:footnotePr>
          <w:pgSz w:w="16838" w:h="11906" w:orient="landscape"/>
          <w:pgMar w:top="1440" w:right="1440" w:bottom="1440" w:left="1440" w:header="709" w:footer="567" w:gutter="0"/>
          <w:cols w:space="708"/>
          <w:docGrid w:linePitch="360"/>
        </w:sectPr>
      </w:pPr>
    </w:p>
    <w:p>
      <w:pPr>
        <w:spacing w:after="0" w:line="276" w:lineRule="auto"/>
        <w:rPr>
          <w:noProof/>
        </w:rPr>
      </w:pPr>
    </w:p>
    <w:p>
      <w:pPr>
        <w:spacing w:after="0"/>
        <w:jc w:val="left"/>
        <w:rPr>
          <w:b/>
          <w:noProof/>
        </w:rPr>
      </w:pPr>
    </w:p>
    <w:p>
      <w:pPr>
        <w:jc w:val="center"/>
        <w:rPr>
          <w:b/>
          <w:noProof/>
        </w:rPr>
      </w:pPr>
      <w:r>
        <w:rPr>
          <w:b/>
          <w:noProof/>
        </w:rPr>
        <w:t>Note on the range and dispersion of industrial electricity prices in the EU</w:t>
      </w:r>
    </w:p>
    <w:p>
      <w:pPr>
        <w:rPr>
          <w:noProof/>
          <w:sz w:val="24"/>
          <w:szCs w:val="24"/>
        </w:rPr>
      </w:pPr>
      <w:r>
        <w:rPr>
          <w:noProof/>
          <w:sz w:val="24"/>
          <w:szCs w:val="24"/>
        </w:rPr>
        <w:t>The industrial electricity prices in the EU Member States have spanned a range of 50-270 EUR/MWh between 2008 and 2018 (see figure below looking at the maximum and minimum prices registered in MS between 2008–2018)</w:t>
      </w:r>
    </w:p>
    <w:p>
      <w:pPr>
        <w:jc w:val="center"/>
        <w:rPr>
          <w:noProof/>
        </w:rPr>
      </w:pPr>
      <w:r>
        <w:rPr>
          <w:noProof/>
        </w:rPr>
        <w:t>.</w:t>
      </w:r>
      <w:r>
        <w:rPr>
          <w:noProof/>
          <w:lang w:eastAsia="en-GB"/>
        </w:rPr>
        <w:t xml:space="preserve"> </w:t>
      </w:r>
      <w:r>
        <w:rPr>
          <w:noProof/>
          <w:lang w:eastAsia="en-GB"/>
        </w:rPr>
        <w:drawing>
          <wp:inline distT="0" distB="0" distL="0" distR="0">
            <wp:extent cx="4118775" cy="29322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19153" cy="2932497"/>
                    </a:xfrm>
                    <a:prstGeom prst="rect">
                      <a:avLst/>
                    </a:prstGeom>
                    <a:noFill/>
                    <a:ln>
                      <a:noFill/>
                    </a:ln>
                  </pic:spPr>
                </pic:pic>
              </a:graphicData>
            </a:graphic>
          </wp:inline>
        </w:drawing>
      </w:r>
    </w:p>
    <w:p>
      <w:pPr>
        <w:pStyle w:val="Caption"/>
      </w:pPr>
      <w:bookmarkStart w:id="415" w:name="_Toc525807882"/>
      <w:bookmarkStart w:id="416" w:name="_Toc526433498"/>
      <w:bookmarkStart w:id="417" w:name="_Toc526433776"/>
      <w:bookmarkStart w:id="418" w:name="_Toc526435718"/>
      <w:bookmarkStart w:id="419" w:name="_Toc530739808"/>
      <w:bookmarkStart w:id="420" w:name="_Toc531178529"/>
      <w:r>
        <w:t xml:space="preserve">Figure </w:t>
      </w:r>
      <w:r>
        <w:fldChar w:fldCharType="begin"/>
      </w:r>
      <w:r>
        <w:instrText xml:space="preserve"> SEQ Figure \* ARABIC </w:instrText>
      </w:r>
      <w:r>
        <w:fldChar w:fldCharType="separate"/>
      </w:r>
      <w:r>
        <w:t>138</w:t>
      </w:r>
      <w:r>
        <w:fldChar w:fldCharType="end"/>
      </w:r>
      <w:r>
        <w:t xml:space="preserve"> - Range of retail electricity prices for industry in the EU</w:t>
      </w:r>
      <w:bookmarkEnd w:id="415"/>
      <w:bookmarkEnd w:id="416"/>
      <w:bookmarkEnd w:id="417"/>
      <w:bookmarkEnd w:id="418"/>
      <w:bookmarkEnd w:id="419"/>
      <w:bookmarkEnd w:id="420"/>
    </w:p>
    <w:p>
      <w:pPr>
        <w:pStyle w:val="Sources"/>
        <w:rPr>
          <w:noProof/>
        </w:rPr>
      </w:pPr>
      <w:r>
        <w:rPr>
          <w:noProof/>
        </w:rPr>
        <w:t>Source: Eurostat</w:t>
      </w:r>
    </w:p>
    <w:p>
      <w:pPr>
        <w:rPr>
          <w:noProof/>
          <w:sz w:val="24"/>
          <w:szCs w:val="24"/>
        </w:rPr>
      </w:pPr>
    </w:p>
    <w:p>
      <w:pPr>
        <w:rPr>
          <w:noProof/>
          <w:sz w:val="24"/>
          <w:szCs w:val="24"/>
        </w:rPr>
      </w:pPr>
      <w:r>
        <w:rPr>
          <w:noProof/>
          <w:sz w:val="24"/>
          <w:szCs w:val="24"/>
        </w:rPr>
        <w:t xml:space="preserve">This wide range does not necessary mean that there huge differences in prices between the Member States .It reflects steady price differential between Member States (ie Members with consistently higher or lower prices than the EU average) but also temporary price divergences (e.g. price spikes) in some countries.  The dispersion of EU prices can be better assessed by the Box plot figure below (in which the square shows the range of the prices of the 25% of the MS being above the average and 25% of the MS being below the average price (ie 50 of the sample)) </w:t>
      </w:r>
    </w:p>
    <w:p>
      <w:pPr>
        <w:jc w:val="center"/>
        <w:rPr>
          <w:noProof/>
        </w:rPr>
      </w:pPr>
      <w:r>
        <w:rPr>
          <w:noProof/>
          <w:lang w:eastAsia="en-GB"/>
        </w:rPr>
        <w:drawing>
          <wp:inline distT="0" distB="0" distL="0" distR="0">
            <wp:extent cx="5070968" cy="2162755"/>
            <wp:effectExtent l="0" t="0" r="0"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80046" cy="2166627"/>
                    </a:xfrm>
                    <a:prstGeom prst="rect">
                      <a:avLst/>
                    </a:prstGeom>
                    <a:noFill/>
                    <a:ln>
                      <a:noFill/>
                    </a:ln>
                  </pic:spPr>
                </pic:pic>
              </a:graphicData>
            </a:graphic>
          </wp:inline>
        </w:drawing>
      </w:r>
    </w:p>
    <w:p>
      <w:pPr>
        <w:pStyle w:val="Caption"/>
      </w:pPr>
      <w:bookmarkStart w:id="421" w:name="_Toc525807883"/>
      <w:bookmarkStart w:id="422" w:name="_Toc526433499"/>
      <w:bookmarkStart w:id="423" w:name="_Toc526433777"/>
      <w:bookmarkStart w:id="424" w:name="_Toc526435719"/>
      <w:bookmarkStart w:id="425" w:name="_Toc530739809"/>
      <w:bookmarkStart w:id="426" w:name="_Toc531178530"/>
      <w:r>
        <w:t xml:space="preserve">Figure </w:t>
      </w:r>
      <w:r>
        <w:fldChar w:fldCharType="begin"/>
      </w:r>
      <w:r>
        <w:instrText xml:space="preserve"> SEQ Figure \* ARABIC </w:instrText>
      </w:r>
      <w:r>
        <w:fldChar w:fldCharType="separate"/>
      </w:r>
      <w:r>
        <w:t>139</w:t>
      </w:r>
      <w:r>
        <w:fldChar w:fldCharType="end"/>
      </w:r>
      <w:r>
        <w:t xml:space="preserve"> - Box plot of EU28 industrial retail electricity prices 2008-2017</w:t>
      </w:r>
      <w:bookmarkEnd w:id="421"/>
      <w:bookmarkEnd w:id="422"/>
      <w:bookmarkEnd w:id="423"/>
      <w:bookmarkEnd w:id="424"/>
      <w:bookmarkEnd w:id="425"/>
      <w:bookmarkEnd w:id="426"/>
    </w:p>
    <w:p>
      <w:pPr>
        <w:pStyle w:val="Sources"/>
        <w:rPr>
          <w:noProof/>
        </w:rPr>
      </w:pPr>
      <w:r>
        <w:rPr>
          <w:noProof/>
        </w:rPr>
        <w:t>Source: Trinomics et altri study</w:t>
      </w:r>
    </w:p>
    <w:p>
      <w:pPr>
        <w:jc w:val="center"/>
        <w:rPr>
          <w:noProof/>
        </w:rPr>
      </w:pPr>
    </w:p>
    <w:p>
      <w:pPr>
        <w:jc w:val="center"/>
        <w:rPr>
          <w:noProof/>
        </w:rPr>
      </w:pPr>
    </w:p>
    <w:p>
      <w:pPr>
        <w:rPr>
          <w:noProof/>
          <w:sz w:val="24"/>
          <w:szCs w:val="24"/>
        </w:rPr>
      </w:pPr>
      <w:r>
        <w:rPr>
          <w:noProof/>
          <w:sz w:val="24"/>
          <w:szCs w:val="24"/>
        </w:rPr>
        <w:t xml:space="preserve">The figure below allows for identifying the MS which are close to the maximum and minimum range as well as those with significant and steady deviations from the average. </w:t>
      </w:r>
    </w:p>
    <w:p>
      <w:pPr>
        <w:jc w:val="center"/>
        <w:rPr>
          <w:noProof/>
        </w:rPr>
      </w:pPr>
      <w:r>
        <w:rPr>
          <w:noProof/>
          <w:lang w:eastAsia="en-GB"/>
        </w:rPr>
        <w:drawing>
          <wp:inline distT="0" distB="0" distL="0" distR="0">
            <wp:extent cx="5731510" cy="4093936"/>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1510" cy="4093936"/>
                    </a:xfrm>
                    <a:prstGeom prst="rect">
                      <a:avLst/>
                    </a:prstGeom>
                    <a:noFill/>
                    <a:ln>
                      <a:noFill/>
                    </a:ln>
                  </pic:spPr>
                </pic:pic>
              </a:graphicData>
            </a:graphic>
          </wp:inline>
        </w:drawing>
      </w:r>
    </w:p>
    <w:p>
      <w:pPr>
        <w:pStyle w:val="Caption"/>
      </w:pPr>
      <w:bookmarkStart w:id="427" w:name="_Toc525807884"/>
      <w:bookmarkStart w:id="428" w:name="_Toc526433500"/>
      <w:bookmarkStart w:id="429" w:name="_Toc526433778"/>
      <w:bookmarkStart w:id="430" w:name="_Toc526435720"/>
      <w:bookmarkStart w:id="431" w:name="_Toc530739810"/>
      <w:bookmarkStart w:id="432" w:name="_Toc531178531"/>
      <w:r>
        <w:t xml:space="preserve">Figure </w:t>
      </w:r>
      <w:r>
        <w:fldChar w:fldCharType="begin"/>
      </w:r>
      <w:r>
        <w:instrText xml:space="preserve"> SEQ Figure \* ARABIC </w:instrText>
      </w:r>
      <w:r>
        <w:fldChar w:fldCharType="separate"/>
      </w:r>
      <w:r>
        <w:t>140</w:t>
      </w:r>
      <w:r>
        <w:fldChar w:fldCharType="end"/>
      </w:r>
      <w:r>
        <w:t xml:space="preserve"> - EU28 industrial retail electricity prices 2008-2017, individual Member States lines visible, outliers named</w:t>
      </w:r>
      <w:bookmarkEnd w:id="427"/>
      <w:bookmarkEnd w:id="428"/>
      <w:bookmarkEnd w:id="429"/>
      <w:bookmarkEnd w:id="430"/>
      <w:bookmarkEnd w:id="431"/>
      <w:bookmarkEnd w:id="432"/>
    </w:p>
    <w:p>
      <w:pPr>
        <w:pStyle w:val="Sources"/>
        <w:rPr>
          <w:noProof/>
        </w:rPr>
      </w:pPr>
      <w:r>
        <w:rPr>
          <w:noProof/>
        </w:rPr>
        <w:t>Source Trinomics et altri study</w:t>
      </w:r>
    </w:p>
    <w:p>
      <w:pPr>
        <w:spacing w:after="200" w:line="276" w:lineRule="auto"/>
        <w:rPr>
          <w:noProof/>
        </w:rPr>
      </w:pPr>
    </w:p>
    <w:p>
      <w:pPr>
        <w:spacing w:after="200" w:line="276" w:lineRule="auto"/>
        <w:rPr>
          <w:noProof/>
        </w:rPr>
        <w:sectPr>
          <w:headerReference w:type="even" r:id="rId143"/>
          <w:headerReference w:type="default" r:id="rId144"/>
          <w:footerReference w:type="even" r:id="rId145"/>
          <w:footerReference w:type="default" r:id="rId146"/>
          <w:headerReference w:type="first" r:id="rId147"/>
          <w:footerReference w:type="first" r:id="rId148"/>
          <w:footnotePr>
            <w:numStart w:val="50"/>
          </w:footnotePr>
          <w:pgSz w:w="11906" w:h="16838"/>
          <w:pgMar w:top="1440" w:right="1440" w:bottom="1440" w:left="1440" w:header="709" w:footer="567" w:gutter="0"/>
          <w:cols w:space="708"/>
          <w:docGrid w:linePitch="360"/>
        </w:sectPr>
      </w:pPr>
    </w:p>
    <w:p>
      <w:pPr>
        <w:rPr>
          <w:noProof/>
          <w:highlight w:val="yellow"/>
        </w:rPr>
      </w:pPr>
    </w:p>
    <w:p>
      <w:pPr>
        <w:pStyle w:val="Heading3"/>
        <w:numPr>
          <w:ilvl w:val="2"/>
          <w:numId w:val="1"/>
        </w:numPr>
        <w:rPr>
          <w:noProof/>
        </w:rPr>
      </w:pPr>
      <w:bookmarkStart w:id="433" w:name="_Toc449014782"/>
      <w:bookmarkStart w:id="434" w:name="_Toc449098117"/>
      <w:bookmarkStart w:id="435" w:name="_Toc468890483"/>
      <w:r>
        <w:rPr>
          <w:noProof/>
        </w:rPr>
        <w:t xml:space="preserve"> </w:t>
      </w:r>
      <w:bookmarkStart w:id="436" w:name="_Toc524619531"/>
      <w:bookmarkStart w:id="437" w:name="_Toc524961078"/>
      <w:bookmarkStart w:id="438" w:name="_Toc525143039"/>
      <w:bookmarkStart w:id="439" w:name="_Toc525222196"/>
      <w:bookmarkStart w:id="440" w:name="_Toc525222365"/>
      <w:bookmarkStart w:id="441" w:name="_Toc526420762"/>
      <w:bookmarkStart w:id="442" w:name="_Toc526433988"/>
      <w:bookmarkStart w:id="443" w:name="_Toc526435930"/>
      <w:bookmarkStart w:id="444" w:name="_Toc530595260"/>
      <w:bookmarkStart w:id="445" w:name="_Toc531178339"/>
      <w:r>
        <w:rPr>
          <w:noProof/>
        </w:rPr>
        <w:t>Industrial gas prices</w:t>
      </w:r>
      <w:bookmarkEnd w:id="433"/>
      <w:bookmarkEnd w:id="434"/>
      <w:bookmarkEnd w:id="435"/>
      <w:r>
        <w:rPr>
          <w:noProof/>
        </w:rPr>
        <w:t>: EU vs G20 countries</w:t>
      </w:r>
      <w:bookmarkEnd w:id="436"/>
      <w:bookmarkEnd w:id="437"/>
      <w:bookmarkEnd w:id="438"/>
      <w:bookmarkEnd w:id="439"/>
      <w:bookmarkEnd w:id="440"/>
      <w:bookmarkEnd w:id="441"/>
      <w:bookmarkEnd w:id="442"/>
      <w:bookmarkEnd w:id="443"/>
      <w:bookmarkEnd w:id="444"/>
      <w:bookmarkEnd w:id="445"/>
    </w:p>
    <w:p>
      <w:pPr>
        <w:rPr>
          <w:noProof/>
        </w:rPr>
      </w:pPr>
    </w:p>
    <w:p>
      <w:pPr>
        <w:rPr>
          <w:noProof/>
          <w:sz w:val="24"/>
          <w:szCs w:val="24"/>
        </w:rPr>
      </w:pPr>
      <w:r>
        <w:rPr>
          <w:noProof/>
          <w:sz w:val="24"/>
          <w:szCs w:val="24"/>
        </w:rPr>
        <w:t>Retail gas prices for industry also have relatively complete datasets, the following figures present gas price data for the EU28 and G20 countries from 2007-2018. Prices are excluding VAT and all recoverable taxes and levies. From the analysis of the data one can conclude that:</w:t>
      </w:r>
    </w:p>
    <w:p>
      <w:pPr>
        <w:pStyle w:val="ListParagraph"/>
        <w:numPr>
          <w:ilvl w:val="0"/>
          <w:numId w:val="15"/>
        </w:numPr>
        <w:spacing w:after="0" w:line="300" w:lineRule="atLeast"/>
        <w:ind w:left="284"/>
        <w:jc w:val="left"/>
        <w:rPr>
          <w:noProof/>
          <w:sz w:val="24"/>
          <w:szCs w:val="24"/>
        </w:rPr>
      </w:pPr>
      <w:r>
        <w:rPr>
          <w:noProof/>
          <w:sz w:val="24"/>
          <w:szCs w:val="24"/>
        </w:rPr>
        <w:t xml:space="preserve">EU prices were in the range of 25-40 EUR/MWh but since 2016 they have declined to a level below 25 EUR/MWh (marking a fall of around 20-25% over the 2008-2017). </w:t>
      </w:r>
    </w:p>
    <w:p>
      <w:pPr>
        <w:spacing w:after="0" w:line="300" w:lineRule="atLeast"/>
        <w:ind w:left="284"/>
        <w:jc w:val="left"/>
        <w:rPr>
          <w:noProof/>
          <w:sz w:val="24"/>
          <w:szCs w:val="24"/>
        </w:rPr>
      </w:pPr>
    </w:p>
    <w:p>
      <w:pPr>
        <w:pStyle w:val="ListParagraph"/>
        <w:numPr>
          <w:ilvl w:val="0"/>
          <w:numId w:val="15"/>
        </w:numPr>
        <w:spacing w:after="0" w:line="300" w:lineRule="atLeast"/>
        <w:ind w:left="284"/>
        <w:rPr>
          <w:b/>
          <w:noProof/>
          <w:sz w:val="24"/>
          <w:szCs w:val="24"/>
        </w:rPr>
      </w:pPr>
      <w:r>
        <w:rPr>
          <w:noProof/>
          <w:sz w:val="24"/>
          <w:szCs w:val="24"/>
        </w:rPr>
        <w:t xml:space="preserve">Industry gas prices in the </w:t>
      </w:r>
      <w:r>
        <w:rPr>
          <w:b/>
          <w:noProof/>
          <w:sz w:val="24"/>
          <w:szCs w:val="24"/>
        </w:rPr>
        <w:t>US</w:t>
      </w:r>
      <w:r>
        <w:rPr>
          <w:noProof/>
          <w:sz w:val="24"/>
          <w:szCs w:val="24"/>
        </w:rPr>
        <w:t xml:space="preserve"> (and </w:t>
      </w:r>
      <w:r>
        <w:rPr>
          <w:b/>
          <w:noProof/>
          <w:sz w:val="24"/>
          <w:szCs w:val="24"/>
        </w:rPr>
        <w:t>Canada</w:t>
      </w:r>
      <w:r>
        <w:rPr>
          <w:noProof/>
          <w:sz w:val="24"/>
          <w:szCs w:val="24"/>
        </w:rPr>
        <w:t xml:space="preserve">) are considerably lower than the EU average, having been around the same in 2008 (around 30 EUR/MWh), they have declined considerably more to reach around 10 EUR/MWh in 2016. Prices in </w:t>
      </w:r>
      <w:r>
        <w:rPr>
          <w:b/>
          <w:noProof/>
          <w:sz w:val="24"/>
          <w:szCs w:val="24"/>
        </w:rPr>
        <w:t>China</w:t>
      </w:r>
      <w:r>
        <w:rPr>
          <w:noProof/>
          <w:sz w:val="24"/>
          <w:szCs w:val="24"/>
        </w:rPr>
        <w:t xml:space="preserve"> have stayed around 40 EUR/MWh throughout the period. Prices in </w:t>
      </w:r>
      <w:r>
        <w:rPr>
          <w:b/>
          <w:noProof/>
          <w:sz w:val="24"/>
          <w:szCs w:val="24"/>
        </w:rPr>
        <w:t>Japan</w:t>
      </w:r>
      <w:r>
        <w:rPr>
          <w:noProof/>
          <w:sz w:val="24"/>
          <w:szCs w:val="24"/>
        </w:rPr>
        <w:t xml:space="preserve"> prices increased between 2009 and 2014 (diverging from the EU average) but since (2015-16) decreased to get close to EU prices. – See </w:t>
      </w:r>
      <w:r>
        <w:rPr>
          <w:b/>
          <w:noProof/>
          <w:sz w:val="24"/>
          <w:szCs w:val="24"/>
        </w:rPr>
        <w:fldChar w:fldCharType="begin"/>
      </w:r>
      <w:r>
        <w:rPr>
          <w:b/>
          <w:noProof/>
          <w:sz w:val="24"/>
          <w:szCs w:val="24"/>
        </w:rPr>
        <w:instrText xml:space="preserve"> REF _Ref525112566 \h  \* MERGEFORMAT </w:instrText>
      </w:r>
      <w:r>
        <w:rPr>
          <w:b/>
          <w:noProof/>
          <w:sz w:val="24"/>
          <w:szCs w:val="24"/>
        </w:rPr>
      </w:r>
      <w:r>
        <w:rPr>
          <w:b/>
          <w:noProof/>
          <w:sz w:val="24"/>
          <w:szCs w:val="24"/>
        </w:rPr>
        <w:fldChar w:fldCharType="separate"/>
      </w:r>
      <w:r>
        <w:rPr>
          <w:b/>
          <w:noProof/>
          <w:sz w:val="24"/>
          <w:szCs w:val="24"/>
        </w:rPr>
        <w:t>Figure 141</w:t>
      </w:r>
      <w:r>
        <w:rPr>
          <w:b/>
          <w:noProof/>
          <w:sz w:val="24"/>
          <w:szCs w:val="24"/>
        </w:rPr>
        <w:fldChar w:fldCharType="end"/>
      </w:r>
      <w:r>
        <w:rPr>
          <w:b/>
          <w:noProof/>
          <w:sz w:val="24"/>
          <w:szCs w:val="24"/>
        </w:rPr>
        <w:t xml:space="preserve"> </w:t>
      </w:r>
    </w:p>
    <w:p>
      <w:pPr>
        <w:pStyle w:val="ListParagraph"/>
        <w:spacing w:after="0" w:line="300" w:lineRule="atLeast"/>
        <w:rPr>
          <w:noProof/>
        </w:rPr>
      </w:pPr>
    </w:p>
    <w:p>
      <w:pPr>
        <w:spacing w:after="0" w:line="300" w:lineRule="atLeast"/>
        <w:rPr>
          <w:noProof/>
        </w:rPr>
      </w:pPr>
    </w:p>
    <w:p>
      <w:pPr>
        <w:spacing w:after="0" w:line="300" w:lineRule="atLeast"/>
        <w:rPr>
          <w:noProof/>
        </w:rPr>
      </w:pPr>
    </w:p>
    <w:p>
      <w:pPr>
        <w:jc w:val="center"/>
        <w:rPr>
          <w:noProof/>
        </w:rPr>
      </w:pPr>
      <w:r>
        <w:rPr>
          <w:noProof/>
          <w:lang w:eastAsia="en-GB"/>
        </w:rPr>
        <w:drawing>
          <wp:inline distT="0" distB="0" distL="0" distR="0">
            <wp:extent cx="5553075" cy="39482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69541" cy="3959931"/>
                    </a:xfrm>
                    <a:prstGeom prst="rect">
                      <a:avLst/>
                    </a:prstGeom>
                    <a:noFill/>
                    <a:ln>
                      <a:noFill/>
                    </a:ln>
                  </pic:spPr>
                </pic:pic>
              </a:graphicData>
            </a:graphic>
          </wp:inline>
        </w:drawing>
      </w:r>
    </w:p>
    <w:p>
      <w:pPr>
        <w:pStyle w:val="Caption"/>
      </w:pPr>
      <w:bookmarkStart w:id="446" w:name="_Ref525112566"/>
      <w:bookmarkStart w:id="447" w:name="_Ref525112534"/>
      <w:bookmarkStart w:id="448" w:name="_Toc525807885"/>
      <w:bookmarkStart w:id="449" w:name="_Toc526433501"/>
      <w:bookmarkStart w:id="450" w:name="_Toc526433779"/>
      <w:bookmarkStart w:id="451" w:name="_Toc526435721"/>
      <w:bookmarkStart w:id="452" w:name="_Toc530739811"/>
      <w:bookmarkStart w:id="453" w:name="_Toc531178532"/>
      <w:r>
        <w:t xml:space="preserve">Figure </w:t>
      </w:r>
      <w:r>
        <w:fldChar w:fldCharType="begin"/>
      </w:r>
      <w:r>
        <w:instrText xml:space="preserve"> SEQ Figure \* ARABIC </w:instrText>
      </w:r>
      <w:r>
        <w:fldChar w:fldCharType="separate"/>
      </w:r>
      <w:r>
        <w:t>141</w:t>
      </w:r>
      <w:r>
        <w:fldChar w:fldCharType="end"/>
      </w:r>
      <w:bookmarkEnd w:id="446"/>
      <w:r>
        <w:t xml:space="preserve"> - Retail gas prices for industry: EU vs China, Japan and the US, 2008-2018</w:t>
      </w:r>
      <w:bookmarkEnd w:id="447"/>
      <w:bookmarkEnd w:id="448"/>
      <w:bookmarkEnd w:id="449"/>
      <w:bookmarkEnd w:id="450"/>
      <w:bookmarkEnd w:id="451"/>
      <w:bookmarkEnd w:id="452"/>
      <w:bookmarkEnd w:id="453"/>
      <w:r>
        <w:t xml:space="preserve"> </w:t>
      </w:r>
    </w:p>
    <w:p>
      <w:pPr>
        <w:pStyle w:val="Sources"/>
        <w:rPr>
          <w:noProof/>
        </w:rPr>
      </w:pPr>
      <w:r>
        <w:rPr>
          <w:noProof/>
        </w:rPr>
        <w:t>Sources: Eurostat, CEIC</w:t>
      </w:r>
    </w:p>
    <w:p>
      <w:pPr>
        <w:spacing w:after="0" w:line="300" w:lineRule="atLeast"/>
        <w:rPr>
          <w:noProof/>
        </w:rPr>
      </w:pPr>
    </w:p>
    <w:p>
      <w:pPr>
        <w:spacing w:after="0" w:line="300" w:lineRule="atLeast"/>
        <w:jc w:val="left"/>
        <w:rPr>
          <w:noProof/>
        </w:rPr>
      </w:pPr>
    </w:p>
    <w:p>
      <w:pPr>
        <w:spacing w:after="0" w:line="300" w:lineRule="atLeast"/>
        <w:jc w:val="left"/>
        <w:rPr>
          <w:noProof/>
        </w:rPr>
      </w:pPr>
    </w:p>
    <w:p>
      <w:pPr>
        <w:spacing w:after="0" w:line="300" w:lineRule="atLeast"/>
        <w:jc w:val="left"/>
        <w:rPr>
          <w:noProof/>
        </w:rPr>
      </w:pPr>
    </w:p>
    <w:p>
      <w:pPr>
        <w:spacing w:after="0" w:line="300" w:lineRule="atLeast"/>
        <w:jc w:val="left"/>
        <w:rPr>
          <w:noProof/>
        </w:rPr>
      </w:pPr>
    </w:p>
    <w:p>
      <w:pPr>
        <w:pStyle w:val="ListParagraph"/>
        <w:numPr>
          <w:ilvl w:val="0"/>
          <w:numId w:val="15"/>
        </w:numPr>
        <w:spacing w:after="0" w:line="300" w:lineRule="atLeast"/>
        <w:rPr>
          <w:b/>
          <w:noProof/>
          <w:sz w:val="24"/>
          <w:szCs w:val="24"/>
        </w:rPr>
      </w:pPr>
      <w:r>
        <w:rPr>
          <w:noProof/>
          <w:sz w:val="24"/>
          <w:szCs w:val="24"/>
        </w:rPr>
        <w:t xml:space="preserve">Prices in </w:t>
      </w:r>
      <w:r>
        <w:rPr>
          <w:b/>
          <w:noProof/>
          <w:sz w:val="24"/>
          <w:szCs w:val="24"/>
        </w:rPr>
        <w:t>Turkey</w:t>
      </w:r>
      <w:r>
        <w:rPr>
          <w:noProof/>
          <w:sz w:val="24"/>
          <w:szCs w:val="24"/>
        </w:rPr>
        <w:t xml:space="preserve"> display similar, but slightly lower, levels and trends to the EU average. Prices in </w:t>
      </w:r>
      <w:r>
        <w:rPr>
          <w:b/>
          <w:noProof/>
          <w:sz w:val="24"/>
          <w:szCs w:val="24"/>
        </w:rPr>
        <w:t>South Korea</w:t>
      </w:r>
      <w:r>
        <w:rPr>
          <w:noProof/>
          <w:sz w:val="24"/>
          <w:szCs w:val="24"/>
        </w:rPr>
        <w:t xml:space="preserve"> more closely mirror the price trends in Japan, diverging between 2009-2014, then converging between 2015-16. Prices in </w:t>
      </w:r>
      <w:r>
        <w:rPr>
          <w:b/>
          <w:noProof/>
          <w:sz w:val="24"/>
          <w:szCs w:val="24"/>
        </w:rPr>
        <w:t xml:space="preserve">Brazil </w:t>
      </w:r>
      <w:r>
        <w:rPr>
          <w:noProof/>
          <w:sz w:val="24"/>
          <w:szCs w:val="24"/>
        </w:rPr>
        <w:t>and</w:t>
      </w:r>
      <w:r>
        <w:rPr>
          <w:b/>
          <w:noProof/>
          <w:sz w:val="24"/>
          <w:szCs w:val="24"/>
        </w:rPr>
        <w:t xml:space="preserve"> Russia</w:t>
      </w:r>
      <w:r>
        <w:rPr>
          <w:noProof/>
          <w:sz w:val="24"/>
          <w:szCs w:val="24"/>
        </w:rPr>
        <w:t xml:space="preserve"> are around half the EU levels, comparable to prices in the US (and Canada). Prices in </w:t>
      </w:r>
      <w:r>
        <w:rPr>
          <w:b/>
          <w:noProof/>
          <w:sz w:val="24"/>
          <w:szCs w:val="24"/>
        </w:rPr>
        <w:t xml:space="preserve">Argentina </w:t>
      </w:r>
      <w:r>
        <w:rPr>
          <w:noProof/>
          <w:sz w:val="24"/>
          <w:szCs w:val="24"/>
        </w:rPr>
        <w:t xml:space="preserve">are the lowest of all, held artificially low by policy (they have started to increase since 2015). – See </w:t>
      </w:r>
      <w:r>
        <w:rPr>
          <w:b/>
          <w:noProof/>
          <w:sz w:val="24"/>
          <w:szCs w:val="24"/>
        </w:rPr>
        <w:fldChar w:fldCharType="begin"/>
      </w:r>
      <w:r>
        <w:rPr>
          <w:b/>
          <w:noProof/>
          <w:sz w:val="24"/>
          <w:szCs w:val="24"/>
        </w:rPr>
        <w:instrText xml:space="preserve"> REF _Ref525112606 \h  \* MERGEFORMAT </w:instrText>
      </w:r>
      <w:r>
        <w:rPr>
          <w:b/>
          <w:noProof/>
          <w:sz w:val="24"/>
          <w:szCs w:val="24"/>
        </w:rPr>
      </w:r>
      <w:r>
        <w:rPr>
          <w:b/>
          <w:noProof/>
          <w:sz w:val="24"/>
          <w:szCs w:val="24"/>
        </w:rPr>
        <w:fldChar w:fldCharType="separate"/>
      </w:r>
      <w:r>
        <w:rPr>
          <w:b/>
          <w:noProof/>
          <w:sz w:val="24"/>
          <w:szCs w:val="24"/>
        </w:rPr>
        <w:t>Figure 142</w:t>
      </w:r>
      <w:r>
        <w:rPr>
          <w:b/>
          <w:noProof/>
          <w:sz w:val="24"/>
          <w:szCs w:val="24"/>
        </w:rPr>
        <w:fldChar w:fldCharType="end"/>
      </w:r>
    </w:p>
    <w:p>
      <w:pPr>
        <w:spacing w:after="0" w:line="300" w:lineRule="atLeast"/>
        <w:rPr>
          <w:noProof/>
        </w:rPr>
      </w:pPr>
    </w:p>
    <w:p>
      <w:pPr>
        <w:pStyle w:val="ListParagraph"/>
        <w:jc w:val="center"/>
        <w:rPr>
          <w:noProof/>
        </w:rPr>
      </w:pPr>
      <w:r>
        <w:rPr>
          <w:noProof/>
          <w:lang w:eastAsia="en-GB"/>
        </w:rPr>
        <w:drawing>
          <wp:inline distT="0" distB="0" distL="0" distR="0">
            <wp:extent cx="4914900" cy="3870202"/>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62581" cy="3907748"/>
                    </a:xfrm>
                    <a:prstGeom prst="rect">
                      <a:avLst/>
                    </a:prstGeom>
                    <a:noFill/>
                    <a:ln>
                      <a:noFill/>
                    </a:ln>
                  </pic:spPr>
                </pic:pic>
              </a:graphicData>
            </a:graphic>
          </wp:inline>
        </w:drawing>
      </w:r>
    </w:p>
    <w:p>
      <w:pPr>
        <w:pStyle w:val="Caption"/>
      </w:pPr>
      <w:bookmarkStart w:id="454" w:name="_Ref525112606"/>
      <w:bookmarkStart w:id="455" w:name="_Toc525807886"/>
      <w:bookmarkStart w:id="456" w:name="_Toc526433502"/>
      <w:bookmarkStart w:id="457" w:name="_Toc526433780"/>
      <w:bookmarkStart w:id="458" w:name="_Toc526435722"/>
      <w:bookmarkStart w:id="459" w:name="_Toc530739812"/>
      <w:bookmarkStart w:id="460" w:name="_Toc531178533"/>
      <w:r>
        <w:t xml:space="preserve">Figure </w:t>
      </w:r>
      <w:r>
        <w:fldChar w:fldCharType="begin"/>
      </w:r>
      <w:r>
        <w:instrText xml:space="preserve"> SEQ Figure \* ARABIC </w:instrText>
      </w:r>
      <w:r>
        <w:fldChar w:fldCharType="separate"/>
      </w:r>
      <w:r>
        <w:t>142</w:t>
      </w:r>
      <w:r>
        <w:fldChar w:fldCharType="end"/>
      </w:r>
      <w:bookmarkEnd w:id="454"/>
      <w:r>
        <w:t xml:space="preserve"> - Retail gas prices for industry: EU vs other non-EU G20 countries, 2008-2018</w:t>
      </w:r>
      <w:bookmarkEnd w:id="455"/>
      <w:bookmarkEnd w:id="456"/>
      <w:bookmarkEnd w:id="457"/>
      <w:bookmarkEnd w:id="458"/>
      <w:bookmarkEnd w:id="459"/>
      <w:bookmarkEnd w:id="460"/>
      <w:r>
        <w:t xml:space="preserve"> </w:t>
      </w:r>
    </w:p>
    <w:p>
      <w:pPr>
        <w:pStyle w:val="Sources"/>
        <w:rPr>
          <w:noProof/>
        </w:rPr>
      </w:pPr>
      <w:r>
        <w:rPr>
          <w:noProof/>
        </w:rPr>
        <w:t>Sources: Eurostat, CEIC, ERRA, IEA</w:t>
      </w:r>
    </w:p>
    <w:p>
      <w:pPr>
        <w:spacing w:after="0" w:line="300" w:lineRule="atLeast"/>
        <w:jc w:val="left"/>
        <w:rPr>
          <w:noProof/>
        </w:rPr>
      </w:pPr>
    </w:p>
    <w:p>
      <w:pPr>
        <w:pStyle w:val="ListParagraph"/>
        <w:pBdr>
          <w:top w:val="single" w:sz="4" w:space="1" w:color="auto"/>
          <w:left w:val="single" w:sz="4" w:space="1" w:color="auto"/>
          <w:bottom w:val="single" w:sz="4" w:space="1" w:color="auto"/>
          <w:right w:val="single" w:sz="4" w:space="4" w:color="auto"/>
        </w:pBdr>
        <w:spacing w:after="0" w:line="300" w:lineRule="atLeast"/>
        <w:ind w:left="0"/>
        <w:rPr>
          <w:noProof/>
          <w:sz w:val="24"/>
          <w:szCs w:val="24"/>
        </w:rPr>
      </w:pPr>
      <w:r>
        <w:rPr>
          <w:noProof/>
          <w:sz w:val="24"/>
          <w:szCs w:val="24"/>
        </w:rPr>
        <w:t xml:space="preserve">NB. Information for Australia and Mexico comes only from price indices (no absolute prices). It shows that whilst EU average prices have declined by around 20-25% since 2008, in contrast prices in national currency in Mexico have remained around the same in real terms, whilst prices in Australia have increased by around 50% in real terms (4.6% annual average increases)  - See </w:t>
      </w:r>
      <w:r>
        <w:rPr>
          <w:b/>
          <w:noProof/>
          <w:sz w:val="24"/>
          <w:szCs w:val="24"/>
        </w:rPr>
        <w:fldChar w:fldCharType="begin"/>
      </w:r>
      <w:r>
        <w:rPr>
          <w:b/>
          <w:noProof/>
          <w:sz w:val="24"/>
          <w:szCs w:val="24"/>
        </w:rPr>
        <w:instrText xml:space="preserve"> REF _Ref531167479 \h  \* MERGEFORMAT </w:instrText>
      </w:r>
      <w:r>
        <w:rPr>
          <w:b/>
          <w:noProof/>
          <w:sz w:val="24"/>
          <w:szCs w:val="24"/>
        </w:rPr>
      </w:r>
      <w:r>
        <w:rPr>
          <w:b/>
          <w:noProof/>
          <w:sz w:val="24"/>
          <w:szCs w:val="24"/>
        </w:rPr>
        <w:fldChar w:fldCharType="separate"/>
      </w:r>
      <w:r>
        <w:rPr>
          <w:b/>
          <w:noProof/>
        </w:rPr>
        <w:t>Figure 143</w:t>
      </w:r>
      <w:r>
        <w:rPr>
          <w:b/>
          <w:noProof/>
          <w:sz w:val="24"/>
          <w:szCs w:val="24"/>
        </w:rPr>
        <w:fldChar w:fldCharType="end"/>
      </w:r>
    </w:p>
    <w:p>
      <w:pPr>
        <w:pStyle w:val="ListParagraph"/>
        <w:pBdr>
          <w:top w:val="single" w:sz="4" w:space="1" w:color="auto"/>
          <w:left w:val="single" w:sz="4" w:space="1" w:color="auto"/>
          <w:bottom w:val="single" w:sz="4" w:space="1" w:color="auto"/>
          <w:right w:val="single" w:sz="4" w:space="4" w:color="auto"/>
        </w:pBdr>
        <w:spacing w:after="0" w:line="300" w:lineRule="atLeast"/>
        <w:ind w:left="0"/>
        <w:jc w:val="center"/>
        <w:rPr>
          <w:noProof/>
        </w:rPr>
      </w:pPr>
      <w:r>
        <w:rPr>
          <w:noProof/>
          <w:lang w:eastAsia="en-GB"/>
        </w:rPr>
        <w:drawing>
          <wp:inline distT="0" distB="0" distL="0" distR="0">
            <wp:extent cx="4786215" cy="349567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29926" cy="3527600"/>
                    </a:xfrm>
                    <a:prstGeom prst="rect">
                      <a:avLst/>
                    </a:prstGeom>
                    <a:noFill/>
                    <a:ln>
                      <a:noFill/>
                    </a:ln>
                  </pic:spPr>
                </pic:pic>
              </a:graphicData>
            </a:graphic>
          </wp:inline>
        </w:drawing>
      </w:r>
      <w:bookmarkStart w:id="461" w:name="_Ref525112674"/>
    </w:p>
    <w:p>
      <w:pPr>
        <w:pStyle w:val="Caption"/>
      </w:pPr>
      <w:bookmarkStart w:id="462" w:name="_Ref531167479"/>
      <w:bookmarkStart w:id="463" w:name="_Toc525807887"/>
      <w:bookmarkStart w:id="464" w:name="_Toc526433503"/>
      <w:bookmarkStart w:id="465" w:name="_Toc526433781"/>
      <w:bookmarkStart w:id="466" w:name="_Toc526435723"/>
      <w:bookmarkStart w:id="467" w:name="_Toc530739813"/>
      <w:bookmarkStart w:id="468" w:name="_Ref531167471"/>
      <w:bookmarkStart w:id="469" w:name="_Toc531178534"/>
      <w:r>
        <w:t xml:space="preserve">Figure </w:t>
      </w:r>
      <w:r>
        <w:fldChar w:fldCharType="begin"/>
      </w:r>
      <w:r>
        <w:instrText xml:space="preserve"> SEQ Figure \* ARABIC </w:instrText>
      </w:r>
      <w:r>
        <w:fldChar w:fldCharType="separate"/>
      </w:r>
      <w:r>
        <w:t>143</w:t>
      </w:r>
      <w:r>
        <w:fldChar w:fldCharType="end"/>
      </w:r>
      <w:bookmarkEnd w:id="461"/>
      <w:bookmarkEnd w:id="462"/>
      <w:r>
        <w:t xml:space="preserve"> - Retail gas indexes prices for industry: EU vs AU and MX, 2008-2018</w:t>
      </w:r>
      <w:bookmarkEnd w:id="463"/>
      <w:bookmarkEnd w:id="464"/>
      <w:bookmarkEnd w:id="465"/>
      <w:bookmarkEnd w:id="466"/>
      <w:bookmarkEnd w:id="467"/>
      <w:bookmarkEnd w:id="468"/>
      <w:bookmarkEnd w:id="469"/>
    </w:p>
    <w:p>
      <w:pPr>
        <w:pStyle w:val="Sources"/>
        <w:rPr>
          <w:noProof/>
          <w:lang w:val="fr-BE"/>
        </w:rPr>
      </w:pPr>
      <w:r>
        <w:rPr>
          <w:noProof/>
          <w:lang w:val="fr-BE"/>
        </w:rPr>
        <w:t>Source: Trinomics et altri study</w:t>
      </w:r>
    </w:p>
    <w:p>
      <w:pPr>
        <w:jc w:val="left"/>
        <w:rPr>
          <w:noProof/>
          <w:sz w:val="20"/>
          <w:szCs w:val="20"/>
          <w:lang w:val="fr-BE" w:eastAsia="de-DE"/>
        </w:rPr>
      </w:pPr>
    </w:p>
    <w:p>
      <w:pPr>
        <w:pStyle w:val="ListParagraph"/>
        <w:spacing w:line="300" w:lineRule="atLeast"/>
        <w:ind w:left="714"/>
        <w:jc w:val="left"/>
        <w:rPr>
          <w:noProof/>
          <w:lang w:val="fr-BE"/>
        </w:rPr>
      </w:pPr>
    </w:p>
    <w:p>
      <w:pPr>
        <w:pStyle w:val="ListParagraph"/>
        <w:spacing w:line="300" w:lineRule="atLeast"/>
        <w:ind w:left="714"/>
        <w:jc w:val="left"/>
        <w:rPr>
          <w:noProof/>
          <w:lang w:val="fr-BE"/>
        </w:rPr>
      </w:pPr>
    </w:p>
    <w:p>
      <w:pPr>
        <w:pStyle w:val="ListParagraph"/>
        <w:numPr>
          <w:ilvl w:val="0"/>
          <w:numId w:val="15"/>
        </w:numPr>
        <w:spacing w:line="300" w:lineRule="atLeast"/>
        <w:ind w:left="714" w:hanging="357"/>
        <w:jc w:val="left"/>
        <w:rPr>
          <w:noProof/>
          <w:sz w:val="24"/>
          <w:szCs w:val="24"/>
        </w:rPr>
      </w:pPr>
      <w:r>
        <w:rPr>
          <w:noProof/>
          <w:sz w:val="24"/>
          <w:szCs w:val="24"/>
        </w:rPr>
        <w:t xml:space="preserve">Price differential (in 2017 euros) did not evolve favourably for the EU with regard to half of the countries (particularly the US and Canada) in which prices fell more than the EU average. The price gap with Russia evolved positively for the EU as Russian prices increased slightly. The price gap with China, Mexico and Australia have also evolved favourably for the EU as prices in these countries at the end of period have were roughly comparable to those in 2008 or increased. (see </w:t>
      </w:r>
      <w:r>
        <w:rPr>
          <w:noProof/>
          <w:sz w:val="24"/>
          <w:szCs w:val="24"/>
        </w:rPr>
        <w:fldChar w:fldCharType="begin"/>
      </w:r>
      <w:r>
        <w:rPr>
          <w:noProof/>
          <w:sz w:val="24"/>
          <w:szCs w:val="24"/>
        </w:rPr>
        <w:instrText xml:space="preserve"> REF _Ref531105932 \h  \* MERGEFORMAT </w:instrText>
      </w:r>
      <w:r>
        <w:rPr>
          <w:noProof/>
          <w:sz w:val="24"/>
          <w:szCs w:val="24"/>
        </w:rPr>
      </w:r>
      <w:r>
        <w:rPr>
          <w:noProof/>
          <w:sz w:val="24"/>
          <w:szCs w:val="24"/>
        </w:rPr>
        <w:fldChar w:fldCharType="separate"/>
      </w:r>
      <w:r>
        <w:rPr>
          <w:b/>
          <w:noProof/>
          <w:sz w:val="24"/>
          <w:szCs w:val="24"/>
        </w:rPr>
        <w:t>Table 16</w:t>
      </w:r>
      <w:r>
        <w:rPr>
          <w:noProof/>
          <w:sz w:val="24"/>
          <w:szCs w:val="24"/>
        </w:rPr>
        <w:fldChar w:fldCharType="end"/>
      </w:r>
      <w:r>
        <w:rPr>
          <w:noProof/>
          <w:sz w:val="24"/>
          <w:szCs w:val="24"/>
        </w:rPr>
        <w:fldChar w:fldCharType="begin"/>
      </w:r>
      <w:r>
        <w:rPr>
          <w:noProof/>
          <w:sz w:val="24"/>
          <w:szCs w:val="24"/>
        </w:rPr>
        <w:instrText xml:space="preserve"> REF _Ref525112337 \h  \* MERGEFORMAT </w:instrText>
      </w:r>
      <w:r>
        <w:rPr>
          <w:noProof/>
          <w:sz w:val="24"/>
          <w:szCs w:val="24"/>
        </w:rPr>
      </w:r>
      <w:r>
        <w:rPr>
          <w:noProof/>
          <w:sz w:val="24"/>
          <w:szCs w:val="24"/>
        </w:rPr>
        <w:fldChar w:fldCharType="end"/>
      </w:r>
      <w:r>
        <w:rPr>
          <w:noProof/>
          <w:sz w:val="24"/>
          <w:szCs w:val="24"/>
        </w:rPr>
        <w:t>)</w:t>
      </w:r>
    </w:p>
    <w:p>
      <w:pPr>
        <w:spacing w:after="0"/>
        <w:jc w:val="left"/>
        <w:rPr>
          <w:noProof/>
        </w:rPr>
      </w:pPr>
      <w:r>
        <w:rPr>
          <w:noProof/>
        </w:rPr>
        <w:br w:type="page"/>
      </w:r>
    </w:p>
    <w:p>
      <w:pPr>
        <w:pStyle w:val="Caption"/>
      </w:pPr>
      <w:bookmarkStart w:id="470" w:name="_Ref531105932"/>
      <w:bookmarkStart w:id="471" w:name="_Toc531178644"/>
      <w:r>
        <w:t xml:space="preserve">Table </w:t>
      </w:r>
      <w:r>
        <w:fldChar w:fldCharType="begin"/>
      </w:r>
      <w:r>
        <w:instrText xml:space="preserve"> SEQ Table \* ARABIC </w:instrText>
      </w:r>
      <w:r>
        <w:fldChar w:fldCharType="separate"/>
      </w:r>
      <w:r>
        <w:t>16</w:t>
      </w:r>
      <w:r>
        <w:fldChar w:fldCharType="end"/>
      </w:r>
      <w:bookmarkEnd w:id="470"/>
      <w:r>
        <w:t xml:space="preserve"> - Changes in the industry retail natural gas price differential compared to EU prices, constant 2017 euros per MWh</w:t>
      </w:r>
      <w:bookmarkEnd w:id="471"/>
    </w:p>
    <w:tbl>
      <w:tblPr>
        <w:tblW w:w="8589" w:type="dxa"/>
        <w:jc w:val="center"/>
        <w:tblLook w:val="04A0" w:firstRow="1" w:lastRow="0" w:firstColumn="1" w:lastColumn="0" w:noHBand="0" w:noVBand="1"/>
      </w:tblPr>
      <w:tblGrid>
        <w:gridCol w:w="1418"/>
        <w:gridCol w:w="1017"/>
        <w:gridCol w:w="1017"/>
        <w:gridCol w:w="826"/>
        <w:gridCol w:w="826"/>
        <w:gridCol w:w="819"/>
        <w:gridCol w:w="819"/>
        <w:gridCol w:w="999"/>
        <w:gridCol w:w="848"/>
      </w:tblGrid>
      <w:tr>
        <w:trPr>
          <w:trHeight w:val="844"/>
          <w:jc w:val="center"/>
        </w:trPr>
        <w:tc>
          <w:tcPr>
            <w:tcW w:w="1418" w:type="dxa"/>
            <w:tcBorders>
              <w:top w:val="single" w:sz="4" w:space="0" w:color="B9BBBB"/>
              <w:left w:val="single" w:sz="4" w:space="0" w:color="B9BBBB"/>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Country</w:t>
            </w:r>
          </w:p>
        </w:tc>
        <w:tc>
          <w:tcPr>
            <w:tcW w:w="1017"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Start price [EUR2017]</w:t>
            </w:r>
          </w:p>
        </w:tc>
        <w:tc>
          <w:tcPr>
            <w:tcW w:w="1017"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End price [EUR2017]</w:t>
            </w:r>
          </w:p>
        </w:tc>
        <w:tc>
          <w:tcPr>
            <w:tcW w:w="826"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EUR</w:t>
            </w:r>
          </w:p>
        </w:tc>
        <w:tc>
          <w:tcPr>
            <w:tcW w:w="826"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w:t>
            </w:r>
          </w:p>
        </w:tc>
        <w:tc>
          <w:tcPr>
            <w:tcW w:w="819"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Start Gap [EUR]</w:t>
            </w:r>
          </w:p>
        </w:tc>
        <w:tc>
          <w:tcPr>
            <w:tcW w:w="819"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End Gap [EUR]</w:t>
            </w:r>
          </w:p>
        </w:tc>
        <w:tc>
          <w:tcPr>
            <w:tcW w:w="999"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Difference [EUR]</w:t>
            </w:r>
          </w:p>
        </w:tc>
        <w:tc>
          <w:tcPr>
            <w:tcW w:w="848"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Impact for EU</w:t>
            </w:r>
          </w:p>
        </w:tc>
      </w:tr>
      <w:tr>
        <w:trPr>
          <w:trHeight w:val="450"/>
          <w:jc w:val="center"/>
        </w:trPr>
        <w:tc>
          <w:tcPr>
            <w:tcW w:w="1418" w:type="dxa"/>
            <w:tcBorders>
              <w:top w:val="single" w:sz="4" w:space="0" w:color="auto"/>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EU28</w:t>
            </w:r>
          </w:p>
        </w:tc>
        <w:tc>
          <w:tcPr>
            <w:tcW w:w="1017" w:type="dxa"/>
            <w:tcBorders>
              <w:top w:val="single" w:sz="4" w:space="0" w:color="auto"/>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31.74</w:t>
            </w:r>
          </w:p>
        </w:tc>
        <w:tc>
          <w:tcPr>
            <w:tcW w:w="1017" w:type="dxa"/>
            <w:tcBorders>
              <w:top w:val="single" w:sz="4" w:space="0" w:color="auto"/>
              <w:left w:val="nil"/>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23.97</w:t>
            </w:r>
          </w:p>
        </w:tc>
        <w:tc>
          <w:tcPr>
            <w:tcW w:w="826" w:type="dxa"/>
            <w:tcBorders>
              <w:top w:val="single" w:sz="4" w:space="0" w:color="auto"/>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-7.77</w:t>
            </w:r>
          </w:p>
        </w:tc>
        <w:tc>
          <w:tcPr>
            <w:tcW w:w="826" w:type="dxa"/>
            <w:tcBorders>
              <w:top w:val="single" w:sz="4" w:space="0" w:color="auto"/>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-24.5%</w:t>
            </w:r>
          </w:p>
        </w:tc>
        <w:tc>
          <w:tcPr>
            <w:tcW w:w="819" w:type="dxa"/>
            <w:tcBorders>
              <w:top w:val="single" w:sz="4" w:space="0" w:color="auto"/>
              <w:left w:val="nil"/>
              <w:bottom w:val="nil"/>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single" w:sz="4" w:space="0" w:color="auto"/>
              <w:left w:val="nil"/>
              <w:bottom w:val="nil"/>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single" w:sz="4" w:space="0" w:color="auto"/>
              <w:left w:val="nil"/>
              <w:bottom w:val="nil"/>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single" w:sz="4" w:space="0" w:color="auto"/>
              <w:left w:val="nil"/>
              <w:bottom w:val="nil"/>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Argentina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3.16</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2.17</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-0.99</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-31.3%</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-28.58</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-21.80</w:t>
            </w:r>
          </w:p>
        </w:tc>
        <w:tc>
          <w:tcPr>
            <w:tcW w:w="99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6.78</w:t>
            </w:r>
          </w:p>
        </w:tc>
        <w:tc>
          <w:tcPr>
            <w:tcW w:w="848"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Australia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17"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26"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26"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single" w:sz="4" w:space="0" w:color="D1D1D2"/>
              <w:bottom w:val="single" w:sz="4" w:space="0" w:color="D1D1D2"/>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Brazil</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28.17</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15.93</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-12.24</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-43.5%</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-3.57</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-8.04</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-4.47</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Canada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30.55</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12.38</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-18.18</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-59.5%</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-1.19</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-11.60</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-10.41</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China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38.51</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38.47</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-0.04</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-0.1%</w:t>
            </w:r>
          </w:p>
        </w:tc>
        <w:tc>
          <w:tcPr>
            <w:tcW w:w="81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6.77</w:t>
            </w:r>
          </w:p>
        </w:tc>
        <w:tc>
          <w:tcPr>
            <w:tcW w:w="81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14.50</w:t>
            </w:r>
          </w:p>
        </w:tc>
        <w:tc>
          <w:tcPr>
            <w:tcW w:w="99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7.73</w:t>
            </w:r>
          </w:p>
        </w:tc>
        <w:tc>
          <w:tcPr>
            <w:tcW w:w="848"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India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17"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26"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26"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single" w:sz="4" w:space="0" w:color="D1D1D2"/>
              <w:bottom w:val="single" w:sz="4" w:space="0" w:color="D1D1D2"/>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Indonesia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17"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26"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26"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single" w:sz="4" w:space="0" w:color="D1D1D2"/>
              <w:bottom w:val="single" w:sz="4" w:space="0" w:color="D1D1D2"/>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Japan</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48.67</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34.09</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-14.59</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-30.0%</w:t>
            </w:r>
          </w:p>
        </w:tc>
        <w:tc>
          <w:tcPr>
            <w:tcW w:w="81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16.93</w:t>
            </w:r>
          </w:p>
        </w:tc>
        <w:tc>
          <w:tcPr>
            <w:tcW w:w="81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10.12</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-6.82</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Mexico</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37.57</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37.57</w:t>
            </w:r>
          </w:p>
        </w:tc>
        <w:tc>
          <w:tcPr>
            <w:tcW w:w="826"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0.00</w:t>
            </w:r>
          </w:p>
        </w:tc>
        <w:tc>
          <w:tcPr>
            <w:tcW w:w="826"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w:t>
            </w:r>
          </w:p>
        </w:tc>
        <w:tc>
          <w:tcPr>
            <w:tcW w:w="81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5.82</w:t>
            </w:r>
          </w:p>
        </w:tc>
        <w:tc>
          <w:tcPr>
            <w:tcW w:w="81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13.59</w:t>
            </w:r>
          </w:p>
        </w:tc>
        <w:tc>
          <w:tcPr>
            <w:tcW w:w="99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7.77</w:t>
            </w:r>
          </w:p>
        </w:tc>
        <w:tc>
          <w:tcPr>
            <w:tcW w:w="848"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Russia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8.58</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7.12</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-1.46</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-17.0%</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-23.16</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-16.85</w:t>
            </w:r>
          </w:p>
        </w:tc>
        <w:tc>
          <w:tcPr>
            <w:tcW w:w="99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6.31</w:t>
            </w:r>
          </w:p>
        </w:tc>
        <w:tc>
          <w:tcPr>
            <w:tcW w:w="848"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Saudi Arabia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17"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26"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26"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single" w:sz="4" w:space="0" w:color="D1D1D2"/>
              <w:bottom w:val="single" w:sz="4" w:space="0" w:color="D1D1D2"/>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South Africa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017"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26"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26"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1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9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single" w:sz="4" w:space="0" w:color="D1D1D2"/>
              <w:bottom w:val="single" w:sz="4" w:space="0" w:color="D1D1D2"/>
              <w:right w:val="single" w:sz="4" w:space="0" w:color="auto"/>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South Korea</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47.14</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36.72</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-10.42</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-22.1%</w:t>
            </w:r>
          </w:p>
        </w:tc>
        <w:tc>
          <w:tcPr>
            <w:tcW w:w="81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15.40</w:t>
            </w:r>
          </w:p>
        </w:tc>
        <w:tc>
          <w:tcPr>
            <w:tcW w:w="81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12.74</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-2.65</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jc w:val="center"/>
        </w:trPr>
        <w:tc>
          <w:tcPr>
            <w:tcW w:w="1418"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Turkey</w:t>
            </w:r>
          </w:p>
        </w:tc>
        <w:tc>
          <w:tcPr>
            <w:tcW w:w="1017" w:type="dxa"/>
            <w:tcBorders>
              <w:top w:val="nil"/>
              <w:left w:val="single" w:sz="4" w:space="0" w:color="D1D1D2"/>
              <w:bottom w:val="single" w:sz="4" w:space="0" w:color="D1D1D2"/>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27.08</w:t>
            </w:r>
          </w:p>
        </w:tc>
        <w:tc>
          <w:tcPr>
            <w:tcW w:w="1017"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16.60</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-10.48</w:t>
            </w:r>
          </w:p>
        </w:tc>
        <w:tc>
          <w:tcPr>
            <w:tcW w:w="826"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-38.7%</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-4.66</w:t>
            </w:r>
          </w:p>
        </w:tc>
        <w:tc>
          <w:tcPr>
            <w:tcW w:w="81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-7.37</w:t>
            </w:r>
          </w:p>
        </w:tc>
        <w:tc>
          <w:tcPr>
            <w:tcW w:w="99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-2.71</w:t>
            </w:r>
          </w:p>
        </w:tc>
        <w:tc>
          <w:tcPr>
            <w:tcW w:w="848"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25"/>
          <w:jc w:val="center"/>
        </w:trPr>
        <w:tc>
          <w:tcPr>
            <w:tcW w:w="1418" w:type="dxa"/>
            <w:tcBorders>
              <w:top w:val="nil"/>
              <w:left w:val="single" w:sz="4" w:space="0" w:color="auto"/>
              <w:bottom w:val="single" w:sz="4" w:space="0" w:color="auto"/>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USA</w:t>
            </w:r>
          </w:p>
        </w:tc>
        <w:tc>
          <w:tcPr>
            <w:tcW w:w="1017" w:type="dxa"/>
            <w:tcBorders>
              <w:top w:val="nil"/>
              <w:left w:val="single" w:sz="4" w:space="0" w:color="D1D1D2"/>
              <w:bottom w:val="single" w:sz="4" w:space="0" w:color="auto"/>
              <w:right w:val="single" w:sz="4" w:space="0" w:color="D1D1D2"/>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32.21</w:t>
            </w:r>
          </w:p>
        </w:tc>
        <w:tc>
          <w:tcPr>
            <w:tcW w:w="1017" w:type="dxa"/>
            <w:tcBorders>
              <w:top w:val="nil"/>
              <w:left w:val="nil"/>
              <w:bottom w:val="single" w:sz="4" w:space="0" w:color="auto"/>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10.41</w:t>
            </w:r>
          </w:p>
        </w:tc>
        <w:tc>
          <w:tcPr>
            <w:tcW w:w="826" w:type="dxa"/>
            <w:tcBorders>
              <w:top w:val="single" w:sz="4" w:space="0" w:color="D1D1D2"/>
              <w:left w:val="single" w:sz="4" w:space="0" w:color="D1D1D2"/>
              <w:bottom w:val="single" w:sz="4" w:space="0" w:color="auto"/>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-21.80</w:t>
            </w:r>
          </w:p>
        </w:tc>
        <w:tc>
          <w:tcPr>
            <w:tcW w:w="826" w:type="dxa"/>
            <w:tcBorders>
              <w:top w:val="single" w:sz="4" w:space="0" w:color="D1D1D2"/>
              <w:left w:val="single" w:sz="4" w:space="0" w:color="D1D1D2"/>
              <w:bottom w:val="single" w:sz="4" w:space="0" w:color="auto"/>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-67.7%</w:t>
            </w:r>
          </w:p>
        </w:tc>
        <w:tc>
          <w:tcPr>
            <w:tcW w:w="819" w:type="dxa"/>
            <w:tcBorders>
              <w:top w:val="single" w:sz="4" w:space="0" w:color="B9BBBB"/>
              <w:left w:val="single" w:sz="4" w:space="0" w:color="B9BBBB"/>
              <w:bottom w:val="single" w:sz="4" w:space="0" w:color="auto"/>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0.47</w:t>
            </w:r>
          </w:p>
        </w:tc>
        <w:tc>
          <w:tcPr>
            <w:tcW w:w="819"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-13.56</w:t>
            </w:r>
          </w:p>
        </w:tc>
        <w:tc>
          <w:tcPr>
            <w:tcW w:w="999"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-14.03</w:t>
            </w:r>
          </w:p>
        </w:tc>
        <w:tc>
          <w:tcPr>
            <w:tcW w:w="848" w:type="dxa"/>
            <w:tcBorders>
              <w:top w:val="single" w:sz="4" w:space="0" w:color="D1D1D2"/>
              <w:left w:val="single" w:sz="4" w:space="0" w:color="D1D1D2"/>
              <w:bottom w:val="single" w:sz="4" w:space="0" w:color="auto"/>
              <w:right w:val="single" w:sz="4" w:space="0" w:color="auto"/>
            </w:tcBorders>
            <w:shd w:val="clear" w:color="000000" w:fill="FFC7CE"/>
            <w:noWrap/>
            <w:vAlign w:val="bottom"/>
            <w:hideMark/>
          </w:tcPr>
          <w:p>
            <w:pPr>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bl>
    <w:p>
      <w:pPr>
        <w:pStyle w:val="Sources"/>
        <w:rPr>
          <w:noProof/>
        </w:rPr>
      </w:pPr>
      <w:r>
        <w:rPr>
          <w:noProof/>
        </w:rPr>
        <w:t>Source: Trinomics et altri study</w:t>
      </w:r>
    </w:p>
    <w:p>
      <w:pPr>
        <w:rPr>
          <w:noProof/>
        </w:rPr>
      </w:pPr>
      <w:r>
        <w:rPr>
          <w:noProof/>
        </w:rPr>
        <w:t>Note: a positive impact for the EU is recorded if the price gap has improved over time, e.g. that if a country had lower prices initially the gap is now smaller or prices are higher than the EU average, or if a country had higher prices and that the gap has increased. A negative impact is recorded if a country had lower prices than the EU, and that the gap has now increased, or if the country had higher prices than the EU but this gap has narrowed or the country now has lower prices.</w:t>
      </w:r>
    </w:p>
    <w:p>
      <w:pPr>
        <w:pStyle w:val="ListParagraph"/>
        <w:numPr>
          <w:ilvl w:val="0"/>
          <w:numId w:val="15"/>
        </w:numPr>
        <w:spacing w:line="300" w:lineRule="atLeast"/>
        <w:ind w:left="426" w:hanging="426"/>
        <w:contextualSpacing w:val="0"/>
        <w:rPr>
          <w:noProof/>
          <w:sz w:val="24"/>
          <w:szCs w:val="24"/>
        </w:rPr>
      </w:pPr>
      <w:r>
        <w:rPr>
          <w:noProof/>
          <w:sz w:val="24"/>
          <w:szCs w:val="24"/>
        </w:rPr>
        <w:t xml:space="preserve">The analysis of the factors driving price differential (see </w:t>
      </w:r>
      <w:r>
        <w:rPr>
          <w:b/>
          <w:noProof/>
          <w:sz w:val="24"/>
          <w:szCs w:val="24"/>
        </w:rPr>
        <w:fldChar w:fldCharType="begin"/>
      </w:r>
      <w:r>
        <w:rPr>
          <w:b/>
          <w:noProof/>
          <w:sz w:val="24"/>
          <w:szCs w:val="24"/>
        </w:rPr>
        <w:instrText xml:space="preserve"> REF _Ref531105975 \h  \* MERGEFORMAT </w:instrText>
      </w:r>
      <w:r>
        <w:rPr>
          <w:b/>
          <w:noProof/>
          <w:sz w:val="24"/>
          <w:szCs w:val="24"/>
        </w:rPr>
      </w:r>
      <w:r>
        <w:rPr>
          <w:b/>
          <w:noProof/>
          <w:sz w:val="24"/>
          <w:szCs w:val="24"/>
        </w:rPr>
        <w:fldChar w:fldCharType="separate"/>
      </w:r>
      <w:r>
        <w:rPr>
          <w:b/>
          <w:noProof/>
          <w:sz w:val="24"/>
          <w:szCs w:val="24"/>
        </w:rPr>
        <w:t>Table 17</w:t>
      </w:r>
      <w:r>
        <w:rPr>
          <w:b/>
          <w:noProof/>
          <w:sz w:val="24"/>
          <w:szCs w:val="24"/>
        </w:rPr>
        <w:fldChar w:fldCharType="end"/>
      </w:r>
      <w:r>
        <w:rPr>
          <w:noProof/>
          <w:sz w:val="24"/>
          <w:szCs w:val="24"/>
        </w:rPr>
        <w:fldChar w:fldCharType="begin"/>
      </w:r>
      <w:r>
        <w:rPr>
          <w:noProof/>
          <w:sz w:val="24"/>
          <w:szCs w:val="24"/>
        </w:rPr>
        <w:instrText xml:space="preserve"> REF _Ref520387872 \h  \* MERGEFORMAT </w:instrText>
      </w:r>
      <w:r>
        <w:rPr>
          <w:noProof/>
          <w:sz w:val="24"/>
          <w:szCs w:val="24"/>
        </w:rPr>
      </w:r>
      <w:r>
        <w:rPr>
          <w:noProof/>
          <w:sz w:val="24"/>
          <w:szCs w:val="24"/>
        </w:rPr>
        <w:fldChar w:fldCharType="end"/>
      </w:r>
      <w:r>
        <w:rPr>
          <w:noProof/>
          <w:sz w:val="24"/>
          <w:szCs w:val="24"/>
        </w:rPr>
        <w:t xml:space="preserve">) shows that EU nominal prices in Euros decreased by 18% over the period 2008 to 2017 (-2% per year). Of the other G20 countries, nominal prices in national currency only decreased in the US and Canada, increasing in all others and by particularly high amounts in Argentina, Russia and Turkey. When taking exchange and inflation effects into account we find that in real terms in national prices that the EU decrease was around 26% (-3.3% per year), but that real decreases were experienced not only in the US and Canada, but also in Argentina, Brazil, Japan, Russia and Turkey. This difference being explained in Argentina, Russia and Turkey by high inflation and exchange rate effects. In Brazil high inflation was the most important explanatory factor, whilst in Japan the changes were only small. </w:t>
      </w:r>
    </w:p>
    <w:p>
      <w:pPr>
        <w:pStyle w:val="ListParagraph"/>
        <w:numPr>
          <w:ilvl w:val="0"/>
          <w:numId w:val="15"/>
        </w:numPr>
        <w:spacing w:line="300" w:lineRule="atLeast"/>
        <w:ind w:left="426" w:hanging="426"/>
        <w:contextualSpacing w:val="0"/>
        <w:rPr>
          <w:noProof/>
          <w:sz w:val="24"/>
          <w:szCs w:val="24"/>
        </w:rPr>
      </w:pPr>
      <w:r>
        <w:rPr>
          <w:noProof/>
          <w:sz w:val="24"/>
          <w:szCs w:val="24"/>
        </w:rPr>
        <w:t>In terms of the differentials in real national price changes the EU experienced negative differentials with Argentina, Brazil, Canada, Russia, Turkey and the US; and positive differentials with China, Japan, Mexico and South Korea. In the 3 Asian countries it is likely driven by differences in supply, with these being much more reliant on LNG shipments, with this reflected in wholesale prices. This highlights the fact that whilst EU prices have declined in both nominal and real terms over this period that, outside Asia and Mexico, prices in the rest of the G20 have decreased even further</w:t>
      </w:r>
      <w:bookmarkStart w:id="472" w:name="_Toc519542615"/>
      <w:r>
        <w:rPr>
          <w:noProof/>
          <w:sz w:val="24"/>
          <w:szCs w:val="24"/>
        </w:rPr>
        <w:t>.</w:t>
      </w:r>
      <w:bookmarkEnd w:id="472"/>
      <w:r>
        <w:rPr>
          <w:noProof/>
          <w:sz w:val="24"/>
          <w:szCs w:val="24"/>
        </w:rPr>
        <w:t xml:space="preserve"> </w:t>
      </w:r>
    </w:p>
    <w:p>
      <w:pPr>
        <w:rPr>
          <w:noProof/>
        </w:rPr>
        <w:sectPr>
          <w:headerReference w:type="even" r:id="rId152"/>
          <w:headerReference w:type="default" r:id="rId153"/>
          <w:footerReference w:type="even" r:id="rId154"/>
          <w:footerReference w:type="default" r:id="rId155"/>
          <w:headerReference w:type="first" r:id="rId156"/>
          <w:footerReference w:type="first" r:id="rId157"/>
          <w:footnotePr>
            <w:numStart w:val="50"/>
          </w:footnotePr>
          <w:pgSz w:w="11906" w:h="16838"/>
          <w:pgMar w:top="1440" w:right="1440" w:bottom="1440" w:left="1440" w:header="709" w:footer="567" w:gutter="0"/>
          <w:cols w:space="708"/>
          <w:docGrid w:linePitch="360"/>
        </w:sectPr>
      </w:pPr>
    </w:p>
    <w:p>
      <w:pPr>
        <w:pStyle w:val="Caption"/>
        <w:rPr>
          <w:lang w:eastAsia="de-DE"/>
        </w:rPr>
      </w:pPr>
      <w:bookmarkStart w:id="473" w:name="_Ref517957309"/>
      <w:bookmarkStart w:id="474" w:name="_Ref531105975"/>
      <w:bookmarkStart w:id="475" w:name="_Toc531178645"/>
      <w:bookmarkEnd w:id="473"/>
      <w:r>
        <w:t xml:space="preserve">Table </w:t>
      </w:r>
      <w:r>
        <w:fldChar w:fldCharType="begin"/>
      </w:r>
      <w:r>
        <w:instrText xml:space="preserve"> SEQ Table \* ARABIC </w:instrText>
      </w:r>
      <w:r>
        <w:fldChar w:fldCharType="separate"/>
      </w:r>
      <w:r>
        <w:t>17</w:t>
      </w:r>
      <w:r>
        <w:fldChar w:fldCharType="end"/>
      </w:r>
      <w:bookmarkEnd w:id="474"/>
      <w:r>
        <w:rPr>
          <w:lang w:eastAsia="de-DE"/>
        </w:rPr>
        <w:t xml:space="preserve"> - Factors in observed industrial retail natural gas price changes per country, nominal prices, per MWh</w:t>
      </w:r>
      <w:bookmarkEnd w:id="475"/>
    </w:p>
    <w:tbl>
      <w:tblPr>
        <w:tblW w:w="12002" w:type="dxa"/>
        <w:tblInd w:w="562" w:type="dxa"/>
        <w:tblLook w:val="04A0" w:firstRow="1" w:lastRow="0" w:firstColumn="1" w:lastColumn="0" w:noHBand="0" w:noVBand="1"/>
      </w:tblPr>
      <w:tblGrid>
        <w:gridCol w:w="1539"/>
        <w:gridCol w:w="831"/>
        <w:gridCol w:w="831"/>
        <w:gridCol w:w="848"/>
        <w:gridCol w:w="839"/>
        <w:gridCol w:w="892"/>
        <w:gridCol w:w="972"/>
        <w:gridCol w:w="869"/>
        <w:gridCol w:w="848"/>
        <w:gridCol w:w="839"/>
        <w:gridCol w:w="892"/>
        <w:gridCol w:w="972"/>
        <w:gridCol w:w="830"/>
      </w:tblGrid>
      <w:tr>
        <w:trPr>
          <w:trHeight w:val="1539"/>
        </w:trPr>
        <w:tc>
          <w:tcPr>
            <w:tcW w:w="1539" w:type="dxa"/>
            <w:tcBorders>
              <w:top w:val="single" w:sz="4" w:space="0" w:color="B9BBBB"/>
              <w:left w:val="single" w:sz="4" w:space="0" w:color="B9BBBB"/>
              <w:bottom w:val="nil"/>
              <w:right w:val="single" w:sz="4" w:space="0" w:color="B9BBBB"/>
            </w:tcBorders>
            <w:shd w:val="clear" w:color="000000" w:fill="005962"/>
            <w:vAlign w:val="bottom"/>
            <w:hideMark/>
          </w:tcPr>
          <w:p>
            <w:pPr>
              <w:jc w:val="cente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Country</w:t>
            </w:r>
          </w:p>
        </w:tc>
        <w:tc>
          <w:tcPr>
            <w:tcW w:w="831"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Start date</w:t>
            </w:r>
          </w:p>
        </w:tc>
        <w:tc>
          <w:tcPr>
            <w:tcW w:w="831"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End date</w:t>
            </w:r>
          </w:p>
        </w:tc>
        <w:tc>
          <w:tcPr>
            <w:tcW w:w="848"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Nominal Start price EUR</w:t>
            </w:r>
          </w:p>
        </w:tc>
        <w:tc>
          <w:tcPr>
            <w:tcW w:w="839"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due to inflation [EUR]</w:t>
            </w:r>
          </w:p>
        </w:tc>
        <w:tc>
          <w:tcPr>
            <w:tcW w:w="892"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due to price change in national currency [EUR]</w:t>
            </w:r>
          </w:p>
        </w:tc>
        <w:tc>
          <w:tcPr>
            <w:tcW w:w="972"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Exchange rate effect [EUR]</w:t>
            </w:r>
          </w:p>
        </w:tc>
        <w:tc>
          <w:tcPr>
            <w:tcW w:w="869" w:type="dxa"/>
            <w:tcBorders>
              <w:top w:val="nil"/>
              <w:left w:val="single" w:sz="4" w:space="0" w:color="B9BBBB"/>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 change [EUR]</w:t>
            </w:r>
          </w:p>
        </w:tc>
        <w:tc>
          <w:tcPr>
            <w:tcW w:w="848"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Nominal End price EUR</w:t>
            </w:r>
          </w:p>
        </w:tc>
        <w:tc>
          <w:tcPr>
            <w:tcW w:w="839"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due to inflation [%]</w:t>
            </w:r>
          </w:p>
        </w:tc>
        <w:tc>
          <w:tcPr>
            <w:tcW w:w="892" w:type="dxa"/>
            <w:tcBorders>
              <w:top w:val="nil"/>
              <w:left w:val="nil"/>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Change due to real price change in national currency [%]</w:t>
            </w:r>
          </w:p>
        </w:tc>
        <w:tc>
          <w:tcPr>
            <w:tcW w:w="972" w:type="dxa"/>
            <w:tcBorders>
              <w:top w:val="nil"/>
              <w:left w:val="nil"/>
              <w:bottom w:val="nil"/>
              <w:right w:val="nil"/>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Exchange rate effect [%]</w:t>
            </w:r>
          </w:p>
        </w:tc>
        <w:tc>
          <w:tcPr>
            <w:tcW w:w="830" w:type="dxa"/>
            <w:tcBorders>
              <w:top w:val="nil"/>
              <w:left w:val="single" w:sz="4" w:space="0" w:color="B9BBBB"/>
              <w:bottom w:val="nil"/>
              <w:right w:val="single" w:sz="4" w:space="0" w:color="B9BBBB"/>
            </w:tcBorders>
            <w:shd w:val="clear" w:color="000000" w:fill="005962"/>
            <w:vAlign w:val="bottom"/>
            <w:hideMark/>
          </w:tcPr>
          <w:p>
            <w:pPr>
              <w:rPr>
                <w:rFonts w:ascii="Arial" w:eastAsia="Times New Roman" w:hAnsi="Arial" w:cs="Arial"/>
                <w:b/>
                <w:bCs/>
                <w:noProof/>
                <w:color w:val="FFFFFF"/>
                <w:sz w:val="16"/>
                <w:szCs w:val="16"/>
                <w:lang w:eastAsia="en-GB"/>
              </w:rPr>
            </w:pPr>
            <w:r>
              <w:rPr>
                <w:rFonts w:ascii="Arial" w:eastAsia="Times New Roman" w:hAnsi="Arial" w:cs="Arial"/>
                <w:b/>
                <w:bCs/>
                <w:noProof/>
                <w:color w:val="FFFFFF"/>
                <w:sz w:val="16"/>
                <w:szCs w:val="16"/>
                <w:lang w:eastAsia="en-GB"/>
              </w:rPr>
              <w:t>Total change [%]</w:t>
            </w:r>
          </w:p>
        </w:tc>
      </w:tr>
      <w:tr>
        <w:trPr>
          <w:trHeight w:val="450"/>
        </w:trPr>
        <w:tc>
          <w:tcPr>
            <w:tcW w:w="1539" w:type="dxa"/>
            <w:tcBorders>
              <w:top w:val="single" w:sz="4" w:space="0" w:color="auto"/>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EU28</w:t>
            </w:r>
          </w:p>
        </w:tc>
        <w:tc>
          <w:tcPr>
            <w:tcW w:w="831" w:type="dxa"/>
            <w:tcBorders>
              <w:top w:val="single" w:sz="4" w:space="0" w:color="auto"/>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831" w:type="dxa"/>
            <w:tcBorders>
              <w:top w:val="single" w:sz="4" w:space="0" w:color="auto"/>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2017-11</w:t>
            </w:r>
          </w:p>
        </w:tc>
        <w:tc>
          <w:tcPr>
            <w:tcW w:w="848" w:type="dxa"/>
            <w:tcBorders>
              <w:top w:val="single" w:sz="4" w:space="0" w:color="auto"/>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29.07</w:t>
            </w:r>
          </w:p>
        </w:tc>
        <w:tc>
          <w:tcPr>
            <w:tcW w:w="839" w:type="dxa"/>
            <w:tcBorders>
              <w:top w:val="single" w:sz="4" w:space="0" w:color="auto"/>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2.57</w:t>
            </w:r>
          </w:p>
        </w:tc>
        <w:tc>
          <w:tcPr>
            <w:tcW w:w="892" w:type="dxa"/>
            <w:tcBorders>
              <w:top w:val="single" w:sz="4" w:space="0" w:color="auto"/>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-7.67</w:t>
            </w:r>
          </w:p>
        </w:tc>
        <w:tc>
          <w:tcPr>
            <w:tcW w:w="972" w:type="dxa"/>
            <w:tcBorders>
              <w:top w:val="single" w:sz="4" w:space="0" w:color="auto"/>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0.00</w:t>
            </w:r>
          </w:p>
        </w:tc>
        <w:tc>
          <w:tcPr>
            <w:tcW w:w="869" w:type="dxa"/>
            <w:tcBorders>
              <w:top w:val="single" w:sz="4" w:space="0" w:color="auto"/>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-5.10</w:t>
            </w:r>
          </w:p>
        </w:tc>
        <w:tc>
          <w:tcPr>
            <w:tcW w:w="848" w:type="dxa"/>
            <w:tcBorders>
              <w:top w:val="single" w:sz="4" w:space="0" w:color="auto"/>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23.97</w:t>
            </w:r>
          </w:p>
        </w:tc>
        <w:tc>
          <w:tcPr>
            <w:tcW w:w="839" w:type="dxa"/>
            <w:tcBorders>
              <w:top w:val="single" w:sz="4" w:space="0" w:color="auto"/>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8.8%</w:t>
            </w:r>
          </w:p>
        </w:tc>
        <w:tc>
          <w:tcPr>
            <w:tcW w:w="892" w:type="dxa"/>
            <w:tcBorders>
              <w:top w:val="single" w:sz="4" w:space="0" w:color="auto"/>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-26.4%</w:t>
            </w:r>
          </w:p>
        </w:tc>
        <w:tc>
          <w:tcPr>
            <w:tcW w:w="972" w:type="dxa"/>
            <w:tcBorders>
              <w:top w:val="single" w:sz="4" w:space="0" w:color="auto"/>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w:t>
            </w:r>
          </w:p>
        </w:tc>
        <w:tc>
          <w:tcPr>
            <w:tcW w:w="830" w:type="dxa"/>
            <w:tcBorders>
              <w:top w:val="single" w:sz="4" w:space="0" w:color="auto"/>
              <w:left w:val="single" w:sz="4" w:space="0" w:color="D1D1D2"/>
              <w:bottom w:val="single" w:sz="4" w:space="0" w:color="D1D1D2"/>
              <w:right w:val="single" w:sz="4" w:space="0" w:color="auto"/>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-17.5%</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Argentina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2008-9</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2017-12</w:t>
            </w:r>
          </w:p>
        </w:tc>
        <w:tc>
          <w:tcPr>
            <w:tcW w:w="848"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1.49</w:t>
            </w:r>
          </w:p>
        </w:tc>
        <w:tc>
          <w:tcPr>
            <w:tcW w:w="83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3.76</w:t>
            </w:r>
          </w:p>
        </w:tc>
        <w:tc>
          <w:tcPr>
            <w:tcW w:w="89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4.01</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-7.41</w:t>
            </w:r>
          </w:p>
        </w:tc>
        <w:tc>
          <w:tcPr>
            <w:tcW w:w="86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0.36</w:t>
            </w:r>
          </w:p>
        </w:tc>
        <w:tc>
          <w:tcPr>
            <w:tcW w:w="848"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1.85</w:t>
            </w:r>
          </w:p>
        </w:tc>
        <w:tc>
          <w:tcPr>
            <w:tcW w:w="839"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252.2%</w:t>
            </w:r>
          </w:p>
        </w:tc>
        <w:tc>
          <w:tcPr>
            <w:tcW w:w="89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269.0%</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-497.0%</w:t>
            </w:r>
          </w:p>
        </w:tc>
        <w:tc>
          <w:tcPr>
            <w:tcW w:w="83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24.1%</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Australia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No data</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6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48" w:type="dxa"/>
            <w:tcBorders>
              <w:top w:val="nil"/>
              <w:left w:val="nil"/>
              <w:bottom w:val="single" w:sz="4" w:space="0" w:color="D1D1D2"/>
              <w:right w:val="single" w:sz="4" w:space="0" w:color="auto"/>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30" w:type="dxa"/>
            <w:tcBorders>
              <w:top w:val="nil"/>
              <w:left w:val="nil"/>
              <w:bottom w:val="single" w:sz="4" w:space="0" w:color="D1D1D2"/>
              <w:right w:val="single" w:sz="4" w:space="0" w:color="auto"/>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Brazil</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2008-12</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2016-12</w:t>
            </w:r>
          </w:p>
        </w:tc>
        <w:tc>
          <w:tcPr>
            <w:tcW w:w="848"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15.75</w:t>
            </w:r>
          </w:p>
        </w:tc>
        <w:tc>
          <w:tcPr>
            <w:tcW w:w="83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10.02</w:t>
            </w:r>
          </w:p>
        </w:tc>
        <w:tc>
          <w:tcPr>
            <w:tcW w:w="89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-9.35</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-1.46</w:t>
            </w:r>
          </w:p>
        </w:tc>
        <w:tc>
          <w:tcPr>
            <w:tcW w:w="86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-0.79</w:t>
            </w:r>
          </w:p>
        </w:tc>
        <w:tc>
          <w:tcPr>
            <w:tcW w:w="848"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14.97</w:t>
            </w:r>
          </w:p>
        </w:tc>
        <w:tc>
          <w:tcPr>
            <w:tcW w:w="839"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63.6%</w:t>
            </w:r>
          </w:p>
        </w:tc>
        <w:tc>
          <w:tcPr>
            <w:tcW w:w="89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-59.4%</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-9.3%</w:t>
            </w:r>
          </w:p>
        </w:tc>
        <w:tc>
          <w:tcPr>
            <w:tcW w:w="830"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-5.0%</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Canada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w:t>
            </w:r>
          </w:p>
        </w:tc>
        <w:tc>
          <w:tcPr>
            <w:tcW w:w="848"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20.58</w:t>
            </w:r>
          </w:p>
        </w:tc>
        <w:tc>
          <w:tcPr>
            <w:tcW w:w="83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1.72</w:t>
            </w:r>
          </w:p>
        </w:tc>
        <w:tc>
          <w:tcPr>
            <w:tcW w:w="89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-9.09</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-0.50</w:t>
            </w:r>
          </w:p>
        </w:tc>
        <w:tc>
          <w:tcPr>
            <w:tcW w:w="86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-7.87</w:t>
            </w:r>
          </w:p>
        </w:tc>
        <w:tc>
          <w:tcPr>
            <w:tcW w:w="848"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12.71</w:t>
            </w:r>
          </w:p>
        </w:tc>
        <w:tc>
          <w:tcPr>
            <w:tcW w:w="839"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8.4%</w:t>
            </w:r>
          </w:p>
        </w:tc>
        <w:tc>
          <w:tcPr>
            <w:tcW w:w="89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-44.2%</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-2.4%</w:t>
            </w:r>
          </w:p>
        </w:tc>
        <w:tc>
          <w:tcPr>
            <w:tcW w:w="830"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-38.2%</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China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2017-12</w:t>
            </w:r>
          </w:p>
        </w:tc>
        <w:tc>
          <w:tcPr>
            <w:tcW w:w="848"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22.04</w:t>
            </w:r>
          </w:p>
        </w:tc>
        <w:tc>
          <w:tcPr>
            <w:tcW w:w="83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5.06</w:t>
            </w:r>
          </w:p>
        </w:tc>
        <w:tc>
          <w:tcPr>
            <w:tcW w:w="89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0.43</w:t>
            </w:r>
          </w:p>
        </w:tc>
        <w:tc>
          <w:tcPr>
            <w:tcW w:w="97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10.05</w:t>
            </w:r>
          </w:p>
        </w:tc>
        <w:tc>
          <w:tcPr>
            <w:tcW w:w="86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15.54</w:t>
            </w:r>
          </w:p>
        </w:tc>
        <w:tc>
          <w:tcPr>
            <w:tcW w:w="848"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37.58</w:t>
            </w:r>
          </w:p>
        </w:tc>
        <w:tc>
          <w:tcPr>
            <w:tcW w:w="839"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23.0%</w:t>
            </w:r>
          </w:p>
        </w:tc>
        <w:tc>
          <w:tcPr>
            <w:tcW w:w="89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2.0%</w:t>
            </w:r>
          </w:p>
        </w:tc>
        <w:tc>
          <w:tcPr>
            <w:tcW w:w="97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45.6%</w:t>
            </w:r>
          </w:p>
        </w:tc>
        <w:tc>
          <w:tcPr>
            <w:tcW w:w="83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70.5%</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India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No data</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6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48" w:type="dxa"/>
            <w:tcBorders>
              <w:top w:val="nil"/>
              <w:left w:val="nil"/>
              <w:bottom w:val="single" w:sz="4" w:space="0" w:color="D1D1D2"/>
              <w:right w:val="single" w:sz="4" w:space="0" w:color="auto"/>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30" w:type="dxa"/>
            <w:tcBorders>
              <w:top w:val="nil"/>
              <w:left w:val="nil"/>
              <w:bottom w:val="single" w:sz="4" w:space="0" w:color="D1D1D2"/>
              <w:right w:val="single" w:sz="4" w:space="0" w:color="auto"/>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Indonesia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No data</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6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48" w:type="dxa"/>
            <w:tcBorders>
              <w:top w:val="nil"/>
              <w:left w:val="nil"/>
              <w:bottom w:val="single" w:sz="4" w:space="0" w:color="D1D1D2"/>
              <w:right w:val="single" w:sz="4" w:space="0" w:color="auto"/>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30" w:type="dxa"/>
            <w:tcBorders>
              <w:top w:val="nil"/>
              <w:left w:val="nil"/>
              <w:bottom w:val="single" w:sz="4" w:space="0" w:color="D1D1D2"/>
              <w:right w:val="single" w:sz="4" w:space="0" w:color="auto"/>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Japan</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2009-1</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w:t>
            </w:r>
          </w:p>
        </w:tc>
        <w:tc>
          <w:tcPr>
            <w:tcW w:w="848"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36.72</w:t>
            </w:r>
          </w:p>
        </w:tc>
        <w:tc>
          <w:tcPr>
            <w:tcW w:w="83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-0.23</w:t>
            </w:r>
          </w:p>
        </w:tc>
        <w:tc>
          <w:tcPr>
            <w:tcW w:w="89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1.01</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-2.51</w:t>
            </w:r>
          </w:p>
        </w:tc>
        <w:tc>
          <w:tcPr>
            <w:tcW w:w="86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-1.73</w:t>
            </w:r>
          </w:p>
        </w:tc>
        <w:tc>
          <w:tcPr>
            <w:tcW w:w="848"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35.00</w:t>
            </w:r>
          </w:p>
        </w:tc>
        <w:tc>
          <w:tcPr>
            <w:tcW w:w="839" w:type="dxa"/>
            <w:tcBorders>
              <w:top w:val="single" w:sz="4" w:space="0" w:color="D1D1D2"/>
              <w:left w:val="single" w:sz="4" w:space="0" w:color="auto"/>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-0.6%</w:t>
            </w:r>
          </w:p>
        </w:tc>
        <w:tc>
          <w:tcPr>
            <w:tcW w:w="89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2.8%</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-6.8%</w:t>
            </w:r>
          </w:p>
        </w:tc>
        <w:tc>
          <w:tcPr>
            <w:tcW w:w="830"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-4.7%</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Mexico</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848"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25.30</w:t>
            </w:r>
          </w:p>
        </w:tc>
        <w:tc>
          <w:tcPr>
            <w:tcW w:w="83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0.00</w:t>
            </w:r>
          </w:p>
        </w:tc>
        <w:tc>
          <w:tcPr>
            <w:tcW w:w="89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0.00</w:t>
            </w:r>
          </w:p>
        </w:tc>
        <w:tc>
          <w:tcPr>
            <w:tcW w:w="97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0.00</w:t>
            </w:r>
          </w:p>
        </w:tc>
        <w:tc>
          <w:tcPr>
            <w:tcW w:w="86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0.00</w:t>
            </w:r>
          </w:p>
        </w:tc>
        <w:tc>
          <w:tcPr>
            <w:tcW w:w="848"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25.30</w:t>
            </w:r>
          </w:p>
        </w:tc>
        <w:tc>
          <w:tcPr>
            <w:tcW w:w="839"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w:t>
            </w:r>
          </w:p>
        </w:tc>
        <w:tc>
          <w:tcPr>
            <w:tcW w:w="89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w:t>
            </w:r>
          </w:p>
        </w:tc>
        <w:tc>
          <w:tcPr>
            <w:tcW w:w="97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0.0%</w:t>
            </w:r>
          </w:p>
        </w:tc>
        <w:tc>
          <w:tcPr>
            <w:tcW w:w="83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0.0%</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Russia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2015-4</w:t>
            </w:r>
          </w:p>
        </w:tc>
        <w:tc>
          <w:tcPr>
            <w:tcW w:w="848"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5.78</w:t>
            </w:r>
          </w:p>
        </w:tc>
        <w:tc>
          <w:tcPr>
            <w:tcW w:w="83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4.04</w:t>
            </w:r>
          </w:p>
        </w:tc>
        <w:tc>
          <w:tcPr>
            <w:tcW w:w="89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1.63</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-4.18</w:t>
            </w:r>
          </w:p>
        </w:tc>
        <w:tc>
          <w:tcPr>
            <w:tcW w:w="86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1.49</w:t>
            </w:r>
          </w:p>
        </w:tc>
        <w:tc>
          <w:tcPr>
            <w:tcW w:w="848"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7.27</w:t>
            </w:r>
          </w:p>
        </w:tc>
        <w:tc>
          <w:tcPr>
            <w:tcW w:w="839"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69.9%</w:t>
            </w:r>
          </w:p>
        </w:tc>
        <w:tc>
          <w:tcPr>
            <w:tcW w:w="89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28.2%</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-72.3%</w:t>
            </w:r>
          </w:p>
        </w:tc>
        <w:tc>
          <w:tcPr>
            <w:tcW w:w="83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25.8%</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Saudi Arabia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No data</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6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48" w:type="dxa"/>
            <w:tcBorders>
              <w:top w:val="nil"/>
              <w:left w:val="nil"/>
              <w:bottom w:val="single" w:sz="4" w:space="0" w:color="D1D1D2"/>
              <w:right w:val="single" w:sz="4" w:space="0" w:color="auto"/>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30" w:type="dxa"/>
            <w:tcBorders>
              <w:top w:val="nil"/>
              <w:left w:val="nil"/>
              <w:bottom w:val="single" w:sz="4" w:space="0" w:color="D1D1D2"/>
              <w:right w:val="single" w:sz="4" w:space="0" w:color="auto"/>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South Africa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No data</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48" w:type="dxa"/>
            <w:tcBorders>
              <w:top w:val="nil"/>
              <w:left w:val="nil"/>
              <w:bottom w:val="single" w:sz="4" w:space="0" w:color="D1D1D2"/>
              <w:right w:val="nil"/>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single" w:sz="4" w:space="0" w:color="B9BBBB"/>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69" w:type="dxa"/>
            <w:tcBorders>
              <w:top w:val="nil"/>
              <w:left w:val="nil"/>
              <w:bottom w:val="single" w:sz="4" w:space="0" w:color="B9BBBB"/>
              <w:right w:val="single" w:sz="4" w:space="0" w:color="B9BBBB"/>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48" w:type="dxa"/>
            <w:tcBorders>
              <w:top w:val="nil"/>
              <w:left w:val="nil"/>
              <w:bottom w:val="single" w:sz="4" w:space="0" w:color="D1D1D2"/>
              <w:right w:val="single" w:sz="4" w:space="0" w:color="auto"/>
            </w:tcBorders>
            <w:shd w:val="clear" w:color="000000" w:fill="CCD7ED"/>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39"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972"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30" w:type="dxa"/>
            <w:tcBorders>
              <w:top w:val="nil"/>
              <w:left w:val="nil"/>
              <w:bottom w:val="single" w:sz="4" w:space="0" w:color="D1D1D2"/>
              <w:right w:val="single" w:sz="4" w:space="0" w:color="auto"/>
            </w:tcBorders>
            <w:shd w:val="clear" w:color="auto" w:fill="auto"/>
            <w:noWrap/>
            <w:vAlign w:val="bottom"/>
            <w:hideMark/>
          </w:tcPr>
          <w:p>
            <w:pPr>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South Korea</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w:t>
            </w:r>
          </w:p>
        </w:tc>
        <w:tc>
          <w:tcPr>
            <w:tcW w:w="848"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31.75</w:t>
            </w:r>
          </w:p>
        </w:tc>
        <w:tc>
          <w:tcPr>
            <w:tcW w:w="83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4.76</w:t>
            </w:r>
          </w:p>
        </w:tc>
        <w:tc>
          <w:tcPr>
            <w:tcW w:w="89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-0.99</w:t>
            </w:r>
          </w:p>
        </w:tc>
        <w:tc>
          <w:tcPr>
            <w:tcW w:w="972"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2.18</w:t>
            </w:r>
          </w:p>
        </w:tc>
        <w:tc>
          <w:tcPr>
            <w:tcW w:w="86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5.95</w:t>
            </w:r>
          </w:p>
        </w:tc>
        <w:tc>
          <w:tcPr>
            <w:tcW w:w="848"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37.70</w:t>
            </w:r>
          </w:p>
        </w:tc>
        <w:tc>
          <w:tcPr>
            <w:tcW w:w="839"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15.0%</w:t>
            </w:r>
          </w:p>
        </w:tc>
        <w:tc>
          <w:tcPr>
            <w:tcW w:w="89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-3.1%</w:t>
            </w:r>
          </w:p>
        </w:tc>
        <w:tc>
          <w:tcPr>
            <w:tcW w:w="972" w:type="dxa"/>
            <w:tcBorders>
              <w:top w:val="single" w:sz="4" w:space="0" w:color="D1D1D2"/>
              <w:left w:val="single" w:sz="4" w:space="0" w:color="D1D1D2"/>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6.9%</w:t>
            </w:r>
          </w:p>
        </w:tc>
        <w:tc>
          <w:tcPr>
            <w:tcW w:w="830" w:type="dxa"/>
            <w:tcBorders>
              <w:top w:val="single" w:sz="4" w:space="0" w:color="D1D1D2"/>
              <w:left w:val="single" w:sz="4" w:space="0" w:color="D1D1D2"/>
              <w:bottom w:val="single" w:sz="4" w:space="0" w:color="D1D1D2"/>
              <w:right w:val="single" w:sz="4" w:space="0" w:color="auto"/>
            </w:tcBorders>
            <w:shd w:val="clear" w:color="000000" w:fill="FFC7CE"/>
            <w:noWrap/>
            <w:vAlign w:val="bottom"/>
            <w:hideMark/>
          </w:tcPr>
          <w:p>
            <w:pPr>
              <w:jc w:val="right"/>
              <w:rPr>
                <w:rFonts w:ascii="Arial" w:eastAsia="Times New Roman" w:hAnsi="Arial" w:cs="Arial"/>
                <w:b/>
                <w:bCs/>
                <w:noProof/>
                <w:color w:val="9C0006"/>
                <w:sz w:val="16"/>
                <w:szCs w:val="16"/>
                <w:lang w:eastAsia="en-GB"/>
              </w:rPr>
            </w:pPr>
            <w:r>
              <w:rPr>
                <w:rFonts w:ascii="Arial" w:eastAsia="Times New Roman" w:hAnsi="Arial" w:cs="Arial"/>
                <w:b/>
                <w:bCs/>
                <w:noProof/>
                <w:color w:val="9C0006"/>
                <w:sz w:val="16"/>
                <w:szCs w:val="16"/>
                <w:lang w:eastAsia="en-GB"/>
              </w:rPr>
              <w:t>18.7%</w:t>
            </w:r>
          </w:p>
        </w:tc>
      </w:tr>
      <w:tr>
        <w:trPr>
          <w:trHeight w:val="225"/>
        </w:trPr>
        <w:tc>
          <w:tcPr>
            <w:tcW w:w="1539" w:type="dxa"/>
            <w:tcBorders>
              <w:top w:val="nil"/>
              <w:left w:val="single" w:sz="4" w:space="0" w:color="auto"/>
              <w:bottom w:val="single" w:sz="4" w:space="0" w:color="B9BBBB"/>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Turkey</w:t>
            </w:r>
          </w:p>
        </w:tc>
        <w:tc>
          <w:tcPr>
            <w:tcW w:w="831" w:type="dxa"/>
            <w:tcBorders>
              <w:top w:val="nil"/>
              <w:left w:val="single" w:sz="4" w:space="0" w:color="D1D1D2"/>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831" w:type="dxa"/>
            <w:tcBorders>
              <w:top w:val="nil"/>
              <w:left w:val="nil"/>
              <w:bottom w:val="single" w:sz="4" w:space="0" w:color="D1D1D2"/>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2017-7</w:t>
            </w:r>
          </w:p>
        </w:tc>
        <w:tc>
          <w:tcPr>
            <w:tcW w:w="848" w:type="dxa"/>
            <w:tcBorders>
              <w:top w:val="nil"/>
              <w:left w:val="nil"/>
              <w:bottom w:val="single" w:sz="4" w:space="0" w:color="D1D1D2"/>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24.80</w:t>
            </w:r>
          </w:p>
        </w:tc>
        <w:tc>
          <w:tcPr>
            <w:tcW w:w="839" w:type="dxa"/>
            <w:tcBorders>
              <w:top w:val="single" w:sz="4" w:space="0" w:color="B9BBBB"/>
              <w:left w:val="single" w:sz="4" w:space="0" w:color="B9BBBB"/>
              <w:bottom w:val="single" w:sz="4" w:space="0" w:color="B9BBBB"/>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16.30</w:t>
            </w:r>
          </w:p>
        </w:tc>
        <w:tc>
          <w:tcPr>
            <w:tcW w:w="89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-1.79</w:t>
            </w:r>
          </w:p>
        </w:tc>
        <w:tc>
          <w:tcPr>
            <w:tcW w:w="972"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-22.71</w:t>
            </w:r>
          </w:p>
        </w:tc>
        <w:tc>
          <w:tcPr>
            <w:tcW w:w="869" w:type="dxa"/>
            <w:tcBorders>
              <w:top w:val="single" w:sz="4" w:space="0" w:color="B9BBBB"/>
              <w:left w:val="single" w:sz="4" w:space="0" w:color="B9BBBB"/>
              <w:bottom w:val="single" w:sz="4" w:space="0" w:color="B9BBBB"/>
              <w:right w:val="single" w:sz="4" w:space="0" w:color="B9BBBB"/>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-8.20</w:t>
            </w:r>
          </w:p>
        </w:tc>
        <w:tc>
          <w:tcPr>
            <w:tcW w:w="848" w:type="dxa"/>
            <w:tcBorders>
              <w:top w:val="nil"/>
              <w:left w:val="nil"/>
              <w:bottom w:val="single" w:sz="4" w:space="0" w:color="D1D1D2"/>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16.60</w:t>
            </w:r>
          </w:p>
        </w:tc>
        <w:tc>
          <w:tcPr>
            <w:tcW w:w="839" w:type="dxa"/>
            <w:tcBorders>
              <w:top w:val="single" w:sz="4" w:space="0" w:color="D1D1D2"/>
              <w:left w:val="single" w:sz="4" w:space="0" w:color="auto"/>
              <w:bottom w:val="single" w:sz="4" w:space="0" w:color="D1D1D2"/>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65.7%</w:t>
            </w:r>
          </w:p>
        </w:tc>
        <w:tc>
          <w:tcPr>
            <w:tcW w:w="89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-7.2%</w:t>
            </w:r>
          </w:p>
        </w:tc>
        <w:tc>
          <w:tcPr>
            <w:tcW w:w="972" w:type="dxa"/>
            <w:tcBorders>
              <w:top w:val="single" w:sz="4" w:space="0" w:color="D1D1D2"/>
              <w:left w:val="single" w:sz="4" w:space="0" w:color="D1D1D2"/>
              <w:bottom w:val="single" w:sz="4" w:space="0" w:color="D1D1D2"/>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-91.6%</w:t>
            </w:r>
          </w:p>
        </w:tc>
        <w:tc>
          <w:tcPr>
            <w:tcW w:w="830" w:type="dxa"/>
            <w:tcBorders>
              <w:top w:val="single" w:sz="4" w:space="0" w:color="D1D1D2"/>
              <w:left w:val="single" w:sz="4" w:space="0" w:color="D1D1D2"/>
              <w:bottom w:val="single" w:sz="4" w:space="0" w:color="D1D1D2"/>
              <w:right w:val="single" w:sz="4" w:space="0" w:color="auto"/>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-33.1%</w:t>
            </w:r>
          </w:p>
        </w:tc>
      </w:tr>
      <w:tr>
        <w:trPr>
          <w:trHeight w:val="225"/>
        </w:trPr>
        <w:tc>
          <w:tcPr>
            <w:tcW w:w="1539" w:type="dxa"/>
            <w:tcBorders>
              <w:top w:val="nil"/>
              <w:left w:val="single" w:sz="4" w:space="0" w:color="auto"/>
              <w:bottom w:val="single" w:sz="4" w:space="0" w:color="auto"/>
              <w:right w:val="nil"/>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USA</w:t>
            </w:r>
          </w:p>
        </w:tc>
        <w:tc>
          <w:tcPr>
            <w:tcW w:w="831" w:type="dxa"/>
            <w:tcBorders>
              <w:top w:val="nil"/>
              <w:left w:val="single" w:sz="4" w:space="0" w:color="D1D1D2"/>
              <w:bottom w:val="single" w:sz="4" w:space="0" w:color="auto"/>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2008-1</w:t>
            </w:r>
          </w:p>
        </w:tc>
        <w:tc>
          <w:tcPr>
            <w:tcW w:w="831" w:type="dxa"/>
            <w:tcBorders>
              <w:top w:val="nil"/>
              <w:left w:val="nil"/>
              <w:bottom w:val="single" w:sz="4" w:space="0" w:color="auto"/>
              <w:right w:val="single" w:sz="4" w:space="0" w:color="D1D1D2"/>
            </w:tcBorders>
            <w:shd w:val="clear" w:color="auto" w:fill="auto"/>
            <w:noWrap/>
            <w:vAlign w:val="bottom"/>
            <w:hideMark/>
          </w:tcPr>
          <w:p>
            <w:pPr>
              <w:rPr>
                <w:rFonts w:ascii="Arial" w:eastAsia="Times New Roman" w:hAnsi="Arial" w:cs="Arial"/>
                <w:noProof/>
                <w:sz w:val="16"/>
                <w:szCs w:val="16"/>
                <w:lang w:eastAsia="en-GB"/>
              </w:rPr>
            </w:pPr>
            <w:r>
              <w:rPr>
                <w:rFonts w:ascii="Arial" w:eastAsia="Times New Roman" w:hAnsi="Arial" w:cs="Arial"/>
                <w:noProof/>
                <w:sz w:val="16"/>
                <w:szCs w:val="16"/>
                <w:lang w:eastAsia="en-GB"/>
              </w:rPr>
              <w:t>2016-1</w:t>
            </w:r>
          </w:p>
        </w:tc>
        <w:tc>
          <w:tcPr>
            <w:tcW w:w="848" w:type="dxa"/>
            <w:tcBorders>
              <w:top w:val="nil"/>
              <w:left w:val="nil"/>
              <w:bottom w:val="single" w:sz="4" w:space="0" w:color="auto"/>
              <w:right w:val="nil"/>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21.69</w:t>
            </w:r>
          </w:p>
        </w:tc>
        <w:tc>
          <w:tcPr>
            <w:tcW w:w="839"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2.57</w:t>
            </w:r>
          </w:p>
        </w:tc>
        <w:tc>
          <w:tcPr>
            <w:tcW w:w="892" w:type="dxa"/>
            <w:tcBorders>
              <w:top w:val="single" w:sz="4" w:space="0" w:color="B9BBBB"/>
              <w:left w:val="single" w:sz="4" w:space="0" w:color="B9BBBB"/>
              <w:bottom w:val="single" w:sz="4" w:space="0" w:color="auto"/>
              <w:right w:val="single" w:sz="4" w:space="0" w:color="B9BBBB"/>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-16.38</w:t>
            </w:r>
          </w:p>
        </w:tc>
        <w:tc>
          <w:tcPr>
            <w:tcW w:w="972" w:type="dxa"/>
            <w:tcBorders>
              <w:top w:val="single" w:sz="4" w:space="0" w:color="B9BBBB"/>
              <w:left w:val="single" w:sz="4" w:space="0" w:color="B9BBBB"/>
              <w:bottom w:val="single" w:sz="4" w:space="0" w:color="auto"/>
              <w:right w:val="single" w:sz="4" w:space="0" w:color="B9BBBB"/>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2.80</w:t>
            </w:r>
          </w:p>
        </w:tc>
        <w:tc>
          <w:tcPr>
            <w:tcW w:w="869" w:type="dxa"/>
            <w:tcBorders>
              <w:top w:val="single" w:sz="4" w:space="0" w:color="B9BBBB"/>
              <w:left w:val="single" w:sz="4" w:space="0" w:color="B9BBBB"/>
              <w:bottom w:val="single" w:sz="4" w:space="0" w:color="auto"/>
              <w:right w:val="single" w:sz="4" w:space="0" w:color="B9BBBB"/>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-11.01</w:t>
            </w:r>
          </w:p>
        </w:tc>
        <w:tc>
          <w:tcPr>
            <w:tcW w:w="848" w:type="dxa"/>
            <w:tcBorders>
              <w:top w:val="nil"/>
              <w:left w:val="nil"/>
              <w:bottom w:val="single" w:sz="4" w:space="0" w:color="auto"/>
              <w:right w:val="single" w:sz="4" w:space="0" w:color="auto"/>
            </w:tcBorders>
            <w:shd w:val="clear" w:color="000000" w:fill="CCD7ED"/>
            <w:noWrap/>
            <w:vAlign w:val="bottom"/>
            <w:hideMark/>
          </w:tcPr>
          <w:p>
            <w:pPr>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10.69</w:t>
            </w:r>
          </w:p>
        </w:tc>
        <w:tc>
          <w:tcPr>
            <w:tcW w:w="839" w:type="dxa"/>
            <w:tcBorders>
              <w:top w:val="single" w:sz="4" w:space="0" w:color="D1D1D2"/>
              <w:left w:val="single" w:sz="4" w:space="0" w:color="auto"/>
              <w:bottom w:val="single" w:sz="4" w:space="0" w:color="auto"/>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11.8%</w:t>
            </w:r>
          </w:p>
        </w:tc>
        <w:tc>
          <w:tcPr>
            <w:tcW w:w="892" w:type="dxa"/>
            <w:tcBorders>
              <w:top w:val="single" w:sz="4" w:space="0" w:color="D1D1D2"/>
              <w:left w:val="single" w:sz="4" w:space="0" w:color="D1D1D2"/>
              <w:bottom w:val="single" w:sz="4" w:space="0" w:color="auto"/>
              <w:right w:val="single" w:sz="4" w:space="0" w:color="D1D1D2"/>
            </w:tcBorders>
            <w:shd w:val="clear" w:color="000000" w:fill="C6EFCE"/>
            <w:noWrap/>
            <w:vAlign w:val="bottom"/>
            <w:hideMark/>
          </w:tcPr>
          <w:p>
            <w:pPr>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-75.5%</w:t>
            </w:r>
          </w:p>
        </w:tc>
        <w:tc>
          <w:tcPr>
            <w:tcW w:w="972" w:type="dxa"/>
            <w:tcBorders>
              <w:top w:val="single" w:sz="4" w:space="0" w:color="D1D1D2"/>
              <w:left w:val="single" w:sz="4" w:space="0" w:color="D1D1D2"/>
              <w:bottom w:val="single" w:sz="4" w:space="0" w:color="auto"/>
              <w:right w:val="single" w:sz="4" w:space="0" w:color="D1D1D2"/>
            </w:tcBorders>
            <w:shd w:val="clear" w:color="000000" w:fill="FFC7CE"/>
            <w:noWrap/>
            <w:vAlign w:val="bottom"/>
            <w:hideMark/>
          </w:tcPr>
          <w:p>
            <w:pPr>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12.9%</w:t>
            </w:r>
          </w:p>
        </w:tc>
        <w:tc>
          <w:tcPr>
            <w:tcW w:w="830" w:type="dxa"/>
            <w:tcBorders>
              <w:top w:val="single" w:sz="4" w:space="0" w:color="D1D1D2"/>
              <w:left w:val="single" w:sz="4" w:space="0" w:color="D1D1D2"/>
              <w:bottom w:val="single" w:sz="4" w:space="0" w:color="auto"/>
              <w:right w:val="single" w:sz="4" w:space="0" w:color="auto"/>
            </w:tcBorders>
            <w:shd w:val="clear" w:color="000000" w:fill="C6EFCE"/>
            <w:noWrap/>
            <w:vAlign w:val="bottom"/>
            <w:hideMark/>
          </w:tcPr>
          <w:p>
            <w:pPr>
              <w:jc w:val="right"/>
              <w:rPr>
                <w:rFonts w:ascii="Arial" w:eastAsia="Times New Roman" w:hAnsi="Arial" w:cs="Arial"/>
                <w:b/>
                <w:bCs/>
                <w:noProof/>
                <w:color w:val="006100"/>
                <w:sz w:val="16"/>
                <w:szCs w:val="16"/>
                <w:lang w:eastAsia="en-GB"/>
              </w:rPr>
            </w:pPr>
            <w:r>
              <w:rPr>
                <w:rFonts w:ascii="Arial" w:eastAsia="Times New Roman" w:hAnsi="Arial" w:cs="Arial"/>
                <w:b/>
                <w:bCs/>
                <w:noProof/>
                <w:color w:val="006100"/>
                <w:sz w:val="16"/>
                <w:szCs w:val="16"/>
                <w:lang w:eastAsia="en-GB"/>
              </w:rPr>
              <w:t>-50.8%</w:t>
            </w:r>
          </w:p>
        </w:tc>
      </w:tr>
    </w:tbl>
    <w:p>
      <w:pPr>
        <w:pStyle w:val="Sources"/>
        <w:rPr>
          <w:noProof/>
          <w:lang w:val="fr-BE" w:eastAsia="de-DE"/>
        </w:rPr>
      </w:pPr>
      <w:r>
        <w:rPr>
          <w:noProof/>
          <w:lang w:val="fr-BE" w:eastAsia="de-DE"/>
        </w:rPr>
        <w:t>Source: Trinomics et altri study (2018)</w:t>
      </w:r>
    </w:p>
    <w:p>
      <w:pPr>
        <w:rPr>
          <w:noProof/>
          <w:lang w:val="fr-BE" w:eastAsia="de-DE"/>
        </w:rPr>
      </w:pPr>
    </w:p>
    <w:p>
      <w:pPr>
        <w:rPr>
          <w:noProof/>
          <w:lang w:val="fr-BE"/>
        </w:rPr>
        <w:sectPr>
          <w:headerReference w:type="even" r:id="rId158"/>
          <w:headerReference w:type="default" r:id="rId159"/>
          <w:footerReference w:type="even" r:id="rId160"/>
          <w:footerReference w:type="default" r:id="rId161"/>
          <w:headerReference w:type="first" r:id="rId162"/>
          <w:footerReference w:type="first" r:id="rId163"/>
          <w:footnotePr>
            <w:numStart w:val="50"/>
          </w:footnotePr>
          <w:pgSz w:w="16838" w:h="11906" w:orient="landscape"/>
          <w:pgMar w:top="1440" w:right="1440" w:bottom="1440" w:left="1440" w:header="709" w:footer="567" w:gutter="0"/>
          <w:cols w:space="708"/>
          <w:docGrid w:linePitch="360"/>
        </w:sectPr>
      </w:pPr>
    </w:p>
    <w:p>
      <w:pPr>
        <w:pStyle w:val="ListParagraph"/>
        <w:spacing w:after="0" w:line="300" w:lineRule="atLeast"/>
        <w:ind w:left="0"/>
        <w:jc w:val="center"/>
        <w:rPr>
          <w:b/>
          <w:noProof/>
        </w:rPr>
      </w:pPr>
      <w:r>
        <w:rPr>
          <w:b/>
          <w:noProof/>
        </w:rPr>
        <w:t>Note on the range and dispersion of retail gas prices for industry in the EU</w:t>
      </w:r>
    </w:p>
    <w:p>
      <w:pPr>
        <w:pStyle w:val="ListParagraph"/>
        <w:spacing w:after="0" w:line="300" w:lineRule="atLeast"/>
        <w:ind w:left="0"/>
        <w:jc w:val="left"/>
        <w:rPr>
          <w:noProof/>
        </w:rPr>
      </w:pPr>
    </w:p>
    <w:p>
      <w:pPr>
        <w:pStyle w:val="ListParagraph"/>
        <w:spacing w:after="0" w:line="300" w:lineRule="atLeast"/>
        <w:ind w:left="0"/>
        <w:jc w:val="left"/>
        <w:rPr>
          <w:noProof/>
          <w:sz w:val="24"/>
          <w:szCs w:val="24"/>
        </w:rPr>
      </w:pPr>
      <w:r>
        <w:rPr>
          <w:noProof/>
          <w:sz w:val="24"/>
          <w:szCs w:val="24"/>
        </w:rPr>
        <w:t xml:space="preserve">The max-min range of gas prices in the EU Member States was roughly between 15-50 EUR/MWh. The dispersion in gas is thus much lower than for electricity with most of the countries being much closer to the average price. </w:t>
      </w:r>
    </w:p>
    <w:p>
      <w:pPr>
        <w:pStyle w:val="ListParagraph"/>
        <w:spacing w:after="0" w:line="300" w:lineRule="atLeast"/>
        <w:ind w:left="0"/>
        <w:jc w:val="left"/>
        <w:rPr>
          <w:noProof/>
          <w:highlight w:val="yellow"/>
        </w:rPr>
      </w:pPr>
    </w:p>
    <w:p>
      <w:pPr>
        <w:pStyle w:val="ListParagraph"/>
        <w:spacing w:after="0" w:line="300" w:lineRule="atLeast"/>
        <w:ind w:left="0"/>
        <w:jc w:val="center"/>
        <w:rPr>
          <w:noProof/>
          <w:highlight w:val="yellow"/>
        </w:rPr>
      </w:pPr>
      <w:r>
        <w:rPr>
          <w:noProof/>
          <w:lang w:eastAsia="en-GB"/>
        </w:rPr>
        <w:drawing>
          <wp:inline distT="0" distB="0" distL="0" distR="0">
            <wp:extent cx="5262123" cy="35109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76094" cy="3520273"/>
                    </a:xfrm>
                    <a:prstGeom prst="rect">
                      <a:avLst/>
                    </a:prstGeom>
                    <a:noFill/>
                    <a:ln>
                      <a:noFill/>
                    </a:ln>
                  </pic:spPr>
                </pic:pic>
              </a:graphicData>
            </a:graphic>
          </wp:inline>
        </w:drawing>
      </w:r>
    </w:p>
    <w:p>
      <w:pPr>
        <w:pStyle w:val="ListParagraph"/>
        <w:spacing w:after="0" w:line="300" w:lineRule="atLeast"/>
        <w:ind w:left="0"/>
        <w:jc w:val="left"/>
        <w:rPr>
          <w:noProof/>
          <w:highlight w:val="yellow"/>
        </w:rPr>
      </w:pPr>
    </w:p>
    <w:p>
      <w:pPr>
        <w:pStyle w:val="Caption"/>
      </w:pPr>
      <w:bookmarkStart w:id="476" w:name="_Toc525807888"/>
      <w:bookmarkStart w:id="477" w:name="_Toc526433504"/>
      <w:bookmarkStart w:id="478" w:name="_Toc526433782"/>
      <w:bookmarkStart w:id="479" w:name="_Toc526435724"/>
      <w:bookmarkStart w:id="480" w:name="_Toc530739814"/>
      <w:bookmarkStart w:id="481" w:name="_Toc531178535"/>
      <w:r>
        <w:t xml:space="preserve">Figure </w:t>
      </w:r>
      <w:r>
        <w:fldChar w:fldCharType="begin"/>
      </w:r>
      <w:r>
        <w:instrText xml:space="preserve"> SEQ Figure \* ARABIC </w:instrText>
      </w:r>
      <w:r>
        <w:fldChar w:fldCharType="separate"/>
      </w:r>
      <w:r>
        <w:t>144</w:t>
      </w:r>
      <w:r>
        <w:fldChar w:fldCharType="end"/>
      </w:r>
      <w:r>
        <w:t xml:space="preserve"> - Max-min range of retail gas prices for industry in the EU, 2008-2018</w:t>
      </w:r>
      <w:bookmarkEnd w:id="476"/>
      <w:bookmarkEnd w:id="477"/>
      <w:bookmarkEnd w:id="478"/>
      <w:bookmarkEnd w:id="479"/>
      <w:bookmarkEnd w:id="480"/>
      <w:bookmarkEnd w:id="481"/>
      <w:r>
        <w:t xml:space="preserve"> </w:t>
      </w:r>
    </w:p>
    <w:p>
      <w:pPr>
        <w:pStyle w:val="Sources"/>
        <w:rPr>
          <w:noProof/>
        </w:rPr>
      </w:pPr>
      <w:r>
        <w:rPr>
          <w:noProof/>
        </w:rPr>
        <w:t xml:space="preserve"> Sources: Eurostat</w:t>
      </w:r>
    </w:p>
    <w:p>
      <w:pPr>
        <w:rPr>
          <w:noProof/>
        </w:rPr>
      </w:pPr>
    </w:p>
    <w:p>
      <w:pPr>
        <w:jc w:val="center"/>
        <w:rPr>
          <w:noProof/>
        </w:rPr>
      </w:pPr>
      <w:r>
        <w:rPr>
          <w:noProof/>
          <w:lang w:eastAsia="en-GB"/>
        </w:rPr>
        <w:drawing>
          <wp:inline distT="0" distB="0" distL="0" distR="0">
            <wp:extent cx="5555411" cy="2378344"/>
            <wp:effectExtent l="0" t="0" r="7620" b="317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61549" cy="2380972"/>
                    </a:xfrm>
                    <a:prstGeom prst="rect">
                      <a:avLst/>
                    </a:prstGeom>
                    <a:noFill/>
                    <a:ln>
                      <a:noFill/>
                    </a:ln>
                  </pic:spPr>
                </pic:pic>
              </a:graphicData>
            </a:graphic>
          </wp:inline>
        </w:drawing>
      </w:r>
    </w:p>
    <w:p>
      <w:pPr>
        <w:pStyle w:val="Caption"/>
      </w:pPr>
      <w:bookmarkStart w:id="482" w:name="_Toc525807889"/>
      <w:bookmarkStart w:id="483" w:name="_Toc526433505"/>
      <w:bookmarkStart w:id="484" w:name="_Toc526433783"/>
      <w:bookmarkStart w:id="485" w:name="_Toc526435725"/>
      <w:bookmarkStart w:id="486" w:name="_Toc530739815"/>
      <w:bookmarkStart w:id="487" w:name="_Toc531178536"/>
      <w:r>
        <w:t xml:space="preserve">Figure </w:t>
      </w:r>
      <w:r>
        <w:fldChar w:fldCharType="begin"/>
      </w:r>
      <w:r>
        <w:instrText xml:space="preserve"> SEQ Figure \* ARABIC </w:instrText>
      </w:r>
      <w:r>
        <w:fldChar w:fldCharType="separate"/>
      </w:r>
      <w:r>
        <w:t>145</w:t>
      </w:r>
      <w:r>
        <w:fldChar w:fldCharType="end"/>
      </w:r>
      <w:r>
        <w:t xml:space="preserve"> - Box plot of industrial gas prices, 2008-2017</w:t>
      </w:r>
      <w:bookmarkEnd w:id="482"/>
      <w:bookmarkEnd w:id="483"/>
      <w:bookmarkEnd w:id="484"/>
      <w:bookmarkEnd w:id="485"/>
      <w:bookmarkEnd w:id="486"/>
      <w:bookmarkEnd w:id="487"/>
    </w:p>
    <w:p>
      <w:pPr>
        <w:pStyle w:val="Sources"/>
        <w:rPr>
          <w:noProof/>
        </w:rPr>
      </w:pPr>
      <w:r>
        <w:rPr>
          <w:noProof/>
        </w:rPr>
        <w:t>Source: Trinomics et altri study</w:t>
      </w:r>
    </w:p>
    <w:p>
      <w:pPr>
        <w:rPr>
          <w:noProof/>
        </w:rPr>
      </w:pPr>
      <w:r>
        <w:rPr>
          <w:noProof/>
        </w:rPr>
        <w:t xml:space="preserve">Note: the square represents the range of the prices for the 25% of countries above and below the average (50% of the sample) </w:t>
      </w:r>
    </w:p>
    <w:p>
      <w:pPr>
        <w:rPr>
          <w:noProof/>
          <w:sz w:val="24"/>
          <w:szCs w:val="24"/>
        </w:rPr>
      </w:pPr>
    </w:p>
    <w:p>
      <w:pPr>
        <w:spacing w:after="240"/>
        <w:rPr>
          <w:noProof/>
          <w:sz w:val="24"/>
          <w:szCs w:val="24"/>
        </w:rPr>
      </w:pPr>
      <w:r>
        <w:rPr>
          <w:noProof/>
          <w:sz w:val="24"/>
          <w:szCs w:val="24"/>
        </w:rPr>
        <w:t xml:space="preserve">The figure below allows for identifying the MS which are close to the maximum and minimum range as well as those with significant and steady deviations from the average. </w:t>
      </w:r>
    </w:p>
    <w:p>
      <w:pPr>
        <w:jc w:val="center"/>
        <w:rPr>
          <w:noProof/>
        </w:rPr>
      </w:pPr>
      <w:r>
        <w:rPr>
          <w:noProof/>
          <w:lang w:eastAsia="en-GB"/>
        </w:rPr>
        <w:drawing>
          <wp:inline distT="0" distB="0" distL="0" distR="0">
            <wp:extent cx="5547923" cy="4477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48643" cy="4477690"/>
                    </a:xfrm>
                    <a:prstGeom prst="rect">
                      <a:avLst/>
                    </a:prstGeom>
                    <a:noFill/>
                    <a:ln>
                      <a:noFill/>
                    </a:ln>
                  </pic:spPr>
                </pic:pic>
              </a:graphicData>
            </a:graphic>
          </wp:inline>
        </w:drawing>
      </w:r>
    </w:p>
    <w:p>
      <w:pPr>
        <w:pStyle w:val="Caption"/>
      </w:pPr>
      <w:bookmarkStart w:id="488" w:name="_Toc525807890"/>
      <w:bookmarkStart w:id="489" w:name="_Toc526433506"/>
      <w:bookmarkStart w:id="490" w:name="_Toc526433784"/>
      <w:bookmarkStart w:id="491" w:name="_Toc526435726"/>
      <w:bookmarkStart w:id="492" w:name="_Toc530739816"/>
      <w:bookmarkStart w:id="493" w:name="_Toc531178537"/>
      <w:r>
        <w:t xml:space="preserve">Figure </w:t>
      </w:r>
      <w:r>
        <w:fldChar w:fldCharType="begin"/>
      </w:r>
      <w:r>
        <w:instrText xml:space="preserve"> SEQ Figure \* ARABIC </w:instrText>
      </w:r>
      <w:r>
        <w:fldChar w:fldCharType="separate"/>
      </w:r>
      <w:r>
        <w:t>146</w:t>
      </w:r>
      <w:r>
        <w:fldChar w:fldCharType="end"/>
      </w:r>
      <w:r>
        <w:t xml:space="preserve"> - EU28 industrial retail natural gas prices 2008-2017, individual Member States lines visible, outliers named</w:t>
      </w:r>
      <w:bookmarkEnd w:id="488"/>
      <w:bookmarkEnd w:id="489"/>
      <w:bookmarkEnd w:id="490"/>
      <w:bookmarkEnd w:id="491"/>
      <w:bookmarkEnd w:id="492"/>
      <w:bookmarkEnd w:id="493"/>
    </w:p>
    <w:p>
      <w:pPr>
        <w:pStyle w:val="Sources"/>
        <w:rPr>
          <w:noProof/>
        </w:rPr>
      </w:pPr>
      <w:r>
        <w:rPr>
          <w:noProof/>
        </w:rPr>
        <w:t>Source: Trinomics et altri study</w:t>
      </w:r>
    </w:p>
    <w:p>
      <w:pPr>
        <w:rPr>
          <w:noProof/>
        </w:rPr>
      </w:pPr>
    </w:p>
    <w:p>
      <w:pPr>
        <w:rPr>
          <w:noProof/>
        </w:rPr>
      </w:pPr>
      <w:bookmarkStart w:id="494" w:name="_Toc444779700"/>
      <w:r>
        <w:rPr>
          <w:noProof/>
        </w:rPr>
        <w:br w:type="page"/>
      </w:r>
    </w:p>
    <w:p>
      <w:pPr>
        <w:jc w:val="center"/>
        <w:rPr>
          <w:b/>
          <w:noProof/>
        </w:rPr>
      </w:pPr>
      <w:r>
        <w:rPr>
          <w:b/>
          <w:noProof/>
        </w:rPr>
        <w:t>Note on the estimation of the price effect on the EU international competitiveness</w:t>
      </w:r>
    </w:p>
    <w:p>
      <w:pPr>
        <w:rPr>
          <w:noProof/>
          <w:sz w:val="24"/>
          <w:szCs w:val="24"/>
        </w:rPr>
      </w:pPr>
      <w:r>
        <w:rPr>
          <w:noProof/>
          <w:sz w:val="24"/>
          <w:szCs w:val="24"/>
        </w:rPr>
        <w:t xml:space="preserve">The previous sections of this chapter show that energy prices in the EU were in many cases higher than in trading partners over the period of study. This could have had some negative impact on the cost competitiveness of the EU industry. It is interesting to complement the analysis in this chapter by an assessment of the impact of price differences on the competitiveness of some EU energy intensive sectors (at NACE 2 level) over the period 2008-2016.  </w:t>
      </w:r>
    </w:p>
    <w:p>
      <w:pPr>
        <w:rPr>
          <w:noProof/>
          <w:sz w:val="24"/>
          <w:szCs w:val="24"/>
        </w:rPr>
      </w:pPr>
      <w:r>
        <w:rPr>
          <w:noProof/>
          <w:sz w:val="24"/>
          <w:szCs w:val="24"/>
        </w:rPr>
        <w:t xml:space="preserve">This is done in the </w:t>
      </w:r>
      <w:r>
        <w:rPr>
          <w:i/>
          <w:noProof/>
          <w:sz w:val="24"/>
          <w:szCs w:val="24"/>
        </w:rPr>
        <w:t>Trinomics et altri</w:t>
      </w:r>
      <w:r>
        <w:rPr>
          <w:noProof/>
          <w:sz w:val="24"/>
          <w:szCs w:val="24"/>
        </w:rPr>
        <w:t xml:space="preserve"> study through an ex-post analysis where a counterfactual scenario is developed in which gas and electricity prices in the EU are aligned with the lower prices faced by the EU’s main trading partners. This counterfactual scenario is then compared to historical data to assess the impact on the competitiveness of some EU sectors, i.e. how much lower the energy costs and prices of these sectors would have been if they had paid the lower energy prices available in the EU trading partners. </w:t>
      </w:r>
    </w:p>
    <w:p>
      <w:pPr>
        <w:rPr>
          <w:noProof/>
          <w:sz w:val="24"/>
          <w:szCs w:val="24"/>
        </w:rPr>
      </w:pPr>
      <w:r>
        <w:rPr>
          <w:noProof/>
          <w:sz w:val="24"/>
          <w:szCs w:val="24"/>
        </w:rPr>
        <w:t>To assess the hypothetical scenario the E3ME (a comprehensive macro-econometric model) was used</w:t>
      </w:r>
      <w:r>
        <w:rPr>
          <w:rStyle w:val="FootnoteReference"/>
          <w:noProof/>
          <w:sz w:val="24"/>
          <w:szCs w:val="24"/>
        </w:rPr>
        <w:footnoteReference w:id="41"/>
      </w:r>
      <w:r>
        <w:rPr>
          <w:noProof/>
          <w:sz w:val="24"/>
          <w:szCs w:val="24"/>
        </w:rPr>
        <w:t>. The energy prices (excluding VAT) were taken from Eurostat and IEA. For the counterfactual scenario, the weighted average energy prices (by total trade) from the 15 top EU-trading countries over the period 2008-2016</w:t>
      </w:r>
      <w:r>
        <w:rPr>
          <w:rStyle w:val="FootnoteReference"/>
          <w:noProof/>
          <w:sz w:val="24"/>
          <w:szCs w:val="24"/>
        </w:rPr>
        <w:footnoteReference w:id="42"/>
      </w:r>
      <w:r>
        <w:rPr>
          <w:noProof/>
          <w:sz w:val="24"/>
          <w:szCs w:val="24"/>
        </w:rPr>
        <w:t xml:space="preserve"> was calculated. </w:t>
      </w:r>
    </w:p>
    <w:p>
      <w:pPr>
        <w:rPr>
          <w:noProof/>
        </w:rPr>
      </w:pPr>
    </w:p>
    <w:p>
      <w:pPr>
        <w:jc w:val="left"/>
        <w:rPr>
          <w:noProof/>
          <w:lang w:eastAsia="en-GB"/>
        </w:rPr>
      </w:pPr>
      <w:r>
        <w:rPr>
          <w:noProof/>
          <w:lang w:eastAsia="en-GB"/>
        </w:rPr>
        <w:drawing>
          <wp:anchor distT="0" distB="0" distL="114300" distR="114300" simplePos="0" relativeHeight="251645952" behindDoc="0" locked="0" layoutInCell="1" allowOverlap="1">
            <wp:simplePos x="0" y="0"/>
            <wp:positionH relativeFrom="column">
              <wp:posOffset>4445</wp:posOffset>
            </wp:positionH>
            <wp:positionV relativeFrom="paragraph">
              <wp:posOffset>2540</wp:posOffset>
            </wp:positionV>
            <wp:extent cx="2546985" cy="1693545"/>
            <wp:effectExtent l="0" t="0" r="5715" b="1905"/>
            <wp:wrapSquare wrapText="bothSides"/>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46985" cy="1693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anchor distT="0" distB="0" distL="114300" distR="114300" simplePos="0" relativeHeight="251650048" behindDoc="0" locked="0" layoutInCell="1" allowOverlap="1">
            <wp:simplePos x="0" y="0"/>
            <wp:positionH relativeFrom="column">
              <wp:posOffset>2710180</wp:posOffset>
            </wp:positionH>
            <wp:positionV relativeFrom="paragraph">
              <wp:posOffset>2540</wp:posOffset>
            </wp:positionV>
            <wp:extent cx="3032125" cy="1593850"/>
            <wp:effectExtent l="0" t="0" r="0" b="6350"/>
            <wp:wrapSquare wrapText="bothSides"/>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032125" cy="1593850"/>
                    </a:xfrm>
                    <a:prstGeom prst="rect">
                      <a:avLst/>
                    </a:prstGeom>
                    <a:noFill/>
                  </pic:spPr>
                </pic:pic>
              </a:graphicData>
            </a:graphic>
            <wp14:sizeRelH relativeFrom="page">
              <wp14:pctWidth>0</wp14:pctWidth>
            </wp14:sizeRelH>
            <wp14:sizeRelV relativeFrom="page">
              <wp14:pctHeight>0</wp14:pctHeight>
            </wp14:sizeRelV>
          </wp:anchor>
        </w:drawing>
      </w:r>
    </w:p>
    <w:p>
      <w:pPr>
        <w:jc w:val="left"/>
        <w:rPr>
          <w:noProof/>
          <w:lang w:eastAsia="en-GB"/>
        </w:rPr>
      </w:pPr>
    </w:p>
    <w:p>
      <w:pPr>
        <w:pStyle w:val="Caption"/>
      </w:pPr>
      <w:bookmarkStart w:id="495" w:name="_Toc525807891"/>
      <w:bookmarkStart w:id="496" w:name="_Toc526433507"/>
      <w:bookmarkStart w:id="497" w:name="_Toc526433785"/>
      <w:bookmarkStart w:id="498" w:name="_Toc526435727"/>
      <w:bookmarkStart w:id="499" w:name="_Toc530739817"/>
      <w:bookmarkStart w:id="500" w:name="_Toc531178538"/>
      <w:r>
        <w:t xml:space="preserve">Figure </w:t>
      </w:r>
      <w:r>
        <w:fldChar w:fldCharType="begin"/>
      </w:r>
      <w:r>
        <w:instrText xml:space="preserve"> SEQ Figure \* ARABIC </w:instrText>
      </w:r>
      <w:r>
        <w:fldChar w:fldCharType="separate"/>
      </w:r>
      <w:r>
        <w:t>147</w:t>
      </w:r>
      <w:r>
        <w:fldChar w:fldCharType="end"/>
      </w:r>
      <w:r>
        <w:t xml:space="preserve"> - Average industry electricity (left) and gas (right) prices in the EU and among the top 15 EU trade partners (current prices)</w:t>
      </w:r>
      <w:bookmarkEnd w:id="495"/>
      <w:bookmarkEnd w:id="496"/>
      <w:bookmarkEnd w:id="497"/>
      <w:bookmarkEnd w:id="498"/>
      <w:bookmarkEnd w:id="499"/>
      <w:bookmarkEnd w:id="500"/>
    </w:p>
    <w:p>
      <w:pPr>
        <w:pStyle w:val="Sources"/>
        <w:rPr>
          <w:noProof/>
        </w:rPr>
      </w:pPr>
      <w:r>
        <w:rPr>
          <w:noProof/>
        </w:rPr>
        <w:t>Source: Trinomics et altri study</w:t>
      </w:r>
    </w:p>
    <w:p>
      <w:pPr>
        <w:rPr>
          <w:noProof/>
        </w:rPr>
      </w:pPr>
      <w:r>
        <w:rPr>
          <w:noProof/>
        </w:rPr>
        <w:br w:type="page"/>
      </w:r>
    </w:p>
    <w:p>
      <w:pPr>
        <w:rPr>
          <w:noProof/>
        </w:rPr>
      </w:pPr>
    </w:p>
    <w:p>
      <w:pPr>
        <w:rPr>
          <w:noProof/>
          <w:sz w:val="24"/>
          <w:szCs w:val="24"/>
        </w:rPr>
      </w:pPr>
      <w:r>
        <w:rPr>
          <w:noProof/>
          <w:sz w:val="24"/>
          <w:szCs w:val="24"/>
        </w:rPr>
        <w:t>The figures below show how industry unit costs would have evolved in the EU sectors analysed over 2008-2016 (had industry gas and electricity prices matched the lower prices faced by the EU’s main trading partners).In most sectors, unit costs</w:t>
      </w:r>
      <w:r>
        <w:rPr>
          <w:rStyle w:val="FootnoteReference"/>
          <w:noProof/>
          <w:sz w:val="24"/>
          <w:szCs w:val="24"/>
        </w:rPr>
        <w:footnoteReference w:id="43"/>
      </w:r>
      <w:r>
        <w:rPr>
          <w:noProof/>
          <w:sz w:val="24"/>
          <w:szCs w:val="24"/>
        </w:rPr>
        <w:t xml:space="preserve"> would have been around 0.5-1.0% lower but much lower </w:t>
      </w:r>
      <w:bookmarkStart w:id="501" w:name="_Ref514149043"/>
      <w:bookmarkStart w:id="502" w:name="_Toc517443312"/>
      <w:bookmarkStart w:id="503" w:name="_Toc518304362"/>
      <w:bookmarkStart w:id="504" w:name="_Hlk513808019"/>
      <w:r>
        <w:rPr>
          <w:noProof/>
          <w:sz w:val="24"/>
          <w:szCs w:val="24"/>
        </w:rPr>
        <w:t>(2.0-2.5%) in the most energy intensive industries like Basic metals or non-metallic minerals lower (See Figure). Prices of goods manufactured would have been between 0.2% and 0.8% lower over.</w:t>
      </w:r>
    </w:p>
    <w:bookmarkEnd w:id="501"/>
    <w:bookmarkEnd w:id="502"/>
    <w:bookmarkEnd w:id="503"/>
    <w:bookmarkEnd w:id="504"/>
    <w:p>
      <w:pPr>
        <w:spacing w:after="0"/>
        <w:ind w:hanging="851"/>
        <w:jc w:val="center"/>
        <w:rPr>
          <w:noProof/>
        </w:rPr>
      </w:pPr>
      <w:r>
        <w:rPr>
          <w:noProof/>
          <w:lang w:eastAsia="en-GB"/>
        </w:rPr>
        <w:drawing>
          <wp:inline distT="0" distB="0" distL="0" distR="0">
            <wp:extent cx="5066523" cy="2538278"/>
            <wp:effectExtent l="0" t="0" r="127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91052" cy="2550567"/>
                    </a:xfrm>
                    <a:prstGeom prst="rect">
                      <a:avLst/>
                    </a:prstGeom>
                    <a:noFill/>
                  </pic:spPr>
                </pic:pic>
              </a:graphicData>
            </a:graphic>
          </wp:inline>
        </w:drawing>
      </w:r>
    </w:p>
    <w:p>
      <w:pPr>
        <w:pStyle w:val="Caption"/>
      </w:pPr>
      <w:bookmarkStart w:id="505" w:name="_Toc525807892"/>
      <w:bookmarkStart w:id="506" w:name="_Toc526433508"/>
      <w:bookmarkStart w:id="507" w:name="_Toc526433786"/>
      <w:bookmarkStart w:id="508" w:name="_Toc526435728"/>
      <w:bookmarkStart w:id="509" w:name="_Toc530739818"/>
      <w:bookmarkStart w:id="510" w:name="_Toc531178539"/>
      <w:r>
        <w:t xml:space="preserve">Figure </w:t>
      </w:r>
      <w:r>
        <w:fldChar w:fldCharType="begin"/>
      </w:r>
      <w:r>
        <w:instrText xml:space="preserve"> SEQ Figure \* ARABIC </w:instrText>
      </w:r>
      <w:r>
        <w:fldChar w:fldCharType="separate"/>
      </w:r>
      <w:r>
        <w:t>148</w:t>
      </w:r>
      <w:r>
        <w:fldChar w:fldCharType="end"/>
      </w:r>
      <w:r>
        <w:t xml:space="preserve"> - Impact on EU industry unit costs in a counterfactual scenario where EU energy prices over 2007-2016 are comparable to energy prices faced by the EU’s main trading partners</w:t>
      </w:r>
      <w:bookmarkEnd w:id="505"/>
      <w:bookmarkEnd w:id="506"/>
      <w:bookmarkEnd w:id="507"/>
      <w:bookmarkEnd w:id="508"/>
      <w:bookmarkEnd w:id="509"/>
      <w:bookmarkEnd w:id="510"/>
    </w:p>
    <w:p>
      <w:pPr>
        <w:spacing w:after="0"/>
        <w:rPr>
          <w:noProof/>
          <w:lang w:val="fr-BE"/>
        </w:rPr>
      </w:pPr>
      <w:r>
        <w:rPr>
          <w:noProof/>
          <w:lang w:val="fr-BE"/>
        </w:rPr>
        <w:t>Source: Trinomics et altri study</w:t>
      </w:r>
    </w:p>
    <w:p>
      <w:pPr>
        <w:rPr>
          <w:noProof/>
          <w:lang w:val="fr-BE" w:eastAsia="de-DE"/>
        </w:rPr>
      </w:pPr>
    </w:p>
    <w:p>
      <w:pPr>
        <w:ind w:hanging="993"/>
        <w:jc w:val="center"/>
        <w:rPr>
          <w:noProof/>
        </w:rPr>
      </w:pPr>
      <w:r>
        <w:rPr>
          <w:noProof/>
          <w:lang w:eastAsia="en-GB"/>
        </w:rPr>
        <w:drawing>
          <wp:inline distT="0" distB="0" distL="0" distR="0">
            <wp:extent cx="5085184" cy="2547628"/>
            <wp:effectExtent l="0" t="0" r="1270" b="508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05138" cy="2557625"/>
                    </a:xfrm>
                    <a:prstGeom prst="rect">
                      <a:avLst/>
                    </a:prstGeom>
                    <a:noFill/>
                  </pic:spPr>
                </pic:pic>
              </a:graphicData>
            </a:graphic>
          </wp:inline>
        </w:drawing>
      </w:r>
    </w:p>
    <w:p>
      <w:pPr>
        <w:pStyle w:val="Caption"/>
      </w:pPr>
      <w:bookmarkStart w:id="511" w:name="_Toc525807893"/>
      <w:bookmarkStart w:id="512" w:name="_Toc526433509"/>
      <w:bookmarkStart w:id="513" w:name="_Toc526433787"/>
      <w:bookmarkStart w:id="514" w:name="_Toc526435729"/>
      <w:bookmarkStart w:id="515" w:name="_Toc530739819"/>
      <w:bookmarkStart w:id="516" w:name="_Toc531178540"/>
      <w:r>
        <w:t xml:space="preserve">Figure </w:t>
      </w:r>
      <w:r>
        <w:fldChar w:fldCharType="begin"/>
      </w:r>
      <w:r>
        <w:instrText xml:space="preserve"> SEQ Figure \* ARABIC </w:instrText>
      </w:r>
      <w:r>
        <w:fldChar w:fldCharType="separate"/>
      </w:r>
      <w:r>
        <w:t>149</w:t>
      </w:r>
      <w:r>
        <w:fldChar w:fldCharType="end"/>
      </w:r>
      <w:r>
        <w:t xml:space="preserve"> - Impact on EU industry prices in a counterfactual scenario where EU energy prices over 2007-2016 are comparable to energy prices faced by the EU’s main trading partners</w:t>
      </w:r>
      <w:bookmarkEnd w:id="511"/>
      <w:bookmarkEnd w:id="512"/>
      <w:bookmarkEnd w:id="513"/>
      <w:bookmarkEnd w:id="514"/>
      <w:bookmarkEnd w:id="515"/>
      <w:bookmarkEnd w:id="516"/>
    </w:p>
    <w:p>
      <w:pPr>
        <w:pStyle w:val="Sources"/>
        <w:rPr>
          <w:noProof/>
        </w:rPr>
      </w:pPr>
      <w:r>
        <w:rPr>
          <w:noProof/>
        </w:rPr>
        <w:t>Source: Trinomics et altri study</w:t>
      </w:r>
    </w:p>
    <w:p>
      <w:pPr>
        <w:rPr>
          <w:noProof/>
        </w:rPr>
      </w:pPr>
    </w:p>
    <w:p>
      <w:pPr>
        <w:pStyle w:val="Heading1"/>
        <w:rPr>
          <w:noProof/>
        </w:rPr>
        <w:sectPr>
          <w:headerReference w:type="even" r:id="rId171"/>
          <w:headerReference w:type="default" r:id="rId172"/>
          <w:footerReference w:type="even" r:id="rId173"/>
          <w:footerReference w:type="default" r:id="rId174"/>
          <w:headerReference w:type="first" r:id="rId175"/>
          <w:footerReference w:type="first" r:id="rId176"/>
          <w:footnotePr>
            <w:numStart w:val="50"/>
          </w:footnotePr>
          <w:pgSz w:w="11906" w:h="16838"/>
          <w:pgMar w:top="1418" w:right="1418" w:bottom="1418" w:left="1418" w:header="709" w:footer="709" w:gutter="0"/>
          <w:cols w:space="708"/>
          <w:docGrid w:linePitch="360"/>
        </w:sectPr>
      </w:pPr>
    </w:p>
    <w:p>
      <w:pPr>
        <w:pStyle w:val="Heading2"/>
        <w:numPr>
          <w:ilvl w:val="1"/>
          <w:numId w:val="1"/>
        </w:numPr>
        <w:rPr>
          <w:noProof/>
        </w:rPr>
      </w:pPr>
      <w:bookmarkStart w:id="517" w:name="_Toc449945405"/>
      <w:bookmarkStart w:id="518" w:name="_Toc468890485"/>
      <w:bookmarkStart w:id="519" w:name="_Toc524619532"/>
      <w:bookmarkStart w:id="520" w:name="_Toc524961079"/>
      <w:bookmarkStart w:id="521" w:name="_Toc525143040"/>
      <w:bookmarkStart w:id="522" w:name="_Toc525222197"/>
      <w:bookmarkStart w:id="523" w:name="_Toc525222366"/>
      <w:bookmarkStart w:id="524" w:name="_Toc526420763"/>
      <w:bookmarkStart w:id="525" w:name="_Toc526433989"/>
      <w:bookmarkStart w:id="526" w:name="_Toc526435931"/>
      <w:bookmarkStart w:id="527" w:name="_Toc530595261"/>
      <w:bookmarkStart w:id="528" w:name="_Toc531178340"/>
      <w:r>
        <w:rPr>
          <w:noProof/>
        </w:rPr>
        <w:t>Case studies</w:t>
      </w:r>
      <w:bookmarkEnd w:id="517"/>
      <w:bookmarkEnd w:id="518"/>
      <w:r>
        <w:rPr>
          <w:noProof/>
        </w:rPr>
        <w:t xml:space="preserve"> of selected Energy Intensive </w:t>
      </w:r>
      <w:bookmarkEnd w:id="519"/>
      <w:bookmarkEnd w:id="520"/>
      <w:bookmarkEnd w:id="521"/>
      <w:bookmarkEnd w:id="522"/>
      <w:bookmarkEnd w:id="523"/>
      <w:bookmarkEnd w:id="524"/>
      <w:bookmarkEnd w:id="525"/>
      <w:bookmarkEnd w:id="526"/>
      <w:r>
        <w:rPr>
          <w:noProof/>
        </w:rPr>
        <w:t>Industries</w:t>
      </w:r>
      <w:bookmarkEnd w:id="527"/>
      <w:bookmarkEnd w:id="528"/>
    </w:p>
    <w:p>
      <w:pPr>
        <w:rPr>
          <w:noProof/>
          <w:sz w:val="24"/>
          <w:szCs w:val="24"/>
        </w:rPr>
      </w:pPr>
      <w:bookmarkStart w:id="529" w:name="_Toc468890486"/>
    </w:p>
    <w:p>
      <w:pPr>
        <w:rPr>
          <w:noProof/>
          <w:sz w:val="24"/>
          <w:szCs w:val="24"/>
        </w:rPr>
      </w:pPr>
      <w:r>
        <w:rPr>
          <w:noProof/>
          <w:sz w:val="24"/>
          <w:szCs w:val="24"/>
        </w:rPr>
        <w:t>Previous sections and chapters have analysed energy prices and costs for industry from highly aggregated statistical information (top-down approach). In this section, we look at energy prices and costs</w:t>
      </w:r>
      <w:r>
        <w:rPr>
          <w:rStyle w:val="FootnoteReference"/>
          <w:noProof/>
          <w:sz w:val="24"/>
          <w:szCs w:val="24"/>
        </w:rPr>
        <w:footnoteReference w:id="44"/>
      </w:r>
      <w:r>
        <w:rPr>
          <w:noProof/>
          <w:sz w:val="24"/>
          <w:szCs w:val="24"/>
        </w:rPr>
        <w:t xml:space="preserve"> in some selected energy intensive industries at a more disaggregated level and the role they can play in their competitiveness, based on primary data collected from individual companies (bottom-up approach). This bottom-up approach aims at completing the analysis by addressing the specificities of (sub-)sectors where energy costs are most relevant and may significantly affect their competitiveness and which effect may not be fully captured at aggregated level.</w:t>
      </w:r>
    </w:p>
    <w:p>
      <w:pPr>
        <w:pStyle w:val="FootnoteText"/>
        <w:rPr>
          <w:noProof/>
        </w:rPr>
      </w:pPr>
      <w:r>
        <w:rPr>
          <w:rFonts w:eastAsia="Calibri"/>
          <w:noProof/>
          <w:color w:val="auto"/>
          <w:sz w:val="24"/>
          <w:szCs w:val="24"/>
          <w:lang w:eastAsia="en-US"/>
        </w:rPr>
        <w:t>The results presented here are based on the study carried out for the European Commission by CEPS and Ecofys</w:t>
      </w:r>
      <w:r>
        <w:rPr>
          <w:rFonts w:eastAsia="Calibri"/>
          <w:noProof/>
          <w:color w:val="auto"/>
          <w:vertAlign w:val="superscript"/>
          <w:lang w:eastAsia="en-US"/>
        </w:rPr>
        <w:footnoteReference w:id="45"/>
      </w:r>
      <w:r>
        <w:rPr>
          <w:rFonts w:eastAsia="Calibri"/>
          <w:noProof/>
          <w:color w:val="auto"/>
          <w:sz w:val="24"/>
          <w:szCs w:val="24"/>
          <w:vertAlign w:val="superscript"/>
          <w:lang w:eastAsia="en-US"/>
        </w:rPr>
        <w:t>.</w:t>
      </w:r>
      <w:r>
        <w:rPr>
          <w:rFonts w:eastAsia="Calibri"/>
          <w:noProof/>
          <w:color w:val="auto"/>
          <w:sz w:val="24"/>
          <w:szCs w:val="24"/>
          <w:lang w:eastAsia="en-US"/>
        </w:rPr>
        <w:t xml:space="preserve"> Primary data, including energy bills, were collected at plant level via a dedicated questionnaire.</w:t>
      </w:r>
    </w:p>
    <w:p>
      <w:pPr>
        <w:rPr>
          <w:noProof/>
          <w:szCs w:val="24"/>
        </w:rPr>
      </w:pPr>
    </w:p>
    <w:p>
      <w:pPr>
        <w:pStyle w:val="Heading3"/>
        <w:numPr>
          <w:ilvl w:val="2"/>
          <w:numId w:val="1"/>
        </w:numPr>
        <w:rPr>
          <w:noProof/>
        </w:rPr>
      </w:pPr>
      <w:bookmarkStart w:id="530" w:name="_Toc524619533"/>
      <w:bookmarkStart w:id="531" w:name="_Toc524961080"/>
      <w:bookmarkStart w:id="532" w:name="_Toc525143041"/>
      <w:bookmarkStart w:id="533" w:name="_Toc525222198"/>
      <w:bookmarkStart w:id="534" w:name="_Toc525222367"/>
      <w:bookmarkStart w:id="535" w:name="_Toc526420764"/>
      <w:bookmarkStart w:id="536" w:name="_Toc526433990"/>
      <w:bookmarkStart w:id="537" w:name="_Toc526435932"/>
      <w:bookmarkStart w:id="538" w:name="_Toc530595262"/>
      <w:bookmarkStart w:id="539" w:name="_Toc531178341"/>
      <w:r>
        <w:rPr>
          <w:noProof/>
        </w:rPr>
        <w:t>Scope and samples</w:t>
      </w:r>
      <w:bookmarkEnd w:id="530"/>
      <w:bookmarkEnd w:id="531"/>
      <w:bookmarkEnd w:id="532"/>
      <w:bookmarkEnd w:id="533"/>
      <w:bookmarkEnd w:id="534"/>
      <w:bookmarkEnd w:id="535"/>
      <w:bookmarkEnd w:id="536"/>
      <w:bookmarkEnd w:id="537"/>
      <w:bookmarkEnd w:id="538"/>
      <w:bookmarkEnd w:id="539"/>
    </w:p>
    <w:p>
      <w:pPr>
        <w:rPr>
          <w:noProof/>
          <w:sz w:val="24"/>
        </w:rPr>
      </w:pPr>
    </w:p>
    <w:p>
      <w:pPr>
        <w:rPr>
          <w:noProof/>
          <w:sz w:val="24"/>
        </w:rPr>
      </w:pPr>
      <w:r>
        <w:rPr>
          <w:noProof/>
          <w:sz w:val="24"/>
        </w:rPr>
        <w:t>The bottom-up analysis covers the entire EU over a 10-year period going from 2008 to 2017. It focusses on the following sectors: bricks and roof tiles, wall and floor tiles, glass tableware, packaging glass, primary aluminium, secondary aluminium, downstream aluminium industry, electric arc furnace steelmaking (referred to as EAF steel), blast furnace-basic oxygen furnace steelmaking (referred to as BOF steel), nitrogen fertilisers and refineries.</w:t>
      </w:r>
    </w:p>
    <w:p>
      <w:pPr>
        <w:rPr>
          <w:noProof/>
          <w:sz w:val="24"/>
        </w:rPr>
      </w:pPr>
      <w:r>
        <w:rPr>
          <w:noProof/>
          <w:sz w:val="24"/>
        </w:rPr>
        <w:t>The selection of these sectors ensures wide coverage of key features of EU energy intensive industries. The sectors covered include in particular:</w:t>
      </w:r>
    </w:p>
    <w:p>
      <w:pPr>
        <w:pStyle w:val="ListParagraph"/>
        <w:numPr>
          <w:ilvl w:val="0"/>
          <w:numId w:val="18"/>
        </w:numPr>
        <w:rPr>
          <w:noProof/>
          <w:sz w:val="24"/>
        </w:rPr>
      </w:pPr>
      <w:r>
        <w:rPr>
          <w:noProof/>
          <w:sz w:val="24"/>
        </w:rPr>
        <w:t>Natural gas-intensive sectors (e.g. bricks and roof tiles, packaging glass) and electricity-intensive sectors (e.g. primary aluminium, EAF steel);</w:t>
      </w:r>
    </w:p>
    <w:p>
      <w:pPr>
        <w:pStyle w:val="ListParagraph"/>
        <w:numPr>
          <w:ilvl w:val="0"/>
          <w:numId w:val="18"/>
        </w:numPr>
        <w:rPr>
          <w:noProof/>
          <w:sz w:val="24"/>
        </w:rPr>
      </w:pPr>
      <w:r>
        <w:rPr>
          <w:noProof/>
          <w:sz w:val="24"/>
        </w:rPr>
        <w:t>Sectors purchasing additional energy carriers, including coking coal (e.g. BOF steel) and crude oil (e.g. refineries);</w:t>
      </w:r>
    </w:p>
    <w:p>
      <w:pPr>
        <w:pStyle w:val="ListParagraph"/>
        <w:numPr>
          <w:ilvl w:val="0"/>
          <w:numId w:val="18"/>
        </w:numPr>
        <w:rPr>
          <w:noProof/>
          <w:sz w:val="24"/>
        </w:rPr>
      </w:pPr>
      <w:r>
        <w:rPr>
          <w:noProof/>
          <w:sz w:val="24"/>
        </w:rPr>
        <w:t>Sectors concentrated in a limited number of Member States (e.g. wall and floor tiles, primary aluminium) and sectors geographically dispersed in Europe (e.g. packaging glass, secondary and downstream aluminium);</w:t>
      </w:r>
    </w:p>
    <w:p>
      <w:pPr>
        <w:pStyle w:val="ListParagraph"/>
        <w:numPr>
          <w:ilvl w:val="0"/>
          <w:numId w:val="18"/>
        </w:numPr>
        <w:rPr>
          <w:noProof/>
          <w:sz w:val="24"/>
        </w:rPr>
      </w:pPr>
      <w:r>
        <w:rPr>
          <w:noProof/>
          <w:sz w:val="24"/>
        </w:rPr>
        <w:t>Sectors dominated by large companies (e.g. primary aluminium, glass tableware) and sectors including many SMEs (e.g. bricks and roof tiles, wall and floor tiles);</w:t>
      </w:r>
    </w:p>
    <w:p>
      <w:pPr>
        <w:pStyle w:val="ListParagraph"/>
        <w:numPr>
          <w:ilvl w:val="0"/>
          <w:numId w:val="18"/>
        </w:numPr>
        <w:rPr>
          <w:noProof/>
          <w:sz w:val="24"/>
        </w:rPr>
      </w:pPr>
      <w:r>
        <w:rPr>
          <w:noProof/>
          <w:sz w:val="24"/>
        </w:rPr>
        <w:t>Net importer sectors (e.g. primary, secondary and downstream aluminium, EAF and BOF steel), net exporter sectors (e.g. wall and floor tiles, glass tableware) and sectors that are relatively less exposed to international competition (e.g. bricks and tiles, packaging glass).</w:t>
      </w:r>
    </w:p>
    <w:p>
      <w:pPr>
        <w:pStyle w:val="FootnoteText"/>
        <w:rPr>
          <w:rFonts w:eastAsia="Calibri"/>
          <w:noProof/>
          <w:color w:val="auto"/>
          <w:sz w:val="24"/>
          <w:szCs w:val="22"/>
          <w:lang w:eastAsia="en-US"/>
        </w:rPr>
      </w:pPr>
      <w:r>
        <w:rPr>
          <w:rFonts w:eastAsia="Calibri"/>
          <w:noProof/>
          <w:color w:val="auto"/>
          <w:sz w:val="24"/>
          <w:szCs w:val="22"/>
          <w:lang w:eastAsia="en-US"/>
        </w:rPr>
        <w:t>For each sector, data were collected on a sample of ‘typical’ plants across the EU, which reflect the average features of EU plants operating in that sector</w:t>
      </w:r>
      <w:r>
        <w:rPr>
          <w:rFonts w:eastAsia="Calibri"/>
          <w:noProof/>
          <w:color w:val="auto"/>
          <w:szCs w:val="22"/>
          <w:lang w:eastAsia="en-US"/>
        </w:rPr>
        <w:footnoteReference w:id="46"/>
      </w:r>
      <w:r>
        <w:rPr>
          <w:rFonts w:eastAsia="Calibri"/>
          <w:noProof/>
          <w:color w:val="auto"/>
          <w:sz w:val="24"/>
          <w:szCs w:val="22"/>
          <w:lang w:eastAsia="en-US"/>
        </w:rPr>
        <w:t xml:space="preserve">. </w:t>
      </w:r>
      <w:r>
        <w:rPr>
          <w:rFonts w:eastAsia="Calibri"/>
          <w:noProof/>
          <w:color w:val="auto"/>
          <w:sz w:val="24"/>
          <w:szCs w:val="22"/>
          <w:lang w:eastAsia="en-US"/>
        </w:rPr>
        <w:fldChar w:fldCharType="begin"/>
      </w:r>
      <w:r>
        <w:rPr>
          <w:rFonts w:eastAsia="Calibri"/>
          <w:noProof/>
          <w:color w:val="auto"/>
          <w:sz w:val="24"/>
          <w:szCs w:val="22"/>
          <w:lang w:eastAsia="en-US"/>
        </w:rPr>
        <w:instrText xml:space="preserve"> REF _Ref530649207 \h  \* MERGEFORMAT </w:instrText>
      </w:r>
      <w:r>
        <w:rPr>
          <w:rFonts w:eastAsia="Calibri"/>
          <w:noProof/>
          <w:color w:val="auto"/>
          <w:sz w:val="24"/>
          <w:szCs w:val="22"/>
          <w:lang w:eastAsia="en-US"/>
        </w:rPr>
      </w:r>
      <w:r>
        <w:rPr>
          <w:rFonts w:eastAsia="Calibri"/>
          <w:noProof/>
          <w:color w:val="auto"/>
          <w:sz w:val="24"/>
          <w:szCs w:val="22"/>
          <w:lang w:eastAsia="en-US"/>
        </w:rPr>
        <w:fldChar w:fldCharType="separate"/>
      </w:r>
      <w:r>
        <w:rPr>
          <w:rFonts w:eastAsia="Calibri"/>
          <w:noProof/>
          <w:color w:val="auto"/>
          <w:sz w:val="24"/>
          <w:szCs w:val="22"/>
          <w:lang w:eastAsia="en-US"/>
        </w:rPr>
        <w:t>Table 18</w:t>
      </w:r>
      <w:r>
        <w:rPr>
          <w:rFonts w:eastAsia="Calibri"/>
          <w:noProof/>
          <w:color w:val="auto"/>
          <w:sz w:val="24"/>
          <w:szCs w:val="22"/>
          <w:lang w:eastAsia="en-US"/>
        </w:rPr>
        <w:fldChar w:fldCharType="end"/>
      </w:r>
      <w:r>
        <w:rPr>
          <w:rFonts w:eastAsia="Calibri"/>
          <w:noProof/>
          <w:color w:val="auto"/>
          <w:sz w:val="24"/>
          <w:szCs w:val="22"/>
          <w:lang w:eastAsia="en-US"/>
        </w:rPr>
        <w:t xml:space="preserve"> shows the sample composition for each sector</w:t>
      </w:r>
      <w:r>
        <w:rPr>
          <w:rFonts w:eastAsia="Calibri"/>
          <w:noProof/>
          <w:color w:val="auto"/>
          <w:szCs w:val="22"/>
          <w:lang w:eastAsia="en-US"/>
        </w:rPr>
        <w:footnoteReference w:id="47"/>
      </w:r>
      <w:r>
        <w:rPr>
          <w:rFonts w:eastAsia="Calibri"/>
          <w:noProof/>
          <w:color w:val="auto"/>
          <w:sz w:val="24"/>
          <w:szCs w:val="22"/>
          <w:lang w:eastAsia="en-US"/>
        </w:rPr>
        <w:t xml:space="preserve"> as</w:t>
      </w:r>
      <w:r>
        <w:rPr>
          <w:noProof/>
        </w:rPr>
        <w:t xml:space="preserve"> </w:t>
      </w:r>
      <w:r>
        <w:rPr>
          <w:rFonts w:eastAsia="Calibri"/>
          <w:noProof/>
          <w:color w:val="auto"/>
          <w:sz w:val="24"/>
          <w:szCs w:val="22"/>
          <w:lang w:eastAsia="en-US"/>
        </w:rPr>
        <w:t>well as its representativeness at EU level (share of the sample in the EU turnover or production capacity). The full sample includes 194 plants from 11 sectors spread over three aggregated EU regions</w:t>
      </w:r>
      <w:r>
        <w:rPr>
          <w:rFonts w:eastAsia="Calibri"/>
          <w:noProof/>
          <w:color w:val="auto"/>
          <w:szCs w:val="22"/>
          <w:lang w:eastAsia="en-US"/>
        </w:rPr>
        <w:footnoteReference w:id="48"/>
      </w:r>
      <w:r>
        <w:rPr>
          <w:rFonts w:eastAsia="Calibri"/>
          <w:noProof/>
          <w:color w:val="auto"/>
          <w:sz w:val="24"/>
          <w:szCs w:val="22"/>
          <w:lang w:eastAsia="en-US"/>
        </w:rPr>
        <w:t>. EU representativeness of the samples for 2016 observations ranges from 11% for wall and floor tiles to above 90% in the case of glass tableware.</w:t>
      </w:r>
    </w:p>
    <w:p>
      <w:pPr>
        <w:rPr>
          <w:noProof/>
        </w:rPr>
      </w:pPr>
    </w:p>
    <w:p>
      <w:pPr>
        <w:pStyle w:val="Caption"/>
        <w:rPr>
          <w:vertAlign w:val="superscript"/>
        </w:rPr>
      </w:pPr>
      <w:bookmarkStart w:id="540" w:name="_Ref530649207"/>
      <w:bookmarkStart w:id="541" w:name="_Toc531178646"/>
      <w:r>
        <w:t xml:space="preserve">Table </w:t>
      </w:r>
      <w:r>
        <w:fldChar w:fldCharType="begin"/>
      </w:r>
      <w:r>
        <w:instrText xml:space="preserve"> SEQ Table \* ARABIC </w:instrText>
      </w:r>
      <w:r>
        <w:fldChar w:fldCharType="separate"/>
      </w:r>
      <w:r>
        <w:t>18</w:t>
      </w:r>
      <w:r>
        <w:fldChar w:fldCharType="end"/>
      </w:r>
      <w:bookmarkEnd w:id="540"/>
      <w:r>
        <w:t xml:space="preserve"> - Size and EU representativeness of the samples in the bottom-up analysis</w:t>
      </w:r>
      <w:bookmarkEnd w:id="541"/>
    </w:p>
    <w:tbl>
      <w:tblPr>
        <w:tblStyle w:val="TableGrid"/>
        <w:tblW w:w="4917" w:type="pct"/>
        <w:jc w:val="center"/>
        <w:tblLayout w:type="fixed"/>
        <w:tblLook w:val="04A0" w:firstRow="1" w:lastRow="0" w:firstColumn="1" w:lastColumn="0" w:noHBand="0" w:noVBand="1"/>
      </w:tblPr>
      <w:tblGrid>
        <w:gridCol w:w="2237"/>
        <w:gridCol w:w="1417"/>
        <w:gridCol w:w="1276"/>
        <w:gridCol w:w="1134"/>
        <w:gridCol w:w="1134"/>
        <w:gridCol w:w="1936"/>
      </w:tblGrid>
      <w:tr>
        <w:trPr>
          <w:trHeight w:val="300"/>
          <w:jc w:val="center"/>
        </w:trPr>
        <w:tc>
          <w:tcPr>
            <w:tcW w:w="2237" w:type="dxa"/>
            <w:noWrap/>
            <w:hideMark/>
          </w:tcPr>
          <w:p>
            <w:pPr>
              <w:spacing w:before="60" w:after="60"/>
              <w:jc w:val="left"/>
              <w:rPr>
                <w:noProof/>
                <w:sz w:val="20"/>
                <w:szCs w:val="20"/>
                <w:lang w:eastAsia="en-GB"/>
              </w:rPr>
            </w:pPr>
          </w:p>
        </w:tc>
        <w:tc>
          <w:tcPr>
            <w:tcW w:w="4961" w:type="dxa"/>
            <w:gridSpan w:val="4"/>
            <w:noWrap/>
            <w:hideMark/>
          </w:tcPr>
          <w:p>
            <w:pPr>
              <w:spacing w:before="60" w:after="60"/>
              <w:jc w:val="center"/>
              <w:rPr>
                <w:b/>
                <w:noProof/>
                <w:sz w:val="20"/>
                <w:szCs w:val="20"/>
                <w:lang w:eastAsia="en-GB"/>
              </w:rPr>
            </w:pPr>
            <w:r>
              <w:rPr>
                <w:b/>
                <w:noProof/>
                <w:sz w:val="20"/>
                <w:szCs w:val="20"/>
                <w:lang w:eastAsia="en-GB"/>
              </w:rPr>
              <w:t>Number of plants by geographical region</w:t>
            </w:r>
            <w:r>
              <w:rPr>
                <w:b/>
                <w:noProof/>
                <w:sz w:val="20"/>
                <w:szCs w:val="20"/>
                <w:vertAlign w:val="superscript"/>
                <w:lang w:eastAsia="en-GB"/>
              </w:rPr>
              <w:t>(1)</w:t>
            </w:r>
          </w:p>
        </w:tc>
        <w:tc>
          <w:tcPr>
            <w:tcW w:w="1936" w:type="dxa"/>
            <w:hideMark/>
          </w:tcPr>
          <w:p>
            <w:pPr>
              <w:spacing w:before="60" w:after="60"/>
              <w:jc w:val="center"/>
              <w:rPr>
                <w:b/>
                <w:noProof/>
                <w:sz w:val="20"/>
                <w:szCs w:val="20"/>
                <w:lang w:eastAsia="en-GB"/>
              </w:rPr>
            </w:pPr>
            <w:r>
              <w:rPr>
                <w:b/>
                <w:noProof/>
                <w:sz w:val="20"/>
                <w:szCs w:val="20"/>
                <w:lang w:eastAsia="en-GB"/>
              </w:rPr>
              <w:t>Representativeness in 2016</w:t>
            </w:r>
            <w:r>
              <w:rPr>
                <w:b/>
                <w:noProof/>
                <w:sz w:val="20"/>
                <w:szCs w:val="20"/>
                <w:vertAlign w:val="superscript"/>
                <w:lang w:eastAsia="en-GB"/>
              </w:rPr>
              <w:t>(2)</w:t>
            </w:r>
          </w:p>
        </w:tc>
      </w:tr>
      <w:tr>
        <w:trPr>
          <w:trHeight w:val="300"/>
          <w:jc w:val="center"/>
        </w:trPr>
        <w:tc>
          <w:tcPr>
            <w:tcW w:w="2237" w:type="dxa"/>
            <w:noWrap/>
            <w:hideMark/>
          </w:tcPr>
          <w:p>
            <w:pPr>
              <w:spacing w:before="60" w:after="60"/>
              <w:jc w:val="left"/>
              <w:rPr>
                <w:b/>
                <w:bCs/>
                <w:noProof/>
                <w:sz w:val="20"/>
                <w:szCs w:val="20"/>
                <w:lang w:eastAsia="en-GB"/>
              </w:rPr>
            </w:pPr>
            <w:r>
              <w:rPr>
                <w:b/>
                <w:noProof/>
                <w:sz w:val="20"/>
                <w:szCs w:val="20"/>
                <w:lang w:eastAsia="en-GB"/>
              </w:rPr>
              <w:t>Sector</w:t>
            </w:r>
          </w:p>
        </w:tc>
        <w:tc>
          <w:tcPr>
            <w:tcW w:w="1417" w:type="dxa"/>
            <w:noWrap/>
            <w:hideMark/>
          </w:tcPr>
          <w:p>
            <w:pPr>
              <w:spacing w:before="60" w:after="60"/>
              <w:jc w:val="center"/>
              <w:rPr>
                <w:b/>
                <w:bCs/>
                <w:noProof/>
                <w:sz w:val="20"/>
                <w:szCs w:val="20"/>
                <w:lang w:eastAsia="en-GB"/>
              </w:rPr>
            </w:pPr>
            <w:r>
              <w:rPr>
                <w:b/>
                <w:bCs/>
                <w:noProof/>
                <w:sz w:val="20"/>
                <w:szCs w:val="20"/>
                <w:lang w:eastAsia="en-GB"/>
              </w:rPr>
              <w:t>Central-Eastern Europe</w:t>
            </w:r>
          </w:p>
        </w:tc>
        <w:tc>
          <w:tcPr>
            <w:tcW w:w="1276" w:type="dxa"/>
            <w:noWrap/>
            <w:hideMark/>
          </w:tcPr>
          <w:p>
            <w:pPr>
              <w:spacing w:before="60" w:after="60"/>
              <w:jc w:val="center"/>
              <w:rPr>
                <w:b/>
                <w:bCs/>
                <w:noProof/>
                <w:sz w:val="20"/>
                <w:szCs w:val="20"/>
                <w:lang w:eastAsia="en-GB"/>
              </w:rPr>
            </w:pPr>
            <w:r>
              <w:rPr>
                <w:b/>
                <w:bCs/>
                <w:noProof/>
                <w:sz w:val="20"/>
                <w:szCs w:val="20"/>
                <w:lang w:eastAsia="en-GB"/>
              </w:rPr>
              <w:t>North-Western Europe</w:t>
            </w:r>
          </w:p>
        </w:tc>
        <w:tc>
          <w:tcPr>
            <w:tcW w:w="1134" w:type="dxa"/>
            <w:noWrap/>
            <w:hideMark/>
          </w:tcPr>
          <w:p>
            <w:pPr>
              <w:spacing w:before="60" w:after="60"/>
              <w:jc w:val="center"/>
              <w:rPr>
                <w:b/>
                <w:bCs/>
                <w:noProof/>
                <w:sz w:val="20"/>
                <w:szCs w:val="20"/>
                <w:lang w:eastAsia="en-GB"/>
              </w:rPr>
            </w:pPr>
            <w:r>
              <w:rPr>
                <w:b/>
                <w:bCs/>
                <w:noProof/>
                <w:sz w:val="20"/>
                <w:szCs w:val="20"/>
                <w:lang w:eastAsia="en-GB"/>
              </w:rPr>
              <w:t>Southern Europe</w:t>
            </w:r>
          </w:p>
        </w:tc>
        <w:tc>
          <w:tcPr>
            <w:tcW w:w="1134" w:type="dxa"/>
            <w:noWrap/>
            <w:hideMark/>
          </w:tcPr>
          <w:p>
            <w:pPr>
              <w:spacing w:before="60" w:after="60"/>
              <w:jc w:val="center"/>
              <w:rPr>
                <w:b/>
                <w:bCs/>
                <w:noProof/>
                <w:sz w:val="20"/>
                <w:szCs w:val="20"/>
                <w:lang w:eastAsia="en-GB"/>
              </w:rPr>
            </w:pPr>
            <w:r>
              <w:rPr>
                <w:b/>
                <w:bCs/>
                <w:noProof/>
                <w:sz w:val="20"/>
                <w:szCs w:val="20"/>
                <w:lang w:eastAsia="en-GB"/>
              </w:rPr>
              <w:t>Total</w:t>
            </w:r>
          </w:p>
        </w:tc>
        <w:tc>
          <w:tcPr>
            <w:tcW w:w="1936" w:type="dxa"/>
            <w:hideMark/>
          </w:tcPr>
          <w:p>
            <w:pPr>
              <w:spacing w:before="60" w:after="60"/>
              <w:jc w:val="center"/>
              <w:rPr>
                <w:b/>
                <w:bCs/>
                <w:noProof/>
                <w:sz w:val="20"/>
                <w:szCs w:val="20"/>
                <w:lang w:eastAsia="en-GB"/>
              </w:rPr>
            </w:pPr>
            <w:r>
              <w:rPr>
                <w:b/>
                <w:bCs/>
                <w:noProof/>
                <w:sz w:val="20"/>
                <w:szCs w:val="20"/>
                <w:lang w:eastAsia="en-GB"/>
              </w:rPr>
              <w:t>Share of turnover (T) or production capacity (C)</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Bricks and roof tiles</w:t>
            </w:r>
          </w:p>
        </w:tc>
        <w:tc>
          <w:tcPr>
            <w:tcW w:w="1417" w:type="dxa"/>
            <w:hideMark/>
          </w:tcPr>
          <w:p>
            <w:pPr>
              <w:spacing w:before="60" w:after="60"/>
              <w:jc w:val="center"/>
              <w:rPr>
                <w:noProof/>
                <w:sz w:val="20"/>
                <w:szCs w:val="20"/>
                <w:lang w:eastAsia="en-GB"/>
              </w:rPr>
            </w:pPr>
            <w:r>
              <w:rPr>
                <w:noProof/>
                <w:sz w:val="20"/>
                <w:szCs w:val="20"/>
                <w:lang w:eastAsia="en-GB"/>
              </w:rPr>
              <w:t>11</w:t>
            </w:r>
          </w:p>
        </w:tc>
        <w:tc>
          <w:tcPr>
            <w:tcW w:w="1276" w:type="dxa"/>
            <w:hideMark/>
          </w:tcPr>
          <w:p>
            <w:pPr>
              <w:spacing w:before="60" w:after="60"/>
              <w:jc w:val="center"/>
              <w:rPr>
                <w:noProof/>
                <w:sz w:val="20"/>
                <w:szCs w:val="20"/>
                <w:lang w:eastAsia="en-GB"/>
              </w:rPr>
            </w:pPr>
            <w:r>
              <w:rPr>
                <w:noProof/>
                <w:sz w:val="20"/>
                <w:szCs w:val="20"/>
                <w:lang w:eastAsia="en-GB"/>
              </w:rPr>
              <w:t>36</w:t>
            </w:r>
          </w:p>
        </w:tc>
        <w:tc>
          <w:tcPr>
            <w:tcW w:w="1134" w:type="dxa"/>
            <w:hideMark/>
          </w:tcPr>
          <w:p>
            <w:pPr>
              <w:spacing w:before="60" w:after="60"/>
              <w:jc w:val="center"/>
              <w:rPr>
                <w:noProof/>
                <w:sz w:val="20"/>
                <w:szCs w:val="20"/>
                <w:lang w:eastAsia="en-GB"/>
              </w:rPr>
            </w:pPr>
            <w:r>
              <w:rPr>
                <w:noProof/>
                <w:sz w:val="20"/>
                <w:szCs w:val="20"/>
                <w:lang w:eastAsia="en-GB"/>
              </w:rPr>
              <w:t>11</w:t>
            </w:r>
          </w:p>
        </w:tc>
        <w:tc>
          <w:tcPr>
            <w:tcW w:w="1134" w:type="dxa"/>
            <w:hideMark/>
          </w:tcPr>
          <w:p>
            <w:pPr>
              <w:spacing w:before="60" w:after="60"/>
              <w:jc w:val="center"/>
              <w:rPr>
                <w:b/>
                <w:noProof/>
                <w:sz w:val="20"/>
                <w:szCs w:val="20"/>
                <w:lang w:eastAsia="en-GB"/>
              </w:rPr>
            </w:pPr>
            <w:r>
              <w:rPr>
                <w:b/>
                <w:noProof/>
                <w:sz w:val="20"/>
                <w:szCs w:val="20"/>
                <w:lang w:eastAsia="en-GB"/>
              </w:rPr>
              <w:t>58</w:t>
            </w:r>
          </w:p>
        </w:tc>
        <w:tc>
          <w:tcPr>
            <w:tcW w:w="1936" w:type="dxa"/>
            <w:hideMark/>
          </w:tcPr>
          <w:p>
            <w:pPr>
              <w:spacing w:before="60" w:after="60"/>
              <w:jc w:val="center"/>
              <w:rPr>
                <w:noProof/>
                <w:sz w:val="20"/>
                <w:szCs w:val="20"/>
                <w:lang w:eastAsia="en-GB"/>
              </w:rPr>
            </w:pPr>
            <w:r>
              <w:rPr>
                <w:noProof/>
                <w:sz w:val="20"/>
                <w:szCs w:val="20"/>
                <w:lang w:eastAsia="en-GB"/>
              </w:rPr>
              <w:t>11% (T)</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Wall and floor tiles</w:t>
            </w:r>
          </w:p>
        </w:tc>
        <w:tc>
          <w:tcPr>
            <w:tcW w:w="1417" w:type="dxa"/>
            <w:hideMark/>
          </w:tcPr>
          <w:p>
            <w:pPr>
              <w:spacing w:before="60" w:after="60"/>
              <w:jc w:val="center"/>
              <w:rPr>
                <w:noProof/>
                <w:sz w:val="20"/>
                <w:szCs w:val="20"/>
                <w:lang w:eastAsia="en-GB"/>
              </w:rPr>
            </w:pPr>
            <w:r>
              <w:rPr>
                <w:noProof/>
                <w:sz w:val="20"/>
                <w:szCs w:val="20"/>
                <w:lang w:eastAsia="en-GB"/>
              </w:rPr>
              <w:t>8</w:t>
            </w:r>
          </w:p>
        </w:tc>
        <w:tc>
          <w:tcPr>
            <w:tcW w:w="1276" w:type="dxa"/>
            <w:hideMark/>
          </w:tcPr>
          <w:p>
            <w:pPr>
              <w:spacing w:before="60" w:after="60"/>
              <w:jc w:val="center"/>
              <w:rPr>
                <w:noProof/>
                <w:sz w:val="20"/>
                <w:szCs w:val="20"/>
                <w:lang w:eastAsia="en-GB"/>
              </w:rPr>
            </w:pPr>
            <w:r>
              <w:rPr>
                <w:noProof/>
                <w:sz w:val="20"/>
                <w:szCs w:val="20"/>
                <w:lang w:eastAsia="en-GB"/>
              </w:rPr>
              <w:t>4</w:t>
            </w:r>
          </w:p>
        </w:tc>
        <w:tc>
          <w:tcPr>
            <w:tcW w:w="1134" w:type="dxa"/>
            <w:hideMark/>
          </w:tcPr>
          <w:p>
            <w:pPr>
              <w:spacing w:before="60" w:after="60"/>
              <w:jc w:val="center"/>
              <w:rPr>
                <w:noProof/>
                <w:sz w:val="20"/>
                <w:szCs w:val="20"/>
                <w:lang w:eastAsia="en-GB"/>
              </w:rPr>
            </w:pPr>
            <w:r>
              <w:rPr>
                <w:noProof/>
                <w:sz w:val="20"/>
                <w:szCs w:val="20"/>
                <w:lang w:eastAsia="en-GB"/>
              </w:rPr>
              <w:t>10</w:t>
            </w:r>
          </w:p>
        </w:tc>
        <w:tc>
          <w:tcPr>
            <w:tcW w:w="1134" w:type="dxa"/>
            <w:hideMark/>
          </w:tcPr>
          <w:p>
            <w:pPr>
              <w:spacing w:before="60" w:after="60"/>
              <w:jc w:val="center"/>
              <w:rPr>
                <w:b/>
                <w:noProof/>
                <w:sz w:val="20"/>
                <w:szCs w:val="20"/>
                <w:lang w:eastAsia="en-GB"/>
              </w:rPr>
            </w:pPr>
            <w:r>
              <w:rPr>
                <w:b/>
                <w:noProof/>
                <w:sz w:val="20"/>
                <w:szCs w:val="20"/>
                <w:lang w:eastAsia="en-GB"/>
              </w:rPr>
              <w:t>22</w:t>
            </w:r>
          </w:p>
        </w:tc>
        <w:tc>
          <w:tcPr>
            <w:tcW w:w="1936" w:type="dxa"/>
            <w:hideMark/>
          </w:tcPr>
          <w:p>
            <w:pPr>
              <w:spacing w:before="60" w:after="60"/>
              <w:jc w:val="center"/>
              <w:rPr>
                <w:noProof/>
                <w:sz w:val="20"/>
                <w:szCs w:val="20"/>
                <w:lang w:eastAsia="en-GB"/>
              </w:rPr>
            </w:pPr>
            <w:r>
              <w:rPr>
                <w:noProof/>
                <w:sz w:val="20"/>
                <w:szCs w:val="20"/>
                <w:lang w:eastAsia="en-GB"/>
              </w:rPr>
              <w:t>12% (T)</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Glass tableware</w:t>
            </w:r>
          </w:p>
        </w:tc>
        <w:tc>
          <w:tcPr>
            <w:tcW w:w="1417" w:type="dxa"/>
            <w:hideMark/>
          </w:tcPr>
          <w:p>
            <w:pPr>
              <w:spacing w:before="60" w:after="60"/>
              <w:jc w:val="center"/>
              <w:rPr>
                <w:noProof/>
                <w:sz w:val="20"/>
                <w:szCs w:val="20"/>
                <w:lang w:eastAsia="en-GB"/>
              </w:rPr>
            </w:pPr>
            <w:r>
              <w:rPr>
                <w:noProof/>
                <w:sz w:val="20"/>
                <w:szCs w:val="20"/>
                <w:lang w:eastAsia="en-GB"/>
              </w:rPr>
              <w:t>2</w:t>
            </w:r>
          </w:p>
        </w:tc>
        <w:tc>
          <w:tcPr>
            <w:tcW w:w="1276" w:type="dxa"/>
            <w:hideMark/>
          </w:tcPr>
          <w:p>
            <w:pPr>
              <w:spacing w:before="60" w:after="60"/>
              <w:jc w:val="center"/>
              <w:rPr>
                <w:noProof/>
                <w:sz w:val="20"/>
                <w:szCs w:val="20"/>
                <w:lang w:eastAsia="en-GB"/>
              </w:rPr>
            </w:pPr>
            <w:r>
              <w:rPr>
                <w:noProof/>
                <w:sz w:val="20"/>
                <w:szCs w:val="20"/>
                <w:lang w:eastAsia="en-GB"/>
              </w:rPr>
              <w:t>4</w:t>
            </w:r>
          </w:p>
        </w:tc>
        <w:tc>
          <w:tcPr>
            <w:tcW w:w="1134" w:type="dxa"/>
            <w:hideMark/>
          </w:tcPr>
          <w:p>
            <w:pPr>
              <w:spacing w:before="60" w:after="60"/>
              <w:jc w:val="center"/>
              <w:rPr>
                <w:noProof/>
                <w:sz w:val="20"/>
                <w:szCs w:val="20"/>
                <w:lang w:eastAsia="en-GB"/>
              </w:rPr>
            </w:pPr>
            <w:r>
              <w:rPr>
                <w:noProof/>
                <w:sz w:val="20"/>
                <w:szCs w:val="20"/>
                <w:lang w:eastAsia="en-GB"/>
              </w:rPr>
              <w:t>6</w:t>
            </w:r>
          </w:p>
        </w:tc>
        <w:tc>
          <w:tcPr>
            <w:tcW w:w="1134" w:type="dxa"/>
            <w:hideMark/>
          </w:tcPr>
          <w:p>
            <w:pPr>
              <w:spacing w:before="60" w:after="60"/>
              <w:jc w:val="center"/>
              <w:rPr>
                <w:b/>
                <w:noProof/>
                <w:sz w:val="20"/>
                <w:szCs w:val="20"/>
                <w:lang w:eastAsia="en-GB"/>
              </w:rPr>
            </w:pPr>
            <w:r>
              <w:rPr>
                <w:b/>
                <w:noProof/>
                <w:sz w:val="20"/>
                <w:szCs w:val="20"/>
                <w:lang w:eastAsia="en-GB"/>
              </w:rPr>
              <w:t>12</w:t>
            </w:r>
          </w:p>
        </w:tc>
        <w:tc>
          <w:tcPr>
            <w:tcW w:w="1936" w:type="dxa"/>
            <w:hideMark/>
          </w:tcPr>
          <w:p>
            <w:pPr>
              <w:spacing w:before="60" w:after="60"/>
              <w:jc w:val="center"/>
              <w:rPr>
                <w:noProof/>
                <w:sz w:val="20"/>
                <w:szCs w:val="20"/>
                <w:lang w:eastAsia="en-GB"/>
              </w:rPr>
            </w:pPr>
            <w:r>
              <w:rPr>
                <w:noProof/>
                <w:sz w:val="20"/>
                <w:szCs w:val="20"/>
                <w:lang w:eastAsia="en-GB"/>
              </w:rPr>
              <w:t>92% (T)</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Packaging glass</w:t>
            </w:r>
          </w:p>
        </w:tc>
        <w:tc>
          <w:tcPr>
            <w:tcW w:w="1417" w:type="dxa"/>
            <w:hideMark/>
          </w:tcPr>
          <w:p>
            <w:pPr>
              <w:spacing w:before="60" w:after="60"/>
              <w:jc w:val="center"/>
              <w:rPr>
                <w:noProof/>
                <w:sz w:val="20"/>
                <w:szCs w:val="20"/>
                <w:lang w:eastAsia="en-GB"/>
              </w:rPr>
            </w:pPr>
            <w:r>
              <w:rPr>
                <w:noProof/>
                <w:sz w:val="20"/>
                <w:szCs w:val="20"/>
                <w:lang w:eastAsia="en-GB"/>
              </w:rPr>
              <w:t>8</w:t>
            </w:r>
          </w:p>
        </w:tc>
        <w:tc>
          <w:tcPr>
            <w:tcW w:w="1276" w:type="dxa"/>
            <w:hideMark/>
          </w:tcPr>
          <w:p>
            <w:pPr>
              <w:spacing w:before="60" w:after="60"/>
              <w:jc w:val="center"/>
              <w:rPr>
                <w:noProof/>
                <w:sz w:val="20"/>
                <w:szCs w:val="20"/>
                <w:lang w:eastAsia="en-GB"/>
              </w:rPr>
            </w:pPr>
            <w:r>
              <w:rPr>
                <w:noProof/>
                <w:sz w:val="20"/>
                <w:szCs w:val="20"/>
                <w:lang w:eastAsia="en-GB"/>
              </w:rPr>
              <w:t>8</w:t>
            </w:r>
          </w:p>
        </w:tc>
        <w:tc>
          <w:tcPr>
            <w:tcW w:w="1134" w:type="dxa"/>
            <w:hideMark/>
          </w:tcPr>
          <w:p>
            <w:pPr>
              <w:spacing w:before="60" w:after="60"/>
              <w:jc w:val="center"/>
              <w:rPr>
                <w:noProof/>
                <w:sz w:val="20"/>
                <w:szCs w:val="20"/>
                <w:lang w:eastAsia="en-GB"/>
              </w:rPr>
            </w:pPr>
            <w:r>
              <w:rPr>
                <w:noProof/>
                <w:sz w:val="20"/>
                <w:szCs w:val="20"/>
                <w:lang w:eastAsia="en-GB"/>
              </w:rPr>
              <w:t>8</w:t>
            </w:r>
          </w:p>
        </w:tc>
        <w:tc>
          <w:tcPr>
            <w:tcW w:w="1134" w:type="dxa"/>
            <w:hideMark/>
          </w:tcPr>
          <w:p>
            <w:pPr>
              <w:spacing w:before="60" w:after="60"/>
              <w:jc w:val="center"/>
              <w:rPr>
                <w:b/>
                <w:noProof/>
                <w:sz w:val="20"/>
                <w:szCs w:val="20"/>
                <w:lang w:eastAsia="en-GB"/>
              </w:rPr>
            </w:pPr>
            <w:r>
              <w:rPr>
                <w:b/>
                <w:noProof/>
                <w:sz w:val="20"/>
                <w:szCs w:val="20"/>
                <w:lang w:eastAsia="en-GB"/>
              </w:rPr>
              <w:t>24</w:t>
            </w:r>
          </w:p>
        </w:tc>
        <w:tc>
          <w:tcPr>
            <w:tcW w:w="1936" w:type="dxa"/>
            <w:hideMark/>
          </w:tcPr>
          <w:p>
            <w:pPr>
              <w:spacing w:before="60" w:after="60"/>
              <w:jc w:val="center"/>
              <w:rPr>
                <w:noProof/>
                <w:sz w:val="20"/>
                <w:szCs w:val="20"/>
                <w:lang w:eastAsia="en-GB"/>
              </w:rPr>
            </w:pPr>
            <w:r>
              <w:rPr>
                <w:noProof/>
                <w:sz w:val="20"/>
                <w:szCs w:val="20"/>
                <w:lang w:eastAsia="en-GB"/>
              </w:rPr>
              <w:t>17% (T)</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Aluminium primary</w:t>
            </w:r>
          </w:p>
        </w:tc>
        <w:tc>
          <w:tcPr>
            <w:tcW w:w="1417" w:type="dxa"/>
            <w:hideMark/>
          </w:tcPr>
          <w:p>
            <w:pPr>
              <w:spacing w:before="60" w:after="60"/>
              <w:jc w:val="center"/>
              <w:rPr>
                <w:noProof/>
                <w:sz w:val="20"/>
                <w:szCs w:val="20"/>
                <w:lang w:eastAsia="en-GB"/>
              </w:rPr>
            </w:pPr>
            <w:r>
              <w:rPr>
                <w:noProof/>
                <w:sz w:val="20"/>
                <w:szCs w:val="20"/>
                <w:lang w:eastAsia="en-GB"/>
              </w:rPr>
              <w:t>1</w:t>
            </w:r>
          </w:p>
        </w:tc>
        <w:tc>
          <w:tcPr>
            <w:tcW w:w="1276" w:type="dxa"/>
            <w:hideMark/>
          </w:tcPr>
          <w:p>
            <w:pPr>
              <w:spacing w:before="60" w:after="60"/>
              <w:jc w:val="center"/>
              <w:rPr>
                <w:noProof/>
                <w:sz w:val="20"/>
                <w:szCs w:val="20"/>
                <w:lang w:eastAsia="en-GB"/>
              </w:rPr>
            </w:pPr>
            <w:r>
              <w:rPr>
                <w:noProof/>
                <w:sz w:val="20"/>
                <w:szCs w:val="20"/>
                <w:lang w:eastAsia="en-GB"/>
              </w:rPr>
              <w:t>5</w:t>
            </w:r>
          </w:p>
        </w:tc>
        <w:tc>
          <w:tcPr>
            <w:tcW w:w="1134" w:type="dxa"/>
            <w:hideMark/>
          </w:tcPr>
          <w:p>
            <w:pPr>
              <w:spacing w:before="60" w:after="60"/>
              <w:jc w:val="center"/>
              <w:rPr>
                <w:noProof/>
                <w:sz w:val="20"/>
                <w:szCs w:val="20"/>
                <w:lang w:eastAsia="en-GB"/>
              </w:rPr>
            </w:pPr>
            <w:r>
              <w:rPr>
                <w:noProof/>
                <w:sz w:val="20"/>
                <w:szCs w:val="20"/>
                <w:lang w:eastAsia="en-GB"/>
              </w:rPr>
              <w:t>4</w:t>
            </w:r>
          </w:p>
        </w:tc>
        <w:tc>
          <w:tcPr>
            <w:tcW w:w="1134" w:type="dxa"/>
            <w:hideMark/>
          </w:tcPr>
          <w:p>
            <w:pPr>
              <w:spacing w:before="60" w:after="60"/>
              <w:jc w:val="center"/>
              <w:rPr>
                <w:b/>
                <w:noProof/>
                <w:sz w:val="20"/>
                <w:szCs w:val="20"/>
                <w:lang w:eastAsia="en-GB"/>
              </w:rPr>
            </w:pPr>
            <w:r>
              <w:rPr>
                <w:b/>
                <w:noProof/>
                <w:sz w:val="20"/>
                <w:szCs w:val="20"/>
                <w:lang w:eastAsia="en-GB"/>
              </w:rPr>
              <w:t>10</w:t>
            </w:r>
          </w:p>
        </w:tc>
        <w:tc>
          <w:tcPr>
            <w:tcW w:w="1936" w:type="dxa"/>
            <w:hideMark/>
          </w:tcPr>
          <w:p>
            <w:pPr>
              <w:spacing w:before="60" w:after="60"/>
              <w:jc w:val="center"/>
              <w:rPr>
                <w:noProof/>
                <w:sz w:val="20"/>
                <w:szCs w:val="20"/>
                <w:lang w:eastAsia="en-GB"/>
              </w:rPr>
            </w:pPr>
            <w:r>
              <w:rPr>
                <w:noProof/>
                <w:sz w:val="20"/>
                <w:szCs w:val="20"/>
                <w:lang w:eastAsia="en-GB"/>
              </w:rPr>
              <w:t>60% (T)</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Aluminium secondary</w:t>
            </w:r>
          </w:p>
        </w:tc>
        <w:tc>
          <w:tcPr>
            <w:tcW w:w="1417" w:type="dxa"/>
            <w:hideMark/>
          </w:tcPr>
          <w:p>
            <w:pPr>
              <w:spacing w:before="60" w:after="60"/>
              <w:jc w:val="center"/>
              <w:rPr>
                <w:noProof/>
                <w:sz w:val="20"/>
                <w:szCs w:val="20"/>
                <w:lang w:eastAsia="en-GB"/>
              </w:rPr>
            </w:pPr>
            <w:r>
              <w:rPr>
                <w:noProof/>
                <w:sz w:val="20"/>
                <w:szCs w:val="20"/>
                <w:lang w:eastAsia="en-GB"/>
              </w:rPr>
              <w:t>2</w:t>
            </w:r>
          </w:p>
        </w:tc>
        <w:tc>
          <w:tcPr>
            <w:tcW w:w="1276" w:type="dxa"/>
            <w:hideMark/>
          </w:tcPr>
          <w:p>
            <w:pPr>
              <w:spacing w:before="60" w:after="60"/>
              <w:jc w:val="center"/>
              <w:rPr>
                <w:noProof/>
                <w:sz w:val="20"/>
                <w:szCs w:val="20"/>
                <w:lang w:eastAsia="en-GB"/>
              </w:rPr>
            </w:pPr>
            <w:r>
              <w:rPr>
                <w:noProof/>
                <w:sz w:val="20"/>
                <w:szCs w:val="20"/>
                <w:lang w:eastAsia="en-GB"/>
              </w:rPr>
              <w:t>1</w:t>
            </w:r>
          </w:p>
        </w:tc>
        <w:tc>
          <w:tcPr>
            <w:tcW w:w="1134" w:type="dxa"/>
            <w:hideMark/>
          </w:tcPr>
          <w:p>
            <w:pPr>
              <w:spacing w:before="60" w:after="60"/>
              <w:jc w:val="center"/>
              <w:rPr>
                <w:noProof/>
                <w:sz w:val="20"/>
                <w:szCs w:val="20"/>
                <w:lang w:eastAsia="en-GB"/>
              </w:rPr>
            </w:pPr>
            <w:r>
              <w:rPr>
                <w:noProof/>
                <w:sz w:val="20"/>
                <w:szCs w:val="20"/>
                <w:lang w:eastAsia="en-GB"/>
              </w:rPr>
              <w:t>6</w:t>
            </w:r>
          </w:p>
        </w:tc>
        <w:tc>
          <w:tcPr>
            <w:tcW w:w="1134" w:type="dxa"/>
            <w:hideMark/>
          </w:tcPr>
          <w:p>
            <w:pPr>
              <w:spacing w:before="60" w:after="60"/>
              <w:jc w:val="center"/>
              <w:rPr>
                <w:b/>
                <w:noProof/>
                <w:sz w:val="20"/>
                <w:szCs w:val="20"/>
                <w:lang w:eastAsia="en-GB"/>
              </w:rPr>
            </w:pPr>
            <w:r>
              <w:rPr>
                <w:b/>
                <w:noProof/>
                <w:sz w:val="20"/>
                <w:szCs w:val="20"/>
                <w:lang w:eastAsia="en-GB"/>
              </w:rPr>
              <w:t>9</w:t>
            </w:r>
          </w:p>
        </w:tc>
        <w:tc>
          <w:tcPr>
            <w:tcW w:w="1936" w:type="dxa"/>
            <w:hideMark/>
          </w:tcPr>
          <w:p>
            <w:pPr>
              <w:spacing w:before="60" w:after="60"/>
              <w:jc w:val="center"/>
              <w:rPr>
                <w:noProof/>
                <w:sz w:val="20"/>
                <w:szCs w:val="20"/>
                <w:lang w:eastAsia="en-GB"/>
              </w:rPr>
            </w:pPr>
            <w:r>
              <w:rPr>
                <w:noProof/>
                <w:sz w:val="20"/>
                <w:szCs w:val="20"/>
                <w:lang w:eastAsia="en-GB"/>
              </w:rPr>
              <w:t>n.a.</w:t>
            </w:r>
            <w:r>
              <w:rPr>
                <w:noProof/>
                <w:sz w:val="20"/>
                <w:szCs w:val="20"/>
                <w:vertAlign w:val="superscript"/>
                <w:lang w:eastAsia="en-GB"/>
              </w:rPr>
              <w:t>(3)</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Aluminium downstream</w:t>
            </w:r>
          </w:p>
        </w:tc>
        <w:tc>
          <w:tcPr>
            <w:tcW w:w="1417" w:type="dxa"/>
            <w:hideMark/>
          </w:tcPr>
          <w:p>
            <w:pPr>
              <w:spacing w:before="60" w:after="60"/>
              <w:jc w:val="center"/>
              <w:rPr>
                <w:noProof/>
                <w:sz w:val="20"/>
                <w:szCs w:val="20"/>
                <w:lang w:eastAsia="en-GB"/>
              </w:rPr>
            </w:pPr>
            <w:r>
              <w:rPr>
                <w:noProof/>
                <w:sz w:val="20"/>
                <w:szCs w:val="20"/>
                <w:lang w:eastAsia="en-GB"/>
              </w:rPr>
              <w:t>1</w:t>
            </w:r>
          </w:p>
        </w:tc>
        <w:tc>
          <w:tcPr>
            <w:tcW w:w="1276" w:type="dxa"/>
            <w:hideMark/>
          </w:tcPr>
          <w:p>
            <w:pPr>
              <w:spacing w:before="60" w:after="60"/>
              <w:jc w:val="center"/>
              <w:rPr>
                <w:noProof/>
                <w:sz w:val="20"/>
                <w:szCs w:val="20"/>
                <w:lang w:eastAsia="en-GB"/>
              </w:rPr>
            </w:pPr>
            <w:r>
              <w:rPr>
                <w:noProof/>
                <w:sz w:val="20"/>
                <w:szCs w:val="20"/>
                <w:lang w:eastAsia="en-GB"/>
              </w:rPr>
              <w:t>4</w:t>
            </w:r>
          </w:p>
        </w:tc>
        <w:tc>
          <w:tcPr>
            <w:tcW w:w="1134" w:type="dxa"/>
            <w:hideMark/>
          </w:tcPr>
          <w:p>
            <w:pPr>
              <w:spacing w:before="60" w:after="60"/>
              <w:jc w:val="center"/>
              <w:rPr>
                <w:noProof/>
                <w:sz w:val="20"/>
                <w:szCs w:val="20"/>
                <w:lang w:eastAsia="en-GB"/>
              </w:rPr>
            </w:pPr>
            <w:r>
              <w:rPr>
                <w:noProof/>
                <w:sz w:val="20"/>
                <w:szCs w:val="20"/>
                <w:lang w:eastAsia="en-GB"/>
              </w:rPr>
              <w:t>3</w:t>
            </w:r>
          </w:p>
        </w:tc>
        <w:tc>
          <w:tcPr>
            <w:tcW w:w="1134" w:type="dxa"/>
            <w:hideMark/>
          </w:tcPr>
          <w:p>
            <w:pPr>
              <w:spacing w:before="60" w:after="60"/>
              <w:jc w:val="center"/>
              <w:rPr>
                <w:b/>
                <w:noProof/>
                <w:sz w:val="20"/>
                <w:szCs w:val="20"/>
                <w:lang w:eastAsia="en-GB"/>
              </w:rPr>
            </w:pPr>
            <w:r>
              <w:rPr>
                <w:b/>
                <w:noProof/>
                <w:sz w:val="20"/>
                <w:szCs w:val="20"/>
                <w:lang w:eastAsia="en-GB"/>
              </w:rPr>
              <w:t>8</w:t>
            </w:r>
          </w:p>
        </w:tc>
        <w:tc>
          <w:tcPr>
            <w:tcW w:w="1936" w:type="dxa"/>
            <w:hideMark/>
          </w:tcPr>
          <w:p>
            <w:pPr>
              <w:spacing w:before="60" w:after="60"/>
              <w:jc w:val="center"/>
              <w:rPr>
                <w:noProof/>
                <w:sz w:val="20"/>
                <w:szCs w:val="20"/>
                <w:lang w:eastAsia="en-GB"/>
              </w:rPr>
            </w:pPr>
            <w:r>
              <w:rPr>
                <w:noProof/>
                <w:sz w:val="20"/>
                <w:szCs w:val="20"/>
                <w:lang w:eastAsia="en-GB"/>
              </w:rPr>
              <w:t>13% (T)</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Steel EAF</w:t>
            </w:r>
          </w:p>
        </w:tc>
        <w:tc>
          <w:tcPr>
            <w:tcW w:w="1417" w:type="dxa"/>
            <w:hideMark/>
          </w:tcPr>
          <w:p>
            <w:pPr>
              <w:spacing w:before="60" w:after="60"/>
              <w:jc w:val="center"/>
              <w:rPr>
                <w:noProof/>
                <w:sz w:val="20"/>
                <w:szCs w:val="20"/>
                <w:lang w:eastAsia="en-GB"/>
              </w:rPr>
            </w:pPr>
            <w:r>
              <w:rPr>
                <w:noProof/>
                <w:sz w:val="20"/>
                <w:szCs w:val="20"/>
                <w:lang w:eastAsia="en-GB"/>
              </w:rPr>
              <w:t>3</w:t>
            </w:r>
          </w:p>
        </w:tc>
        <w:tc>
          <w:tcPr>
            <w:tcW w:w="1276" w:type="dxa"/>
            <w:hideMark/>
          </w:tcPr>
          <w:p>
            <w:pPr>
              <w:spacing w:before="60" w:after="60"/>
              <w:jc w:val="center"/>
              <w:rPr>
                <w:noProof/>
                <w:sz w:val="20"/>
                <w:szCs w:val="20"/>
                <w:lang w:eastAsia="en-GB"/>
              </w:rPr>
            </w:pPr>
            <w:r>
              <w:rPr>
                <w:noProof/>
                <w:sz w:val="20"/>
                <w:szCs w:val="20"/>
                <w:lang w:eastAsia="en-GB"/>
              </w:rPr>
              <w:t>13</w:t>
            </w:r>
          </w:p>
        </w:tc>
        <w:tc>
          <w:tcPr>
            <w:tcW w:w="1134" w:type="dxa"/>
            <w:hideMark/>
          </w:tcPr>
          <w:p>
            <w:pPr>
              <w:spacing w:before="60" w:after="60"/>
              <w:jc w:val="center"/>
              <w:rPr>
                <w:noProof/>
                <w:sz w:val="20"/>
                <w:szCs w:val="20"/>
                <w:lang w:eastAsia="en-GB"/>
              </w:rPr>
            </w:pPr>
            <w:r>
              <w:rPr>
                <w:noProof/>
                <w:sz w:val="20"/>
                <w:szCs w:val="20"/>
                <w:lang w:eastAsia="en-GB"/>
              </w:rPr>
              <w:t>2</w:t>
            </w:r>
          </w:p>
        </w:tc>
        <w:tc>
          <w:tcPr>
            <w:tcW w:w="1134" w:type="dxa"/>
            <w:hideMark/>
          </w:tcPr>
          <w:p>
            <w:pPr>
              <w:spacing w:before="60" w:after="60"/>
              <w:jc w:val="center"/>
              <w:rPr>
                <w:b/>
                <w:noProof/>
                <w:sz w:val="20"/>
                <w:szCs w:val="20"/>
                <w:lang w:eastAsia="en-GB"/>
              </w:rPr>
            </w:pPr>
            <w:r>
              <w:rPr>
                <w:b/>
                <w:noProof/>
                <w:sz w:val="20"/>
                <w:szCs w:val="20"/>
                <w:lang w:eastAsia="en-GB"/>
              </w:rPr>
              <w:t>18</w:t>
            </w:r>
          </w:p>
        </w:tc>
        <w:tc>
          <w:tcPr>
            <w:tcW w:w="1936" w:type="dxa"/>
            <w:hideMark/>
          </w:tcPr>
          <w:p>
            <w:pPr>
              <w:spacing w:before="60" w:after="60"/>
              <w:jc w:val="center"/>
              <w:rPr>
                <w:noProof/>
                <w:sz w:val="20"/>
                <w:szCs w:val="20"/>
                <w:lang w:eastAsia="en-GB"/>
              </w:rPr>
            </w:pPr>
            <w:r>
              <w:rPr>
                <w:noProof/>
                <w:sz w:val="20"/>
                <w:szCs w:val="20"/>
                <w:lang w:eastAsia="en-GB"/>
              </w:rPr>
              <w:t>14% (C)</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Steel BOF</w:t>
            </w:r>
          </w:p>
        </w:tc>
        <w:tc>
          <w:tcPr>
            <w:tcW w:w="1417" w:type="dxa"/>
            <w:hideMark/>
          </w:tcPr>
          <w:p>
            <w:pPr>
              <w:spacing w:before="60" w:after="60"/>
              <w:jc w:val="center"/>
              <w:rPr>
                <w:noProof/>
                <w:sz w:val="20"/>
                <w:szCs w:val="20"/>
                <w:lang w:eastAsia="en-GB"/>
              </w:rPr>
            </w:pPr>
            <w:r>
              <w:rPr>
                <w:noProof/>
                <w:sz w:val="20"/>
                <w:szCs w:val="20"/>
                <w:lang w:eastAsia="en-GB"/>
              </w:rPr>
              <w:t>3</w:t>
            </w:r>
          </w:p>
        </w:tc>
        <w:tc>
          <w:tcPr>
            <w:tcW w:w="1276" w:type="dxa"/>
            <w:hideMark/>
          </w:tcPr>
          <w:p>
            <w:pPr>
              <w:spacing w:before="60" w:after="60"/>
              <w:jc w:val="center"/>
              <w:rPr>
                <w:noProof/>
                <w:sz w:val="20"/>
                <w:szCs w:val="20"/>
                <w:lang w:eastAsia="en-GB"/>
              </w:rPr>
            </w:pPr>
            <w:r>
              <w:rPr>
                <w:noProof/>
                <w:sz w:val="20"/>
                <w:szCs w:val="20"/>
                <w:lang w:eastAsia="en-GB"/>
              </w:rPr>
              <w:t>4</w:t>
            </w:r>
          </w:p>
        </w:tc>
        <w:tc>
          <w:tcPr>
            <w:tcW w:w="1134" w:type="dxa"/>
            <w:hideMark/>
          </w:tcPr>
          <w:p>
            <w:pPr>
              <w:spacing w:before="60" w:after="60"/>
              <w:jc w:val="center"/>
              <w:rPr>
                <w:noProof/>
                <w:sz w:val="20"/>
                <w:szCs w:val="20"/>
                <w:lang w:eastAsia="en-GB"/>
              </w:rPr>
            </w:pPr>
            <w:r>
              <w:rPr>
                <w:noProof/>
                <w:sz w:val="20"/>
                <w:szCs w:val="20"/>
                <w:lang w:eastAsia="en-GB"/>
              </w:rPr>
              <w:t>0</w:t>
            </w:r>
          </w:p>
        </w:tc>
        <w:tc>
          <w:tcPr>
            <w:tcW w:w="1134" w:type="dxa"/>
            <w:hideMark/>
          </w:tcPr>
          <w:p>
            <w:pPr>
              <w:spacing w:before="60" w:after="60"/>
              <w:jc w:val="center"/>
              <w:rPr>
                <w:b/>
                <w:noProof/>
                <w:sz w:val="20"/>
                <w:szCs w:val="20"/>
                <w:lang w:eastAsia="en-GB"/>
              </w:rPr>
            </w:pPr>
            <w:r>
              <w:rPr>
                <w:b/>
                <w:noProof/>
                <w:sz w:val="20"/>
                <w:szCs w:val="20"/>
                <w:lang w:eastAsia="en-GB"/>
              </w:rPr>
              <w:t>7</w:t>
            </w:r>
          </w:p>
        </w:tc>
        <w:tc>
          <w:tcPr>
            <w:tcW w:w="1936" w:type="dxa"/>
            <w:hideMark/>
          </w:tcPr>
          <w:p>
            <w:pPr>
              <w:spacing w:before="60" w:after="60"/>
              <w:jc w:val="center"/>
              <w:rPr>
                <w:noProof/>
                <w:sz w:val="20"/>
                <w:szCs w:val="20"/>
                <w:lang w:eastAsia="en-GB"/>
              </w:rPr>
            </w:pPr>
            <w:r>
              <w:rPr>
                <w:noProof/>
                <w:sz w:val="20"/>
                <w:szCs w:val="20"/>
                <w:lang w:eastAsia="en-GB"/>
              </w:rPr>
              <w:t>26% (C)</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Nitrogen fertilisers</w:t>
            </w:r>
          </w:p>
        </w:tc>
        <w:tc>
          <w:tcPr>
            <w:tcW w:w="1417" w:type="dxa"/>
            <w:hideMark/>
          </w:tcPr>
          <w:p>
            <w:pPr>
              <w:spacing w:before="60" w:after="60"/>
              <w:jc w:val="center"/>
              <w:rPr>
                <w:noProof/>
                <w:sz w:val="20"/>
                <w:szCs w:val="20"/>
                <w:lang w:eastAsia="en-GB"/>
              </w:rPr>
            </w:pPr>
            <w:r>
              <w:rPr>
                <w:noProof/>
                <w:sz w:val="20"/>
                <w:szCs w:val="20"/>
                <w:lang w:eastAsia="en-GB"/>
              </w:rPr>
              <w:t>4</w:t>
            </w:r>
          </w:p>
        </w:tc>
        <w:tc>
          <w:tcPr>
            <w:tcW w:w="1276" w:type="dxa"/>
            <w:hideMark/>
          </w:tcPr>
          <w:p>
            <w:pPr>
              <w:spacing w:before="60" w:after="60"/>
              <w:jc w:val="center"/>
              <w:rPr>
                <w:noProof/>
                <w:sz w:val="20"/>
                <w:szCs w:val="20"/>
                <w:lang w:eastAsia="en-GB"/>
              </w:rPr>
            </w:pPr>
            <w:r>
              <w:rPr>
                <w:noProof/>
                <w:sz w:val="20"/>
                <w:szCs w:val="20"/>
                <w:lang w:eastAsia="en-GB"/>
              </w:rPr>
              <w:t>1</w:t>
            </w:r>
          </w:p>
        </w:tc>
        <w:tc>
          <w:tcPr>
            <w:tcW w:w="1134" w:type="dxa"/>
            <w:hideMark/>
          </w:tcPr>
          <w:p>
            <w:pPr>
              <w:spacing w:before="60" w:after="60"/>
              <w:jc w:val="center"/>
              <w:rPr>
                <w:noProof/>
                <w:sz w:val="20"/>
                <w:szCs w:val="20"/>
                <w:lang w:eastAsia="en-GB"/>
              </w:rPr>
            </w:pPr>
            <w:r>
              <w:rPr>
                <w:noProof/>
                <w:sz w:val="20"/>
                <w:szCs w:val="20"/>
                <w:lang w:eastAsia="en-GB"/>
              </w:rPr>
              <w:t>3</w:t>
            </w:r>
          </w:p>
        </w:tc>
        <w:tc>
          <w:tcPr>
            <w:tcW w:w="1134" w:type="dxa"/>
            <w:hideMark/>
          </w:tcPr>
          <w:p>
            <w:pPr>
              <w:spacing w:before="60" w:after="60"/>
              <w:jc w:val="center"/>
              <w:rPr>
                <w:b/>
                <w:noProof/>
                <w:sz w:val="20"/>
                <w:szCs w:val="20"/>
                <w:lang w:eastAsia="en-GB"/>
              </w:rPr>
            </w:pPr>
            <w:r>
              <w:rPr>
                <w:b/>
                <w:noProof/>
                <w:sz w:val="20"/>
                <w:szCs w:val="20"/>
                <w:lang w:eastAsia="en-GB"/>
              </w:rPr>
              <w:t>8</w:t>
            </w:r>
          </w:p>
        </w:tc>
        <w:tc>
          <w:tcPr>
            <w:tcW w:w="1936" w:type="dxa"/>
            <w:hideMark/>
          </w:tcPr>
          <w:p>
            <w:pPr>
              <w:spacing w:before="60" w:after="60"/>
              <w:jc w:val="center"/>
              <w:rPr>
                <w:noProof/>
                <w:sz w:val="20"/>
                <w:szCs w:val="20"/>
                <w:lang w:eastAsia="en-GB"/>
              </w:rPr>
            </w:pPr>
            <w:r>
              <w:rPr>
                <w:noProof/>
                <w:sz w:val="20"/>
                <w:szCs w:val="20"/>
                <w:lang w:eastAsia="en-GB"/>
              </w:rPr>
              <w:t>17% (C)</w:t>
            </w:r>
          </w:p>
        </w:tc>
      </w:tr>
      <w:tr>
        <w:trPr>
          <w:trHeight w:val="300"/>
          <w:jc w:val="center"/>
        </w:trPr>
        <w:tc>
          <w:tcPr>
            <w:tcW w:w="2237" w:type="dxa"/>
            <w:noWrap/>
            <w:hideMark/>
          </w:tcPr>
          <w:p>
            <w:pPr>
              <w:spacing w:before="60" w:after="60"/>
              <w:jc w:val="left"/>
              <w:rPr>
                <w:bCs/>
                <w:noProof/>
                <w:sz w:val="20"/>
                <w:szCs w:val="20"/>
                <w:lang w:eastAsia="en-GB"/>
              </w:rPr>
            </w:pPr>
            <w:r>
              <w:rPr>
                <w:bCs/>
                <w:noProof/>
                <w:sz w:val="20"/>
                <w:szCs w:val="20"/>
                <w:lang w:eastAsia="en-GB"/>
              </w:rPr>
              <w:t>Refineries</w:t>
            </w:r>
          </w:p>
        </w:tc>
        <w:tc>
          <w:tcPr>
            <w:tcW w:w="1417" w:type="dxa"/>
            <w:hideMark/>
          </w:tcPr>
          <w:p>
            <w:pPr>
              <w:spacing w:before="60" w:after="60"/>
              <w:jc w:val="center"/>
              <w:rPr>
                <w:noProof/>
                <w:sz w:val="20"/>
                <w:szCs w:val="20"/>
                <w:lang w:eastAsia="en-GB"/>
              </w:rPr>
            </w:pPr>
            <w:r>
              <w:rPr>
                <w:noProof/>
                <w:sz w:val="20"/>
                <w:szCs w:val="20"/>
                <w:lang w:eastAsia="en-GB"/>
              </w:rPr>
              <w:t>1</w:t>
            </w:r>
          </w:p>
        </w:tc>
        <w:tc>
          <w:tcPr>
            <w:tcW w:w="1276" w:type="dxa"/>
            <w:hideMark/>
          </w:tcPr>
          <w:p>
            <w:pPr>
              <w:spacing w:before="60" w:after="60"/>
              <w:jc w:val="center"/>
              <w:rPr>
                <w:noProof/>
                <w:sz w:val="20"/>
                <w:szCs w:val="20"/>
                <w:lang w:eastAsia="en-GB"/>
              </w:rPr>
            </w:pPr>
            <w:r>
              <w:rPr>
                <w:noProof/>
                <w:sz w:val="20"/>
                <w:szCs w:val="20"/>
                <w:lang w:eastAsia="en-GB"/>
              </w:rPr>
              <w:t>8</w:t>
            </w:r>
          </w:p>
        </w:tc>
        <w:tc>
          <w:tcPr>
            <w:tcW w:w="1134" w:type="dxa"/>
            <w:hideMark/>
          </w:tcPr>
          <w:p>
            <w:pPr>
              <w:spacing w:before="60" w:after="60"/>
              <w:jc w:val="center"/>
              <w:rPr>
                <w:noProof/>
                <w:sz w:val="20"/>
                <w:szCs w:val="20"/>
                <w:lang w:eastAsia="en-GB"/>
              </w:rPr>
            </w:pPr>
            <w:r>
              <w:rPr>
                <w:noProof/>
                <w:sz w:val="20"/>
                <w:szCs w:val="20"/>
                <w:lang w:eastAsia="en-GB"/>
              </w:rPr>
              <w:t>4</w:t>
            </w:r>
          </w:p>
        </w:tc>
        <w:tc>
          <w:tcPr>
            <w:tcW w:w="1134" w:type="dxa"/>
            <w:hideMark/>
          </w:tcPr>
          <w:p>
            <w:pPr>
              <w:spacing w:before="60" w:after="60"/>
              <w:jc w:val="center"/>
              <w:rPr>
                <w:b/>
                <w:noProof/>
                <w:sz w:val="20"/>
                <w:szCs w:val="20"/>
                <w:lang w:eastAsia="en-GB"/>
              </w:rPr>
            </w:pPr>
            <w:r>
              <w:rPr>
                <w:b/>
                <w:noProof/>
                <w:sz w:val="20"/>
                <w:szCs w:val="20"/>
                <w:lang w:eastAsia="en-GB"/>
              </w:rPr>
              <w:t>13</w:t>
            </w:r>
          </w:p>
        </w:tc>
        <w:tc>
          <w:tcPr>
            <w:tcW w:w="1936" w:type="dxa"/>
            <w:hideMark/>
          </w:tcPr>
          <w:p>
            <w:pPr>
              <w:spacing w:before="60" w:after="60"/>
              <w:jc w:val="center"/>
              <w:rPr>
                <w:noProof/>
                <w:sz w:val="20"/>
                <w:szCs w:val="20"/>
                <w:lang w:eastAsia="en-GB"/>
              </w:rPr>
            </w:pPr>
            <w:r>
              <w:rPr>
                <w:noProof/>
                <w:sz w:val="20"/>
                <w:szCs w:val="20"/>
                <w:lang w:eastAsia="en-GB"/>
              </w:rPr>
              <w:t>19% (C)</w:t>
            </w:r>
          </w:p>
        </w:tc>
      </w:tr>
      <w:tr>
        <w:trPr>
          <w:trHeight w:val="300"/>
          <w:jc w:val="center"/>
        </w:trPr>
        <w:tc>
          <w:tcPr>
            <w:tcW w:w="2237" w:type="dxa"/>
            <w:noWrap/>
            <w:hideMark/>
          </w:tcPr>
          <w:p>
            <w:pPr>
              <w:spacing w:before="60" w:after="60"/>
              <w:jc w:val="left"/>
              <w:rPr>
                <w:b/>
                <w:bCs/>
                <w:noProof/>
                <w:sz w:val="20"/>
                <w:szCs w:val="20"/>
                <w:lang w:eastAsia="en-GB"/>
              </w:rPr>
            </w:pPr>
            <w:r>
              <w:rPr>
                <w:b/>
                <w:bCs/>
                <w:noProof/>
                <w:sz w:val="20"/>
                <w:szCs w:val="20"/>
                <w:lang w:eastAsia="en-GB"/>
              </w:rPr>
              <w:t xml:space="preserve">TOTAL </w:t>
            </w:r>
          </w:p>
        </w:tc>
        <w:tc>
          <w:tcPr>
            <w:tcW w:w="1417" w:type="dxa"/>
            <w:hideMark/>
          </w:tcPr>
          <w:p>
            <w:pPr>
              <w:spacing w:before="60" w:after="60"/>
              <w:jc w:val="center"/>
              <w:rPr>
                <w:b/>
                <w:noProof/>
                <w:sz w:val="20"/>
                <w:szCs w:val="20"/>
                <w:lang w:eastAsia="en-GB"/>
              </w:rPr>
            </w:pPr>
            <w:r>
              <w:rPr>
                <w:b/>
                <w:noProof/>
                <w:sz w:val="20"/>
                <w:szCs w:val="20"/>
              </w:rPr>
              <w:t>44</w:t>
            </w:r>
          </w:p>
        </w:tc>
        <w:tc>
          <w:tcPr>
            <w:tcW w:w="1276" w:type="dxa"/>
            <w:hideMark/>
          </w:tcPr>
          <w:p>
            <w:pPr>
              <w:spacing w:before="60" w:after="60"/>
              <w:jc w:val="center"/>
              <w:rPr>
                <w:b/>
                <w:noProof/>
                <w:sz w:val="20"/>
                <w:szCs w:val="20"/>
                <w:lang w:eastAsia="en-GB"/>
              </w:rPr>
            </w:pPr>
            <w:r>
              <w:rPr>
                <w:b/>
                <w:noProof/>
                <w:sz w:val="20"/>
                <w:szCs w:val="20"/>
              </w:rPr>
              <w:t>88</w:t>
            </w:r>
          </w:p>
        </w:tc>
        <w:tc>
          <w:tcPr>
            <w:tcW w:w="1134" w:type="dxa"/>
            <w:hideMark/>
          </w:tcPr>
          <w:p>
            <w:pPr>
              <w:spacing w:before="60" w:after="60"/>
              <w:jc w:val="center"/>
              <w:rPr>
                <w:b/>
                <w:noProof/>
                <w:sz w:val="20"/>
                <w:szCs w:val="20"/>
                <w:lang w:eastAsia="en-GB"/>
              </w:rPr>
            </w:pPr>
            <w:r>
              <w:rPr>
                <w:b/>
                <w:noProof/>
                <w:sz w:val="20"/>
                <w:szCs w:val="20"/>
              </w:rPr>
              <w:t>57</w:t>
            </w:r>
          </w:p>
        </w:tc>
        <w:tc>
          <w:tcPr>
            <w:tcW w:w="1134" w:type="dxa"/>
            <w:hideMark/>
          </w:tcPr>
          <w:p>
            <w:pPr>
              <w:spacing w:before="60" w:after="60"/>
              <w:jc w:val="center"/>
              <w:rPr>
                <w:b/>
                <w:noProof/>
                <w:sz w:val="20"/>
                <w:szCs w:val="20"/>
                <w:lang w:eastAsia="en-GB"/>
              </w:rPr>
            </w:pPr>
            <w:r>
              <w:rPr>
                <w:b/>
                <w:noProof/>
                <w:sz w:val="20"/>
                <w:szCs w:val="20"/>
              </w:rPr>
              <w:t>189</w:t>
            </w:r>
          </w:p>
        </w:tc>
        <w:tc>
          <w:tcPr>
            <w:tcW w:w="1936" w:type="dxa"/>
            <w:hideMark/>
          </w:tcPr>
          <w:p>
            <w:pPr>
              <w:spacing w:before="60" w:after="60"/>
              <w:jc w:val="center"/>
              <w:rPr>
                <w:b/>
                <w:noProof/>
                <w:sz w:val="20"/>
                <w:szCs w:val="20"/>
              </w:rPr>
            </w:pPr>
            <w:r>
              <w:rPr>
                <w:b/>
                <w:noProof/>
                <w:sz w:val="20"/>
                <w:szCs w:val="20"/>
              </w:rPr>
              <w:t>-</w:t>
            </w:r>
          </w:p>
        </w:tc>
      </w:tr>
    </w:tbl>
    <w:p>
      <w:pPr>
        <w:pStyle w:val="FootnoteText"/>
        <w:spacing w:before="120" w:after="120"/>
        <w:rPr>
          <w:noProof/>
        </w:rPr>
      </w:pPr>
      <w:r>
        <w:rPr>
          <w:noProof/>
        </w:rPr>
        <w:t>Source: CEPS/Ecofys</w:t>
      </w:r>
    </w:p>
    <w:p>
      <w:pPr>
        <w:pStyle w:val="FootnoteText"/>
        <w:rPr>
          <w:noProof/>
          <w:szCs w:val="24"/>
        </w:rPr>
      </w:pPr>
      <w:r>
        <w:rPr>
          <w:noProof/>
          <w:vertAlign w:val="superscript"/>
        </w:rPr>
        <w:t>(1)</w:t>
      </w:r>
      <w:r>
        <w:rPr>
          <w:noProof/>
        </w:rPr>
        <w:t xml:space="preserve"> </w:t>
      </w:r>
      <w:r>
        <w:rPr>
          <w:b/>
          <w:noProof/>
          <w:szCs w:val="24"/>
        </w:rPr>
        <w:t>Central-Eastern Europe:</w:t>
      </w:r>
      <w:r>
        <w:rPr>
          <w:noProof/>
          <w:szCs w:val="24"/>
        </w:rPr>
        <w:t xml:space="preserve"> Bulgaria, Croatia, Czech Republic, Estonia, Hungary, Latvia, Lithuania, Poland, Romania, Slovak Republic, Slovenia;</w:t>
      </w:r>
      <w:r>
        <w:rPr>
          <w:b/>
          <w:noProof/>
        </w:rPr>
        <w:t xml:space="preserve"> North-Western Europe:</w:t>
      </w:r>
      <w:r>
        <w:rPr>
          <w:noProof/>
        </w:rPr>
        <w:t xml:space="preserve"> Austria, Belgium, Denmark, Finland, France, Germany, Ireland, Luxembourg, the Netherlands, Sweden, the UK; </w:t>
      </w:r>
      <w:r>
        <w:rPr>
          <w:b/>
          <w:noProof/>
          <w:szCs w:val="24"/>
        </w:rPr>
        <w:t>Southern Europe:</w:t>
      </w:r>
      <w:r>
        <w:rPr>
          <w:noProof/>
          <w:szCs w:val="24"/>
        </w:rPr>
        <w:t xml:space="preserve"> Cyprus, Greece, Italy, Malta, Portugal, Spain.</w:t>
      </w:r>
    </w:p>
    <w:p>
      <w:pPr>
        <w:pStyle w:val="FootnoteText"/>
        <w:rPr>
          <w:noProof/>
          <w:szCs w:val="24"/>
        </w:rPr>
      </w:pPr>
      <w:r>
        <w:rPr>
          <w:noProof/>
          <w:szCs w:val="24"/>
          <w:vertAlign w:val="superscript"/>
        </w:rPr>
        <w:t>(2)</w:t>
      </w:r>
      <w:r>
        <w:rPr>
          <w:noProof/>
          <w:szCs w:val="24"/>
        </w:rPr>
        <w:t xml:space="preserve"> Estimates of the representativeness vary from year to year due to turnover/production capacity variation both in the sample and the sector as well as potential missing observations in the sample for a given year. For illustrative purpose, figures are shown for 2016 (figures with similar orders of magnitude can be observed for the other years).</w:t>
      </w:r>
    </w:p>
    <w:p>
      <w:pPr>
        <w:pStyle w:val="FootnoteText"/>
        <w:rPr>
          <w:noProof/>
          <w:szCs w:val="24"/>
        </w:rPr>
      </w:pPr>
      <w:r>
        <w:rPr>
          <w:noProof/>
          <w:szCs w:val="24"/>
          <w:vertAlign w:val="superscript"/>
        </w:rPr>
        <w:t>(3)</w:t>
      </w:r>
      <w:r>
        <w:rPr>
          <w:noProof/>
          <w:szCs w:val="24"/>
        </w:rPr>
        <w:t xml:space="preserve"> Due to data unavailability at this level of sectoral disaggregation the </w:t>
      </w:r>
      <w:r>
        <w:rPr>
          <w:noProof/>
        </w:rPr>
        <w:t xml:space="preserve">representativeness </w:t>
      </w:r>
      <w:r>
        <w:rPr>
          <w:noProof/>
          <w:szCs w:val="24"/>
        </w:rPr>
        <w:t>could not be computed.</w:t>
      </w:r>
    </w:p>
    <w:p>
      <w:pPr>
        <w:pStyle w:val="FootnoteText"/>
        <w:rPr>
          <w:noProof/>
          <w:szCs w:val="24"/>
        </w:rPr>
      </w:pPr>
    </w:p>
    <w:p>
      <w:pPr>
        <w:spacing w:after="0"/>
        <w:jc w:val="left"/>
        <w:rPr>
          <w:noProof/>
          <w:sz w:val="24"/>
        </w:rPr>
      </w:pPr>
      <w:r>
        <w:rPr>
          <w:noProof/>
          <w:sz w:val="24"/>
        </w:rPr>
        <w:br w:type="page"/>
      </w:r>
    </w:p>
    <w:p>
      <w:pPr>
        <w:pStyle w:val="Heading3"/>
        <w:numPr>
          <w:ilvl w:val="2"/>
          <w:numId w:val="1"/>
        </w:numPr>
        <w:rPr>
          <w:noProof/>
        </w:rPr>
      </w:pPr>
      <w:bookmarkStart w:id="542" w:name="_Toc524619534"/>
      <w:bookmarkStart w:id="543" w:name="_Toc524961081"/>
      <w:bookmarkStart w:id="544" w:name="_Toc525143042"/>
      <w:bookmarkStart w:id="545" w:name="_Toc525222199"/>
      <w:bookmarkStart w:id="546" w:name="_Toc525222368"/>
      <w:bookmarkStart w:id="547" w:name="_Toc526420765"/>
      <w:bookmarkStart w:id="548" w:name="_Toc526433991"/>
      <w:bookmarkStart w:id="549" w:name="_Toc526435933"/>
      <w:bookmarkStart w:id="550" w:name="_Toc530595263"/>
      <w:bookmarkStart w:id="551" w:name="_Toc531178342"/>
      <w:r>
        <w:rPr>
          <w:noProof/>
        </w:rPr>
        <w:t>Cross-Sectorial comparisons</w:t>
      </w:r>
      <w:bookmarkEnd w:id="529"/>
      <w:bookmarkEnd w:id="542"/>
      <w:bookmarkEnd w:id="543"/>
      <w:bookmarkEnd w:id="544"/>
      <w:bookmarkEnd w:id="545"/>
      <w:bookmarkEnd w:id="546"/>
      <w:bookmarkEnd w:id="547"/>
      <w:bookmarkEnd w:id="548"/>
      <w:bookmarkEnd w:id="549"/>
      <w:bookmarkEnd w:id="550"/>
      <w:bookmarkEnd w:id="551"/>
    </w:p>
    <w:p>
      <w:pPr>
        <w:rPr>
          <w:noProof/>
          <w:sz w:val="24"/>
          <w:szCs w:val="24"/>
        </w:rPr>
      </w:pPr>
      <w:bookmarkStart w:id="552" w:name="_Toc468890490"/>
    </w:p>
    <w:p>
      <w:pPr>
        <w:rPr>
          <w:b/>
          <w:noProof/>
          <w:sz w:val="24"/>
        </w:rPr>
      </w:pPr>
      <w:r>
        <w:rPr>
          <w:b/>
          <w:noProof/>
          <w:sz w:val="24"/>
        </w:rPr>
        <w:t>Electricity prices and costs</w:t>
      </w:r>
    </w:p>
    <w:p>
      <w:pPr>
        <w:rPr>
          <w:noProof/>
          <w:sz w:val="24"/>
        </w:rPr>
      </w:pPr>
      <w:r>
        <w:rPr>
          <w:noProof/>
          <w:sz w:val="24"/>
        </w:rPr>
        <w:t>We can observe across sectors a straightforward relationship between increased electricity consumption levels and decreased average prices (</w:t>
      </w:r>
      <w:r>
        <w:rPr>
          <w:b/>
          <w:noProof/>
          <w:sz w:val="24"/>
        </w:rPr>
        <w:fldChar w:fldCharType="begin"/>
      </w:r>
      <w:r>
        <w:rPr>
          <w:b/>
          <w:noProof/>
          <w:sz w:val="24"/>
        </w:rPr>
        <w:instrText xml:space="preserve"> REF _Ref527468724 \h  \* MERGEFORMAT </w:instrText>
      </w:r>
      <w:r>
        <w:rPr>
          <w:b/>
          <w:noProof/>
          <w:sz w:val="24"/>
        </w:rPr>
      </w:r>
      <w:r>
        <w:rPr>
          <w:b/>
          <w:noProof/>
          <w:sz w:val="24"/>
        </w:rPr>
        <w:fldChar w:fldCharType="separate"/>
      </w:r>
      <w:r>
        <w:rPr>
          <w:b/>
          <w:noProof/>
          <w:sz w:val="24"/>
        </w:rPr>
        <w:t>Figure 150</w:t>
      </w:r>
      <w:r>
        <w:rPr>
          <w:b/>
          <w:noProof/>
          <w:sz w:val="24"/>
        </w:rPr>
        <w:fldChar w:fldCharType="end"/>
      </w:r>
      <w:r>
        <w:rPr>
          <w:noProof/>
          <w:sz w:val="24"/>
        </w:rPr>
        <w:t>). At the lower range of electricity consumption (2016 figures), we can find the bricks and tiles industry, with a median electricity consumption of around 6 GWh/year per plant, which pays on average 84 EUR/MWh, while in the upper range the primary aluminium industry, with a median consumption of around 2.3 TWh/year per plant (almost 400 times higher than for bricks and tiles), pays 39 EUR/MWh on average. The sector which pays the highest electricity prices is wall and floor tiles with a price of 99 EUR/MWh on average, which is around 150% more expensive than the price paid by primary aluminium.</w:t>
      </w:r>
    </w:p>
    <w:p>
      <w:pPr>
        <w:rPr>
          <w:noProof/>
          <w:sz w:val="24"/>
        </w:rPr>
      </w:pPr>
      <w:bookmarkStart w:id="553" w:name="_Ref527040456"/>
      <w:r>
        <w:rPr>
          <w:noProof/>
          <w:sz w:val="24"/>
        </w:rPr>
        <w:t>The average electricity prices are associated in most sectors with high price spreads (the most extreme case being refineries), which reflect the high variability of conditions in different Member States.</w:t>
      </w:r>
    </w:p>
    <w:p>
      <w:pPr>
        <w:rPr>
          <w:noProof/>
          <w:sz w:val="24"/>
        </w:rPr>
      </w:pPr>
    </w:p>
    <w:p>
      <w:pPr>
        <w:rPr>
          <w:noProof/>
        </w:rPr>
      </w:pPr>
      <w:r>
        <w:rPr>
          <w:noProof/>
          <w:lang w:eastAsia="en-GB"/>
        </w:rPr>
        <w:drawing>
          <wp:inline distT="0" distB="0" distL="0" distR="0">
            <wp:extent cx="5760720" cy="377099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0720" cy="3770998"/>
                    </a:xfrm>
                    <a:prstGeom prst="rect">
                      <a:avLst/>
                    </a:prstGeom>
                    <a:noFill/>
                    <a:ln>
                      <a:noFill/>
                    </a:ln>
                  </pic:spPr>
                </pic:pic>
              </a:graphicData>
            </a:graphic>
          </wp:inline>
        </w:drawing>
      </w:r>
    </w:p>
    <w:p>
      <w:pPr>
        <w:pStyle w:val="Caption"/>
      </w:pPr>
      <w:bookmarkStart w:id="554" w:name="_Ref527468724"/>
      <w:bookmarkStart w:id="555" w:name="_Toc525807894"/>
      <w:bookmarkStart w:id="556" w:name="_Toc526433510"/>
      <w:bookmarkStart w:id="557" w:name="_Toc526433788"/>
      <w:bookmarkStart w:id="558" w:name="_Toc526435730"/>
      <w:bookmarkStart w:id="559" w:name="_Toc530739820"/>
      <w:bookmarkStart w:id="560" w:name="_Toc531178541"/>
      <w:r>
        <w:t xml:space="preserve">Figure </w:t>
      </w:r>
      <w:r>
        <w:fldChar w:fldCharType="begin"/>
      </w:r>
      <w:r>
        <w:instrText xml:space="preserve"> SEQ Figure \* ARABIC </w:instrText>
      </w:r>
      <w:r>
        <w:fldChar w:fldCharType="separate"/>
      </w:r>
      <w:r>
        <w:t>150</w:t>
      </w:r>
      <w:r>
        <w:fldChar w:fldCharType="end"/>
      </w:r>
      <w:bookmarkEnd w:id="553"/>
      <w:bookmarkEnd w:id="554"/>
      <w:r>
        <w:t xml:space="preserve"> - Plant electricity consumption and average electricity prices by sector, 2016 (185 observations)</w:t>
      </w:r>
      <w:bookmarkEnd w:id="555"/>
      <w:bookmarkEnd w:id="556"/>
      <w:bookmarkEnd w:id="557"/>
      <w:bookmarkEnd w:id="558"/>
      <w:bookmarkEnd w:id="559"/>
      <w:bookmarkEnd w:id="560"/>
    </w:p>
    <w:p>
      <w:pPr>
        <w:pStyle w:val="Sources"/>
        <w:rPr>
          <w:noProof/>
          <w:sz w:val="22"/>
        </w:rPr>
      </w:pPr>
      <w:r>
        <w:rPr>
          <w:noProof/>
        </w:rPr>
        <w:t>Source: CEPS/Ecofys.</w:t>
      </w:r>
    </w:p>
    <w:p>
      <w:pPr>
        <w:rPr>
          <w:noProof/>
          <w:sz w:val="24"/>
        </w:rPr>
      </w:pPr>
    </w:p>
    <w:p>
      <w:pPr>
        <w:rPr>
          <w:noProof/>
          <w:sz w:val="24"/>
        </w:rPr>
      </w:pPr>
      <w:r>
        <w:rPr>
          <w:b/>
          <w:noProof/>
          <w:sz w:val="24"/>
        </w:rPr>
        <w:fldChar w:fldCharType="begin"/>
      </w:r>
      <w:r>
        <w:rPr>
          <w:b/>
          <w:noProof/>
          <w:sz w:val="24"/>
        </w:rPr>
        <w:instrText xml:space="preserve"> REF _Ref527040612 \h  \* MERGEFORMAT </w:instrText>
      </w:r>
      <w:r>
        <w:rPr>
          <w:b/>
          <w:noProof/>
          <w:sz w:val="24"/>
        </w:rPr>
      </w:r>
      <w:r>
        <w:rPr>
          <w:b/>
          <w:noProof/>
          <w:sz w:val="24"/>
        </w:rPr>
        <w:fldChar w:fldCharType="separate"/>
      </w:r>
      <w:r>
        <w:rPr>
          <w:b/>
          <w:noProof/>
          <w:sz w:val="24"/>
        </w:rPr>
        <w:t>Figure 151</w:t>
      </w:r>
      <w:r>
        <w:rPr>
          <w:b/>
          <w:noProof/>
          <w:sz w:val="24"/>
        </w:rPr>
        <w:fldChar w:fldCharType="end"/>
      </w:r>
      <w:r>
        <w:rPr>
          <w:noProof/>
          <w:sz w:val="24"/>
        </w:rPr>
        <w:t xml:space="preserve"> presents the average electricity prices of plants grouped by 4 electricity consumption bands, irrespective of the sector:</w:t>
      </w:r>
    </w:p>
    <w:p>
      <w:pPr>
        <w:pStyle w:val="ListParagraph"/>
        <w:numPr>
          <w:ilvl w:val="0"/>
          <w:numId w:val="18"/>
        </w:numPr>
        <w:rPr>
          <w:noProof/>
          <w:sz w:val="24"/>
        </w:rPr>
      </w:pPr>
      <w:r>
        <w:rPr>
          <w:noProof/>
          <w:sz w:val="24"/>
        </w:rPr>
        <w:t>1-10 GWh (35% of sampled plants), mostly equivalent to electricity band IC or ID;</w:t>
      </w:r>
    </w:p>
    <w:p>
      <w:pPr>
        <w:pStyle w:val="ListParagraph"/>
        <w:numPr>
          <w:ilvl w:val="0"/>
          <w:numId w:val="18"/>
        </w:numPr>
        <w:rPr>
          <w:noProof/>
          <w:sz w:val="24"/>
        </w:rPr>
      </w:pPr>
      <w:r>
        <w:rPr>
          <w:noProof/>
          <w:sz w:val="24"/>
        </w:rPr>
        <w:t>10-100 GWh (37% of sampled plants), mostly equivalent to electricity band ID or IE;</w:t>
      </w:r>
    </w:p>
    <w:p>
      <w:pPr>
        <w:pStyle w:val="ListParagraph"/>
        <w:numPr>
          <w:ilvl w:val="0"/>
          <w:numId w:val="18"/>
        </w:numPr>
        <w:rPr>
          <w:noProof/>
          <w:sz w:val="24"/>
        </w:rPr>
      </w:pPr>
      <w:r>
        <w:rPr>
          <w:noProof/>
          <w:sz w:val="24"/>
        </w:rPr>
        <w:t>100-1,000 GWh (21% of sampled plants), mostly equivalent to electricity band IF or IG;</w:t>
      </w:r>
    </w:p>
    <w:p>
      <w:pPr>
        <w:pStyle w:val="ListParagraph"/>
        <w:numPr>
          <w:ilvl w:val="0"/>
          <w:numId w:val="18"/>
        </w:numPr>
        <w:rPr>
          <w:noProof/>
          <w:sz w:val="24"/>
        </w:rPr>
      </w:pPr>
      <w:r>
        <w:rPr>
          <w:noProof/>
          <w:sz w:val="24"/>
        </w:rPr>
        <w:t>1,000-10,000 GWh (7% of sampled plants), equivalent to electricity band IG.</w:t>
      </w:r>
    </w:p>
    <w:p>
      <w:pPr>
        <w:rPr>
          <w:noProof/>
          <w:sz w:val="24"/>
        </w:rPr>
      </w:pPr>
      <w:r>
        <w:rPr>
          <w:noProof/>
          <w:sz w:val="24"/>
        </w:rPr>
        <w:t>The negative correlation between consumption and average prices of electricity appears quite robust over the period (lower bands pay a higher price and upper bands pay a lower price). In general, electricity prices peaked in 2011 for the two upper bands (100-10,000 GWh) and in 2012 for the two lower bands (1-100 GWh) and have been decreasing since then in all four consumption bands.</w:t>
      </w:r>
    </w:p>
    <w:p>
      <w:pPr>
        <w:rPr>
          <w:noProof/>
          <w:sz w:val="24"/>
        </w:rPr>
      </w:pPr>
    </w:p>
    <w:p>
      <w:pPr>
        <w:rPr>
          <w:noProof/>
        </w:rPr>
      </w:pPr>
      <w:r>
        <w:rPr>
          <w:noProof/>
          <w:lang w:eastAsia="en-GB"/>
        </w:rPr>
        <w:drawing>
          <wp:inline distT="0" distB="0" distL="0" distR="0">
            <wp:extent cx="5760720" cy="28727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60720" cy="2872745"/>
                    </a:xfrm>
                    <a:prstGeom prst="rect">
                      <a:avLst/>
                    </a:prstGeom>
                    <a:noFill/>
                    <a:ln>
                      <a:noFill/>
                    </a:ln>
                  </pic:spPr>
                </pic:pic>
              </a:graphicData>
            </a:graphic>
          </wp:inline>
        </w:drawing>
      </w:r>
    </w:p>
    <w:p>
      <w:pPr>
        <w:pStyle w:val="Caption"/>
      </w:pPr>
      <w:bookmarkStart w:id="561" w:name="_Ref527040612"/>
      <w:bookmarkStart w:id="562" w:name="_Toc525807895"/>
      <w:bookmarkStart w:id="563" w:name="_Toc526433511"/>
      <w:bookmarkStart w:id="564" w:name="_Toc526433789"/>
      <w:bookmarkStart w:id="565" w:name="_Toc526435731"/>
      <w:bookmarkStart w:id="566" w:name="_Toc530739821"/>
      <w:bookmarkStart w:id="567" w:name="_Toc531178542"/>
      <w:r>
        <w:t xml:space="preserve">Figure </w:t>
      </w:r>
      <w:r>
        <w:fldChar w:fldCharType="begin"/>
      </w:r>
      <w:r>
        <w:instrText xml:space="preserve"> SEQ Figure \* ARABIC </w:instrText>
      </w:r>
      <w:r>
        <w:fldChar w:fldCharType="separate"/>
      </w:r>
      <w:r>
        <w:t>151</w:t>
      </w:r>
      <w:r>
        <w:fldChar w:fldCharType="end"/>
      </w:r>
      <w:bookmarkEnd w:id="561"/>
      <w:r>
        <w:t xml:space="preserve"> - Average electricity prices by consumption level, 2008 – 2017 (2008: 120 observations; 2009: 73; 2010: 141; 2011: 86; 2012: 154; 2013: 161; 2014: 161; 2015: 158; 2016: 185; 2017: 182)</w:t>
      </w:r>
      <w:bookmarkEnd w:id="562"/>
      <w:bookmarkEnd w:id="563"/>
      <w:bookmarkEnd w:id="564"/>
      <w:bookmarkEnd w:id="565"/>
      <w:bookmarkEnd w:id="566"/>
      <w:bookmarkEnd w:id="567"/>
    </w:p>
    <w:p>
      <w:pPr>
        <w:pStyle w:val="Sources"/>
        <w:rPr>
          <w:noProof/>
          <w:sz w:val="22"/>
        </w:rPr>
      </w:pPr>
      <w:r>
        <w:rPr>
          <w:noProof/>
        </w:rPr>
        <w:t>Source: CEPS/Ecofys.</w:t>
      </w:r>
    </w:p>
    <w:p>
      <w:pPr>
        <w:rPr>
          <w:noProof/>
          <w:sz w:val="24"/>
          <w:lang w:eastAsia="de-DE"/>
        </w:rPr>
      </w:pPr>
    </w:p>
    <w:p>
      <w:pPr>
        <w:rPr>
          <w:noProof/>
          <w:sz w:val="24"/>
        </w:rPr>
      </w:pPr>
      <w:r>
        <w:rPr>
          <w:noProof/>
          <w:sz w:val="24"/>
        </w:rPr>
        <w:t>The trend of lower prices for industries that have plants with high electricity needs can be explained by various reasons:</w:t>
      </w:r>
    </w:p>
    <w:p>
      <w:pPr>
        <w:pStyle w:val="ListParagraph"/>
        <w:numPr>
          <w:ilvl w:val="0"/>
          <w:numId w:val="7"/>
        </w:numPr>
        <w:spacing w:after="100" w:line="260" w:lineRule="atLeast"/>
        <w:rPr>
          <w:noProof/>
          <w:sz w:val="24"/>
        </w:rPr>
      </w:pPr>
      <w:r>
        <w:rPr>
          <w:noProof/>
          <w:sz w:val="24"/>
        </w:rPr>
        <w:t>Some larger consumers may negotiate more favourable supply price conditions through the wholesale market or through striking better deals with providers in exchange for the amount of power they purchase and their load consumption profile.</w:t>
      </w:r>
    </w:p>
    <w:p>
      <w:pPr>
        <w:pStyle w:val="ListParagraph"/>
        <w:numPr>
          <w:ilvl w:val="0"/>
          <w:numId w:val="7"/>
        </w:numPr>
        <w:spacing w:after="100" w:line="260" w:lineRule="atLeast"/>
        <w:rPr>
          <w:noProof/>
          <w:sz w:val="24"/>
        </w:rPr>
      </w:pPr>
      <w:r>
        <w:rPr>
          <w:noProof/>
          <w:sz w:val="24"/>
        </w:rPr>
        <w:t>Larger consumers from energy-intensive sectors may be granted exemptions from certain taxes and levies, or be provided with lower prices in Member States with regulated prices.</w:t>
      </w:r>
    </w:p>
    <w:p>
      <w:pPr>
        <w:pStyle w:val="ListParagraph"/>
        <w:numPr>
          <w:ilvl w:val="0"/>
          <w:numId w:val="7"/>
        </w:numPr>
        <w:spacing w:after="100" w:line="260" w:lineRule="atLeast"/>
        <w:rPr>
          <w:noProof/>
          <w:sz w:val="24"/>
        </w:rPr>
      </w:pPr>
      <w:r>
        <w:rPr>
          <w:noProof/>
          <w:sz w:val="24"/>
        </w:rPr>
        <w:t>Some industries, in particular the primary aluminium industry, run a flat profile process from day to night, hence benefit from lower electricity prices (base load prices).</w:t>
      </w:r>
    </w:p>
    <w:p>
      <w:pPr>
        <w:rPr>
          <w:noProof/>
          <w:sz w:val="24"/>
          <w:lang w:eastAsia="en-GB"/>
        </w:rPr>
      </w:pPr>
    </w:p>
    <w:p>
      <w:pPr>
        <w:rPr>
          <w:noProof/>
          <w:sz w:val="24"/>
        </w:rPr>
      </w:pPr>
      <w:r>
        <w:rPr>
          <w:noProof/>
          <w:sz w:val="24"/>
        </w:rPr>
        <w:t>With accounting for reimbursements</w:t>
      </w:r>
      <w:r>
        <w:rPr>
          <w:rStyle w:val="FootnoteReference"/>
          <w:noProof/>
          <w:sz w:val="24"/>
        </w:rPr>
        <w:footnoteReference w:id="49"/>
      </w:r>
      <w:r>
        <w:rPr>
          <w:noProof/>
          <w:sz w:val="24"/>
        </w:rPr>
        <w:t xml:space="preserve">, payments for flexibility schemes and revenues from self-generated electricity sold to the grid, </w:t>
      </w:r>
      <w:r>
        <w:rPr>
          <w:b/>
          <w:noProof/>
          <w:sz w:val="24"/>
        </w:rPr>
        <w:fldChar w:fldCharType="begin"/>
      </w:r>
      <w:r>
        <w:rPr>
          <w:b/>
          <w:noProof/>
          <w:sz w:val="24"/>
        </w:rPr>
        <w:instrText xml:space="preserve"> REF _Ref520399105 \h  \* MERGEFORMAT </w:instrText>
      </w:r>
      <w:r>
        <w:rPr>
          <w:b/>
          <w:noProof/>
          <w:sz w:val="24"/>
        </w:rPr>
      </w:r>
      <w:r>
        <w:rPr>
          <w:b/>
          <w:noProof/>
          <w:sz w:val="24"/>
        </w:rPr>
        <w:fldChar w:fldCharType="separate"/>
      </w:r>
      <w:r>
        <w:rPr>
          <w:b/>
          <w:noProof/>
          <w:sz w:val="24"/>
        </w:rPr>
        <w:t>Figure 152</w:t>
      </w:r>
      <w:r>
        <w:rPr>
          <w:b/>
          <w:noProof/>
          <w:sz w:val="24"/>
        </w:rPr>
        <w:fldChar w:fldCharType="end"/>
      </w:r>
      <w:r>
        <w:rPr>
          <w:noProof/>
          <w:sz w:val="24"/>
        </w:rPr>
        <w:t xml:space="preserve"> shows electricity costs vs. electricity consumption at plant level by sector. We observe for costs the same trends as before for prices, but since some plants either receive reimbursements, payments and/or self-produce electricity, electricity costs are generally lower than electricity prices. The difference between prices and costs varies both across sectors and years (full details can be found in the CEPS and </w:t>
      </w:r>
      <w:r>
        <w:rPr>
          <w:noProof/>
          <w:sz w:val="24"/>
          <w:szCs w:val="24"/>
        </w:rPr>
        <w:t>Ecofys study)</w:t>
      </w:r>
      <w:r>
        <w:rPr>
          <w:noProof/>
          <w:sz w:val="24"/>
        </w:rPr>
        <w:t>. Across sectors, the difference tends to be larger in 2016 and 2017 in comparison with previous years, but it remains moderate in any case. For instance in 2016, costs were between 0% (downstream aluminium) and 11% (wall and floor tiles) lower than prices (</w:t>
      </w:r>
      <w:r>
        <w:rPr>
          <w:b/>
          <w:noProof/>
          <w:sz w:val="24"/>
        </w:rPr>
        <w:fldChar w:fldCharType="begin"/>
      </w:r>
      <w:r>
        <w:rPr>
          <w:b/>
          <w:noProof/>
          <w:sz w:val="24"/>
        </w:rPr>
        <w:instrText xml:space="preserve"> REF _Ref520399105 \h  \* MERGEFORMAT </w:instrText>
      </w:r>
      <w:r>
        <w:rPr>
          <w:b/>
          <w:noProof/>
          <w:sz w:val="24"/>
        </w:rPr>
      </w:r>
      <w:r>
        <w:rPr>
          <w:b/>
          <w:noProof/>
          <w:sz w:val="24"/>
        </w:rPr>
        <w:fldChar w:fldCharType="separate"/>
      </w:r>
      <w:r>
        <w:rPr>
          <w:b/>
          <w:noProof/>
          <w:sz w:val="24"/>
        </w:rPr>
        <w:t>Figure 152</w:t>
      </w:r>
      <w:r>
        <w:rPr>
          <w:b/>
          <w:noProof/>
          <w:sz w:val="24"/>
        </w:rPr>
        <w:fldChar w:fldCharType="end"/>
      </w:r>
      <w:r>
        <w:rPr>
          <w:b/>
          <w:noProof/>
          <w:sz w:val="24"/>
        </w:rPr>
        <w:t xml:space="preserve"> </w:t>
      </w:r>
      <w:r>
        <w:rPr>
          <w:noProof/>
          <w:sz w:val="24"/>
        </w:rPr>
        <w:t xml:space="preserve">compared to </w:t>
      </w:r>
      <w:r>
        <w:rPr>
          <w:b/>
          <w:noProof/>
          <w:sz w:val="24"/>
        </w:rPr>
        <w:fldChar w:fldCharType="begin"/>
      </w:r>
      <w:r>
        <w:rPr>
          <w:b/>
          <w:noProof/>
          <w:sz w:val="24"/>
        </w:rPr>
        <w:instrText xml:space="preserve"> REF _Ref527468724 \h  \* MERGEFORMAT </w:instrText>
      </w:r>
      <w:r>
        <w:rPr>
          <w:b/>
          <w:noProof/>
          <w:sz w:val="24"/>
        </w:rPr>
      </w:r>
      <w:r>
        <w:rPr>
          <w:b/>
          <w:noProof/>
          <w:sz w:val="24"/>
        </w:rPr>
        <w:fldChar w:fldCharType="separate"/>
      </w:r>
      <w:r>
        <w:rPr>
          <w:b/>
          <w:noProof/>
          <w:sz w:val="24"/>
        </w:rPr>
        <w:t>Figure 150</w:t>
      </w:r>
      <w:r>
        <w:rPr>
          <w:b/>
          <w:noProof/>
          <w:sz w:val="24"/>
        </w:rPr>
        <w:fldChar w:fldCharType="end"/>
      </w:r>
      <w:r>
        <w:rPr>
          <w:noProof/>
          <w:sz w:val="24"/>
        </w:rPr>
        <w:t>).</w:t>
      </w:r>
    </w:p>
    <w:p>
      <w:pPr>
        <w:jc w:val="center"/>
        <w:rPr>
          <w:noProof/>
        </w:rPr>
      </w:pPr>
      <w:r>
        <w:rPr>
          <w:noProof/>
          <w:lang w:eastAsia="en-GB"/>
        </w:rPr>
        <w:drawing>
          <wp:inline distT="0" distB="0" distL="0" distR="0">
            <wp:extent cx="4844250" cy="3207224"/>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857302" cy="3215865"/>
                    </a:xfrm>
                    <a:prstGeom prst="rect">
                      <a:avLst/>
                    </a:prstGeom>
                  </pic:spPr>
                </pic:pic>
              </a:graphicData>
            </a:graphic>
          </wp:inline>
        </w:drawing>
      </w:r>
    </w:p>
    <w:p>
      <w:pPr>
        <w:pStyle w:val="Caption"/>
      </w:pPr>
      <w:bookmarkStart w:id="568" w:name="_Ref520399105"/>
      <w:bookmarkStart w:id="569" w:name="_Toc525807896"/>
      <w:bookmarkStart w:id="570" w:name="_Toc526433512"/>
      <w:bookmarkStart w:id="571" w:name="_Toc526433790"/>
      <w:bookmarkStart w:id="572" w:name="_Toc526435732"/>
      <w:bookmarkStart w:id="573" w:name="_Toc530739822"/>
      <w:bookmarkStart w:id="574" w:name="_Toc531178543"/>
      <w:r>
        <w:t xml:space="preserve">Figure </w:t>
      </w:r>
      <w:r>
        <w:fldChar w:fldCharType="begin"/>
      </w:r>
      <w:r>
        <w:instrText xml:space="preserve"> SEQ Figure \* ARABIC </w:instrText>
      </w:r>
      <w:r>
        <w:fldChar w:fldCharType="separate"/>
      </w:r>
      <w:r>
        <w:t>152</w:t>
      </w:r>
      <w:r>
        <w:fldChar w:fldCharType="end"/>
      </w:r>
      <w:bookmarkEnd w:id="568"/>
      <w:r>
        <w:t xml:space="preserve"> - Plant electricity consumption and average electricity costs by sector, 2016 (185 observations)</w:t>
      </w:r>
      <w:bookmarkEnd w:id="569"/>
      <w:bookmarkEnd w:id="570"/>
      <w:bookmarkEnd w:id="571"/>
      <w:bookmarkEnd w:id="572"/>
      <w:bookmarkEnd w:id="573"/>
      <w:bookmarkEnd w:id="574"/>
    </w:p>
    <w:p>
      <w:pPr>
        <w:pStyle w:val="Sources"/>
        <w:rPr>
          <w:noProof/>
          <w:sz w:val="22"/>
        </w:rPr>
      </w:pPr>
      <w:r>
        <w:rPr>
          <w:noProof/>
        </w:rPr>
        <w:t>Source: CEPS/Ecofys.</w:t>
      </w:r>
    </w:p>
    <w:p>
      <w:pPr>
        <w:rPr>
          <w:b/>
          <w:noProof/>
          <w:sz w:val="24"/>
          <w:lang w:eastAsia="en-GB"/>
        </w:rPr>
      </w:pPr>
      <w:r>
        <w:rPr>
          <w:b/>
          <w:noProof/>
          <w:sz w:val="24"/>
          <w:lang w:eastAsia="en-GB"/>
        </w:rPr>
        <w:t>Natural gas</w:t>
      </w:r>
      <w:r>
        <w:rPr>
          <w:b/>
          <w:noProof/>
          <w:sz w:val="24"/>
        </w:rPr>
        <w:t xml:space="preserve"> prices and costs</w:t>
      </w:r>
    </w:p>
    <w:p>
      <w:pPr>
        <w:rPr>
          <w:noProof/>
          <w:sz w:val="24"/>
        </w:rPr>
      </w:pPr>
      <w:r>
        <w:rPr>
          <w:noProof/>
          <w:sz w:val="24"/>
        </w:rPr>
        <w:t xml:space="preserve">A correlation between natural gas consumption and the natural gas price paid by plants can be seen, but is much less significant when compared with the analysis on electricity prices </w:t>
      </w:r>
      <w:r>
        <w:rPr>
          <w:noProof/>
          <w:sz w:val="24"/>
          <w:lang w:eastAsia="en-GB"/>
        </w:rPr>
        <w:t>(</w:t>
      </w:r>
      <w:r>
        <w:rPr>
          <w:noProof/>
          <w:sz w:val="24"/>
          <w:lang w:eastAsia="en-GB"/>
        </w:rPr>
        <w:fldChar w:fldCharType="begin"/>
      </w:r>
      <w:r>
        <w:rPr>
          <w:noProof/>
          <w:sz w:val="24"/>
          <w:lang w:eastAsia="en-GB"/>
        </w:rPr>
        <w:instrText xml:space="preserve"> REF _Ref527469186 \h </w:instrText>
      </w:r>
      <w:r>
        <w:rPr>
          <w:b/>
          <w:noProof/>
          <w:sz w:val="24"/>
          <w:lang w:eastAsia="en-GB"/>
        </w:rPr>
        <w:instrText xml:space="preserve"> \* MERGEFORMAT </w:instrText>
      </w:r>
      <w:r>
        <w:rPr>
          <w:noProof/>
          <w:sz w:val="24"/>
          <w:lang w:eastAsia="en-GB"/>
        </w:rPr>
      </w:r>
      <w:r>
        <w:rPr>
          <w:noProof/>
          <w:sz w:val="24"/>
          <w:lang w:eastAsia="en-GB"/>
        </w:rPr>
        <w:fldChar w:fldCharType="separate"/>
      </w:r>
      <w:r>
        <w:rPr>
          <w:b/>
          <w:noProof/>
          <w:sz w:val="24"/>
        </w:rPr>
        <w:t>Figure 153</w:t>
      </w:r>
      <w:r>
        <w:rPr>
          <w:noProof/>
          <w:sz w:val="24"/>
          <w:lang w:eastAsia="en-GB"/>
        </w:rPr>
        <w:fldChar w:fldCharType="end"/>
      </w:r>
      <w:r>
        <w:rPr>
          <w:noProof/>
          <w:sz w:val="24"/>
          <w:lang w:eastAsia="en-GB"/>
        </w:rPr>
        <w:t xml:space="preserve">). </w:t>
      </w:r>
      <w:r>
        <w:rPr>
          <w:noProof/>
          <w:sz w:val="24"/>
        </w:rPr>
        <w:t>In 2016, nitrogen fertiliser plants (the most natural gas intensive plants in the analysis) had a median natural gas consumption of 4,5 TWh and paid for it 19 EUR/MWh on average, while plants from the bricks and roof tiles industry (the least natural gas intensive plants in the analysis) had a median natural gas consumption of 51 GWh (almost 100 times less than nitrogen fertilisers) and paid for it 25 EUR/MWh on average. The sector which pays the lowest natural gas prices is BOF steel with a price of 17 EUR/MWh on average. The maximum natural gas price differential (the highest natural gas price paid compared to the lowest in relative terms) observed in the sampled  energy intensive industries is around +46%, which is still significant, but the price range is much lower than in the case of electricity (maximum price differential: +152%).</w:t>
      </w:r>
    </w:p>
    <w:p>
      <w:pPr>
        <w:rPr>
          <w:noProof/>
          <w:sz w:val="24"/>
        </w:rPr>
      </w:pPr>
      <w:r>
        <w:rPr>
          <w:noProof/>
          <w:sz w:val="24"/>
        </w:rPr>
        <w:t>The lower variation in natural gas prices both within (price spreads) and across sectors compared to electricity prices can be explained by the fact that:</w:t>
      </w:r>
    </w:p>
    <w:p>
      <w:pPr>
        <w:pStyle w:val="ListParagraph"/>
        <w:numPr>
          <w:ilvl w:val="0"/>
          <w:numId w:val="19"/>
        </w:numPr>
        <w:spacing w:after="100" w:line="260" w:lineRule="atLeast"/>
        <w:rPr>
          <w:noProof/>
          <w:sz w:val="24"/>
        </w:rPr>
      </w:pPr>
      <w:r>
        <w:rPr>
          <w:noProof/>
          <w:sz w:val="24"/>
          <w:lang w:eastAsia="en-GB"/>
        </w:rPr>
        <w:t>The proportion of taxes, levies and network costs is relatively small in the total natural gas price. Consequently, there is less opportunity for governments to adapt prices through discounts and exemptions.</w:t>
      </w:r>
    </w:p>
    <w:p>
      <w:pPr>
        <w:pStyle w:val="ListParagraph"/>
        <w:numPr>
          <w:ilvl w:val="0"/>
          <w:numId w:val="19"/>
        </w:numPr>
        <w:spacing w:after="100" w:line="260" w:lineRule="atLeast"/>
        <w:rPr>
          <w:noProof/>
          <w:sz w:val="24"/>
        </w:rPr>
      </w:pPr>
      <w:r>
        <w:rPr>
          <w:noProof/>
          <w:sz w:val="24"/>
          <w:lang w:eastAsia="en-GB"/>
        </w:rPr>
        <w:t>Natural gas costs heavily depend on international prices set by natural gas producing countries. Since EU Member States are mostly net importers of natural gas, there is little room for price negotiation. By contrast, electricity prices depend on the generation mix within that Member State and the surrounding Member States, so are more country and region specific.</w:t>
      </w:r>
    </w:p>
    <w:p>
      <w:pPr>
        <w:rPr>
          <w:noProof/>
          <w:sz w:val="24"/>
        </w:rPr>
      </w:pPr>
    </w:p>
    <w:p>
      <w:pPr>
        <w:rPr>
          <w:noProof/>
          <w:lang w:eastAsia="de-DE"/>
        </w:rPr>
      </w:pPr>
      <w:r>
        <w:rPr>
          <w:noProof/>
          <w:lang w:eastAsia="en-GB"/>
        </w:rPr>
        <w:drawing>
          <wp:inline distT="0" distB="0" distL="0" distR="0">
            <wp:extent cx="5760720" cy="36264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60720" cy="3626420"/>
                    </a:xfrm>
                    <a:prstGeom prst="rect">
                      <a:avLst/>
                    </a:prstGeom>
                    <a:noFill/>
                    <a:ln>
                      <a:noFill/>
                    </a:ln>
                  </pic:spPr>
                </pic:pic>
              </a:graphicData>
            </a:graphic>
          </wp:inline>
        </w:drawing>
      </w:r>
    </w:p>
    <w:p>
      <w:pPr>
        <w:pStyle w:val="Caption"/>
      </w:pPr>
      <w:bookmarkStart w:id="575" w:name="_Ref527469186"/>
      <w:bookmarkStart w:id="576" w:name="_Toc525807897"/>
      <w:bookmarkStart w:id="577" w:name="_Toc526433513"/>
      <w:bookmarkStart w:id="578" w:name="_Toc526433791"/>
      <w:bookmarkStart w:id="579" w:name="_Toc526435733"/>
      <w:bookmarkStart w:id="580" w:name="_Toc530739823"/>
      <w:bookmarkStart w:id="581" w:name="_Toc531178544"/>
      <w:r>
        <w:t xml:space="preserve">Figure </w:t>
      </w:r>
      <w:r>
        <w:fldChar w:fldCharType="begin"/>
      </w:r>
      <w:r>
        <w:instrText xml:space="preserve"> SEQ Figure \* ARABIC </w:instrText>
      </w:r>
      <w:r>
        <w:fldChar w:fldCharType="separate"/>
      </w:r>
      <w:r>
        <w:t>153</w:t>
      </w:r>
      <w:r>
        <w:fldChar w:fldCharType="end"/>
      </w:r>
      <w:bookmarkEnd w:id="575"/>
      <w:r>
        <w:t xml:space="preserve"> - Plant natural gas consumption and average natural gas prices by sector, 2016 (165 observations)</w:t>
      </w:r>
      <w:bookmarkEnd w:id="576"/>
      <w:bookmarkEnd w:id="577"/>
      <w:bookmarkEnd w:id="578"/>
      <w:bookmarkEnd w:id="579"/>
      <w:bookmarkEnd w:id="580"/>
      <w:bookmarkEnd w:id="581"/>
    </w:p>
    <w:p>
      <w:pPr>
        <w:pStyle w:val="Sources"/>
        <w:rPr>
          <w:noProof/>
          <w:sz w:val="22"/>
        </w:rPr>
      </w:pPr>
      <w:r>
        <w:rPr>
          <w:noProof/>
        </w:rPr>
        <w:t>Source: CEPS/Ecofys.</w:t>
      </w:r>
    </w:p>
    <w:p>
      <w:pPr>
        <w:rPr>
          <w:noProof/>
          <w:sz w:val="24"/>
        </w:rPr>
      </w:pPr>
    </w:p>
    <w:p>
      <w:pPr>
        <w:rPr>
          <w:noProof/>
          <w:sz w:val="24"/>
        </w:rPr>
      </w:pPr>
      <w:r>
        <w:rPr>
          <w:noProof/>
          <w:sz w:val="24"/>
        </w:rPr>
        <w:t xml:space="preserve">As in the case of electricity, plants can be grouped, regardless of the sector, by natural gas consumption bands. </w:t>
      </w:r>
      <w:r>
        <w:rPr>
          <w:b/>
          <w:noProof/>
          <w:sz w:val="24"/>
        </w:rPr>
        <w:fldChar w:fldCharType="begin"/>
      </w:r>
      <w:r>
        <w:rPr>
          <w:b/>
          <w:noProof/>
          <w:sz w:val="24"/>
        </w:rPr>
        <w:instrText xml:space="preserve"> REF _Ref527469531 \h  \* MERGEFORMAT </w:instrText>
      </w:r>
      <w:r>
        <w:rPr>
          <w:b/>
          <w:noProof/>
          <w:sz w:val="24"/>
        </w:rPr>
      </w:r>
      <w:r>
        <w:rPr>
          <w:b/>
          <w:noProof/>
          <w:sz w:val="24"/>
        </w:rPr>
        <w:fldChar w:fldCharType="separate"/>
      </w:r>
      <w:r>
        <w:rPr>
          <w:b/>
          <w:noProof/>
          <w:sz w:val="24"/>
        </w:rPr>
        <w:t>Figure 154</w:t>
      </w:r>
      <w:r>
        <w:rPr>
          <w:b/>
          <w:noProof/>
          <w:sz w:val="24"/>
        </w:rPr>
        <w:fldChar w:fldCharType="end"/>
      </w:r>
      <w:r>
        <w:rPr>
          <w:noProof/>
          <w:sz w:val="24"/>
        </w:rPr>
        <w:t xml:space="preserve"> shows the average natural gas prices for 3 natural gas consumption bands:</w:t>
      </w:r>
    </w:p>
    <w:p>
      <w:pPr>
        <w:pStyle w:val="ListParagraph"/>
        <w:numPr>
          <w:ilvl w:val="0"/>
          <w:numId w:val="18"/>
        </w:numPr>
        <w:rPr>
          <w:noProof/>
          <w:sz w:val="24"/>
        </w:rPr>
      </w:pPr>
      <w:r>
        <w:rPr>
          <w:noProof/>
          <w:sz w:val="24"/>
        </w:rPr>
        <w:t>10-100 GWh (42% of sampled plants), mostly equivalent to natural gas band I3 or I4;</w:t>
      </w:r>
    </w:p>
    <w:p>
      <w:pPr>
        <w:pStyle w:val="ListParagraph"/>
        <w:numPr>
          <w:ilvl w:val="0"/>
          <w:numId w:val="18"/>
        </w:numPr>
        <w:rPr>
          <w:noProof/>
          <w:sz w:val="24"/>
        </w:rPr>
      </w:pPr>
      <w:r>
        <w:rPr>
          <w:noProof/>
          <w:sz w:val="24"/>
        </w:rPr>
        <w:t>100-1,000 GWh (44% of sampled plants), mostly equivalent to natural gas band I4 or I5;</w:t>
      </w:r>
    </w:p>
    <w:p>
      <w:pPr>
        <w:pStyle w:val="ListParagraph"/>
        <w:numPr>
          <w:ilvl w:val="0"/>
          <w:numId w:val="18"/>
        </w:numPr>
        <w:rPr>
          <w:noProof/>
          <w:sz w:val="24"/>
        </w:rPr>
      </w:pPr>
      <w:r>
        <w:rPr>
          <w:noProof/>
          <w:sz w:val="24"/>
        </w:rPr>
        <w:t>1,000-10,000 GWh (11% of sampled plants), mostly equivalent to natural gas band I6.</w:t>
      </w:r>
    </w:p>
    <w:p>
      <w:pPr>
        <w:rPr>
          <w:noProof/>
          <w:sz w:val="24"/>
        </w:rPr>
      </w:pPr>
      <w:r>
        <w:rPr>
          <w:noProof/>
          <w:sz w:val="24"/>
        </w:rPr>
        <w:t>The impact of natural gas consumption levels on average natural gas prices (negative correlation) is robust over years but less pronounced than for electricity. In general, natural gas prices peaked in 2012 for the two upper bands (100-10,000 GWh) and in 2013 for the lowest band (10-100 GWh) and have been decreasing since then. However, we can note that natural gas prices increased again in 2017 for the highest band (1,000-10,000 GWh).</w:t>
      </w:r>
    </w:p>
    <w:p>
      <w:pPr>
        <w:rPr>
          <w:noProof/>
          <w:sz w:val="24"/>
        </w:rPr>
      </w:pPr>
    </w:p>
    <w:p>
      <w:pPr>
        <w:rPr>
          <w:noProof/>
        </w:rPr>
      </w:pPr>
      <w:r>
        <w:rPr>
          <w:noProof/>
          <w:lang w:eastAsia="en-GB"/>
        </w:rPr>
        <w:drawing>
          <wp:inline distT="0" distB="0" distL="0" distR="0">
            <wp:extent cx="5760720" cy="287274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60720" cy="2872745"/>
                    </a:xfrm>
                    <a:prstGeom prst="rect">
                      <a:avLst/>
                    </a:prstGeom>
                    <a:noFill/>
                    <a:ln>
                      <a:noFill/>
                    </a:ln>
                  </pic:spPr>
                </pic:pic>
              </a:graphicData>
            </a:graphic>
          </wp:inline>
        </w:drawing>
      </w:r>
    </w:p>
    <w:p>
      <w:pPr>
        <w:pStyle w:val="Caption"/>
      </w:pPr>
      <w:bookmarkStart w:id="582" w:name="_Ref527469531"/>
      <w:bookmarkStart w:id="583" w:name="_Toc525807898"/>
      <w:bookmarkStart w:id="584" w:name="_Toc530739824"/>
      <w:bookmarkStart w:id="585" w:name="_Toc531178545"/>
      <w:r>
        <w:t xml:space="preserve">Figure </w:t>
      </w:r>
      <w:r>
        <w:fldChar w:fldCharType="begin"/>
      </w:r>
      <w:r>
        <w:instrText xml:space="preserve"> SEQ Figure \* ARABIC </w:instrText>
      </w:r>
      <w:r>
        <w:fldChar w:fldCharType="separate"/>
      </w:r>
      <w:r>
        <w:t>154</w:t>
      </w:r>
      <w:r>
        <w:fldChar w:fldCharType="end"/>
      </w:r>
      <w:bookmarkEnd w:id="582"/>
      <w:r>
        <w:t xml:space="preserve"> - Average natural gas prices by consumption level, 2008 – 2017 (2008: 110 observations; 2009: 74; 2010: 129; 2011: 81; 2012: 137; 2013: 145; 2014: 149; 2015: 147; 2016: 165; 2017: 163)</w:t>
      </w:r>
      <w:bookmarkEnd w:id="583"/>
      <w:bookmarkEnd w:id="584"/>
      <w:bookmarkEnd w:id="585"/>
    </w:p>
    <w:p>
      <w:pPr>
        <w:pStyle w:val="Sources"/>
        <w:rPr>
          <w:noProof/>
          <w:sz w:val="22"/>
        </w:rPr>
      </w:pPr>
      <w:r>
        <w:rPr>
          <w:noProof/>
        </w:rPr>
        <w:t>Source: CEPS/Ecofys.</w:t>
      </w:r>
    </w:p>
    <w:p>
      <w:pPr>
        <w:rPr>
          <w:noProof/>
          <w:sz w:val="24"/>
        </w:rPr>
      </w:pPr>
    </w:p>
    <w:p>
      <w:pPr>
        <w:rPr>
          <w:noProof/>
          <w:sz w:val="24"/>
        </w:rPr>
      </w:pPr>
      <w:r>
        <w:rPr>
          <w:noProof/>
          <w:sz w:val="24"/>
        </w:rPr>
        <w:t>Unlike electricity, in the case of natural gas, reimbursements, payments for flexibility schemes or revenues from self-generated natural gas do no play any significant role. As a result, natural gas costs are similar to natural gas prices and are then not shown here.</w:t>
      </w:r>
    </w:p>
    <w:p>
      <w:pPr>
        <w:rPr>
          <w:noProof/>
          <w:sz w:val="24"/>
        </w:rPr>
      </w:pPr>
    </w:p>
    <w:p>
      <w:pPr>
        <w:pStyle w:val="Heading3"/>
        <w:numPr>
          <w:ilvl w:val="2"/>
          <w:numId w:val="1"/>
        </w:numPr>
        <w:rPr>
          <w:noProof/>
        </w:rPr>
      </w:pPr>
      <w:bookmarkStart w:id="586" w:name="_Toc524619535"/>
      <w:bookmarkStart w:id="587" w:name="_Toc524961082"/>
      <w:bookmarkStart w:id="588" w:name="_Toc525143043"/>
      <w:bookmarkStart w:id="589" w:name="_Toc525222200"/>
      <w:bookmarkStart w:id="590" w:name="_Toc525222369"/>
      <w:bookmarkStart w:id="591" w:name="_Toc526420766"/>
      <w:bookmarkStart w:id="592" w:name="_Toc526433992"/>
      <w:bookmarkStart w:id="593" w:name="_Toc526435934"/>
      <w:bookmarkStart w:id="594" w:name="_Toc530595264"/>
      <w:bookmarkStart w:id="595" w:name="_Toc531178343"/>
      <w:r>
        <w:rPr>
          <w:noProof/>
        </w:rPr>
        <w:t>Prices across Member States</w:t>
      </w:r>
      <w:bookmarkEnd w:id="586"/>
      <w:bookmarkEnd w:id="587"/>
      <w:bookmarkEnd w:id="588"/>
      <w:bookmarkEnd w:id="589"/>
      <w:bookmarkEnd w:id="590"/>
      <w:bookmarkEnd w:id="591"/>
      <w:bookmarkEnd w:id="592"/>
      <w:bookmarkEnd w:id="593"/>
      <w:bookmarkEnd w:id="594"/>
      <w:bookmarkEnd w:id="595"/>
      <w:r>
        <w:rPr>
          <w:noProof/>
        </w:rPr>
        <w:t xml:space="preserve"> </w:t>
      </w:r>
    </w:p>
    <w:p>
      <w:pPr>
        <w:rPr>
          <w:noProof/>
        </w:rPr>
      </w:pPr>
    </w:p>
    <w:p>
      <w:pPr>
        <w:rPr>
          <w:noProof/>
          <w:sz w:val="24"/>
          <w:szCs w:val="24"/>
          <w:lang w:eastAsia="en-GB"/>
        </w:rPr>
      </w:pPr>
      <w:r>
        <w:rPr>
          <w:b/>
          <w:noProof/>
          <w:sz w:val="24"/>
          <w:szCs w:val="24"/>
        </w:rPr>
        <w:t>General remarks</w:t>
      </w:r>
    </w:p>
    <w:p>
      <w:pPr>
        <w:rPr>
          <w:noProof/>
          <w:sz w:val="24"/>
          <w:szCs w:val="24"/>
        </w:rPr>
      </w:pPr>
      <w:r>
        <w:rPr>
          <w:noProof/>
          <w:sz w:val="24"/>
          <w:szCs w:val="24"/>
          <w:lang w:eastAsia="en-GB"/>
        </w:rPr>
        <w:t xml:space="preserve">Based on the data collected in the CEPS and Ecofys study, average energy prices (electricity and natural gas) faced by energy intensive sectors in some specific Member States can be calculated by pulling together all the sampled plants in a given Member State, regardless of the sectors. Due to confidentiality reasons, only </w:t>
      </w:r>
      <w:r>
        <w:rPr>
          <w:noProof/>
          <w:sz w:val="24"/>
          <w:szCs w:val="24"/>
        </w:rPr>
        <w:t>Member States with reliable data available from at least three independent companies have been included in this part of the analysis</w:t>
      </w:r>
      <w:r>
        <w:rPr>
          <w:rStyle w:val="FootnoteReference"/>
          <w:noProof/>
          <w:sz w:val="24"/>
          <w:szCs w:val="24"/>
        </w:rPr>
        <w:footnoteReference w:id="50"/>
      </w:r>
      <w:r>
        <w:rPr>
          <w:noProof/>
          <w:sz w:val="24"/>
          <w:szCs w:val="24"/>
        </w:rPr>
        <w:t>.</w:t>
      </w:r>
    </w:p>
    <w:p>
      <w:pPr>
        <w:rPr>
          <w:noProof/>
          <w:sz w:val="24"/>
          <w:szCs w:val="24"/>
        </w:rPr>
      </w:pPr>
      <w:r>
        <w:rPr>
          <w:noProof/>
          <w:sz w:val="24"/>
          <w:szCs w:val="24"/>
        </w:rPr>
        <w:t>It is important to keep in mind that the samples at Member State level are relatively small and have not been designed to be representative of those Member States</w:t>
      </w:r>
      <w:r>
        <w:rPr>
          <w:rStyle w:val="FootnoteReference"/>
          <w:noProof/>
          <w:sz w:val="24"/>
          <w:szCs w:val="24"/>
        </w:rPr>
        <w:footnoteReference w:id="51"/>
      </w:r>
      <w:r>
        <w:rPr>
          <w:noProof/>
          <w:sz w:val="24"/>
          <w:szCs w:val="24"/>
        </w:rPr>
        <w:t xml:space="preserve">. For a given Member State, some energy intensive </w:t>
      </w:r>
      <w:r>
        <w:rPr>
          <w:noProof/>
          <w:sz w:val="24"/>
          <w:szCs w:val="24"/>
          <w:lang w:eastAsia="en-GB"/>
        </w:rPr>
        <w:t xml:space="preserve">sectors may be over-represented while some others may be under-represented. </w:t>
      </w:r>
      <w:r>
        <w:rPr>
          <w:noProof/>
          <w:sz w:val="24"/>
          <w:szCs w:val="24"/>
        </w:rPr>
        <w:t>In particular, a Member State with mostly large plants in the sample, associated with larger energy consumption, may tend to exhibit lower energy prices, but these prices might not be representative for all plants within that Member State. In the same way, a Member State with mostly small plants in the sample, associated with lower energy consumption, may show higher energy prices, but again these prices might not be representative for all plants within that Member State. Results should therefore be taken with caution and not interpreted as national average prices for energy intensive industries but rather as average prices faced by the energy intensive companies included in the samples.</w:t>
      </w:r>
    </w:p>
    <w:p>
      <w:pPr>
        <w:rPr>
          <w:noProof/>
          <w:sz w:val="24"/>
          <w:szCs w:val="24"/>
        </w:rPr>
      </w:pPr>
    </w:p>
    <w:p>
      <w:pPr>
        <w:rPr>
          <w:noProof/>
          <w:sz w:val="24"/>
          <w:szCs w:val="24"/>
          <w:lang w:eastAsia="en-GB"/>
        </w:rPr>
      </w:pPr>
      <w:r>
        <w:rPr>
          <w:b/>
          <w:noProof/>
          <w:sz w:val="24"/>
          <w:szCs w:val="24"/>
        </w:rPr>
        <w:t>Electricity prices</w:t>
      </w:r>
    </w:p>
    <w:p>
      <w:pPr>
        <w:rPr>
          <w:noProof/>
          <w:sz w:val="24"/>
          <w:szCs w:val="24"/>
          <w:lang w:eastAsia="en-GB"/>
        </w:rPr>
      </w:pPr>
      <w:r>
        <w:rPr>
          <w:b/>
          <w:noProof/>
          <w:sz w:val="24"/>
          <w:szCs w:val="24"/>
          <w:lang w:eastAsia="en-GB"/>
        </w:rPr>
        <w:fldChar w:fldCharType="begin"/>
      </w:r>
      <w:r>
        <w:rPr>
          <w:b/>
          <w:noProof/>
          <w:sz w:val="24"/>
          <w:szCs w:val="24"/>
          <w:lang w:eastAsia="en-GB"/>
        </w:rPr>
        <w:instrText xml:space="preserve"> REF _Ref527468891 \h  \* MERGEFORMAT </w:instrText>
      </w:r>
      <w:r>
        <w:rPr>
          <w:b/>
          <w:noProof/>
          <w:sz w:val="24"/>
          <w:szCs w:val="24"/>
          <w:lang w:eastAsia="en-GB"/>
        </w:rPr>
      </w:r>
      <w:r>
        <w:rPr>
          <w:b/>
          <w:noProof/>
          <w:sz w:val="24"/>
          <w:szCs w:val="24"/>
          <w:lang w:eastAsia="en-GB"/>
        </w:rPr>
        <w:fldChar w:fldCharType="separate"/>
      </w:r>
      <w:r>
        <w:rPr>
          <w:b/>
          <w:noProof/>
          <w:sz w:val="24"/>
          <w:szCs w:val="24"/>
        </w:rPr>
        <w:t>Figure 155</w:t>
      </w:r>
      <w:r>
        <w:rPr>
          <w:b/>
          <w:noProof/>
          <w:sz w:val="24"/>
          <w:szCs w:val="24"/>
          <w:lang w:eastAsia="en-GB"/>
        </w:rPr>
        <w:fldChar w:fldCharType="end"/>
      </w:r>
      <w:r>
        <w:rPr>
          <w:b/>
          <w:noProof/>
          <w:sz w:val="24"/>
          <w:szCs w:val="24"/>
          <w:lang w:eastAsia="en-GB"/>
        </w:rPr>
        <w:t xml:space="preserve">, </w:t>
      </w:r>
      <w:r>
        <w:rPr>
          <w:b/>
          <w:noProof/>
          <w:sz w:val="24"/>
          <w:szCs w:val="24"/>
          <w:lang w:eastAsia="en-GB"/>
        </w:rPr>
        <w:fldChar w:fldCharType="begin"/>
      </w:r>
      <w:r>
        <w:rPr>
          <w:b/>
          <w:noProof/>
          <w:sz w:val="24"/>
          <w:szCs w:val="24"/>
          <w:lang w:eastAsia="en-GB"/>
        </w:rPr>
        <w:instrText xml:space="preserve"> REF _Ref527468897 \h  \* MERGEFORMAT </w:instrText>
      </w:r>
      <w:r>
        <w:rPr>
          <w:b/>
          <w:noProof/>
          <w:sz w:val="24"/>
          <w:szCs w:val="24"/>
          <w:lang w:eastAsia="en-GB"/>
        </w:rPr>
      </w:r>
      <w:r>
        <w:rPr>
          <w:b/>
          <w:noProof/>
          <w:sz w:val="24"/>
          <w:szCs w:val="24"/>
          <w:lang w:eastAsia="en-GB"/>
        </w:rPr>
        <w:fldChar w:fldCharType="separate"/>
      </w:r>
      <w:r>
        <w:rPr>
          <w:b/>
          <w:noProof/>
          <w:sz w:val="24"/>
          <w:szCs w:val="24"/>
        </w:rPr>
        <w:t>Figure 156</w:t>
      </w:r>
      <w:r>
        <w:rPr>
          <w:b/>
          <w:noProof/>
          <w:sz w:val="24"/>
          <w:szCs w:val="24"/>
          <w:lang w:eastAsia="en-GB"/>
        </w:rPr>
        <w:fldChar w:fldCharType="end"/>
      </w:r>
      <w:r>
        <w:rPr>
          <w:b/>
          <w:noProof/>
          <w:sz w:val="24"/>
          <w:szCs w:val="24"/>
          <w:lang w:eastAsia="en-GB"/>
        </w:rPr>
        <w:t xml:space="preserve"> </w:t>
      </w:r>
      <w:r>
        <w:rPr>
          <w:noProof/>
          <w:sz w:val="24"/>
          <w:szCs w:val="24"/>
          <w:lang w:eastAsia="en-GB"/>
        </w:rPr>
        <w:t>and</w:t>
      </w:r>
      <w:r>
        <w:rPr>
          <w:b/>
          <w:noProof/>
          <w:sz w:val="24"/>
          <w:szCs w:val="24"/>
          <w:lang w:eastAsia="en-GB"/>
        </w:rPr>
        <w:t xml:space="preserve"> </w:t>
      </w:r>
      <w:r>
        <w:rPr>
          <w:b/>
          <w:noProof/>
          <w:sz w:val="24"/>
          <w:szCs w:val="24"/>
          <w:lang w:eastAsia="en-GB"/>
        </w:rPr>
        <w:fldChar w:fldCharType="begin"/>
      </w:r>
      <w:r>
        <w:rPr>
          <w:b/>
          <w:noProof/>
          <w:sz w:val="24"/>
          <w:szCs w:val="24"/>
          <w:lang w:eastAsia="en-GB"/>
        </w:rPr>
        <w:instrText xml:space="preserve"> REF _Ref527468902 \h  \* MERGEFORMAT </w:instrText>
      </w:r>
      <w:r>
        <w:rPr>
          <w:b/>
          <w:noProof/>
          <w:sz w:val="24"/>
          <w:szCs w:val="24"/>
          <w:lang w:eastAsia="en-GB"/>
        </w:rPr>
      </w:r>
      <w:r>
        <w:rPr>
          <w:b/>
          <w:noProof/>
          <w:sz w:val="24"/>
          <w:szCs w:val="24"/>
          <w:lang w:eastAsia="en-GB"/>
        </w:rPr>
        <w:fldChar w:fldCharType="separate"/>
      </w:r>
      <w:r>
        <w:rPr>
          <w:b/>
          <w:noProof/>
          <w:sz w:val="24"/>
          <w:szCs w:val="24"/>
        </w:rPr>
        <w:t>Figure 157</w:t>
      </w:r>
      <w:r>
        <w:rPr>
          <w:b/>
          <w:noProof/>
          <w:sz w:val="24"/>
          <w:szCs w:val="24"/>
          <w:lang w:eastAsia="en-GB"/>
        </w:rPr>
        <w:fldChar w:fldCharType="end"/>
      </w:r>
      <w:r>
        <w:rPr>
          <w:noProof/>
          <w:sz w:val="24"/>
          <w:szCs w:val="24"/>
          <w:lang w:eastAsia="en-GB"/>
        </w:rPr>
        <w:t xml:space="preserve"> show the average electricity prices and its main components (e</w:t>
      </w:r>
      <w:r>
        <w:rPr>
          <w:noProof/>
          <w:sz w:val="24"/>
          <w:szCs w:val="24"/>
        </w:rPr>
        <w:t xml:space="preserve">nergy, network, RES support/levies and other non-recoverable taxes/levies) </w:t>
      </w:r>
      <w:r>
        <w:rPr>
          <w:noProof/>
          <w:sz w:val="24"/>
          <w:szCs w:val="24"/>
          <w:lang w:eastAsia="en-GB"/>
        </w:rPr>
        <w:t>for energy intensive sectors in Member States of the NWE region (</w:t>
      </w:r>
      <w:r>
        <w:rPr>
          <w:noProof/>
          <w:sz w:val="24"/>
          <w:szCs w:val="24"/>
        </w:rPr>
        <w:t>France, Germany, the Netherlands and the UK)</w:t>
      </w:r>
      <w:r>
        <w:rPr>
          <w:noProof/>
          <w:sz w:val="24"/>
          <w:szCs w:val="24"/>
          <w:lang w:eastAsia="en-GB"/>
        </w:rPr>
        <w:t>, SE region (</w:t>
      </w:r>
      <w:r>
        <w:rPr>
          <w:noProof/>
          <w:sz w:val="24"/>
          <w:szCs w:val="24"/>
        </w:rPr>
        <w:t>Portugal, Italy, Spain and Greece</w:t>
      </w:r>
      <w:r>
        <w:rPr>
          <w:noProof/>
          <w:sz w:val="24"/>
          <w:szCs w:val="24"/>
          <w:lang w:eastAsia="en-GB"/>
        </w:rPr>
        <w:t xml:space="preserve">) and CEE region </w:t>
      </w:r>
      <w:r>
        <w:rPr>
          <w:noProof/>
          <w:sz w:val="24"/>
          <w:szCs w:val="24"/>
        </w:rPr>
        <w:t>(Poland and Bulgaria)</w:t>
      </w:r>
      <w:r>
        <w:rPr>
          <w:noProof/>
          <w:sz w:val="24"/>
          <w:szCs w:val="24"/>
          <w:lang w:eastAsia="en-GB"/>
        </w:rPr>
        <w:t>, respectively.</w:t>
      </w:r>
    </w:p>
    <w:p>
      <w:pPr>
        <w:rPr>
          <w:noProof/>
          <w:sz w:val="24"/>
          <w:szCs w:val="24"/>
          <w:lang w:eastAsia="de-DE"/>
        </w:rPr>
      </w:pPr>
      <w:r>
        <w:rPr>
          <w:noProof/>
          <w:sz w:val="24"/>
          <w:szCs w:val="24"/>
          <w:lang w:eastAsia="de-DE"/>
        </w:rPr>
        <w:t xml:space="preserve">In most Member States, average electricity prices </w:t>
      </w:r>
      <w:r>
        <w:rPr>
          <w:noProof/>
          <w:sz w:val="24"/>
          <w:szCs w:val="24"/>
          <w:lang w:eastAsia="en-GB"/>
        </w:rPr>
        <w:t xml:space="preserve">for energy intensive sectors </w:t>
      </w:r>
      <w:r>
        <w:rPr>
          <w:noProof/>
          <w:sz w:val="24"/>
          <w:szCs w:val="24"/>
          <w:lang w:eastAsia="de-DE"/>
        </w:rPr>
        <w:t>increased on the period 2008-2012 and have started to decline since 2012-2013. This can be seen in France, Germany, the Netherlands, Greece, Spain and Bulgaria. In some cases, the peak in electricity prices came later, for example in 2014 in Poland and in 2015 in the UK. However, average electricity prices have started to increase again in 2016 or 2017 in a number of these Member States (e.g. France, Germany, the Netherlands, Spain and Poland).</w:t>
      </w:r>
    </w:p>
    <w:p>
      <w:pPr>
        <w:rPr>
          <w:noProof/>
          <w:sz w:val="24"/>
          <w:szCs w:val="24"/>
        </w:rPr>
      </w:pPr>
      <w:r>
        <w:rPr>
          <w:noProof/>
          <w:sz w:val="24"/>
          <w:szCs w:val="24"/>
        </w:rPr>
        <w:t>Plants in Germany, the UK, Italy and Bulgaria experience noticeably higher electricity prices compared to other Member States included in the analysis. This is generally the result of higher non-recoverable taxes and levies including RES levies and network costs.</w:t>
      </w:r>
    </w:p>
    <w:p>
      <w:pPr>
        <w:rPr>
          <w:noProof/>
          <w:sz w:val="24"/>
          <w:szCs w:val="24"/>
        </w:rPr>
      </w:pPr>
      <w:r>
        <w:rPr>
          <w:noProof/>
          <w:sz w:val="24"/>
          <w:szCs w:val="24"/>
        </w:rPr>
        <w:t xml:space="preserve">The levels and relative shares of the different price components </w:t>
      </w:r>
      <w:r>
        <w:rPr>
          <w:noProof/>
          <w:sz w:val="24"/>
          <w:szCs w:val="24"/>
          <w:lang w:eastAsia="en-GB"/>
        </w:rPr>
        <w:t xml:space="preserve">for energy intensive sectors </w:t>
      </w:r>
      <w:r>
        <w:rPr>
          <w:noProof/>
          <w:sz w:val="24"/>
          <w:szCs w:val="24"/>
        </w:rPr>
        <w:t>vary significantly between Member States. The most pronounced differences are observed in the regulatory components, i.e. network costs, RES support/levies and other non-recoverable taxes/levies. These differences can be attributed to:</w:t>
      </w:r>
    </w:p>
    <w:p>
      <w:pPr>
        <w:pStyle w:val="ListParagraph"/>
        <w:numPr>
          <w:ilvl w:val="0"/>
          <w:numId w:val="18"/>
        </w:numPr>
        <w:ind w:left="714" w:hanging="357"/>
        <w:contextualSpacing w:val="0"/>
        <w:rPr>
          <w:noProof/>
          <w:sz w:val="24"/>
          <w:szCs w:val="24"/>
        </w:rPr>
      </w:pPr>
      <w:r>
        <w:rPr>
          <w:noProof/>
          <w:sz w:val="24"/>
          <w:szCs w:val="24"/>
        </w:rPr>
        <w:t>The considerable variation of exemptions for electricity-intensive sectors, including the scope, rules (</w:t>
      </w:r>
      <w:r>
        <w:rPr>
          <w:i/>
          <w:noProof/>
          <w:sz w:val="24"/>
          <w:szCs w:val="24"/>
        </w:rPr>
        <w:t>ex ante</w:t>
      </w:r>
      <w:r>
        <w:rPr>
          <w:noProof/>
          <w:sz w:val="24"/>
          <w:szCs w:val="24"/>
        </w:rPr>
        <w:t xml:space="preserve"> vs. </w:t>
      </w:r>
      <w:r>
        <w:rPr>
          <w:i/>
          <w:noProof/>
          <w:sz w:val="24"/>
          <w:szCs w:val="24"/>
        </w:rPr>
        <w:t>ex post</w:t>
      </w:r>
      <w:r>
        <w:rPr>
          <w:noProof/>
          <w:sz w:val="24"/>
          <w:szCs w:val="24"/>
        </w:rPr>
        <w:t xml:space="preserve"> exemptions</w:t>
      </w:r>
      <w:r>
        <w:rPr>
          <w:rStyle w:val="FootnoteReference"/>
          <w:noProof/>
          <w:sz w:val="24"/>
          <w:szCs w:val="24"/>
        </w:rPr>
        <w:footnoteReference w:id="52"/>
      </w:r>
      <w:r>
        <w:rPr>
          <w:noProof/>
          <w:sz w:val="24"/>
          <w:szCs w:val="24"/>
        </w:rPr>
        <w:t>) and magnitude, between Member States;</w:t>
      </w:r>
    </w:p>
    <w:p>
      <w:pPr>
        <w:pStyle w:val="ListParagraph"/>
        <w:numPr>
          <w:ilvl w:val="0"/>
          <w:numId w:val="18"/>
        </w:numPr>
        <w:ind w:left="714" w:hanging="357"/>
        <w:contextualSpacing w:val="0"/>
        <w:rPr>
          <w:noProof/>
          <w:sz w:val="24"/>
          <w:szCs w:val="24"/>
        </w:rPr>
      </w:pPr>
      <w:r>
        <w:rPr>
          <w:noProof/>
          <w:sz w:val="24"/>
          <w:szCs w:val="24"/>
        </w:rPr>
        <w:t>The variation of visibility of price components in bills from one Member State to another (For example, RES levies are sometimes not visible in the bill, though existing, and may then be accounted for in another component by the respondents. This is particularly the case for the plants in the Netherlands, Portugal and Spain, which report very little or no RES levies but these costs have likely been included in network costs or in other non-recoverable taxes/levies);</w:t>
      </w:r>
    </w:p>
    <w:p>
      <w:pPr>
        <w:pStyle w:val="ListParagraph"/>
        <w:numPr>
          <w:ilvl w:val="0"/>
          <w:numId w:val="18"/>
        </w:numPr>
        <w:ind w:left="714" w:hanging="357"/>
        <w:contextualSpacing w:val="0"/>
        <w:rPr>
          <w:noProof/>
          <w:sz w:val="24"/>
          <w:szCs w:val="24"/>
        </w:rPr>
      </w:pPr>
      <w:r>
        <w:rPr>
          <w:noProof/>
          <w:sz w:val="24"/>
          <w:szCs w:val="24"/>
        </w:rPr>
        <w:t>The different overall network costs and RES support payments within Member States, which depend on the way in which renewables and the network grid are funded, the extent of renewable deployment and the level of grid upgrades.</w:t>
      </w:r>
    </w:p>
    <w:p>
      <w:pPr>
        <w:rPr>
          <w:noProof/>
          <w:sz w:val="24"/>
          <w:szCs w:val="24"/>
          <w:lang w:eastAsia="en-GB"/>
        </w:rPr>
      </w:pPr>
    </w:p>
    <w:p>
      <w:pPr>
        <w:rPr>
          <w:b/>
          <w:noProof/>
          <w:sz w:val="24"/>
          <w:szCs w:val="24"/>
          <w:lang w:eastAsia="en-GB"/>
        </w:rPr>
      </w:pPr>
      <w:r>
        <w:rPr>
          <w:b/>
          <w:noProof/>
          <w:sz w:val="24"/>
          <w:szCs w:val="24"/>
          <w:lang w:eastAsia="en-GB"/>
        </w:rPr>
        <w:t>Natural gas prices</w:t>
      </w:r>
    </w:p>
    <w:p>
      <w:pPr>
        <w:rPr>
          <w:noProof/>
          <w:sz w:val="24"/>
          <w:szCs w:val="24"/>
          <w:lang w:eastAsia="en-GB"/>
        </w:rPr>
      </w:pPr>
      <w:r>
        <w:rPr>
          <w:b/>
          <w:noProof/>
          <w:sz w:val="24"/>
          <w:szCs w:val="24"/>
          <w:lang w:eastAsia="en-GB"/>
        </w:rPr>
        <w:fldChar w:fldCharType="begin"/>
      </w:r>
      <w:r>
        <w:rPr>
          <w:b/>
          <w:noProof/>
          <w:sz w:val="24"/>
          <w:szCs w:val="24"/>
          <w:lang w:eastAsia="en-GB"/>
        </w:rPr>
        <w:instrText xml:space="preserve"> REF _Ref527468922 \h  \* MERGEFORMAT </w:instrText>
      </w:r>
      <w:r>
        <w:rPr>
          <w:b/>
          <w:noProof/>
          <w:sz w:val="24"/>
          <w:szCs w:val="24"/>
          <w:lang w:eastAsia="en-GB"/>
        </w:rPr>
      </w:r>
      <w:r>
        <w:rPr>
          <w:b/>
          <w:noProof/>
          <w:sz w:val="24"/>
          <w:szCs w:val="24"/>
          <w:lang w:eastAsia="en-GB"/>
        </w:rPr>
        <w:fldChar w:fldCharType="separate"/>
      </w:r>
      <w:r>
        <w:rPr>
          <w:b/>
          <w:noProof/>
          <w:sz w:val="24"/>
          <w:szCs w:val="24"/>
        </w:rPr>
        <w:t>Figure 158</w:t>
      </w:r>
      <w:r>
        <w:rPr>
          <w:b/>
          <w:noProof/>
          <w:sz w:val="24"/>
          <w:szCs w:val="24"/>
          <w:lang w:eastAsia="en-GB"/>
        </w:rPr>
        <w:fldChar w:fldCharType="end"/>
      </w:r>
      <w:r>
        <w:rPr>
          <w:b/>
          <w:noProof/>
          <w:sz w:val="24"/>
          <w:szCs w:val="24"/>
          <w:lang w:eastAsia="en-GB"/>
        </w:rPr>
        <w:t xml:space="preserve">, </w:t>
      </w:r>
      <w:r>
        <w:rPr>
          <w:b/>
          <w:noProof/>
          <w:sz w:val="24"/>
          <w:szCs w:val="24"/>
          <w:lang w:eastAsia="en-GB"/>
        </w:rPr>
        <w:fldChar w:fldCharType="begin"/>
      </w:r>
      <w:r>
        <w:rPr>
          <w:b/>
          <w:noProof/>
          <w:sz w:val="24"/>
          <w:szCs w:val="24"/>
          <w:lang w:eastAsia="en-GB"/>
        </w:rPr>
        <w:instrText xml:space="preserve"> REF _Ref527468927 \h  \* MERGEFORMAT </w:instrText>
      </w:r>
      <w:r>
        <w:rPr>
          <w:b/>
          <w:noProof/>
          <w:sz w:val="24"/>
          <w:szCs w:val="24"/>
          <w:lang w:eastAsia="en-GB"/>
        </w:rPr>
      </w:r>
      <w:r>
        <w:rPr>
          <w:b/>
          <w:noProof/>
          <w:sz w:val="24"/>
          <w:szCs w:val="24"/>
          <w:lang w:eastAsia="en-GB"/>
        </w:rPr>
        <w:fldChar w:fldCharType="separate"/>
      </w:r>
      <w:r>
        <w:rPr>
          <w:b/>
          <w:noProof/>
          <w:sz w:val="24"/>
          <w:szCs w:val="24"/>
        </w:rPr>
        <w:t>Figure 159</w:t>
      </w:r>
      <w:r>
        <w:rPr>
          <w:b/>
          <w:noProof/>
          <w:sz w:val="24"/>
          <w:szCs w:val="24"/>
          <w:lang w:eastAsia="en-GB"/>
        </w:rPr>
        <w:fldChar w:fldCharType="end"/>
      </w:r>
      <w:r>
        <w:rPr>
          <w:b/>
          <w:noProof/>
          <w:sz w:val="24"/>
          <w:szCs w:val="24"/>
          <w:lang w:eastAsia="en-GB"/>
        </w:rPr>
        <w:t xml:space="preserve"> </w:t>
      </w:r>
      <w:r>
        <w:rPr>
          <w:noProof/>
          <w:sz w:val="24"/>
          <w:szCs w:val="24"/>
          <w:lang w:eastAsia="en-GB"/>
        </w:rPr>
        <w:t xml:space="preserve">and </w:t>
      </w:r>
      <w:r>
        <w:rPr>
          <w:b/>
          <w:noProof/>
          <w:sz w:val="24"/>
          <w:szCs w:val="24"/>
          <w:lang w:eastAsia="en-GB"/>
        </w:rPr>
        <w:fldChar w:fldCharType="begin"/>
      </w:r>
      <w:r>
        <w:rPr>
          <w:b/>
          <w:noProof/>
          <w:sz w:val="24"/>
          <w:szCs w:val="24"/>
          <w:lang w:eastAsia="en-GB"/>
        </w:rPr>
        <w:instrText xml:space="preserve"> REF _Ref527468934 \h  \* MERGEFORMAT </w:instrText>
      </w:r>
      <w:r>
        <w:rPr>
          <w:b/>
          <w:noProof/>
          <w:sz w:val="24"/>
          <w:szCs w:val="24"/>
          <w:lang w:eastAsia="en-GB"/>
        </w:rPr>
      </w:r>
      <w:r>
        <w:rPr>
          <w:b/>
          <w:noProof/>
          <w:sz w:val="24"/>
          <w:szCs w:val="24"/>
          <w:lang w:eastAsia="en-GB"/>
        </w:rPr>
        <w:fldChar w:fldCharType="separate"/>
      </w:r>
      <w:r>
        <w:rPr>
          <w:b/>
          <w:noProof/>
          <w:sz w:val="24"/>
          <w:szCs w:val="24"/>
        </w:rPr>
        <w:t>Figure 160</w:t>
      </w:r>
      <w:r>
        <w:rPr>
          <w:b/>
          <w:noProof/>
          <w:sz w:val="24"/>
          <w:szCs w:val="24"/>
          <w:lang w:eastAsia="en-GB"/>
        </w:rPr>
        <w:fldChar w:fldCharType="end"/>
      </w:r>
      <w:r>
        <w:rPr>
          <w:noProof/>
          <w:sz w:val="24"/>
          <w:szCs w:val="24"/>
          <w:lang w:eastAsia="en-GB"/>
        </w:rPr>
        <w:t xml:space="preserve"> show the average natural gas prices and its main components (e</w:t>
      </w:r>
      <w:r>
        <w:rPr>
          <w:noProof/>
          <w:sz w:val="24"/>
          <w:szCs w:val="24"/>
        </w:rPr>
        <w:t xml:space="preserve">nergy, network and non-recoverable taxes/levies) </w:t>
      </w:r>
      <w:r>
        <w:rPr>
          <w:noProof/>
          <w:sz w:val="24"/>
          <w:szCs w:val="24"/>
          <w:lang w:eastAsia="en-GB"/>
        </w:rPr>
        <w:t>for energy intensive sectors in Member States of the NWE region (</w:t>
      </w:r>
      <w:r>
        <w:rPr>
          <w:noProof/>
          <w:sz w:val="24"/>
          <w:szCs w:val="24"/>
        </w:rPr>
        <w:t>France, Germany, the Netherlands and the UK)</w:t>
      </w:r>
      <w:r>
        <w:rPr>
          <w:noProof/>
          <w:sz w:val="24"/>
          <w:szCs w:val="24"/>
          <w:lang w:eastAsia="en-GB"/>
        </w:rPr>
        <w:t>, SE region (</w:t>
      </w:r>
      <w:r>
        <w:rPr>
          <w:noProof/>
          <w:sz w:val="24"/>
          <w:szCs w:val="24"/>
        </w:rPr>
        <w:t>Portugal, Italy and Spain</w:t>
      </w:r>
      <w:r>
        <w:rPr>
          <w:noProof/>
          <w:sz w:val="24"/>
          <w:szCs w:val="24"/>
          <w:lang w:eastAsia="en-GB"/>
        </w:rPr>
        <w:t xml:space="preserve">) and CEE region </w:t>
      </w:r>
      <w:r>
        <w:rPr>
          <w:noProof/>
          <w:sz w:val="24"/>
          <w:szCs w:val="24"/>
        </w:rPr>
        <w:t>(Poland and Bulgaria)</w:t>
      </w:r>
      <w:r>
        <w:rPr>
          <w:noProof/>
          <w:sz w:val="24"/>
          <w:szCs w:val="24"/>
          <w:lang w:eastAsia="en-GB"/>
        </w:rPr>
        <w:t>, respectively.</w:t>
      </w:r>
    </w:p>
    <w:p>
      <w:pPr>
        <w:rPr>
          <w:noProof/>
          <w:sz w:val="24"/>
          <w:szCs w:val="24"/>
        </w:rPr>
      </w:pPr>
      <w:r>
        <w:rPr>
          <w:noProof/>
          <w:sz w:val="24"/>
          <w:szCs w:val="24"/>
          <w:lang w:eastAsia="de-DE"/>
        </w:rPr>
        <w:t>Average n</w:t>
      </w:r>
      <w:r>
        <w:rPr>
          <w:noProof/>
          <w:sz w:val="24"/>
          <w:szCs w:val="24"/>
          <w:lang w:eastAsia="en-GB"/>
        </w:rPr>
        <w:t xml:space="preserve">atural gas </w:t>
      </w:r>
      <w:r>
        <w:rPr>
          <w:noProof/>
          <w:sz w:val="24"/>
          <w:szCs w:val="24"/>
          <w:lang w:eastAsia="de-DE"/>
        </w:rPr>
        <w:t xml:space="preserve">prices </w:t>
      </w:r>
      <w:r>
        <w:rPr>
          <w:noProof/>
          <w:sz w:val="24"/>
          <w:szCs w:val="24"/>
          <w:lang w:eastAsia="en-GB"/>
        </w:rPr>
        <w:t xml:space="preserve">for energy intensive sectors showed </w:t>
      </w:r>
      <w:r>
        <w:rPr>
          <w:noProof/>
          <w:sz w:val="24"/>
          <w:szCs w:val="24"/>
        </w:rPr>
        <w:t xml:space="preserve">a peak in 2012/13 and since then have been decreasing in all Member States, with much lower prices in more recent years. Between 2013 and 2017, </w:t>
      </w:r>
      <w:r>
        <w:rPr>
          <w:noProof/>
          <w:sz w:val="24"/>
          <w:szCs w:val="24"/>
          <w:lang w:eastAsia="de-DE"/>
        </w:rPr>
        <w:t>n</w:t>
      </w:r>
      <w:r>
        <w:rPr>
          <w:noProof/>
          <w:sz w:val="24"/>
          <w:szCs w:val="24"/>
          <w:lang w:eastAsia="en-GB"/>
        </w:rPr>
        <w:t xml:space="preserve">atural gas </w:t>
      </w:r>
      <w:r>
        <w:rPr>
          <w:noProof/>
          <w:sz w:val="24"/>
          <w:szCs w:val="24"/>
          <w:lang w:eastAsia="de-DE"/>
        </w:rPr>
        <w:t xml:space="preserve">prices </w:t>
      </w:r>
      <w:r>
        <w:rPr>
          <w:noProof/>
          <w:sz w:val="24"/>
          <w:szCs w:val="24"/>
        </w:rPr>
        <w:t>declined by around 1/3 in all countries (except in Germany where the reduction is 20%).</w:t>
      </w:r>
    </w:p>
    <w:p>
      <w:pPr>
        <w:rPr>
          <w:noProof/>
          <w:sz w:val="24"/>
          <w:szCs w:val="24"/>
        </w:rPr>
      </w:pPr>
      <w:r>
        <w:rPr>
          <w:noProof/>
          <w:sz w:val="24"/>
          <w:szCs w:val="24"/>
        </w:rPr>
        <w:t xml:space="preserve">Plants in the NWE region appear to benefit from lower natural gas prices compared to plants in the SE and CEE regions. This is mostly attributable to lower wholesale natural gas prices, but also to lower network costs. </w:t>
      </w:r>
    </w:p>
    <w:p>
      <w:pPr>
        <w:rPr>
          <w:noProof/>
          <w:sz w:val="24"/>
          <w:szCs w:val="24"/>
        </w:rPr>
      </w:pPr>
      <w:r>
        <w:rPr>
          <w:noProof/>
          <w:sz w:val="24"/>
          <w:szCs w:val="24"/>
        </w:rPr>
        <w:t>Plants in Portugal, Bulgaria, Italy and Spain experience the highest natural gas prices. Although this is largely due to higher wholesale natural gas prices, these Member States (with the exception of Spain) also have higher network costs.</w:t>
      </w:r>
    </w:p>
    <w:p>
      <w:pPr>
        <w:rPr>
          <w:noProof/>
          <w:sz w:val="24"/>
          <w:szCs w:val="24"/>
          <w:lang w:eastAsia="en-GB"/>
        </w:rPr>
      </w:pPr>
      <w:r>
        <w:rPr>
          <w:noProof/>
          <w:sz w:val="24"/>
          <w:szCs w:val="24"/>
        </w:rPr>
        <w:t>Overall, we observe less variation in natural gas prices across Member States compared to electricity prices. This is due to less leverage from governments to adapt natural gas prices through intervening with regards to taxes and levies (the proportion of non-recoverable taxes/levies is relatively small in the total natural gas price compared to electricity), as well as the fact that there are no differences in generation costs.</w:t>
      </w:r>
    </w:p>
    <w:p>
      <w:pPr>
        <w:rPr>
          <w:bCs/>
          <w:noProof/>
          <w:sz w:val="24"/>
        </w:rPr>
      </w:pPr>
    </w:p>
    <w:p>
      <w:pPr>
        <w:rPr>
          <w:noProof/>
          <w:lang w:eastAsia="de-DE"/>
        </w:rPr>
        <w:sectPr>
          <w:headerReference w:type="even" r:id="rId182"/>
          <w:headerReference w:type="default" r:id="rId183"/>
          <w:footerReference w:type="even" r:id="rId184"/>
          <w:footerReference w:type="default" r:id="rId185"/>
          <w:headerReference w:type="first" r:id="rId186"/>
          <w:footerReference w:type="first" r:id="rId187"/>
          <w:footnotePr>
            <w:numStart w:val="50"/>
          </w:footnotePr>
          <w:pgSz w:w="11906" w:h="16838" w:code="9"/>
          <w:pgMar w:top="1134" w:right="1417" w:bottom="1134" w:left="1417" w:header="709" w:footer="709" w:gutter="0"/>
          <w:cols w:space="720"/>
          <w:docGrid w:linePitch="360"/>
        </w:sectPr>
      </w:pPr>
    </w:p>
    <w:p>
      <w:pPr>
        <w:rPr>
          <w:noProof/>
          <w:lang w:eastAsia="de-DE"/>
        </w:rPr>
      </w:pPr>
      <w:r>
        <w:rPr>
          <w:noProof/>
          <w:lang w:eastAsia="en-GB"/>
        </w:rPr>
        <w:drawing>
          <wp:inline distT="0" distB="0" distL="0" distR="0">
            <wp:extent cx="9092565" cy="4871720"/>
            <wp:effectExtent l="0" t="0" r="0" b="0"/>
            <wp:docPr id="193" name="Chart 1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Caption"/>
      </w:pPr>
      <w:bookmarkStart w:id="596" w:name="_Ref527468891"/>
      <w:bookmarkStart w:id="597" w:name="_Toc525807899"/>
      <w:bookmarkStart w:id="598" w:name="_Toc526433514"/>
      <w:bookmarkStart w:id="599" w:name="_Toc526433792"/>
      <w:bookmarkStart w:id="600" w:name="_Toc526435734"/>
      <w:bookmarkStart w:id="601" w:name="_Toc530739825"/>
      <w:bookmarkStart w:id="602" w:name="_Toc531178546"/>
      <w:r>
        <w:t xml:space="preserve">Figure </w:t>
      </w:r>
      <w:r>
        <w:fldChar w:fldCharType="begin"/>
      </w:r>
      <w:r>
        <w:instrText xml:space="preserve"> SEQ Figure \* ARABIC </w:instrText>
      </w:r>
      <w:r>
        <w:fldChar w:fldCharType="separate"/>
      </w:r>
      <w:r>
        <w:t>155</w:t>
      </w:r>
      <w:r>
        <w:fldChar w:fldCharType="end"/>
      </w:r>
      <w:bookmarkEnd w:id="596"/>
      <w:r>
        <w:t xml:space="preserve"> - Structure of average electricity prices in the surveyed plants in the NWE region (France, Germany, the Netherlands and the UK) in absolute terms (€/MWh), 2008 – 2017</w:t>
      </w:r>
      <w:bookmarkEnd w:id="597"/>
      <w:bookmarkEnd w:id="598"/>
      <w:bookmarkEnd w:id="599"/>
      <w:bookmarkEnd w:id="600"/>
      <w:bookmarkEnd w:id="601"/>
      <w:bookmarkEnd w:id="602"/>
    </w:p>
    <w:p>
      <w:pPr>
        <w:pStyle w:val="Sources"/>
        <w:rPr>
          <w:noProof/>
        </w:rPr>
      </w:pP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362395</wp:posOffset>
                </wp:positionH>
                <wp:positionV relativeFrom="paragraph">
                  <wp:posOffset>200025</wp:posOffset>
                </wp:positionV>
                <wp:extent cx="8539480" cy="1403985"/>
                <wp:effectExtent l="0" t="0" r="0" b="762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9480" cy="1403985"/>
                        </a:xfrm>
                        <a:prstGeom prst="rect">
                          <a:avLst/>
                        </a:prstGeom>
                        <a:solidFill>
                          <a:srgbClr val="FFFFFF"/>
                        </a:solidFill>
                        <a:ln w="9525">
                          <a:noFill/>
                          <a:miter lim="800000"/>
                          <a:headEnd/>
                          <a:tailEnd/>
                        </a:ln>
                      </wps:spPr>
                      <wps:txbx>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55pt;margin-top:15.75pt;width:672.4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" stroked="f">
                <v:textbox style="mso-fit-shape-to-text:t">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v:textbox>
              </v:shape>
            </w:pict>
          </mc:Fallback>
        </mc:AlternateContent>
      </w:r>
      <w:r>
        <w:rPr>
          <w:noProof/>
        </w:rPr>
        <w:t>Source: CEPS/Ecofys.</w:t>
      </w:r>
    </w:p>
    <w:p>
      <w:pPr>
        <w:rPr>
          <w:noProof/>
          <w:lang w:eastAsia="en-GB"/>
        </w:rPr>
      </w:pPr>
    </w:p>
    <w:p>
      <w:pPr>
        <w:rPr>
          <w:noProof/>
          <w:lang w:eastAsia="de-DE"/>
        </w:rPr>
      </w:pPr>
      <w:r>
        <w:rPr>
          <w:noProof/>
          <w:lang w:eastAsia="en-GB"/>
        </w:rPr>
        <w:drawing>
          <wp:inline distT="0" distB="0" distL="0" distR="0">
            <wp:extent cx="9092565" cy="4718050"/>
            <wp:effectExtent l="0" t="0" r="0" b="0"/>
            <wp:docPr id="194" name="Chart 1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pStyle w:val="Caption"/>
      </w:pPr>
      <w:bookmarkStart w:id="603" w:name="_Ref527468897"/>
      <w:bookmarkStart w:id="604" w:name="_Toc525807900"/>
      <w:bookmarkStart w:id="605" w:name="_Toc526433515"/>
      <w:bookmarkStart w:id="606" w:name="_Toc526433793"/>
      <w:bookmarkStart w:id="607" w:name="_Toc526435735"/>
      <w:bookmarkStart w:id="608" w:name="_Toc530739826"/>
      <w:bookmarkStart w:id="609" w:name="_Toc531178547"/>
      <w:r>
        <w:t xml:space="preserve">Figure </w:t>
      </w:r>
      <w:r>
        <w:fldChar w:fldCharType="begin"/>
      </w:r>
      <w:r>
        <w:instrText xml:space="preserve"> SEQ Figure \* ARABIC </w:instrText>
      </w:r>
      <w:r>
        <w:fldChar w:fldCharType="separate"/>
      </w:r>
      <w:r>
        <w:t>156</w:t>
      </w:r>
      <w:r>
        <w:fldChar w:fldCharType="end"/>
      </w:r>
      <w:bookmarkEnd w:id="603"/>
      <w:r>
        <w:t xml:space="preserve"> - Structure of average electricity prices in the surveyed plants in the SE region (Portugal, Italy, Spain and Greece) in absolute terms (€/MWh), 2008 – 2017</w:t>
      </w:r>
      <w:bookmarkEnd w:id="604"/>
      <w:bookmarkEnd w:id="605"/>
      <w:bookmarkEnd w:id="606"/>
      <w:bookmarkEnd w:id="607"/>
      <w:bookmarkEnd w:id="608"/>
      <w:bookmarkEnd w:id="609"/>
    </w:p>
    <w:p>
      <w:pPr>
        <w:pStyle w:val="Sources"/>
        <w:rPr>
          <w:noProof/>
        </w:rPr>
      </w:pPr>
      <w:r>
        <w:rPr>
          <w:noProof/>
        </w:rPr>
        <w:t>Source: CEPS/Ecofys.</w:t>
      </w:r>
      <w:r>
        <w:rPr>
          <w:noProof/>
          <w:lang w:eastAsia="en-GB"/>
        </w:rPr>
        <w:t xml:space="preserve"> </w:t>
      </w:r>
    </w:p>
    <w:p>
      <w:pPr>
        <w:rPr>
          <w:noProof/>
          <w:lang w:eastAsia="en-GB"/>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354965</wp:posOffset>
                </wp:positionH>
                <wp:positionV relativeFrom="paragraph">
                  <wp:posOffset>47321</wp:posOffset>
                </wp:positionV>
                <wp:extent cx="8539701" cy="1403985"/>
                <wp:effectExtent l="0" t="0" r="0" b="762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9701" cy="1403985"/>
                        </a:xfrm>
                        <a:prstGeom prst="rect">
                          <a:avLst/>
                        </a:prstGeom>
                        <a:solidFill>
                          <a:srgbClr val="FFFFFF"/>
                        </a:solidFill>
                        <a:ln w="9525">
                          <a:noFill/>
                          <a:miter lim="800000"/>
                          <a:headEnd/>
                          <a:tailEnd/>
                        </a:ln>
                      </wps:spPr>
                      <wps:txbx>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7.95pt;margin-top:3.75pt;width:672.4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" stroked="f">
                <v:textbox style="mso-fit-shape-to-text:t">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v:textbox>
              </v:shape>
            </w:pict>
          </mc:Fallback>
        </mc:AlternateContent>
      </w:r>
    </w:p>
    <w:p>
      <w:pPr>
        <w:rPr>
          <w:noProof/>
          <w:lang w:eastAsia="de-DE"/>
        </w:rPr>
      </w:pPr>
      <w:r>
        <w:rPr>
          <w:noProof/>
          <w:lang w:eastAsia="en-GB"/>
        </w:rPr>
        <w:drawing>
          <wp:inline distT="0" distB="0" distL="0" distR="0">
            <wp:extent cx="8892540" cy="4724006"/>
            <wp:effectExtent l="0" t="0" r="3810" b="635"/>
            <wp:docPr id="198" name="Chart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pStyle w:val="Caption"/>
      </w:pPr>
      <w:bookmarkStart w:id="610" w:name="_Ref527468902"/>
      <w:bookmarkStart w:id="611" w:name="_Toc525807901"/>
      <w:bookmarkStart w:id="612" w:name="_Toc526433516"/>
      <w:bookmarkStart w:id="613" w:name="_Toc526433794"/>
      <w:bookmarkStart w:id="614" w:name="_Toc526435736"/>
      <w:bookmarkStart w:id="615" w:name="_Toc530739827"/>
      <w:bookmarkStart w:id="616" w:name="_Toc531178548"/>
      <w:r>
        <w:t xml:space="preserve">Figure </w:t>
      </w:r>
      <w:r>
        <w:fldChar w:fldCharType="begin"/>
      </w:r>
      <w:r>
        <w:instrText xml:space="preserve"> SEQ Figure \* ARABIC </w:instrText>
      </w:r>
      <w:r>
        <w:fldChar w:fldCharType="separate"/>
      </w:r>
      <w:r>
        <w:t>157</w:t>
      </w:r>
      <w:r>
        <w:fldChar w:fldCharType="end"/>
      </w:r>
      <w:bookmarkEnd w:id="610"/>
      <w:r>
        <w:t xml:space="preserve"> - Structure of average electricity prices in the surveyed plants in the CEE region (Poland and Bulgaria) in absolute terms (€/MWh), 2008 – 2017</w:t>
      </w:r>
      <w:bookmarkEnd w:id="611"/>
      <w:bookmarkEnd w:id="612"/>
      <w:bookmarkEnd w:id="613"/>
      <w:bookmarkEnd w:id="614"/>
      <w:bookmarkEnd w:id="615"/>
      <w:bookmarkEnd w:id="616"/>
    </w:p>
    <w:p>
      <w:pPr>
        <w:pStyle w:val="Sources"/>
        <w:rPr>
          <w:noProof/>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-114448</wp:posOffset>
                </wp:positionH>
                <wp:positionV relativeFrom="paragraph">
                  <wp:posOffset>263764</wp:posOffset>
                </wp:positionV>
                <wp:extent cx="9002617" cy="1403985"/>
                <wp:effectExtent l="0" t="0" r="8255" b="762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2617" cy="1403985"/>
                        </a:xfrm>
                        <a:prstGeom prst="rect">
                          <a:avLst/>
                        </a:prstGeom>
                        <a:solidFill>
                          <a:srgbClr val="FFFFFF"/>
                        </a:solidFill>
                        <a:ln w="9525">
                          <a:noFill/>
                          <a:miter lim="800000"/>
                          <a:headEnd/>
                          <a:tailEnd/>
                        </a:ln>
                      </wps:spPr>
                      <wps:txbx>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9pt;margin-top:20.75pt;width:708.8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" stroked="f">
                <v:textbox style="mso-fit-shape-to-text:t">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v:textbox>
              </v:shape>
            </w:pict>
          </mc:Fallback>
        </mc:AlternateContent>
      </w:r>
      <w:r>
        <w:rPr>
          <w:noProof/>
        </w:rPr>
        <w:t>Source: CEPS/Ecofys.</w:t>
      </w:r>
    </w:p>
    <w:p>
      <w:pPr>
        <w:rPr>
          <w:noProof/>
          <w:lang w:eastAsia="en-GB"/>
        </w:rPr>
      </w:pPr>
    </w:p>
    <w:p>
      <w:pPr>
        <w:rPr>
          <w:noProof/>
        </w:rPr>
      </w:pPr>
      <w:r>
        <w:rPr>
          <w:noProof/>
          <w:lang w:eastAsia="en-GB"/>
        </w:rPr>
        <w:drawing>
          <wp:inline distT="0" distB="0" distL="0" distR="0">
            <wp:extent cx="8785860" cy="4652645"/>
            <wp:effectExtent l="0" t="0" r="0" b="0"/>
            <wp:docPr id="1449026465" name="Chart 14490264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Caption"/>
      </w:pPr>
      <w:bookmarkStart w:id="617" w:name="_Ref527468922"/>
      <w:bookmarkStart w:id="618" w:name="_Toc525807902"/>
      <w:bookmarkStart w:id="619" w:name="_Toc526433517"/>
      <w:bookmarkStart w:id="620" w:name="_Toc526433795"/>
      <w:bookmarkStart w:id="621" w:name="_Toc526435737"/>
      <w:bookmarkStart w:id="622" w:name="_Toc530739828"/>
      <w:bookmarkStart w:id="623" w:name="_Toc531178549"/>
      <w:r>
        <w:t xml:space="preserve">Figure </w:t>
      </w:r>
      <w:r>
        <w:fldChar w:fldCharType="begin"/>
      </w:r>
      <w:r>
        <w:instrText xml:space="preserve"> SEQ Figure \* ARABIC </w:instrText>
      </w:r>
      <w:r>
        <w:fldChar w:fldCharType="separate"/>
      </w:r>
      <w:r>
        <w:t>158</w:t>
      </w:r>
      <w:r>
        <w:fldChar w:fldCharType="end"/>
      </w:r>
      <w:bookmarkEnd w:id="617"/>
      <w:r>
        <w:t xml:space="preserve"> - Structure of average natural gas prices in the surveyed plants in the NWE region (France, Germany, the Netherlands and the UK) in absolute terms (€/MWh), 2008 – 2017</w:t>
      </w:r>
      <w:bookmarkEnd w:id="618"/>
      <w:bookmarkEnd w:id="619"/>
      <w:bookmarkEnd w:id="620"/>
      <w:bookmarkEnd w:id="621"/>
      <w:bookmarkEnd w:id="622"/>
      <w:bookmarkEnd w:id="623"/>
    </w:p>
    <w:p>
      <w:pPr>
        <w:pStyle w:val="Sources"/>
        <w:rPr>
          <w:noProof/>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-55071</wp:posOffset>
                </wp:positionH>
                <wp:positionV relativeFrom="paragraph">
                  <wp:posOffset>260721</wp:posOffset>
                </wp:positionV>
                <wp:extent cx="8942392" cy="1403985"/>
                <wp:effectExtent l="0" t="0" r="0" b="762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2392" cy="1403985"/>
                        </a:xfrm>
                        <a:prstGeom prst="rect">
                          <a:avLst/>
                        </a:prstGeom>
                        <a:solidFill>
                          <a:srgbClr val="FFFFFF"/>
                        </a:solidFill>
                        <a:ln w="9525">
                          <a:noFill/>
                          <a:miter lim="800000"/>
                          <a:headEnd/>
                          <a:tailEnd/>
                        </a:ln>
                      </wps:spPr>
                      <wps:txbx>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35pt;margin-top:20.55pt;width:704.1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" stroked="f">
                <v:textbox style="mso-fit-shape-to-text:t">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v:textbox>
              </v:shape>
            </w:pict>
          </mc:Fallback>
        </mc:AlternateContent>
      </w:r>
      <w:r>
        <w:rPr>
          <w:noProof/>
        </w:rPr>
        <w:t>Source: CEPS/Ecofys.</w:t>
      </w:r>
    </w:p>
    <w:p>
      <w:pPr>
        <w:rPr>
          <w:noProof/>
          <w:lang w:eastAsia="en-GB"/>
        </w:rPr>
      </w:pPr>
    </w:p>
    <w:p>
      <w:pPr>
        <w:rPr>
          <w:noProof/>
        </w:rPr>
      </w:pPr>
      <w:r>
        <w:rPr>
          <w:noProof/>
          <w:lang w:eastAsia="en-GB"/>
        </w:rPr>
        <w:drawing>
          <wp:inline distT="0" distB="0" distL="0" distR="0">
            <wp:extent cx="8844280" cy="4638040"/>
            <wp:effectExtent l="0" t="0" r="0" b="0"/>
            <wp:docPr id="1449026466" name="Chart 14490264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pStyle w:val="Caption"/>
      </w:pPr>
      <w:bookmarkStart w:id="624" w:name="_Ref527468927"/>
      <w:bookmarkStart w:id="625" w:name="_Toc525807903"/>
      <w:bookmarkStart w:id="626" w:name="_Toc526433518"/>
      <w:bookmarkStart w:id="627" w:name="_Toc526433796"/>
      <w:bookmarkStart w:id="628" w:name="_Toc526435738"/>
      <w:bookmarkStart w:id="629" w:name="_Toc530739829"/>
      <w:bookmarkStart w:id="630" w:name="_Toc531178550"/>
      <w:r>
        <w:t xml:space="preserve">Figure </w:t>
      </w:r>
      <w:r>
        <w:fldChar w:fldCharType="begin"/>
      </w:r>
      <w:r>
        <w:instrText xml:space="preserve"> SEQ Figure \* ARABIC </w:instrText>
      </w:r>
      <w:r>
        <w:fldChar w:fldCharType="separate"/>
      </w:r>
      <w:r>
        <w:t>159</w:t>
      </w:r>
      <w:r>
        <w:fldChar w:fldCharType="end"/>
      </w:r>
      <w:bookmarkEnd w:id="624"/>
      <w:r>
        <w:t xml:space="preserve"> - Structure of average natural gas prices in the surveyed plants in the SE region (Portugal, Italy and Spain) in absolute terms (€/MWh), 2008 – 2017</w:t>
      </w:r>
      <w:bookmarkEnd w:id="625"/>
      <w:bookmarkEnd w:id="626"/>
      <w:bookmarkEnd w:id="627"/>
      <w:bookmarkEnd w:id="628"/>
      <w:bookmarkEnd w:id="629"/>
      <w:bookmarkEnd w:id="630"/>
    </w:p>
    <w:p>
      <w:pPr>
        <w:pStyle w:val="Sources"/>
        <w:rPr>
          <w:noProof/>
        </w:rPr>
      </w:pPr>
      <w:r>
        <w:rPr>
          <w:noProof/>
        </w:rPr>
        <w:t>Source: CEPS/Ecofys.</w:t>
      </w:r>
    </w:p>
    <w:p>
      <w:pPr>
        <w:rPr>
          <w:noProof/>
          <w:lang w:eastAsia="en-GB"/>
        </w:rP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-78822</wp:posOffset>
                </wp:positionH>
                <wp:positionV relativeFrom="paragraph">
                  <wp:posOffset>56622</wp:posOffset>
                </wp:positionV>
                <wp:extent cx="8966991" cy="1403985"/>
                <wp:effectExtent l="0" t="0" r="5715" b="762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991" cy="1403985"/>
                        </a:xfrm>
                        <a:prstGeom prst="rect">
                          <a:avLst/>
                        </a:prstGeom>
                        <a:solidFill>
                          <a:srgbClr val="FFFFFF"/>
                        </a:solidFill>
                        <a:ln w="9525">
                          <a:noFill/>
                          <a:miter lim="800000"/>
                          <a:headEnd/>
                          <a:tailEnd/>
                        </a:ln>
                      </wps:spPr>
                      <wps:txbx>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6.2pt;margin-top:4.45pt;width:706.0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" stroked="f">
                <v:textbox style="mso-fit-shape-to-text:t">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v:textbox>
              </v:shape>
            </w:pict>
          </mc:Fallback>
        </mc:AlternateContent>
      </w:r>
    </w:p>
    <w:p>
      <w:pPr>
        <w:rPr>
          <w:noProof/>
        </w:rPr>
      </w:pPr>
      <w:r>
        <w:rPr>
          <w:noProof/>
          <w:lang w:eastAsia="en-GB"/>
        </w:rPr>
        <w:drawing>
          <wp:inline distT="0" distB="0" distL="0" distR="0">
            <wp:extent cx="8785860" cy="4791710"/>
            <wp:effectExtent l="0" t="0" r="0" b="0"/>
            <wp:docPr id="199" name="Chart 1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Caption"/>
      </w:pPr>
      <w:bookmarkStart w:id="631" w:name="_Ref527468934"/>
      <w:bookmarkStart w:id="632" w:name="_Toc525807904"/>
      <w:bookmarkStart w:id="633" w:name="_Toc526433519"/>
      <w:bookmarkStart w:id="634" w:name="_Toc526433797"/>
      <w:bookmarkStart w:id="635" w:name="_Toc526435739"/>
      <w:bookmarkStart w:id="636" w:name="_Toc530739830"/>
      <w:bookmarkStart w:id="637" w:name="_Toc531178551"/>
      <w:r>
        <w:t xml:space="preserve">Figure </w:t>
      </w:r>
      <w:r>
        <w:fldChar w:fldCharType="begin"/>
      </w:r>
      <w:r>
        <w:instrText xml:space="preserve"> SEQ Figure \* ARABIC </w:instrText>
      </w:r>
      <w:r>
        <w:fldChar w:fldCharType="separate"/>
      </w:r>
      <w:r>
        <w:t>160</w:t>
      </w:r>
      <w:r>
        <w:fldChar w:fldCharType="end"/>
      </w:r>
      <w:bookmarkEnd w:id="631"/>
      <w:r>
        <w:t xml:space="preserve"> - Structure of average natural gas prices in the surveyed plants in the CEE region (Poland and Bulgaria) in absolute terms (€/MWh), 2008 – 2017</w:t>
      </w:r>
      <w:bookmarkEnd w:id="632"/>
      <w:bookmarkEnd w:id="633"/>
      <w:bookmarkEnd w:id="634"/>
      <w:bookmarkEnd w:id="635"/>
      <w:bookmarkEnd w:id="636"/>
      <w:bookmarkEnd w:id="637"/>
    </w:p>
    <w:p>
      <w:pPr>
        <w:pStyle w:val="Sources"/>
        <w:rPr>
          <w:noProof/>
        </w:rPr>
      </w:pPr>
      <w:r>
        <w:rPr>
          <w:noProof/>
        </w:rPr>
        <w:t>Source: CEPS/Ecofys.</w:t>
      </w:r>
    </w:p>
    <w:p>
      <w:pPr>
        <w:rPr>
          <w:noProof/>
          <w:lang w:eastAsia="de-DE"/>
        </w:rPr>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4305</wp:posOffset>
                </wp:positionH>
                <wp:positionV relativeFrom="paragraph">
                  <wp:posOffset>57331</wp:posOffset>
                </wp:positionV>
                <wp:extent cx="8883864" cy="1403985"/>
                <wp:effectExtent l="0" t="0" r="0" b="762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864" cy="1403985"/>
                        </a:xfrm>
                        <a:prstGeom prst="rect">
                          <a:avLst/>
                        </a:prstGeom>
                        <a:solidFill>
                          <a:srgbClr val="FFFFFF"/>
                        </a:solidFill>
                        <a:ln w="9525">
                          <a:noFill/>
                          <a:miter lim="800000"/>
                          <a:headEnd/>
                          <a:tailEnd/>
                        </a:ln>
                      </wps:spPr>
                      <wps:txbx>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5pt;margin-top:4.5pt;width:699.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" stroked="f">
                <v:textbox style="mso-fit-shape-to-text:t">
                  <w:txbxContent>
                    <w:p>
                      <w:pPr>
                        <w:rPr>
                          <w:sz w:val="20"/>
                        </w:rPr>
                      </w:pPr>
                      <w:r>
                        <w:rPr>
                          <w:sz w:val="20"/>
                        </w:rPr>
                        <w:t>Note: The data presented on the graph are the average prices faced by the surveyed plants but are not representative of national prices. Direct comparisons between two Member States should be avoided.</w:t>
                      </w:r>
                    </w:p>
                  </w:txbxContent>
                </v:textbox>
              </v:shape>
            </w:pict>
          </mc:Fallback>
        </mc:AlternateContent>
      </w:r>
    </w:p>
    <w:p>
      <w:pPr>
        <w:rPr>
          <w:noProof/>
          <w:lang w:eastAsia="de-DE"/>
        </w:rPr>
        <w:sectPr>
          <w:headerReference w:type="even" r:id="rId194"/>
          <w:headerReference w:type="default" r:id="rId195"/>
          <w:footerReference w:type="even" r:id="rId196"/>
          <w:footerReference w:type="default" r:id="rId197"/>
          <w:headerReference w:type="first" r:id="rId198"/>
          <w:footerReference w:type="first" r:id="rId199"/>
          <w:footnotePr>
            <w:numStart w:val="50"/>
          </w:footnotePr>
          <w:pgSz w:w="16838" w:h="11906" w:orient="landscape" w:code="9"/>
          <w:pgMar w:top="1418" w:right="1134" w:bottom="1418" w:left="1134" w:header="709" w:footer="709" w:gutter="0"/>
          <w:cols w:space="720"/>
          <w:docGrid w:linePitch="360"/>
        </w:sectPr>
      </w:pPr>
    </w:p>
    <w:p>
      <w:pPr>
        <w:pStyle w:val="Heading3"/>
        <w:numPr>
          <w:ilvl w:val="2"/>
          <w:numId w:val="1"/>
        </w:numPr>
        <w:rPr>
          <w:noProof/>
        </w:rPr>
      </w:pPr>
      <w:bookmarkStart w:id="638" w:name="_Toc524619537"/>
      <w:bookmarkStart w:id="639" w:name="_Toc524961084"/>
      <w:bookmarkStart w:id="640" w:name="_Toc525143045"/>
      <w:bookmarkStart w:id="641" w:name="_Toc525222202"/>
      <w:bookmarkStart w:id="642" w:name="_Toc525222371"/>
      <w:bookmarkStart w:id="643" w:name="_Ref525234717"/>
      <w:bookmarkStart w:id="644" w:name="_Toc526420767"/>
      <w:bookmarkStart w:id="645" w:name="_Toc526433993"/>
      <w:bookmarkStart w:id="646" w:name="_Toc526435935"/>
      <w:bookmarkStart w:id="647" w:name="_Toc530595265"/>
      <w:bookmarkStart w:id="648" w:name="_Toc531178344"/>
      <w:r>
        <w:rPr>
          <w:noProof/>
        </w:rPr>
        <w:t>Overview of results of s</w:t>
      </w:r>
      <w:bookmarkStart w:id="649" w:name="_Toc467088146"/>
      <w:bookmarkStart w:id="650" w:name="_Toc467230966"/>
      <w:bookmarkStart w:id="651" w:name="_Toc467231071"/>
      <w:bookmarkStart w:id="652" w:name="_Toc467231178"/>
      <w:bookmarkStart w:id="653" w:name="_Toc467231329"/>
      <w:bookmarkStart w:id="654" w:name="_Toc467231436"/>
      <w:bookmarkStart w:id="655" w:name="_Toc467231543"/>
      <w:bookmarkStart w:id="656" w:name="_Toc467231651"/>
      <w:bookmarkStart w:id="657" w:name="_Toc467231760"/>
      <w:bookmarkStart w:id="658" w:name="_Toc467088147"/>
      <w:bookmarkStart w:id="659" w:name="_Toc467230967"/>
      <w:bookmarkStart w:id="660" w:name="_Toc467231072"/>
      <w:bookmarkStart w:id="661" w:name="_Toc467231179"/>
      <w:bookmarkStart w:id="662" w:name="_Toc467231330"/>
      <w:bookmarkStart w:id="663" w:name="_Toc467231437"/>
      <w:bookmarkStart w:id="664" w:name="_Toc467231544"/>
      <w:bookmarkStart w:id="665" w:name="_Toc467231652"/>
      <w:bookmarkStart w:id="666" w:name="_Toc467231761"/>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Pr>
          <w:noProof/>
        </w:rPr>
        <w:t>pecific case studies</w:t>
      </w:r>
      <w:bookmarkEnd w:id="552"/>
      <w:bookmarkEnd w:id="638"/>
      <w:bookmarkEnd w:id="639"/>
      <w:bookmarkEnd w:id="640"/>
      <w:bookmarkEnd w:id="641"/>
      <w:bookmarkEnd w:id="642"/>
      <w:bookmarkEnd w:id="643"/>
      <w:bookmarkEnd w:id="644"/>
      <w:bookmarkEnd w:id="645"/>
      <w:bookmarkEnd w:id="646"/>
      <w:bookmarkEnd w:id="647"/>
      <w:bookmarkEnd w:id="648"/>
      <w:r>
        <w:rPr>
          <w:noProof/>
        </w:rPr>
        <w:t xml:space="preserve"> </w:t>
      </w:r>
    </w:p>
    <w:p>
      <w:pPr>
        <w:rPr>
          <w:noProof/>
          <w:color w:val="000000"/>
          <w:sz w:val="24"/>
          <w:lang w:eastAsia="en-GB"/>
        </w:rPr>
      </w:pPr>
    </w:p>
    <w:p>
      <w:pPr>
        <w:rPr>
          <w:noProof/>
          <w:color w:val="000000"/>
          <w:sz w:val="24"/>
          <w:lang w:eastAsia="en-GB"/>
        </w:rPr>
      </w:pPr>
      <w:r>
        <w:rPr>
          <w:noProof/>
          <w:color w:val="000000"/>
          <w:sz w:val="24"/>
          <w:lang w:eastAsia="en-GB"/>
        </w:rPr>
        <w:t xml:space="preserve">For each sector analysed, </w:t>
      </w:r>
      <w:r>
        <w:rPr>
          <w:iCs/>
          <w:noProof/>
          <w:color w:val="000000"/>
          <w:sz w:val="24"/>
          <w:lang w:eastAsia="en-GB"/>
        </w:rPr>
        <w:t xml:space="preserve">energy prices </w:t>
      </w:r>
      <w:r>
        <w:rPr>
          <w:noProof/>
          <w:color w:val="000000"/>
          <w:sz w:val="24"/>
          <w:lang w:eastAsia="en-GB"/>
        </w:rPr>
        <w:t xml:space="preserve">and </w:t>
      </w:r>
      <w:r>
        <w:rPr>
          <w:iCs/>
          <w:noProof/>
          <w:color w:val="000000"/>
          <w:sz w:val="24"/>
          <w:lang w:eastAsia="en-GB"/>
        </w:rPr>
        <w:t xml:space="preserve">costs and information on their main drivers were collected and </w:t>
      </w:r>
      <w:r>
        <w:rPr>
          <w:noProof/>
          <w:color w:val="000000"/>
          <w:sz w:val="24"/>
          <w:lang w:eastAsia="en-GB"/>
        </w:rPr>
        <w:t>main features of</w:t>
      </w:r>
      <w:r>
        <w:rPr>
          <w:iCs/>
          <w:noProof/>
          <w:color w:val="000000"/>
          <w:sz w:val="24"/>
          <w:lang w:eastAsia="en-GB"/>
        </w:rPr>
        <w:t xml:space="preserve"> </w:t>
      </w:r>
      <w:r>
        <w:rPr>
          <w:noProof/>
          <w:color w:val="000000"/>
          <w:sz w:val="24"/>
          <w:lang w:eastAsia="en-GB"/>
        </w:rPr>
        <w:t xml:space="preserve">production cost structures and international competitiveness were reviewed. The details of the analysis by sector are presented in </w:t>
      </w:r>
      <w:r>
        <w:rPr>
          <w:b/>
          <w:noProof/>
          <w:color w:val="000000"/>
          <w:sz w:val="24"/>
          <w:lang w:eastAsia="en-GB"/>
        </w:rPr>
        <w:t>Annex 1</w:t>
      </w:r>
      <w:r>
        <w:rPr>
          <w:noProof/>
          <w:color w:val="000000"/>
          <w:sz w:val="24"/>
          <w:lang w:eastAsia="en-GB"/>
        </w:rPr>
        <w:t xml:space="preserve">. Note that technical descriptions of production processes and technologies in each sector and detailed trade analyses are not part of this report but can be found in the </w:t>
      </w:r>
      <w:r>
        <w:rPr>
          <w:noProof/>
          <w:sz w:val="24"/>
        </w:rPr>
        <w:t>CEPS and Ecofys study</w:t>
      </w:r>
      <w:r>
        <w:rPr>
          <w:rStyle w:val="FootnoteReference"/>
          <w:noProof/>
          <w:sz w:val="24"/>
        </w:rPr>
        <w:footnoteReference w:id="53"/>
      </w:r>
      <w:r>
        <w:rPr>
          <w:noProof/>
          <w:color w:val="000000"/>
          <w:sz w:val="24"/>
          <w:lang w:eastAsia="en-GB"/>
        </w:rPr>
        <w:t>.</w:t>
      </w:r>
    </w:p>
    <w:p>
      <w:pPr>
        <w:rPr>
          <w:noProof/>
          <w:sz w:val="24"/>
        </w:rPr>
      </w:pPr>
      <w:r>
        <w:rPr>
          <w:noProof/>
          <w:sz w:val="24"/>
        </w:rPr>
        <w:t xml:space="preserve">Key findings for typical plants in Europe of the sectors analysed are summarised in </w:t>
      </w:r>
      <w:r>
        <w:rPr>
          <w:b/>
          <w:noProof/>
          <w:sz w:val="24"/>
        </w:rPr>
        <w:fldChar w:fldCharType="begin"/>
      </w:r>
      <w:r>
        <w:rPr>
          <w:b/>
          <w:noProof/>
          <w:sz w:val="24"/>
        </w:rPr>
        <w:instrText xml:space="preserve"> REF _Ref520294579 \h  \* MERGEFORMAT </w:instrText>
      </w:r>
      <w:r>
        <w:rPr>
          <w:b/>
          <w:noProof/>
          <w:sz w:val="24"/>
        </w:rPr>
      </w:r>
      <w:r>
        <w:rPr>
          <w:b/>
          <w:noProof/>
          <w:sz w:val="24"/>
        </w:rPr>
        <w:fldChar w:fldCharType="separate"/>
      </w:r>
      <w:r>
        <w:rPr>
          <w:b/>
          <w:noProof/>
          <w:sz w:val="24"/>
        </w:rPr>
        <w:t>Table 19</w:t>
      </w:r>
      <w:r>
        <w:rPr>
          <w:b/>
          <w:noProof/>
          <w:sz w:val="24"/>
        </w:rPr>
        <w:fldChar w:fldCharType="end"/>
      </w:r>
      <w:r>
        <w:rPr>
          <w:noProof/>
          <w:sz w:val="24"/>
        </w:rPr>
        <w:t>.</w:t>
      </w:r>
    </w:p>
    <w:p>
      <w:pPr>
        <w:rPr>
          <w:noProof/>
          <w:sz w:val="24"/>
        </w:rPr>
      </w:pPr>
    </w:p>
    <w:p>
      <w:pPr>
        <w:pStyle w:val="Caption"/>
      </w:pPr>
      <w:bookmarkStart w:id="667" w:name="_Ref520294579"/>
      <w:bookmarkStart w:id="668" w:name="_Toc525817563"/>
      <w:bookmarkStart w:id="669" w:name="_Toc526433353"/>
      <w:bookmarkStart w:id="670" w:name="_Toc526433606"/>
      <w:bookmarkStart w:id="671" w:name="_Toc526435548"/>
      <w:bookmarkStart w:id="672" w:name="_Toc531178647"/>
      <w:r>
        <w:t xml:space="preserve">Table </w:t>
      </w:r>
      <w:r>
        <w:fldChar w:fldCharType="begin"/>
      </w:r>
      <w:r>
        <w:instrText xml:space="preserve"> SEQ Table \* ARABIC </w:instrText>
      </w:r>
      <w:r>
        <w:fldChar w:fldCharType="separate"/>
      </w:r>
      <w:r>
        <w:t>19</w:t>
      </w:r>
      <w:r>
        <w:fldChar w:fldCharType="end"/>
      </w:r>
      <w:bookmarkEnd w:id="667"/>
      <w:r>
        <w:t xml:space="preserve"> - Key plant level results from the case studies (2016)</w:t>
      </w:r>
      <w:bookmarkEnd w:id="668"/>
      <w:bookmarkEnd w:id="669"/>
      <w:bookmarkEnd w:id="670"/>
      <w:bookmarkEnd w:id="671"/>
      <w:r>
        <w:t xml:space="preserve"> – EU values</w:t>
      </w:r>
      <w:bookmarkEnd w:id="672"/>
    </w:p>
    <w:tbl>
      <w:tblPr>
        <w:tblStyle w:val="TableGrid"/>
        <w:tblW w:w="9464" w:type="dxa"/>
        <w:tblLayout w:type="fixed"/>
        <w:tblLook w:val="04A0" w:firstRow="1" w:lastRow="0" w:firstColumn="1" w:lastColumn="0" w:noHBand="0" w:noVBand="1"/>
      </w:tblPr>
      <w:tblGrid>
        <w:gridCol w:w="1242"/>
        <w:gridCol w:w="1276"/>
        <w:gridCol w:w="1076"/>
        <w:gridCol w:w="1050"/>
        <w:gridCol w:w="1259"/>
        <w:gridCol w:w="1009"/>
        <w:gridCol w:w="1276"/>
        <w:gridCol w:w="1276"/>
      </w:tblGrid>
      <w:tr>
        <w:tc>
          <w:tcPr>
            <w:tcW w:w="1242" w:type="dxa"/>
          </w:tcPr>
          <w:p>
            <w:pPr>
              <w:spacing w:before="60" w:after="60"/>
              <w:rPr>
                <w:b/>
                <w:noProof/>
                <w:sz w:val="20"/>
                <w:szCs w:val="20"/>
              </w:rPr>
            </w:pPr>
            <w:r>
              <w:rPr>
                <w:b/>
                <w:noProof/>
                <w:sz w:val="20"/>
                <w:szCs w:val="20"/>
              </w:rPr>
              <w:t>Sector</w:t>
            </w:r>
          </w:p>
        </w:tc>
        <w:tc>
          <w:tcPr>
            <w:tcW w:w="1276" w:type="dxa"/>
          </w:tcPr>
          <w:p>
            <w:pPr>
              <w:spacing w:before="60" w:after="60"/>
              <w:jc w:val="center"/>
              <w:rPr>
                <w:noProof/>
                <w:sz w:val="20"/>
                <w:szCs w:val="20"/>
              </w:rPr>
            </w:pPr>
            <w:r>
              <w:rPr>
                <w:noProof/>
                <w:sz w:val="20"/>
                <w:szCs w:val="20"/>
              </w:rPr>
              <w:t>Median electricity consumption (GWh)</w:t>
            </w:r>
          </w:p>
        </w:tc>
        <w:tc>
          <w:tcPr>
            <w:tcW w:w="1076" w:type="dxa"/>
          </w:tcPr>
          <w:p>
            <w:pPr>
              <w:spacing w:before="60" w:after="60"/>
              <w:jc w:val="center"/>
              <w:rPr>
                <w:noProof/>
                <w:sz w:val="20"/>
                <w:szCs w:val="20"/>
              </w:rPr>
            </w:pPr>
            <w:r>
              <w:rPr>
                <w:noProof/>
                <w:sz w:val="20"/>
                <w:szCs w:val="20"/>
              </w:rPr>
              <w:t>Average electricity price</w:t>
            </w:r>
            <w:r>
              <w:rPr>
                <w:noProof/>
                <w:sz w:val="20"/>
                <w:szCs w:val="20"/>
                <w:vertAlign w:val="superscript"/>
              </w:rPr>
              <w:t>(1)</w:t>
            </w:r>
            <w:r>
              <w:rPr>
                <w:noProof/>
                <w:sz w:val="20"/>
                <w:szCs w:val="20"/>
              </w:rPr>
              <w:t xml:space="preserve"> (€/MWh)</w:t>
            </w:r>
          </w:p>
        </w:tc>
        <w:tc>
          <w:tcPr>
            <w:tcW w:w="1050" w:type="dxa"/>
          </w:tcPr>
          <w:p>
            <w:pPr>
              <w:spacing w:before="60" w:after="60"/>
              <w:jc w:val="center"/>
              <w:rPr>
                <w:noProof/>
                <w:sz w:val="20"/>
                <w:szCs w:val="20"/>
              </w:rPr>
            </w:pPr>
            <w:r>
              <w:rPr>
                <w:noProof/>
                <w:sz w:val="20"/>
                <w:szCs w:val="20"/>
              </w:rPr>
              <w:t>Average electricity costs</w:t>
            </w:r>
            <w:r>
              <w:rPr>
                <w:noProof/>
                <w:sz w:val="20"/>
                <w:szCs w:val="20"/>
                <w:vertAlign w:val="superscript"/>
              </w:rPr>
              <w:t>(1)</w:t>
            </w:r>
            <w:r>
              <w:rPr>
                <w:noProof/>
                <w:sz w:val="20"/>
                <w:szCs w:val="20"/>
              </w:rPr>
              <w:t xml:space="preserve"> (€/MWh)</w:t>
            </w:r>
          </w:p>
        </w:tc>
        <w:tc>
          <w:tcPr>
            <w:tcW w:w="1259" w:type="dxa"/>
          </w:tcPr>
          <w:p>
            <w:pPr>
              <w:spacing w:before="60" w:after="60"/>
              <w:jc w:val="center"/>
              <w:rPr>
                <w:noProof/>
                <w:sz w:val="20"/>
                <w:szCs w:val="20"/>
              </w:rPr>
            </w:pPr>
            <w:r>
              <w:rPr>
                <w:noProof/>
                <w:sz w:val="20"/>
                <w:szCs w:val="20"/>
              </w:rPr>
              <w:t>Median natural gas consumption (GWh)</w:t>
            </w:r>
          </w:p>
        </w:tc>
        <w:tc>
          <w:tcPr>
            <w:tcW w:w="1009" w:type="dxa"/>
          </w:tcPr>
          <w:p>
            <w:pPr>
              <w:spacing w:before="60" w:after="60"/>
              <w:jc w:val="center"/>
              <w:rPr>
                <w:noProof/>
                <w:sz w:val="20"/>
                <w:szCs w:val="20"/>
              </w:rPr>
            </w:pPr>
            <w:r>
              <w:rPr>
                <w:noProof/>
                <w:sz w:val="20"/>
                <w:szCs w:val="20"/>
              </w:rPr>
              <w:t>Average natural gas price</w:t>
            </w:r>
            <w:r>
              <w:rPr>
                <w:noProof/>
                <w:sz w:val="20"/>
                <w:szCs w:val="20"/>
                <w:vertAlign w:val="superscript"/>
              </w:rPr>
              <w:t>(1)</w:t>
            </w:r>
            <w:r>
              <w:rPr>
                <w:noProof/>
                <w:sz w:val="20"/>
                <w:szCs w:val="20"/>
              </w:rPr>
              <w:t xml:space="preserve"> (€/MWh)</w:t>
            </w:r>
          </w:p>
        </w:tc>
        <w:tc>
          <w:tcPr>
            <w:tcW w:w="1276" w:type="dxa"/>
          </w:tcPr>
          <w:p>
            <w:pPr>
              <w:spacing w:before="60" w:after="60"/>
              <w:jc w:val="center"/>
              <w:rPr>
                <w:noProof/>
                <w:sz w:val="20"/>
                <w:szCs w:val="20"/>
              </w:rPr>
            </w:pPr>
            <w:r>
              <w:rPr>
                <w:noProof/>
                <w:sz w:val="20"/>
                <w:szCs w:val="20"/>
              </w:rPr>
              <w:t>Main energy carriers used</w:t>
            </w:r>
            <w:r>
              <w:rPr>
                <w:noProof/>
                <w:sz w:val="20"/>
                <w:szCs w:val="20"/>
                <w:vertAlign w:val="superscript"/>
              </w:rPr>
              <w:t>(2)</w:t>
            </w:r>
          </w:p>
        </w:tc>
        <w:tc>
          <w:tcPr>
            <w:tcW w:w="1276" w:type="dxa"/>
          </w:tcPr>
          <w:p>
            <w:pPr>
              <w:spacing w:before="60" w:after="60"/>
              <w:jc w:val="center"/>
              <w:rPr>
                <w:noProof/>
                <w:sz w:val="20"/>
                <w:szCs w:val="20"/>
              </w:rPr>
            </w:pPr>
            <w:r>
              <w:rPr>
                <w:noProof/>
                <w:sz w:val="20"/>
                <w:szCs w:val="20"/>
              </w:rPr>
              <w:t>Share of total energy costs in total production costs</w:t>
            </w:r>
            <w:r>
              <w:rPr>
                <w:noProof/>
                <w:sz w:val="20"/>
                <w:szCs w:val="20"/>
                <w:vertAlign w:val="superscript"/>
              </w:rPr>
              <w:t>(3)</w:t>
            </w:r>
            <w:r>
              <w:rPr>
                <w:noProof/>
                <w:sz w:val="20"/>
                <w:szCs w:val="20"/>
              </w:rPr>
              <w:t xml:space="preserve"> (%)</w:t>
            </w:r>
          </w:p>
        </w:tc>
      </w:tr>
      <w:tr>
        <w:tc>
          <w:tcPr>
            <w:tcW w:w="1242" w:type="dxa"/>
          </w:tcPr>
          <w:p>
            <w:pPr>
              <w:spacing w:before="60" w:after="60"/>
              <w:rPr>
                <w:noProof/>
                <w:sz w:val="20"/>
                <w:szCs w:val="20"/>
              </w:rPr>
            </w:pPr>
            <w:r>
              <w:rPr>
                <w:noProof/>
                <w:sz w:val="20"/>
                <w:szCs w:val="20"/>
              </w:rPr>
              <w:t>Bricks and roof tiles</w:t>
            </w:r>
          </w:p>
        </w:tc>
        <w:tc>
          <w:tcPr>
            <w:tcW w:w="1276" w:type="dxa"/>
          </w:tcPr>
          <w:p>
            <w:pPr>
              <w:spacing w:before="60" w:after="60"/>
              <w:jc w:val="center"/>
              <w:rPr>
                <w:noProof/>
                <w:sz w:val="20"/>
                <w:szCs w:val="20"/>
              </w:rPr>
            </w:pPr>
            <w:r>
              <w:rPr>
                <w:noProof/>
                <w:sz w:val="20"/>
                <w:szCs w:val="20"/>
              </w:rPr>
              <w:t>5.9</w:t>
            </w:r>
          </w:p>
        </w:tc>
        <w:tc>
          <w:tcPr>
            <w:tcW w:w="1076" w:type="dxa"/>
          </w:tcPr>
          <w:p>
            <w:pPr>
              <w:spacing w:before="60" w:after="60"/>
              <w:jc w:val="center"/>
              <w:rPr>
                <w:noProof/>
                <w:sz w:val="20"/>
                <w:szCs w:val="20"/>
              </w:rPr>
            </w:pPr>
            <w:r>
              <w:rPr>
                <w:noProof/>
                <w:sz w:val="20"/>
                <w:szCs w:val="20"/>
              </w:rPr>
              <w:t>86.3</w:t>
            </w:r>
          </w:p>
        </w:tc>
        <w:tc>
          <w:tcPr>
            <w:tcW w:w="1050" w:type="dxa"/>
          </w:tcPr>
          <w:p>
            <w:pPr>
              <w:spacing w:before="60" w:after="60"/>
              <w:jc w:val="center"/>
              <w:rPr>
                <w:noProof/>
                <w:sz w:val="20"/>
                <w:szCs w:val="20"/>
              </w:rPr>
            </w:pPr>
            <w:r>
              <w:rPr>
                <w:noProof/>
                <w:sz w:val="20"/>
                <w:szCs w:val="20"/>
              </w:rPr>
              <w:t>79.3</w:t>
            </w:r>
          </w:p>
        </w:tc>
        <w:tc>
          <w:tcPr>
            <w:tcW w:w="1259" w:type="dxa"/>
          </w:tcPr>
          <w:p>
            <w:pPr>
              <w:spacing w:before="60" w:after="60"/>
              <w:jc w:val="center"/>
              <w:rPr>
                <w:noProof/>
                <w:sz w:val="20"/>
                <w:szCs w:val="20"/>
              </w:rPr>
            </w:pPr>
            <w:r>
              <w:rPr>
                <w:noProof/>
                <w:sz w:val="20"/>
                <w:szCs w:val="20"/>
              </w:rPr>
              <w:t>51.3</w:t>
            </w:r>
          </w:p>
        </w:tc>
        <w:tc>
          <w:tcPr>
            <w:tcW w:w="1009" w:type="dxa"/>
          </w:tcPr>
          <w:p>
            <w:pPr>
              <w:spacing w:before="60" w:after="60"/>
              <w:jc w:val="center"/>
              <w:rPr>
                <w:noProof/>
                <w:sz w:val="20"/>
                <w:szCs w:val="20"/>
              </w:rPr>
            </w:pPr>
            <w:r>
              <w:rPr>
                <w:noProof/>
                <w:sz w:val="20"/>
                <w:szCs w:val="20"/>
              </w:rPr>
              <w:t>25.1</w:t>
            </w:r>
          </w:p>
        </w:tc>
        <w:tc>
          <w:tcPr>
            <w:tcW w:w="1276" w:type="dxa"/>
          </w:tcPr>
          <w:p>
            <w:pPr>
              <w:spacing w:before="60" w:after="60"/>
              <w:jc w:val="center"/>
              <w:rPr>
                <w:noProof/>
                <w:sz w:val="20"/>
                <w:szCs w:val="20"/>
              </w:rPr>
            </w:pPr>
            <w:r>
              <w:rPr>
                <w:noProof/>
                <w:sz w:val="20"/>
                <w:szCs w:val="20"/>
              </w:rPr>
              <w:t>Natural gas</w:t>
            </w:r>
          </w:p>
        </w:tc>
        <w:tc>
          <w:tcPr>
            <w:tcW w:w="1276" w:type="dxa"/>
          </w:tcPr>
          <w:p>
            <w:pPr>
              <w:spacing w:before="60" w:after="60"/>
              <w:jc w:val="center"/>
              <w:rPr>
                <w:noProof/>
                <w:sz w:val="20"/>
                <w:szCs w:val="20"/>
              </w:rPr>
            </w:pPr>
            <w:r>
              <w:rPr>
                <w:noProof/>
                <w:sz w:val="20"/>
                <w:szCs w:val="20"/>
              </w:rPr>
              <w:t>19.0</w:t>
            </w:r>
          </w:p>
        </w:tc>
      </w:tr>
      <w:tr>
        <w:tc>
          <w:tcPr>
            <w:tcW w:w="1242" w:type="dxa"/>
          </w:tcPr>
          <w:p>
            <w:pPr>
              <w:spacing w:before="60" w:after="60"/>
              <w:rPr>
                <w:noProof/>
                <w:sz w:val="20"/>
                <w:szCs w:val="20"/>
              </w:rPr>
            </w:pPr>
            <w:r>
              <w:rPr>
                <w:noProof/>
                <w:sz w:val="20"/>
                <w:szCs w:val="20"/>
              </w:rPr>
              <w:t>Wall and floor tiles</w:t>
            </w:r>
          </w:p>
        </w:tc>
        <w:tc>
          <w:tcPr>
            <w:tcW w:w="1276" w:type="dxa"/>
          </w:tcPr>
          <w:p>
            <w:pPr>
              <w:spacing w:before="60" w:after="60"/>
              <w:jc w:val="center"/>
              <w:rPr>
                <w:noProof/>
                <w:sz w:val="20"/>
                <w:szCs w:val="20"/>
              </w:rPr>
            </w:pPr>
            <w:r>
              <w:rPr>
                <w:noProof/>
                <w:sz w:val="20"/>
                <w:szCs w:val="20"/>
              </w:rPr>
              <w:t>13.5</w:t>
            </w:r>
          </w:p>
        </w:tc>
        <w:tc>
          <w:tcPr>
            <w:tcW w:w="1076" w:type="dxa"/>
          </w:tcPr>
          <w:p>
            <w:pPr>
              <w:spacing w:before="60" w:after="60"/>
              <w:jc w:val="center"/>
              <w:rPr>
                <w:noProof/>
                <w:sz w:val="20"/>
                <w:szCs w:val="20"/>
              </w:rPr>
            </w:pPr>
            <w:r>
              <w:rPr>
                <w:noProof/>
                <w:sz w:val="20"/>
                <w:szCs w:val="20"/>
              </w:rPr>
              <w:t>99.2</w:t>
            </w:r>
          </w:p>
        </w:tc>
        <w:tc>
          <w:tcPr>
            <w:tcW w:w="1050" w:type="dxa"/>
          </w:tcPr>
          <w:p>
            <w:pPr>
              <w:spacing w:before="60" w:after="60"/>
              <w:jc w:val="center"/>
              <w:rPr>
                <w:noProof/>
                <w:sz w:val="20"/>
                <w:szCs w:val="20"/>
              </w:rPr>
            </w:pPr>
            <w:r>
              <w:rPr>
                <w:noProof/>
                <w:sz w:val="20"/>
                <w:szCs w:val="20"/>
              </w:rPr>
              <w:t>88.1</w:t>
            </w:r>
          </w:p>
        </w:tc>
        <w:tc>
          <w:tcPr>
            <w:tcW w:w="1259" w:type="dxa"/>
          </w:tcPr>
          <w:p>
            <w:pPr>
              <w:spacing w:before="60" w:after="60"/>
              <w:jc w:val="center"/>
              <w:rPr>
                <w:noProof/>
                <w:sz w:val="20"/>
                <w:szCs w:val="20"/>
              </w:rPr>
            </w:pPr>
            <w:r>
              <w:rPr>
                <w:noProof/>
                <w:sz w:val="20"/>
                <w:szCs w:val="20"/>
              </w:rPr>
              <w:t>146.4</w:t>
            </w:r>
          </w:p>
        </w:tc>
        <w:tc>
          <w:tcPr>
            <w:tcW w:w="1009" w:type="dxa"/>
          </w:tcPr>
          <w:p>
            <w:pPr>
              <w:spacing w:before="60" w:after="60"/>
              <w:jc w:val="center"/>
              <w:rPr>
                <w:noProof/>
                <w:sz w:val="20"/>
                <w:szCs w:val="20"/>
              </w:rPr>
            </w:pPr>
            <w:r>
              <w:rPr>
                <w:noProof/>
                <w:sz w:val="20"/>
                <w:szCs w:val="20"/>
              </w:rPr>
              <w:t>24.1</w:t>
            </w:r>
          </w:p>
        </w:tc>
        <w:tc>
          <w:tcPr>
            <w:tcW w:w="1276" w:type="dxa"/>
          </w:tcPr>
          <w:p>
            <w:pPr>
              <w:spacing w:before="60" w:after="60"/>
              <w:jc w:val="center"/>
              <w:rPr>
                <w:noProof/>
                <w:sz w:val="20"/>
                <w:szCs w:val="20"/>
              </w:rPr>
            </w:pPr>
            <w:r>
              <w:rPr>
                <w:noProof/>
                <w:sz w:val="20"/>
                <w:szCs w:val="20"/>
              </w:rPr>
              <w:t>Natural gas</w:t>
            </w:r>
          </w:p>
        </w:tc>
        <w:tc>
          <w:tcPr>
            <w:tcW w:w="1276" w:type="dxa"/>
          </w:tcPr>
          <w:p>
            <w:pPr>
              <w:spacing w:before="60" w:after="60"/>
              <w:jc w:val="center"/>
              <w:rPr>
                <w:noProof/>
                <w:sz w:val="20"/>
                <w:szCs w:val="20"/>
              </w:rPr>
            </w:pPr>
            <w:r>
              <w:rPr>
                <w:noProof/>
                <w:sz w:val="20"/>
                <w:szCs w:val="20"/>
              </w:rPr>
              <w:t>15.6</w:t>
            </w:r>
          </w:p>
        </w:tc>
      </w:tr>
      <w:tr>
        <w:tc>
          <w:tcPr>
            <w:tcW w:w="1242" w:type="dxa"/>
          </w:tcPr>
          <w:p>
            <w:pPr>
              <w:spacing w:before="60" w:after="60"/>
              <w:rPr>
                <w:noProof/>
                <w:sz w:val="20"/>
                <w:szCs w:val="20"/>
              </w:rPr>
            </w:pPr>
            <w:r>
              <w:rPr>
                <w:noProof/>
                <w:sz w:val="20"/>
                <w:szCs w:val="20"/>
              </w:rPr>
              <w:t>Glass tableware</w:t>
            </w:r>
          </w:p>
        </w:tc>
        <w:tc>
          <w:tcPr>
            <w:tcW w:w="1276" w:type="dxa"/>
          </w:tcPr>
          <w:p>
            <w:pPr>
              <w:spacing w:before="60" w:after="60"/>
              <w:jc w:val="center"/>
              <w:rPr>
                <w:noProof/>
                <w:sz w:val="20"/>
                <w:szCs w:val="20"/>
              </w:rPr>
            </w:pPr>
            <w:r>
              <w:rPr>
                <w:noProof/>
                <w:sz w:val="20"/>
                <w:szCs w:val="20"/>
              </w:rPr>
              <w:t>25.2</w:t>
            </w:r>
          </w:p>
        </w:tc>
        <w:tc>
          <w:tcPr>
            <w:tcW w:w="1076" w:type="dxa"/>
          </w:tcPr>
          <w:p>
            <w:pPr>
              <w:spacing w:before="60" w:after="60"/>
              <w:jc w:val="center"/>
              <w:rPr>
                <w:noProof/>
                <w:sz w:val="20"/>
                <w:szCs w:val="20"/>
              </w:rPr>
            </w:pPr>
            <w:r>
              <w:rPr>
                <w:noProof/>
                <w:sz w:val="20"/>
                <w:szCs w:val="20"/>
              </w:rPr>
              <w:t>92.4</w:t>
            </w:r>
          </w:p>
        </w:tc>
        <w:tc>
          <w:tcPr>
            <w:tcW w:w="1050" w:type="dxa"/>
          </w:tcPr>
          <w:p>
            <w:pPr>
              <w:spacing w:before="60" w:after="60"/>
              <w:jc w:val="center"/>
              <w:rPr>
                <w:noProof/>
                <w:sz w:val="20"/>
                <w:szCs w:val="20"/>
              </w:rPr>
            </w:pPr>
            <w:r>
              <w:rPr>
                <w:noProof/>
                <w:sz w:val="20"/>
                <w:szCs w:val="20"/>
              </w:rPr>
              <w:t>85.8</w:t>
            </w:r>
          </w:p>
        </w:tc>
        <w:tc>
          <w:tcPr>
            <w:tcW w:w="1259" w:type="dxa"/>
          </w:tcPr>
          <w:p>
            <w:pPr>
              <w:spacing w:before="60" w:after="60"/>
              <w:jc w:val="center"/>
              <w:rPr>
                <w:noProof/>
                <w:sz w:val="20"/>
                <w:szCs w:val="20"/>
              </w:rPr>
            </w:pPr>
            <w:r>
              <w:rPr>
                <w:noProof/>
                <w:sz w:val="20"/>
                <w:szCs w:val="20"/>
              </w:rPr>
              <w:t>150.3</w:t>
            </w:r>
          </w:p>
        </w:tc>
        <w:tc>
          <w:tcPr>
            <w:tcW w:w="1009" w:type="dxa"/>
          </w:tcPr>
          <w:p>
            <w:pPr>
              <w:spacing w:before="60" w:after="60"/>
              <w:jc w:val="center"/>
              <w:rPr>
                <w:noProof/>
                <w:sz w:val="20"/>
                <w:szCs w:val="20"/>
              </w:rPr>
            </w:pPr>
            <w:r>
              <w:rPr>
                <w:noProof/>
                <w:sz w:val="20"/>
                <w:szCs w:val="20"/>
              </w:rPr>
              <w:t>23.8</w:t>
            </w:r>
          </w:p>
        </w:tc>
        <w:tc>
          <w:tcPr>
            <w:tcW w:w="1276" w:type="dxa"/>
          </w:tcPr>
          <w:p>
            <w:pPr>
              <w:spacing w:before="60" w:after="60"/>
              <w:jc w:val="center"/>
              <w:rPr>
                <w:noProof/>
                <w:sz w:val="20"/>
                <w:szCs w:val="20"/>
              </w:rPr>
            </w:pPr>
            <w:r>
              <w:rPr>
                <w:noProof/>
                <w:sz w:val="20"/>
                <w:szCs w:val="20"/>
              </w:rPr>
              <w:t>Natural gas, electricity</w:t>
            </w:r>
          </w:p>
        </w:tc>
        <w:tc>
          <w:tcPr>
            <w:tcW w:w="1276" w:type="dxa"/>
          </w:tcPr>
          <w:p>
            <w:pPr>
              <w:spacing w:before="60" w:after="60"/>
              <w:jc w:val="center"/>
              <w:rPr>
                <w:noProof/>
                <w:sz w:val="20"/>
                <w:szCs w:val="20"/>
              </w:rPr>
            </w:pPr>
            <w:r>
              <w:rPr>
                <w:noProof/>
                <w:sz w:val="20"/>
                <w:szCs w:val="20"/>
              </w:rPr>
              <w:t>13.7</w:t>
            </w:r>
          </w:p>
        </w:tc>
      </w:tr>
      <w:tr>
        <w:tc>
          <w:tcPr>
            <w:tcW w:w="1242" w:type="dxa"/>
          </w:tcPr>
          <w:p>
            <w:pPr>
              <w:spacing w:before="60" w:after="60"/>
              <w:rPr>
                <w:noProof/>
                <w:sz w:val="20"/>
                <w:szCs w:val="20"/>
              </w:rPr>
            </w:pPr>
            <w:r>
              <w:rPr>
                <w:noProof/>
                <w:sz w:val="20"/>
                <w:szCs w:val="20"/>
              </w:rPr>
              <w:t>Packaging glass</w:t>
            </w:r>
          </w:p>
        </w:tc>
        <w:tc>
          <w:tcPr>
            <w:tcW w:w="1276" w:type="dxa"/>
          </w:tcPr>
          <w:p>
            <w:pPr>
              <w:spacing w:before="60" w:after="60"/>
              <w:jc w:val="center"/>
              <w:rPr>
                <w:noProof/>
                <w:sz w:val="20"/>
                <w:szCs w:val="20"/>
              </w:rPr>
            </w:pPr>
            <w:r>
              <w:rPr>
                <w:noProof/>
                <w:sz w:val="20"/>
                <w:szCs w:val="20"/>
              </w:rPr>
              <w:t>49.0</w:t>
            </w:r>
          </w:p>
        </w:tc>
        <w:tc>
          <w:tcPr>
            <w:tcW w:w="1076" w:type="dxa"/>
          </w:tcPr>
          <w:p>
            <w:pPr>
              <w:spacing w:before="60" w:after="60"/>
              <w:jc w:val="center"/>
              <w:rPr>
                <w:noProof/>
                <w:sz w:val="20"/>
                <w:szCs w:val="20"/>
              </w:rPr>
            </w:pPr>
            <w:r>
              <w:rPr>
                <w:noProof/>
                <w:sz w:val="20"/>
                <w:szCs w:val="20"/>
              </w:rPr>
              <w:t>75.4</w:t>
            </w:r>
          </w:p>
        </w:tc>
        <w:tc>
          <w:tcPr>
            <w:tcW w:w="1050" w:type="dxa"/>
          </w:tcPr>
          <w:p>
            <w:pPr>
              <w:spacing w:before="60" w:after="60"/>
              <w:jc w:val="center"/>
              <w:rPr>
                <w:noProof/>
                <w:sz w:val="20"/>
                <w:szCs w:val="20"/>
              </w:rPr>
            </w:pPr>
            <w:r>
              <w:rPr>
                <w:noProof/>
                <w:sz w:val="20"/>
                <w:szCs w:val="20"/>
              </w:rPr>
              <w:t>68.9</w:t>
            </w:r>
          </w:p>
        </w:tc>
        <w:tc>
          <w:tcPr>
            <w:tcW w:w="1259" w:type="dxa"/>
          </w:tcPr>
          <w:p>
            <w:pPr>
              <w:spacing w:before="60" w:after="60"/>
              <w:jc w:val="center"/>
              <w:rPr>
                <w:noProof/>
                <w:sz w:val="20"/>
                <w:szCs w:val="20"/>
              </w:rPr>
            </w:pPr>
            <w:r>
              <w:rPr>
                <w:noProof/>
                <w:sz w:val="20"/>
                <w:szCs w:val="20"/>
              </w:rPr>
              <w:t>266.5</w:t>
            </w:r>
          </w:p>
        </w:tc>
        <w:tc>
          <w:tcPr>
            <w:tcW w:w="1009" w:type="dxa"/>
          </w:tcPr>
          <w:p>
            <w:pPr>
              <w:spacing w:before="60" w:after="60"/>
              <w:jc w:val="center"/>
              <w:rPr>
                <w:noProof/>
                <w:sz w:val="20"/>
                <w:szCs w:val="20"/>
              </w:rPr>
            </w:pPr>
            <w:r>
              <w:rPr>
                <w:noProof/>
                <w:sz w:val="20"/>
                <w:szCs w:val="20"/>
              </w:rPr>
              <w:t>22.3</w:t>
            </w:r>
          </w:p>
        </w:tc>
        <w:tc>
          <w:tcPr>
            <w:tcW w:w="1276" w:type="dxa"/>
          </w:tcPr>
          <w:p>
            <w:pPr>
              <w:spacing w:before="60" w:after="60"/>
              <w:jc w:val="center"/>
              <w:rPr>
                <w:noProof/>
                <w:sz w:val="20"/>
                <w:szCs w:val="20"/>
              </w:rPr>
            </w:pPr>
            <w:r>
              <w:rPr>
                <w:noProof/>
                <w:sz w:val="20"/>
                <w:szCs w:val="20"/>
              </w:rPr>
              <w:t>Natural gas</w:t>
            </w:r>
          </w:p>
        </w:tc>
        <w:tc>
          <w:tcPr>
            <w:tcW w:w="1276" w:type="dxa"/>
          </w:tcPr>
          <w:p>
            <w:pPr>
              <w:spacing w:before="60" w:after="60"/>
              <w:jc w:val="center"/>
              <w:rPr>
                <w:noProof/>
                <w:sz w:val="20"/>
                <w:szCs w:val="20"/>
              </w:rPr>
            </w:pPr>
            <w:r>
              <w:rPr>
                <w:noProof/>
                <w:sz w:val="20"/>
                <w:szCs w:val="20"/>
              </w:rPr>
              <w:t>19.6</w:t>
            </w:r>
          </w:p>
        </w:tc>
      </w:tr>
      <w:tr>
        <w:tc>
          <w:tcPr>
            <w:tcW w:w="1242" w:type="dxa"/>
          </w:tcPr>
          <w:p>
            <w:pPr>
              <w:spacing w:before="60" w:after="60"/>
              <w:rPr>
                <w:noProof/>
                <w:sz w:val="20"/>
                <w:szCs w:val="20"/>
              </w:rPr>
            </w:pPr>
            <w:r>
              <w:rPr>
                <w:noProof/>
                <w:sz w:val="20"/>
                <w:szCs w:val="20"/>
              </w:rPr>
              <w:t>Primary aluminium</w:t>
            </w:r>
          </w:p>
        </w:tc>
        <w:tc>
          <w:tcPr>
            <w:tcW w:w="1276" w:type="dxa"/>
          </w:tcPr>
          <w:p>
            <w:pPr>
              <w:spacing w:before="60" w:after="60"/>
              <w:jc w:val="center"/>
              <w:rPr>
                <w:noProof/>
                <w:sz w:val="20"/>
                <w:szCs w:val="20"/>
              </w:rPr>
            </w:pPr>
            <w:r>
              <w:rPr>
                <w:noProof/>
                <w:sz w:val="20"/>
                <w:szCs w:val="20"/>
              </w:rPr>
              <w:t>2267.1</w:t>
            </w:r>
          </w:p>
        </w:tc>
        <w:tc>
          <w:tcPr>
            <w:tcW w:w="1076" w:type="dxa"/>
          </w:tcPr>
          <w:p>
            <w:pPr>
              <w:spacing w:before="60" w:after="60"/>
              <w:jc w:val="center"/>
              <w:rPr>
                <w:noProof/>
                <w:sz w:val="20"/>
                <w:szCs w:val="20"/>
              </w:rPr>
            </w:pPr>
            <w:r>
              <w:rPr>
                <w:noProof/>
                <w:sz w:val="20"/>
                <w:szCs w:val="20"/>
              </w:rPr>
              <w:t>39.4</w:t>
            </w:r>
          </w:p>
        </w:tc>
        <w:tc>
          <w:tcPr>
            <w:tcW w:w="1050" w:type="dxa"/>
          </w:tcPr>
          <w:p>
            <w:pPr>
              <w:spacing w:before="60" w:after="60"/>
              <w:jc w:val="center"/>
              <w:rPr>
                <w:noProof/>
                <w:sz w:val="20"/>
                <w:szCs w:val="20"/>
              </w:rPr>
            </w:pPr>
            <w:r>
              <w:rPr>
                <w:noProof/>
                <w:sz w:val="20"/>
                <w:szCs w:val="20"/>
              </w:rPr>
              <w:t>37.0</w:t>
            </w:r>
          </w:p>
        </w:tc>
        <w:tc>
          <w:tcPr>
            <w:tcW w:w="1259" w:type="dxa"/>
          </w:tcPr>
          <w:p>
            <w:pPr>
              <w:spacing w:before="60" w:after="60"/>
              <w:jc w:val="center"/>
              <w:rPr>
                <w:noProof/>
                <w:sz w:val="20"/>
                <w:szCs w:val="20"/>
              </w:rPr>
            </w:pPr>
            <w:r>
              <w:rPr>
                <w:noProof/>
                <w:sz w:val="20"/>
                <w:szCs w:val="20"/>
              </w:rPr>
              <w:t>199.8</w:t>
            </w:r>
          </w:p>
        </w:tc>
        <w:tc>
          <w:tcPr>
            <w:tcW w:w="1009" w:type="dxa"/>
          </w:tcPr>
          <w:p>
            <w:pPr>
              <w:spacing w:before="60" w:after="60"/>
              <w:jc w:val="center"/>
              <w:rPr>
                <w:noProof/>
                <w:sz w:val="20"/>
                <w:szCs w:val="20"/>
              </w:rPr>
            </w:pPr>
            <w:r>
              <w:rPr>
                <w:noProof/>
                <w:sz w:val="20"/>
                <w:szCs w:val="20"/>
              </w:rPr>
              <w:t>20.9</w:t>
            </w:r>
          </w:p>
        </w:tc>
        <w:tc>
          <w:tcPr>
            <w:tcW w:w="1276" w:type="dxa"/>
          </w:tcPr>
          <w:p>
            <w:pPr>
              <w:spacing w:before="60" w:after="60"/>
              <w:jc w:val="center"/>
              <w:rPr>
                <w:noProof/>
                <w:sz w:val="20"/>
                <w:szCs w:val="20"/>
              </w:rPr>
            </w:pPr>
            <w:r>
              <w:rPr>
                <w:noProof/>
                <w:sz w:val="20"/>
                <w:szCs w:val="20"/>
              </w:rPr>
              <w:t>Electricity</w:t>
            </w:r>
          </w:p>
        </w:tc>
        <w:tc>
          <w:tcPr>
            <w:tcW w:w="1276" w:type="dxa"/>
          </w:tcPr>
          <w:p>
            <w:pPr>
              <w:spacing w:before="60" w:after="60"/>
              <w:jc w:val="center"/>
              <w:rPr>
                <w:noProof/>
                <w:sz w:val="20"/>
                <w:szCs w:val="20"/>
              </w:rPr>
            </w:pPr>
            <w:r>
              <w:rPr>
                <w:noProof/>
                <w:sz w:val="20"/>
                <w:szCs w:val="20"/>
              </w:rPr>
              <w:t>42.9</w:t>
            </w:r>
          </w:p>
        </w:tc>
      </w:tr>
      <w:tr>
        <w:tc>
          <w:tcPr>
            <w:tcW w:w="1242" w:type="dxa"/>
          </w:tcPr>
          <w:p>
            <w:pPr>
              <w:spacing w:before="60" w:after="60"/>
              <w:rPr>
                <w:noProof/>
                <w:sz w:val="20"/>
                <w:szCs w:val="20"/>
              </w:rPr>
            </w:pPr>
            <w:r>
              <w:rPr>
                <w:noProof/>
                <w:sz w:val="20"/>
                <w:szCs w:val="20"/>
              </w:rPr>
              <w:t>Secondary aluminium</w:t>
            </w:r>
          </w:p>
        </w:tc>
        <w:tc>
          <w:tcPr>
            <w:tcW w:w="1276" w:type="dxa"/>
          </w:tcPr>
          <w:p>
            <w:pPr>
              <w:spacing w:before="60" w:after="60"/>
              <w:jc w:val="center"/>
              <w:rPr>
                <w:noProof/>
                <w:sz w:val="20"/>
                <w:szCs w:val="20"/>
              </w:rPr>
            </w:pPr>
            <w:r>
              <w:rPr>
                <w:noProof/>
                <w:sz w:val="20"/>
                <w:szCs w:val="20"/>
              </w:rPr>
              <w:t>14.9</w:t>
            </w:r>
          </w:p>
        </w:tc>
        <w:tc>
          <w:tcPr>
            <w:tcW w:w="1076" w:type="dxa"/>
          </w:tcPr>
          <w:p>
            <w:pPr>
              <w:spacing w:before="60" w:after="60"/>
              <w:jc w:val="center"/>
              <w:rPr>
                <w:noProof/>
                <w:sz w:val="20"/>
                <w:szCs w:val="20"/>
              </w:rPr>
            </w:pPr>
            <w:r>
              <w:rPr>
                <w:noProof/>
                <w:sz w:val="20"/>
                <w:szCs w:val="20"/>
              </w:rPr>
              <w:t>97.6</w:t>
            </w:r>
          </w:p>
        </w:tc>
        <w:tc>
          <w:tcPr>
            <w:tcW w:w="1050" w:type="dxa"/>
          </w:tcPr>
          <w:p>
            <w:pPr>
              <w:spacing w:before="60" w:after="60"/>
              <w:jc w:val="center"/>
              <w:rPr>
                <w:noProof/>
                <w:sz w:val="20"/>
                <w:szCs w:val="20"/>
              </w:rPr>
            </w:pPr>
            <w:r>
              <w:rPr>
                <w:noProof/>
                <w:sz w:val="20"/>
                <w:szCs w:val="20"/>
              </w:rPr>
              <w:t>93.9</w:t>
            </w:r>
          </w:p>
        </w:tc>
        <w:tc>
          <w:tcPr>
            <w:tcW w:w="1259" w:type="dxa"/>
          </w:tcPr>
          <w:p>
            <w:pPr>
              <w:spacing w:before="60" w:after="60"/>
              <w:jc w:val="center"/>
              <w:rPr>
                <w:noProof/>
                <w:sz w:val="20"/>
                <w:szCs w:val="20"/>
              </w:rPr>
            </w:pPr>
            <w:r>
              <w:rPr>
                <w:noProof/>
                <w:sz w:val="20"/>
                <w:szCs w:val="20"/>
              </w:rPr>
              <w:t>82.8</w:t>
            </w:r>
          </w:p>
        </w:tc>
        <w:tc>
          <w:tcPr>
            <w:tcW w:w="1009" w:type="dxa"/>
          </w:tcPr>
          <w:p>
            <w:pPr>
              <w:spacing w:before="60" w:after="60"/>
              <w:jc w:val="center"/>
              <w:rPr>
                <w:noProof/>
                <w:sz w:val="20"/>
                <w:szCs w:val="20"/>
              </w:rPr>
            </w:pPr>
            <w:r>
              <w:rPr>
                <w:noProof/>
                <w:sz w:val="20"/>
                <w:szCs w:val="20"/>
              </w:rPr>
              <w:t>24.4</w:t>
            </w:r>
          </w:p>
        </w:tc>
        <w:tc>
          <w:tcPr>
            <w:tcW w:w="1276" w:type="dxa"/>
          </w:tcPr>
          <w:p>
            <w:pPr>
              <w:spacing w:before="60" w:after="60"/>
              <w:jc w:val="center"/>
              <w:rPr>
                <w:noProof/>
                <w:sz w:val="20"/>
                <w:szCs w:val="20"/>
              </w:rPr>
            </w:pPr>
            <w:r>
              <w:rPr>
                <w:noProof/>
                <w:sz w:val="20"/>
                <w:szCs w:val="20"/>
              </w:rPr>
              <w:t>Natural gas, electricity</w:t>
            </w:r>
          </w:p>
        </w:tc>
        <w:tc>
          <w:tcPr>
            <w:tcW w:w="1276" w:type="dxa"/>
          </w:tcPr>
          <w:p>
            <w:pPr>
              <w:spacing w:before="60" w:after="60"/>
              <w:jc w:val="center"/>
              <w:rPr>
                <w:noProof/>
                <w:sz w:val="20"/>
                <w:szCs w:val="20"/>
              </w:rPr>
            </w:pPr>
            <w:r>
              <w:rPr>
                <w:noProof/>
                <w:sz w:val="20"/>
                <w:szCs w:val="20"/>
              </w:rPr>
              <w:t>14.0</w:t>
            </w:r>
          </w:p>
        </w:tc>
      </w:tr>
      <w:tr>
        <w:tc>
          <w:tcPr>
            <w:tcW w:w="1242" w:type="dxa"/>
          </w:tcPr>
          <w:p>
            <w:pPr>
              <w:spacing w:before="60" w:after="60"/>
              <w:rPr>
                <w:noProof/>
                <w:sz w:val="20"/>
                <w:szCs w:val="20"/>
              </w:rPr>
            </w:pPr>
            <w:r>
              <w:rPr>
                <w:noProof/>
                <w:sz w:val="20"/>
                <w:szCs w:val="20"/>
              </w:rPr>
              <w:t>Downstream aluminium</w:t>
            </w:r>
          </w:p>
        </w:tc>
        <w:tc>
          <w:tcPr>
            <w:tcW w:w="1276" w:type="dxa"/>
          </w:tcPr>
          <w:p>
            <w:pPr>
              <w:spacing w:before="60" w:after="60"/>
              <w:jc w:val="center"/>
              <w:rPr>
                <w:noProof/>
                <w:sz w:val="20"/>
                <w:szCs w:val="20"/>
              </w:rPr>
            </w:pPr>
            <w:r>
              <w:rPr>
                <w:noProof/>
                <w:sz w:val="20"/>
                <w:szCs w:val="20"/>
              </w:rPr>
              <w:t>42.4</w:t>
            </w:r>
          </w:p>
        </w:tc>
        <w:tc>
          <w:tcPr>
            <w:tcW w:w="1076" w:type="dxa"/>
          </w:tcPr>
          <w:p>
            <w:pPr>
              <w:spacing w:before="60" w:after="60"/>
              <w:jc w:val="center"/>
              <w:rPr>
                <w:noProof/>
                <w:sz w:val="20"/>
                <w:szCs w:val="20"/>
              </w:rPr>
            </w:pPr>
            <w:r>
              <w:rPr>
                <w:noProof/>
                <w:sz w:val="20"/>
                <w:szCs w:val="20"/>
              </w:rPr>
              <w:t>80.0</w:t>
            </w:r>
          </w:p>
        </w:tc>
        <w:tc>
          <w:tcPr>
            <w:tcW w:w="1050" w:type="dxa"/>
          </w:tcPr>
          <w:p>
            <w:pPr>
              <w:spacing w:before="60" w:after="60"/>
              <w:jc w:val="center"/>
              <w:rPr>
                <w:noProof/>
                <w:sz w:val="20"/>
                <w:szCs w:val="20"/>
              </w:rPr>
            </w:pPr>
            <w:r>
              <w:rPr>
                <w:noProof/>
                <w:sz w:val="20"/>
                <w:szCs w:val="20"/>
              </w:rPr>
              <w:t>80.0</w:t>
            </w:r>
          </w:p>
        </w:tc>
        <w:tc>
          <w:tcPr>
            <w:tcW w:w="1259" w:type="dxa"/>
          </w:tcPr>
          <w:p>
            <w:pPr>
              <w:spacing w:before="60" w:after="60"/>
              <w:jc w:val="center"/>
              <w:rPr>
                <w:noProof/>
                <w:sz w:val="20"/>
                <w:szCs w:val="20"/>
              </w:rPr>
            </w:pPr>
            <w:r>
              <w:rPr>
                <w:noProof/>
                <w:sz w:val="20"/>
                <w:szCs w:val="20"/>
              </w:rPr>
              <w:t>97.4</w:t>
            </w:r>
          </w:p>
        </w:tc>
        <w:tc>
          <w:tcPr>
            <w:tcW w:w="1009" w:type="dxa"/>
          </w:tcPr>
          <w:p>
            <w:pPr>
              <w:spacing w:before="60" w:after="60"/>
              <w:jc w:val="center"/>
              <w:rPr>
                <w:noProof/>
                <w:sz w:val="20"/>
                <w:szCs w:val="20"/>
              </w:rPr>
            </w:pPr>
            <w:r>
              <w:rPr>
                <w:noProof/>
                <w:sz w:val="20"/>
                <w:szCs w:val="20"/>
              </w:rPr>
              <w:t>24.7</w:t>
            </w:r>
          </w:p>
        </w:tc>
        <w:tc>
          <w:tcPr>
            <w:tcW w:w="1276" w:type="dxa"/>
          </w:tcPr>
          <w:p>
            <w:pPr>
              <w:spacing w:before="60" w:after="60"/>
              <w:jc w:val="center"/>
              <w:rPr>
                <w:noProof/>
                <w:sz w:val="20"/>
                <w:szCs w:val="20"/>
              </w:rPr>
            </w:pPr>
            <w:r>
              <w:rPr>
                <w:noProof/>
                <w:sz w:val="20"/>
                <w:szCs w:val="20"/>
              </w:rPr>
              <w:t>Electricity</w:t>
            </w:r>
          </w:p>
        </w:tc>
        <w:tc>
          <w:tcPr>
            <w:tcW w:w="1276" w:type="dxa"/>
          </w:tcPr>
          <w:p>
            <w:pPr>
              <w:spacing w:before="60" w:after="60"/>
              <w:jc w:val="center"/>
              <w:rPr>
                <w:noProof/>
                <w:sz w:val="20"/>
                <w:szCs w:val="20"/>
              </w:rPr>
            </w:pPr>
            <w:r>
              <w:rPr>
                <w:noProof/>
                <w:sz w:val="20"/>
                <w:szCs w:val="20"/>
              </w:rPr>
              <w:t>1.9</w:t>
            </w:r>
          </w:p>
        </w:tc>
      </w:tr>
      <w:tr>
        <w:tc>
          <w:tcPr>
            <w:tcW w:w="1242" w:type="dxa"/>
          </w:tcPr>
          <w:p>
            <w:pPr>
              <w:spacing w:before="60" w:after="60"/>
              <w:rPr>
                <w:noProof/>
                <w:sz w:val="20"/>
                <w:szCs w:val="20"/>
              </w:rPr>
            </w:pPr>
            <w:r>
              <w:rPr>
                <w:noProof/>
                <w:sz w:val="20"/>
                <w:szCs w:val="20"/>
              </w:rPr>
              <w:t>Steel EAF</w:t>
            </w:r>
          </w:p>
        </w:tc>
        <w:tc>
          <w:tcPr>
            <w:tcW w:w="1276" w:type="dxa"/>
          </w:tcPr>
          <w:p>
            <w:pPr>
              <w:spacing w:before="60" w:after="60"/>
              <w:jc w:val="center"/>
              <w:rPr>
                <w:noProof/>
                <w:sz w:val="20"/>
                <w:szCs w:val="20"/>
              </w:rPr>
            </w:pPr>
            <w:r>
              <w:rPr>
                <w:noProof/>
                <w:sz w:val="20"/>
                <w:szCs w:val="20"/>
              </w:rPr>
              <w:t>330.7</w:t>
            </w:r>
          </w:p>
        </w:tc>
        <w:tc>
          <w:tcPr>
            <w:tcW w:w="1076" w:type="dxa"/>
          </w:tcPr>
          <w:p>
            <w:pPr>
              <w:spacing w:before="60" w:after="60"/>
              <w:jc w:val="center"/>
              <w:rPr>
                <w:noProof/>
                <w:sz w:val="20"/>
                <w:szCs w:val="20"/>
              </w:rPr>
            </w:pPr>
            <w:r>
              <w:rPr>
                <w:noProof/>
                <w:sz w:val="20"/>
                <w:szCs w:val="20"/>
              </w:rPr>
              <w:t>53.7</w:t>
            </w:r>
          </w:p>
        </w:tc>
        <w:tc>
          <w:tcPr>
            <w:tcW w:w="1050" w:type="dxa"/>
          </w:tcPr>
          <w:p>
            <w:pPr>
              <w:spacing w:before="60" w:after="60"/>
              <w:jc w:val="center"/>
              <w:rPr>
                <w:noProof/>
                <w:sz w:val="20"/>
                <w:szCs w:val="20"/>
              </w:rPr>
            </w:pPr>
            <w:r>
              <w:rPr>
                <w:noProof/>
                <w:sz w:val="20"/>
                <w:szCs w:val="20"/>
              </w:rPr>
              <w:t>50.6</w:t>
            </w:r>
          </w:p>
        </w:tc>
        <w:tc>
          <w:tcPr>
            <w:tcW w:w="1259" w:type="dxa"/>
          </w:tcPr>
          <w:p>
            <w:pPr>
              <w:spacing w:before="60" w:after="60"/>
              <w:jc w:val="center"/>
              <w:rPr>
                <w:noProof/>
                <w:sz w:val="20"/>
                <w:szCs w:val="20"/>
              </w:rPr>
            </w:pPr>
            <w:r>
              <w:rPr>
                <w:noProof/>
                <w:sz w:val="20"/>
                <w:szCs w:val="20"/>
              </w:rPr>
              <w:t>209.8</w:t>
            </w:r>
          </w:p>
        </w:tc>
        <w:tc>
          <w:tcPr>
            <w:tcW w:w="1009" w:type="dxa"/>
          </w:tcPr>
          <w:p>
            <w:pPr>
              <w:spacing w:before="60" w:after="60"/>
              <w:jc w:val="center"/>
              <w:rPr>
                <w:noProof/>
                <w:sz w:val="20"/>
                <w:szCs w:val="20"/>
              </w:rPr>
            </w:pPr>
            <w:r>
              <w:rPr>
                <w:noProof/>
                <w:sz w:val="20"/>
                <w:szCs w:val="20"/>
              </w:rPr>
              <w:t>19.2</w:t>
            </w:r>
          </w:p>
        </w:tc>
        <w:tc>
          <w:tcPr>
            <w:tcW w:w="1276" w:type="dxa"/>
          </w:tcPr>
          <w:p>
            <w:pPr>
              <w:spacing w:before="60" w:after="60"/>
              <w:jc w:val="center"/>
              <w:rPr>
                <w:noProof/>
                <w:sz w:val="20"/>
                <w:szCs w:val="20"/>
              </w:rPr>
            </w:pPr>
            <w:r>
              <w:rPr>
                <w:noProof/>
                <w:sz w:val="20"/>
                <w:szCs w:val="20"/>
              </w:rPr>
              <w:t>Electricity</w:t>
            </w:r>
          </w:p>
        </w:tc>
        <w:tc>
          <w:tcPr>
            <w:tcW w:w="1276" w:type="dxa"/>
          </w:tcPr>
          <w:p>
            <w:pPr>
              <w:spacing w:before="60" w:after="60"/>
              <w:jc w:val="center"/>
              <w:rPr>
                <w:noProof/>
                <w:sz w:val="20"/>
                <w:szCs w:val="20"/>
              </w:rPr>
            </w:pPr>
            <w:r>
              <w:rPr>
                <w:noProof/>
                <w:sz w:val="20"/>
                <w:szCs w:val="20"/>
              </w:rPr>
              <w:t>12.3</w:t>
            </w:r>
          </w:p>
        </w:tc>
      </w:tr>
      <w:tr>
        <w:tc>
          <w:tcPr>
            <w:tcW w:w="1242" w:type="dxa"/>
          </w:tcPr>
          <w:p>
            <w:pPr>
              <w:spacing w:before="60" w:after="60"/>
              <w:rPr>
                <w:noProof/>
                <w:sz w:val="20"/>
                <w:szCs w:val="20"/>
              </w:rPr>
            </w:pPr>
            <w:r>
              <w:rPr>
                <w:noProof/>
                <w:sz w:val="20"/>
                <w:szCs w:val="20"/>
              </w:rPr>
              <w:t>Steel BOF</w:t>
            </w:r>
          </w:p>
        </w:tc>
        <w:tc>
          <w:tcPr>
            <w:tcW w:w="1276" w:type="dxa"/>
          </w:tcPr>
          <w:p>
            <w:pPr>
              <w:spacing w:before="60" w:after="60"/>
              <w:jc w:val="center"/>
              <w:rPr>
                <w:noProof/>
                <w:sz w:val="20"/>
                <w:szCs w:val="20"/>
              </w:rPr>
            </w:pPr>
            <w:r>
              <w:rPr>
                <w:noProof/>
                <w:sz w:val="20"/>
                <w:szCs w:val="20"/>
              </w:rPr>
              <w:t>817.5</w:t>
            </w:r>
          </w:p>
        </w:tc>
        <w:tc>
          <w:tcPr>
            <w:tcW w:w="1076" w:type="dxa"/>
          </w:tcPr>
          <w:p>
            <w:pPr>
              <w:spacing w:before="60" w:after="60"/>
              <w:jc w:val="center"/>
              <w:rPr>
                <w:noProof/>
                <w:sz w:val="20"/>
                <w:szCs w:val="20"/>
              </w:rPr>
            </w:pPr>
            <w:r>
              <w:rPr>
                <w:noProof/>
                <w:sz w:val="20"/>
                <w:szCs w:val="20"/>
              </w:rPr>
              <w:t>57.6</w:t>
            </w:r>
          </w:p>
        </w:tc>
        <w:tc>
          <w:tcPr>
            <w:tcW w:w="1050" w:type="dxa"/>
          </w:tcPr>
          <w:p>
            <w:pPr>
              <w:spacing w:before="60" w:after="60"/>
              <w:jc w:val="center"/>
              <w:rPr>
                <w:noProof/>
                <w:sz w:val="20"/>
                <w:szCs w:val="20"/>
              </w:rPr>
            </w:pPr>
            <w:r>
              <w:rPr>
                <w:noProof/>
                <w:sz w:val="20"/>
                <w:szCs w:val="20"/>
              </w:rPr>
              <w:t>52.1</w:t>
            </w:r>
          </w:p>
        </w:tc>
        <w:tc>
          <w:tcPr>
            <w:tcW w:w="1259" w:type="dxa"/>
          </w:tcPr>
          <w:p>
            <w:pPr>
              <w:spacing w:before="60" w:after="60"/>
              <w:jc w:val="center"/>
              <w:rPr>
                <w:noProof/>
                <w:sz w:val="20"/>
                <w:szCs w:val="20"/>
              </w:rPr>
            </w:pPr>
            <w:r>
              <w:rPr>
                <w:noProof/>
                <w:sz w:val="20"/>
                <w:szCs w:val="20"/>
              </w:rPr>
              <w:t>1,499.1</w:t>
            </w:r>
          </w:p>
        </w:tc>
        <w:tc>
          <w:tcPr>
            <w:tcW w:w="1009" w:type="dxa"/>
          </w:tcPr>
          <w:p>
            <w:pPr>
              <w:spacing w:before="60" w:after="60"/>
              <w:jc w:val="center"/>
              <w:rPr>
                <w:noProof/>
                <w:sz w:val="20"/>
                <w:szCs w:val="20"/>
              </w:rPr>
            </w:pPr>
            <w:r>
              <w:rPr>
                <w:noProof/>
                <w:sz w:val="20"/>
                <w:szCs w:val="20"/>
              </w:rPr>
              <w:t>17.2</w:t>
            </w:r>
          </w:p>
        </w:tc>
        <w:tc>
          <w:tcPr>
            <w:tcW w:w="1276" w:type="dxa"/>
          </w:tcPr>
          <w:p>
            <w:pPr>
              <w:spacing w:before="60" w:after="60"/>
              <w:jc w:val="center"/>
              <w:rPr>
                <w:noProof/>
                <w:sz w:val="20"/>
                <w:szCs w:val="20"/>
              </w:rPr>
            </w:pPr>
            <w:r>
              <w:rPr>
                <w:noProof/>
                <w:sz w:val="20"/>
                <w:szCs w:val="20"/>
              </w:rPr>
              <w:t>Coking coal/coke</w:t>
            </w:r>
          </w:p>
        </w:tc>
        <w:tc>
          <w:tcPr>
            <w:tcW w:w="1276" w:type="dxa"/>
          </w:tcPr>
          <w:p>
            <w:pPr>
              <w:spacing w:before="60" w:after="60"/>
              <w:jc w:val="center"/>
              <w:rPr>
                <w:noProof/>
                <w:sz w:val="20"/>
                <w:szCs w:val="20"/>
              </w:rPr>
            </w:pPr>
            <w:r>
              <w:rPr>
                <w:noProof/>
                <w:sz w:val="20"/>
                <w:szCs w:val="20"/>
              </w:rPr>
              <w:t>4.4</w:t>
            </w:r>
            <w:r>
              <w:rPr>
                <w:noProof/>
                <w:sz w:val="20"/>
                <w:szCs w:val="20"/>
                <w:vertAlign w:val="superscript"/>
              </w:rPr>
              <w:t>(4)</w:t>
            </w:r>
          </w:p>
        </w:tc>
      </w:tr>
      <w:tr>
        <w:tc>
          <w:tcPr>
            <w:tcW w:w="1242" w:type="dxa"/>
          </w:tcPr>
          <w:p>
            <w:pPr>
              <w:spacing w:before="60" w:after="60"/>
              <w:rPr>
                <w:noProof/>
                <w:sz w:val="20"/>
                <w:szCs w:val="20"/>
              </w:rPr>
            </w:pPr>
            <w:r>
              <w:rPr>
                <w:noProof/>
                <w:sz w:val="20"/>
                <w:szCs w:val="20"/>
              </w:rPr>
              <w:t>Nitrogen fertilisers</w:t>
            </w:r>
          </w:p>
        </w:tc>
        <w:tc>
          <w:tcPr>
            <w:tcW w:w="1276" w:type="dxa"/>
          </w:tcPr>
          <w:p>
            <w:pPr>
              <w:spacing w:before="60" w:after="60"/>
              <w:jc w:val="center"/>
              <w:rPr>
                <w:noProof/>
                <w:sz w:val="20"/>
                <w:szCs w:val="20"/>
              </w:rPr>
            </w:pPr>
            <w:r>
              <w:rPr>
                <w:noProof/>
                <w:sz w:val="20"/>
                <w:szCs w:val="20"/>
              </w:rPr>
              <w:t>86.0</w:t>
            </w:r>
          </w:p>
        </w:tc>
        <w:tc>
          <w:tcPr>
            <w:tcW w:w="1076" w:type="dxa"/>
          </w:tcPr>
          <w:p>
            <w:pPr>
              <w:spacing w:before="60" w:after="60"/>
              <w:jc w:val="center"/>
              <w:rPr>
                <w:noProof/>
                <w:sz w:val="20"/>
                <w:szCs w:val="20"/>
              </w:rPr>
            </w:pPr>
            <w:r>
              <w:rPr>
                <w:noProof/>
                <w:sz w:val="20"/>
                <w:szCs w:val="20"/>
              </w:rPr>
              <w:t>66.5</w:t>
            </w:r>
          </w:p>
        </w:tc>
        <w:tc>
          <w:tcPr>
            <w:tcW w:w="1050" w:type="dxa"/>
          </w:tcPr>
          <w:p>
            <w:pPr>
              <w:spacing w:before="60" w:after="60"/>
              <w:jc w:val="center"/>
              <w:rPr>
                <w:noProof/>
                <w:sz w:val="20"/>
                <w:szCs w:val="20"/>
              </w:rPr>
            </w:pPr>
            <w:r>
              <w:rPr>
                <w:noProof/>
                <w:sz w:val="20"/>
                <w:szCs w:val="20"/>
              </w:rPr>
              <w:t>60.3</w:t>
            </w:r>
          </w:p>
        </w:tc>
        <w:tc>
          <w:tcPr>
            <w:tcW w:w="1259" w:type="dxa"/>
          </w:tcPr>
          <w:p>
            <w:pPr>
              <w:spacing w:before="60" w:after="60"/>
              <w:jc w:val="center"/>
              <w:rPr>
                <w:noProof/>
                <w:sz w:val="20"/>
                <w:szCs w:val="20"/>
              </w:rPr>
            </w:pPr>
            <w:r>
              <w:rPr>
                <w:noProof/>
                <w:sz w:val="20"/>
                <w:szCs w:val="20"/>
              </w:rPr>
              <w:t>4,464.7</w:t>
            </w:r>
          </w:p>
        </w:tc>
        <w:tc>
          <w:tcPr>
            <w:tcW w:w="1009" w:type="dxa"/>
          </w:tcPr>
          <w:p>
            <w:pPr>
              <w:spacing w:before="60" w:after="60"/>
              <w:jc w:val="center"/>
              <w:rPr>
                <w:noProof/>
                <w:sz w:val="20"/>
                <w:szCs w:val="20"/>
              </w:rPr>
            </w:pPr>
            <w:r>
              <w:rPr>
                <w:noProof/>
                <w:sz w:val="20"/>
                <w:szCs w:val="20"/>
              </w:rPr>
              <w:t>18.8</w:t>
            </w:r>
          </w:p>
        </w:tc>
        <w:tc>
          <w:tcPr>
            <w:tcW w:w="1276" w:type="dxa"/>
          </w:tcPr>
          <w:p>
            <w:pPr>
              <w:spacing w:before="60" w:after="60"/>
              <w:jc w:val="center"/>
              <w:rPr>
                <w:noProof/>
                <w:sz w:val="20"/>
                <w:szCs w:val="20"/>
              </w:rPr>
            </w:pPr>
            <w:r>
              <w:rPr>
                <w:noProof/>
                <w:sz w:val="20"/>
                <w:szCs w:val="20"/>
              </w:rPr>
              <w:t>Natural gas</w:t>
            </w:r>
          </w:p>
        </w:tc>
        <w:tc>
          <w:tcPr>
            <w:tcW w:w="1276" w:type="dxa"/>
          </w:tcPr>
          <w:p>
            <w:pPr>
              <w:spacing w:before="60" w:after="60"/>
              <w:jc w:val="center"/>
              <w:rPr>
                <w:noProof/>
                <w:sz w:val="20"/>
                <w:szCs w:val="20"/>
              </w:rPr>
            </w:pPr>
            <w:r>
              <w:rPr>
                <w:noProof/>
                <w:sz w:val="20"/>
                <w:szCs w:val="20"/>
              </w:rPr>
              <w:t>58.7</w:t>
            </w:r>
          </w:p>
        </w:tc>
      </w:tr>
      <w:tr>
        <w:tc>
          <w:tcPr>
            <w:tcW w:w="1242" w:type="dxa"/>
          </w:tcPr>
          <w:p>
            <w:pPr>
              <w:spacing w:before="60" w:after="60"/>
              <w:rPr>
                <w:noProof/>
                <w:sz w:val="20"/>
                <w:szCs w:val="20"/>
              </w:rPr>
            </w:pPr>
            <w:r>
              <w:rPr>
                <w:noProof/>
                <w:sz w:val="20"/>
                <w:szCs w:val="20"/>
              </w:rPr>
              <w:t>Refineries</w:t>
            </w:r>
          </w:p>
        </w:tc>
        <w:tc>
          <w:tcPr>
            <w:tcW w:w="1276" w:type="dxa"/>
          </w:tcPr>
          <w:p>
            <w:pPr>
              <w:spacing w:before="60" w:after="60"/>
              <w:jc w:val="center"/>
              <w:rPr>
                <w:noProof/>
                <w:sz w:val="20"/>
                <w:szCs w:val="20"/>
              </w:rPr>
            </w:pPr>
            <w:r>
              <w:rPr>
                <w:noProof/>
                <w:sz w:val="20"/>
                <w:szCs w:val="20"/>
              </w:rPr>
              <w:t>277.4</w:t>
            </w:r>
          </w:p>
        </w:tc>
        <w:tc>
          <w:tcPr>
            <w:tcW w:w="1076" w:type="dxa"/>
          </w:tcPr>
          <w:p>
            <w:pPr>
              <w:spacing w:before="60" w:after="60"/>
              <w:jc w:val="center"/>
              <w:rPr>
                <w:noProof/>
                <w:sz w:val="20"/>
                <w:szCs w:val="20"/>
              </w:rPr>
            </w:pPr>
            <w:r>
              <w:rPr>
                <w:noProof/>
                <w:sz w:val="20"/>
                <w:szCs w:val="20"/>
              </w:rPr>
              <w:t>69.0</w:t>
            </w:r>
          </w:p>
        </w:tc>
        <w:tc>
          <w:tcPr>
            <w:tcW w:w="1050" w:type="dxa"/>
          </w:tcPr>
          <w:p>
            <w:pPr>
              <w:spacing w:before="60" w:after="60"/>
              <w:jc w:val="center"/>
              <w:rPr>
                <w:noProof/>
                <w:sz w:val="20"/>
                <w:szCs w:val="20"/>
              </w:rPr>
            </w:pPr>
            <w:r>
              <w:rPr>
                <w:noProof/>
                <w:sz w:val="20"/>
                <w:szCs w:val="20"/>
              </w:rPr>
              <w:t>62.9</w:t>
            </w:r>
          </w:p>
        </w:tc>
        <w:tc>
          <w:tcPr>
            <w:tcW w:w="1259" w:type="dxa"/>
          </w:tcPr>
          <w:p>
            <w:pPr>
              <w:spacing w:before="60" w:after="60"/>
              <w:jc w:val="center"/>
              <w:rPr>
                <w:noProof/>
                <w:sz w:val="20"/>
                <w:szCs w:val="20"/>
              </w:rPr>
            </w:pPr>
            <w:r>
              <w:rPr>
                <w:noProof/>
                <w:sz w:val="20"/>
                <w:szCs w:val="20"/>
              </w:rPr>
              <w:t>1,596.9</w:t>
            </w:r>
          </w:p>
        </w:tc>
        <w:tc>
          <w:tcPr>
            <w:tcW w:w="1009" w:type="dxa"/>
          </w:tcPr>
          <w:p>
            <w:pPr>
              <w:spacing w:before="60" w:after="60"/>
              <w:jc w:val="center"/>
              <w:rPr>
                <w:noProof/>
                <w:sz w:val="20"/>
                <w:szCs w:val="20"/>
              </w:rPr>
            </w:pPr>
            <w:r>
              <w:rPr>
                <w:noProof/>
                <w:sz w:val="20"/>
                <w:szCs w:val="20"/>
              </w:rPr>
              <w:t>20.3</w:t>
            </w:r>
          </w:p>
        </w:tc>
        <w:tc>
          <w:tcPr>
            <w:tcW w:w="1276" w:type="dxa"/>
          </w:tcPr>
          <w:p>
            <w:pPr>
              <w:spacing w:before="60" w:after="60"/>
              <w:jc w:val="center"/>
              <w:rPr>
                <w:noProof/>
                <w:sz w:val="20"/>
                <w:szCs w:val="20"/>
              </w:rPr>
            </w:pPr>
            <w:r>
              <w:rPr>
                <w:noProof/>
                <w:sz w:val="20"/>
                <w:szCs w:val="20"/>
              </w:rPr>
              <w:t>Crude oil</w:t>
            </w:r>
          </w:p>
        </w:tc>
        <w:tc>
          <w:tcPr>
            <w:tcW w:w="1276" w:type="dxa"/>
          </w:tcPr>
          <w:p>
            <w:pPr>
              <w:spacing w:before="60" w:after="60"/>
              <w:jc w:val="center"/>
              <w:rPr>
                <w:noProof/>
                <w:sz w:val="20"/>
                <w:szCs w:val="20"/>
              </w:rPr>
            </w:pPr>
            <w:r>
              <w:rPr>
                <w:noProof/>
                <w:sz w:val="20"/>
                <w:szCs w:val="20"/>
              </w:rPr>
              <w:t>84.4</w:t>
            </w:r>
          </w:p>
        </w:tc>
      </w:tr>
    </w:tbl>
    <w:p>
      <w:pPr>
        <w:pStyle w:val="FootnoteText"/>
        <w:rPr>
          <w:noProof/>
        </w:rPr>
      </w:pPr>
      <w:r>
        <w:rPr>
          <w:noProof/>
          <w:vertAlign w:val="superscript"/>
        </w:rPr>
        <w:t>(1)</w:t>
      </w:r>
      <w:r>
        <w:rPr>
          <w:noProof/>
        </w:rPr>
        <w:t xml:space="preserve"> Electricity and natural gas costs take account of reimbursements, self-production and flexibility schemes, while electricity and natural gas prices do not. As natural gas costs appear to be similar to natural gas prices, they are not shown in the table.</w:t>
      </w:r>
    </w:p>
    <w:p>
      <w:pPr>
        <w:pStyle w:val="FootnoteText"/>
        <w:rPr>
          <w:noProof/>
        </w:rPr>
      </w:pPr>
      <w:r>
        <w:rPr>
          <w:noProof/>
          <w:vertAlign w:val="superscript"/>
        </w:rPr>
        <w:t>(2)</w:t>
      </w:r>
      <w:r>
        <w:rPr>
          <w:noProof/>
        </w:rPr>
        <w:t xml:space="preserve"> Energy carriers include all energy raw materials, either used for energy (energy sources) or non-energy (feedstocks) purpose.</w:t>
      </w:r>
    </w:p>
    <w:p>
      <w:pPr>
        <w:pStyle w:val="FootnoteText"/>
        <w:rPr>
          <w:noProof/>
        </w:rPr>
      </w:pPr>
      <w:r>
        <w:rPr>
          <w:noProof/>
          <w:vertAlign w:val="superscript"/>
        </w:rPr>
        <w:t xml:space="preserve"> (3)</w:t>
      </w:r>
      <w:r>
        <w:rPr>
          <w:noProof/>
        </w:rPr>
        <w:t xml:space="preserve"> Total energy costs include only electricity and natural gas costs; in the case of refineries, the costs of other fuels including feedstocks (crude oil, fuel oil, petroleum coke and refinery gases) are also included. Total production costs include all costs (both OPEX and CAPEX) directly relating to the production process.</w:t>
      </w:r>
    </w:p>
    <w:p>
      <w:pPr>
        <w:pStyle w:val="FootnoteText"/>
        <w:rPr>
          <w:noProof/>
        </w:rPr>
      </w:pPr>
      <w:r>
        <w:rPr>
          <w:noProof/>
          <w:vertAlign w:val="superscript"/>
        </w:rPr>
        <w:t>(4)</w:t>
      </w:r>
      <w:r>
        <w:rPr>
          <w:noProof/>
        </w:rPr>
        <w:t xml:space="preserve"> This share refers to the costs of electricity and natural gas only. The costs of coking coal and coke are not included.</w:t>
      </w:r>
    </w:p>
    <w:p>
      <w:pPr>
        <w:rPr>
          <w:noProof/>
          <w:color w:val="000000"/>
          <w:sz w:val="24"/>
          <w:lang w:eastAsia="en-GB"/>
        </w:rPr>
      </w:pPr>
    </w:p>
    <w:p>
      <w:pPr>
        <w:rPr>
          <w:noProof/>
          <w:color w:val="000000"/>
          <w:sz w:val="24"/>
          <w:lang w:eastAsia="en-GB"/>
        </w:rPr>
      </w:pPr>
      <w:r>
        <w:rPr>
          <w:noProof/>
          <w:color w:val="000000"/>
          <w:sz w:val="24"/>
          <w:lang w:eastAsia="en-GB"/>
        </w:rPr>
        <w:t>The mix of energy carriers used (i.e. the proportion of electricity, natural gas, etc.) varies hugely from sector to sector and even within sectors. The analysis shows that the situation in terms of energy consumption and costs is rather diverse across sectors and even within sectors (e.g. primary, secondary and downstream aluminium producers, or EAF steel vs. BOF steel). In some cases (e.g. refineries), energy feedstocks can also play a major role in energy costs. The range observed for the share of total energy costs in total production costs is very broad in the sectors looked at. In 2016, it went from 2% in downstream aluminium industry to 84% in refineries. Overall, the case studies show that energy costs play a significant role in determining the production costs in most sectors analysed and directly affect their competitiveness. Nevertheless, other non-energy production costs are also very relevant to take into account when analysing the drivers of the sector competitiveness.</w:t>
      </w:r>
    </w:p>
    <w:bookmarkEnd w:id="494"/>
    <w:p>
      <w:pPr>
        <w:spacing w:after="0"/>
        <w:jc w:val="left"/>
        <w:rPr>
          <w:rFonts w:eastAsia="Times New Roman"/>
          <w:b/>
          <w:bCs/>
          <w:noProof/>
          <w:color w:val="000000"/>
          <w:sz w:val="32"/>
          <w:szCs w:val="32"/>
        </w:rPr>
      </w:pPr>
    </w:p>
    <w:sectPr>
      <w:headerReference w:type="even" r:id="rId200"/>
      <w:headerReference w:type="default" r:id="rId201"/>
      <w:footerReference w:type="even" r:id="rId202"/>
      <w:footerReference w:type="default" r:id="rId203"/>
      <w:headerReference w:type="first" r:id="rId204"/>
      <w:footerReference w:type="first" r:id="rId205"/>
      <w:footnotePr>
        <w:numStart w:val="50"/>
      </w:footnotePr>
      <w:pgSz w:w="11906" w:h="16838" w:code="9"/>
      <w:pgMar w:top="1134" w:right="1418" w:bottom="1134" w:left="1418" w:header="709" w:footer="709"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6">
      <wne:acd wne:acdName="acd0"/>
    </wne:keymap>
  </wne:keymaps>
  <wne:toolbars>
    <wne:acdManifest>
      <wne:acdEntry wne:acdName="acd0"/>
    </wne:acdManifest>
  </wne:toolbars>
  <wne:acds>
    <wne:acd wne:argValue="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92869"/>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159</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098329"/>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162</w:t>
        </w:r>
        <w: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764684"/>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174</w:t>
        </w:r>
        <w: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226501"/>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176</w:t>
        </w:r>
        <w: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349417"/>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180</w:t>
        </w:r>
        <w: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196518"/>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181</w:t>
        </w:r>
        <w: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54757"/>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183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169092"/>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187</w:t>
        </w:r>
        <w: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807264"/>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188</w:t>
        </w:r>
        <w: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608277"/>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191</w:t>
        </w:r>
        <w: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897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193</w:t>
        </w:r>
        <w:r>
          <w:rPr>
            <w:noProof/>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67391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202</w:t>
        </w:r>
        <w:r>
          <w:rPr>
            <w:noProof/>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3650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209</w:t>
        </w:r>
        <w:r>
          <w:rPr>
            <w:noProof/>
          </w:rP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0832"/>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125</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843407"/>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155</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pPr>
      <w:r>
        <w:rPr>
          <w:rStyle w:val="FootnoteReference"/>
        </w:rPr>
        <w:footnoteRef/>
      </w:r>
      <w:r>
        <w:t xml:space="preserve"> Data available across sectors and countries is rather limited </w:t>
      </w:r>
    </w:p>
  </w:footnote>
  <w:footnote w:id="3">
    <w:p>
      <w:pPr>
        <w:pStyle w:val="FootnoteText"/>
      </w:pPr>
      <w:r>
        <w:rPr>
          <w:rStyle w:val="FootnoteReference"/>
        </w:rPr>
        <w:footnoteRef/>
      </w:r>
      <w:r>
        <w:t xml:space="preserve"> World Economic Forum; Global Competitiveness Report 2017-2018. The Global Competitiveness Indicator of the World Economic Forum (WEF) </w:t>
      </w:r>
      <w:hyperlink r:id="rId1" w:history="1">
        <w:r>
          <w:rPr>
            <w:rStyle w:val="Hyperlink"/>
          </w:rPr>
          <w:t>https://www.weforum.org/reports/the-global-competitiveness-report-2017-2018</w:t>
        </w:r>
      </w:hyperlink>
      <w:r>
        <w:t xml:space="preserve"> </w:t>
      </w:r>
    </w:p>
  </w:footnote>
  <w:footnote w:id="4">
    <w:p>
      <w:pPr>
        <w:pStyle w:val="FootnoteText"/>
      </w:pPr>
      <w:r>
        <w:rPr>
          <w:rStyle w:val="FootnoteReference"/>
        </w:rPr>
        <w:footnoteRef/>
      </w:r>
      <w:r>
        <w:t xml:space="preserve"> The World Competitiveness Scoreboard of the International Institute for Management Development (IMD), </w:t>
      </w:r>
      <w:hyperlink r:id="rId2" w:history="1">
        <w:r>
          <w:rPr>
            <w:rStyle w:val="Hyperlink"/>
          </w:rPr>
          <w:t>https://www.imd.org/wcc/world-competitiveness-center-rankings/world-competitiveness-ranking-2018/</w:t>
        </w:r>
      </w:hyperlink>
      <w:r>
        <w:t xml:space="preserve">  </w:t>
      </w:r>
    </w:p>
  </w:footnote>
  <w:footnote w:id="5">
    <w:p>
      <w:pPr>
        <w:pStyle w:val="FootnoteText"/>
      </w:pPr>
      <w:r>
        <w:rPr>
          <w:rStyle w:val="FootnoteReference"/>
        </w:rPr>
        <w:footnoteRef/>
      </w:r>
      <w:r>
        <w:t xml:space="preserve"> Economic Freedom of the World indicator, Fraser institute, </w:t>
      </w:r>
      <w:hyperlink r:id="rId3" w:history="1">
        <w:r>
          <w:rPr>
            <w:rStyle w:val="Hyperlink"/>
          </w:rPr>
          <w:t>https://www.fraserinstitute.org/studies/economic-freedom</w:t>
        </w:r>
      </w:hyperlink>
      <w:r>
        <w:t xml:space="preserve">  </w:t>
      </w:r>
    </w:p>
  </w:footnote>
  <w:footnote w:id="6">
    <w:p>
      <w:pPr>
        <w:pStyle w:val="FootnoteText"/>
      </w:pPr>
      <w:r>
        <w:rPr>
          <w:rStyle w:val="FootnoteReference"/>
        </w:rPr>
        <w:footnoteRef/>
      </w:r>
      <w:r>
        <w:t xml:space="preserve"> World Economic Forum; Global Competitiveness Report 2017-2018, p. ix. </w:t>
      </w:r>
    </w:p>
  </w:footnote>
  <w:footnote w:id="7">
    <w:p>
      <w:pPr>
        <w:pStyle w:val="FootnoteText"/>
      </w:pPr>
      <w:r>
        <w:rPr>
          <w:rStyle w:val="FootnoteReference"/>
        </w:rPr>
        <w:footnoteRef/>
      </w:r>
      <w:r>
        <w:t xml:space="preserve"> The non-EU countries members of the G20 are Argentina, Australia, Brazil, Canada, China, India, Indonesia, Japan, Mexico, Russia, Saudi Arabia, South Africa, South Korea, Turkey and the United States. </w:t>
      </w:r>
    </w:p>
  </w:footnote>
  <w:footnote w:id="8">
    <w:p>
      <w:pPr>
        <w:pStyle w:val="FootnoteText"/>
      </w:pPr>
      <w:r>
        <w:rPr>
          <w:rStyle w:val="FootnoteReference"/>
        </w:rPr>
        <w:footnoteRef/>
      </w:r>
      <w:r>
        <w:t xml:space="preserve"> Metrics measuring country performance of international trade include elements from the current account balance, balance of trade, exports and imports of goods and services, etc.</w:t>
      </w:r>
    </w:p>
  </w:footnote>
  <w:footnote w:id="9">
    <w:p>
      <w:pPr>
        <w:pStyle w:val="FootnoteText"/>
      </w:pPr>
      <w:r>
        <w:rPr>
          <w:rStyle w:val="FootnoteReference"/>
        </w:rPr>
        <w:footnoteRef/>
      </w:r>
      <w:r>
        <w:t xml:space="preserve"> Metrics measuring country's freedom to trade internationally include: tariffs, regulatory trade barriers, black market exchange rates and controls of movement of capital and people.</w:t>
      </w:r>
    </w:p>
  </w:footnote>
  <w:footnote w:id="10">
    <w:p>
      <w:pPr>
        <w:pStyle w:val="FootnoteText"/>
      </w:pPr>
      <w:r>
        <w:rPr>
          <w:rStyle w:val="FootnoteReference"/>
        </w:rPr>
        <w:footnoteRef/>
      </w:r>
      <w:r>
        <w:t xml:space="preserve"> Metrics measuring country performance of prices include: consumer price indices, cost of living, rents, food costs and gasoline prices</w:t>
      </w:r>
    </w:p>
  </w:footnote>
  <w:footnote w:id="11">
    <w:p>
      <w:pPr>
        <w:pStyle w:val="FootnoteText"/>
      </w:pPr>
      <w:r>
        <w:rPr>
          <w:rStyle w:val="FootnoteReference"/>
        </w:rPr>
        <w:footnoteRef/>
      </w:r>
      <w:r>
        <w:t xml:space="preserve"> Metrics measuring country performance of public finance include: government budget surplus/deficit, total government debt, management of public finances, tax evasion, pension funding, general government expenditure, etc.</w:t>
      </w:r>
    </w:p>
  </w:footnote>
  <w:footnote w:id="12">
    <w:p>
      <w:pPr>
        <w:pStyle w:val="FootnoteText"/>
      </w:pPr>
      <w:r>
        <w:rPr>
          <w:rStyle w:val="FootnoteReference"/>
        </w:rPr>
        <w:footnoteRef/>
      </w:r>
      <w:r>
        <w:t xml:space="preserve"> Metrics measuring country performance of institutional framework include: interest rate, credit rating, central bank policy; foreign currency reserves, legal and regulatory framework, adaptability of government policy, transparency, bureaucracy, bribery and corruption, rule of law, etc.</w:t>
      </w:r>
    </w:p>
  </w:footnote>
  <w:footnote w:id="13">
    <w:p>
      <w:pPr>
        <w:pStyle w:val="FootnoteText"/>
      </w:pPr>
      <w:r>
        <w:rPr>
          <w:rStyle w:val="FootnoteReference"/>
        </w:rPr>
        <w:footnoteRef/>
      </w:r>
      <w:r>
        <w:t xml:space="preserve"> Metrics measuring country performance in terms of sound money include: money growth, inflation, freedom to own foreign currency bank accounts, etc.</w:t>
      </w:r>
    </w:p>
  </w:footnote>
  <w:footnote w:id="14">
    <w:p>
      <w:pPr>
        <w:pStyle w:val="FootnoteText"/>
      </w:pPr>
      <w:r>
        <w:rPr>
          <w:rStyle w:val="FootnoteReference"/>
        </w:rPr>
        <w:footnoteRef/>
      </w:r>
      <w:r>
        <w:t xml:space="preserve"> Metrics measuring country performance of business legislation include: tariff barriers, protectionism, public sector contracts, state ownership of enterprises, ease of doing business, start-up days, etc.</w:t>
      </w:r>
    </w:p>
  </w:footnote>
  <w:footnote w:id="15">
    <w:p>
      <w:pPr>
        <w:pStyle w:val="FootnoteText"/>
      </w:pPr>
      <w:r>
        <w:rPr>
          <w:rStyle w:val="FootnoteReference"/>
        </w:rPr>
        <w:footnoteRef/>
      </w:r>
      <w:r>
        <w:t xml:space="preserve"> Report on Single Market Integration and Competitiveness in the EU and its Member States, 2016 DG GROW,</w:t>
      </w:r>
    </w:p>
    <w:p>
      <w:pPr>
        <w:pStyle w:val="FootnoteText"/>
      </w:pPr>
      <w:hyperlink r:id="rId4" w:history="1">
        <w:r>
          <w:rPr>
            <w:rStyle w:val="Hyperlink"/>
          </w:rPr>
          <w:t>https://ec.europa.eu/growth/content/single-market-integration-and-competitiveness-eu-and-its-member-states-2016_en</w:t>
        </w:r>
      </w:hyperlink>
      <w:r>
        <w:t xml:space="preserve">  </w:t>
      </w:r>
    </w:p>
  </w:footnote>
  <w:footnote w:id="16">
    <w:p>
      <w:pPr>
        <w:pStyle w:val="FootnoteText"/>
        <w:jc w:val="left"/>
      </w:pPr>
      <w:r>
        <w:rPr>
          <w:rStyle w:val="FootnoteReference"/>
        </w:rPr>
        <w:footnoteRef/>
      </w:r>
      <w:r>
        <w:t xml:space="preserve"> These include the European Competitiveness Report, 2014 DG GROW </w:t>
      </w:r>
      <w:hyperlink r:id="rId5" w:history="1">
        <w:r>
          <w:rPr>
            <w:rStyle w:val="Hyperlink"/>
          </w:rPr>
          <w:t>http://ec.europa.eu/growth/industry/competitiveness/reports/eu-competitiveness-report/index_en.htm</w:t>
        </w:r>
      </w:hyperlink>
      <w:r>
        <w:t xml:space="preserve"> </w:t>
      </w:r>
    </w:p>
    <w:p>
      <w:pPr>
        <w:pStyle w:val="FootnoteText"/>
        <w:jc w:val="left"/>
      </w:pPr>
      <w:r>
        <w:t xml:space="preserve">and the Member States' Competitiveness Report, 2014 DG GROW </w:t>
      </w:r>
      <w:hyperlink r:id="rId6" w:history="1">
        <w:r>
          <w:rPr>
            <w:rStyle w:val="Hyperlink"/>
          </w:rPr>
          <w:t>http://ec.europa.eu/growth/industry/competitiveness/reports/ms-competitiveness-report/index_en.htm</w:t>
        </w:r>
      </w:hyperlink>
      <w:r>
        <w:t xml:space="preserve"> </w:t>
      </w:r>
    </w:p>
  </w:footnote>
  <w:footnote w:id="17">
    <w:p>
      <w:pPr>
        <w:pStyle w:val="FootnoteText"/>
      </w:pPr>
      <w:r>
        <w:rPr>
          <w:rStyle w:val="FootnoteReference"/>
        </w:rPr>
        <w:footnoteRef/>
      </w:r>
      <w:r>
        <w:t xml:space="preserve"> Purchasing Power Parities (PPP) are the currency exchange rates that equalize the purchasing power of different currencies. This means that a given sum of money, when converted into different currencies using the PPP exchange rate, will buy the same basket of goods. PPP are currency conversion rates that eliminate the differences in price level across countries.</w:t>
      </w:r>
    </w:p>
  </w:footnote>
  <w:footnote w:id="18">
    <w:p>
      <w:pPr>
        <w:pStyle w:val="FootnoteText"/>
      </w:pPr>
      <w:r>
        <w:rPr>
          <w:rStyle w:val="FootnoteReference"/>
        </w:rPr>
        <w:footnoteRef/>
      </w:r>
      <w:r>
        <w:t xml:space="preserve"> Energy Economic Developments in Europe, 2014, DG ECFIN, </w:t>
      </w:r>
      <w:hyperlink r:id="rId7" w:history="1">
        <w:r>
          <w:rPr>
            <w:rStyle w:val="Hyperlink"/>
          </w:rPr>
          <w:t>http://ec.europa.eu/economy_finance/publications/european_economy/2014/pdf/ee1_en.pdf</w:t>
        </w:r>
      </w:hyperlink>
      <w:r>
        <w:t xml:space="preserve"> </w:t>
      </w:r>
    </w:p>
  </w:footnote>
  <w:footnote w:id="19">
    <w:p>
      <w:pPr>
        <w:pStyle w:val="FootnoteText"/>
      </w:pPr>
      <w:r>
        <w:rPr>
          <w:rStyle w:val="FootnoteReference"/>
        </w:rPr>
        <w:footnoteRef/>
      </w:r>
      <w:r>
        <w:t xml:space="preserve"> The Real Unit Energy Cost (RUEC) is defined as the ratio of energy costs in current prices over value added in current prices. RUEC can be represented as the product of real energy price and energy intensity.</w:t>
      </w:r>
    </w:p>
  </w:footnote>
  <w:footnote w:id="20">
    <w:p>
      <w:pPr>
        <w:pStyle w:val="FootnoteText"/>
      </w:pPr>
      <w:r>
        <w:rPr>
          <w:rStyle w:val="FootnoteReference"/>
        </w:rPr>
        <w:footnoteRef/>
      </w:r>
      <w:r>
        <w:t xml:space="preserve"> Corsatea, T. D., Lindner, S., Rueda-Cantuche, J. M., Velázquez, A., Amores, A.F. and Neuwahl, F. (2018 – to be published) World Input-Output Database (WIOD) Energy and Emission Accounts. Update 2000-2016. JRC Technical Reports. Publications Office of the European Union, Luxembourg.</w:t>
      </w:r>
    </w:p>
  </w:footnote>
  <w:footnote w:id="21">
    <w:p>
      <w:pPr>
        <w:pStyle w:val="FootnoteText"/>
      </w:pPr>
      <w:r>
        <w:rPr>
          <w:rStyle w:val="FootnoteReference"/>
        </w:rPr>
        <w:footnoteRef/>
      </w:r>
      <w:r>
        <w:t xml:space="preserve"> Industry defined as the combination of Sections B (Mining and quarrying), C (Manufacturing), D (Electricity, gas, steam and air conditioning supply) and E (Water supply, sewerage, waste management and remediation activities) of NACE Rev. 2, the Statistical classification of economic activities. Services defined as the grouping of NACE Rev. 2 sections A (Agriculture, forestry and fishing), G (Wholesale and retail trade; repair of motor vehicles and motorcycles), H (Transportation and storage), I(Accommodation and food service activities), J(Information and communication), K(Financial and insurance activities), L(Real estate activities), M(Professional, scientific and technical activities) and N(Administrative and support service activities).</w:t>
      </w:r>
    </w:p>
  </w:footnote>
  <w:footnote w:id="22">
    <w:p>
      <w:pPr>
        <w:pStyle w:val="FootnoteText"/>
      </w:pPr>
      <w:r>
        <w:rPr>
          <w:rStyle w:val="FootnoteReference"/>
        </w:rPr>
        <w:footnoteRef/>
      </w:r>
      <w:r>
        <w:t xml:space="preserve"> Consortium is made up by Trinomics B.V. in association with Enerdata, Cambridge Econometrics and Ludwig Bölkow systemtechnik.</w:t>
      </w:r>
    </w:p>
  </w:footnote>
  <w:footnote w:id="23">
    <w:p>
      <w:pPr>
        <w:pStyle w:val="FootnoteText"/>
      </w:pPr>
      <w:r>
        <w:rPr>
          <w:rStyle w:val="FootnoteReference"/>
        </w:rPr>
        <w:footnoteRef/>
      </w:r>
      <w:r>
        <w:t xml:space="preserve"> Consortium composed by CEPS and Ecofys</w:t>
      </w:r>
    </w:p>
  </w:footnote>
  <w:footnote w:id="24">
    <w:p>
      <w:pPr>
        <w:pStyle w:val="FootnoteText"/>
      </w:pPr>
      <w:r>
        <w:rPr>
          <w:rStyle w:val="FootnoteReference"/>
        </w:rPr>
        <w:footnoteRef/>
      </w:r>
      <w:r>
        <w:t xml:space="preserve"> Due to a lack of energy cost data at EU level for divisions A and G to S, indicator 1) could not be calculated. For these divisions the importance of energy costs was estimated by assessing the energy intensity level (energy consumption/value added) instead. </w:t>
      </w:r>
    </w:p>
  </w:footnote>
  <w:footnote w:id="25">
    <w:p>
      <w:pPr>
        <w:pStyle w:val="FootnoteText"/>
        <w:rPr>
          <w:sz w:val="24"/>
          <w:szCs w:val="24"/>
        </w:rPr>
      </w:pPr>
      <w:r>
        <w:rPr>
          <w:rStyle w:val="FootnoteReference"/>
        </w:rPr>
        <w:footnoteRef/>
      </w:r>
      <w:r>
        <w:t xml:space="preserve"> Methodological details of the selection criteria can be found in the </w:t>
      </w:r>
      <w:r>
        <w:rPr>
          <w:i/>
        </w:rPr>
        <w:t>Trinomics et altri</w:t>
      </w:r>
      <w:r>
        <w:t xml:space="preserve"> study</w:t>
      </w:r>
      <w:r>
        <w:rPr>
          <w:sz w:val="24"/>
          <w:szCs w:val="24"/>
        </w:rPr>
        <w:t xml:space="preserve">. </w:t>
      </w:r>
    </w:p>
    <w:p>
      <w:pPr>
        <w:pStyle w:val="FootnoteText"/>
      </w:pPr>
    </w:p>
  </w:footnote>
  <w:footnote w:id="26">
    <w:p>
      <w:pPr>
        <w:pStyle w:val="FootnoteText"/>
      </w:pPr>
      <w:r>
        <w:rPr>
          <w:rStyle w:val="FootnoteReference"/>
        </w:rPr>
        <w:footnoteRef/>
      </w:r>
      <w:r>
        <w:t xml:space="preserve"> Total purchases of goods and services represents the value of all goods and services purchased during the accounting period for resale or consumption in the production process, excluding capital goods (the consumption of which is registered as consumption of fixed capital). This therefore, includes the costs of materials that enter directly into the goods produced (raw materials, intermediary products, components), non-capitalised small tools and equipment and the value of ancillary materials. Service costs, such as repairs and maintenance, transport and logistics, communication, insurance, legal and accountancy fees, are also included in this total.</w:t>
      </w:r>
    </w:p>
  </w:footnote>
  <w:footnote w:id="27">
    <w:p>
      <w:pPr>
        <w:pStyle w:val="FootnoteText"/>
        <w:rPr>
          <w:lang w:val="en-US"/>
        </w:rPr>
      </w:pPr>
      <w:r>
        <w:rPr>
          <w:rStyle w:val="FootnoteReference"/>
        </w:rPr>
        <w:footnoteRef/>
      </w:r>
      <w:r>
        <w:t xml:space="preserve"> Study on Composition and Drivers of Energy Prices and Costs: Case Studies in Selected Energy Intensive Industries, CEPS and Ecofys, 2018</w:t>
      </w:r>
    </w:p>
  </w:footnote>
  <w:footnote w:id="28">
    <w:p>
      <w:pPr>
        <w:pStyle w:val="FootnoteText"/>
        <w:rPr>
          <w:lang w:val="fr-BE"/>
        </w:rPr>
      </w:pPr>
      <w:r>
        <w:rPr>
          <w:rStyle w:val="FootnoteReference"/>
        </w:rPr>
        <w:footnoteRef/>
      </w:r>
      <w:r>
        <w:t xml:space="preserve"> Gross operating surplus presented are the result of subtracting personnel costs from value added using Eurostat SBS statistics</w:t>
      </w:r>
    </w:p>
  </w:footnote>
  <w:footnote w:id="29">
    <w:p>
      <w:pPr>
        <w:pStyle w:val="FootnoteText"/>
      </w:pPr>
      <w:r>
        <w:rPr>
          <w:rStyle w:val="FootnoteReference"/>
        </w:rPr>
        <w:footnoteRef/>
      </w:r>
      <w:r>
        <w:t xml:space="preserve"> The energy intensity change includes both change due to energy efficiency of production and change due to price effects</w:t>
      </w:r>
    </w:p>
  </w:footnote>
  <w:footnote w:id="30">
    <w:p>
      <w:pPr>
        <w:pStyle w:val="FootnoteText"/>
      </w:pPr>
      <w:r>
        <w:rPr>
          <w:rStyle w:val="FootnoteReference"/>
        </w:rPr>
        <w:footnoteRef/>
      </w:r>
      <w:r>
        <w:t xml:space="preserve"> The energy intensity change includes both change due to energy efficiency of production and change due to price effects</w:t>
      </w:r>
    </w:p>
  </w:footnote>
  <w:footnote w:id="31">
    <w:p>
      <w:pPr>
        <w:pStyle w:val="FootnoteText"/>
      </w:pPr>
      <w:r>
        <w:rPr>
          <w:rStyle w:val="FootnoteReference"/>
        </w:rPr>
        <w:footnoteRef/>
      </w:r>
      <w:r>
        <w:t xml:space="preserve"> The energy intensity change includes both change due to energy efficiency of production and change due to price effects</w:t>
      </w:r>
    </w:p>
  </w:footnote>
  <w:footnote w:id="32">
    <w:p>
      <w:pPr>
        <w:pStyle w:val="FootnoteText"/>
      </w:pPr>
      <w:r>
        <w:rPr>
          <w:rStyle w:val="FootnoteReference"/>
        </w:rPr>
        <w:footnoteRef/>
      </w:r>
      <w:r>
        <w:t xml:space="preserve"> Energy price data was based on the prices from the consumption band from Eurostat relevant for each sector; energy consumption data came from the ODYSEE/MURE database and national data sources; gross output data from the Eurostat SBS. The difference between the estimated purchases of energy and the ‘Purchases of Energy Products’ data from the Eurostat SBS was attributed to a residual term, which captures data discrepancies which include </w:t>
      </w:r>
      <w:r>
        <w:rPr>
          <w:i/>
        </w:rPr>
        <w:t>inter alia</w:t>
      </w:r>
      <w:r>
        <w:t xml:space="preserve"> the effect of fuel switching over the period (as the decomposition calculations assume fixed fuel shares over 2010-2015).</w:t>
      </w:r>
    </w:p>
    <w:p>
      <w:pPr>
        <w:pStyle w:val="FootnoteText"/>
      </w:pPr>
    </w:p>
  </w:footnote>
  <w:footnote w:id="33">
    <w:p>
      <w:pPr>
        <w:pStyle w:val="FootnoteText"/>
      </w:pPr>
      <w:r>
        <w:rPr>
          <w:rStyle w:val="FootnoteReference"/>
        </w:rPr>
        <w:footnoteRef/>
      </w:r>
      <w:r>
        <w:t xml:space="preserve"> Allocating industry sectors specified at the NACE 3-digit level to energy consumption bands specified by gross annual energy consumption is not straightforward; for many industries there is variation in total energy consumption at the plant level, so it is highly likely that different manufacturing plants will face different energy prices, even if they belong to the same industry sector and are located in the same Member State. For the decomposition analysis we are interested in changes in energy prices (and costs) over time, and so the mapping from industry sector to consumption band does not have a large bearing on the results in so far as the energy consumption bands reflect similar energy price trends over time. For example, at the EU28 level, electricity prices excluding recoverable taxes and levies increased by between 13% and18% in bands IA to IE over the period 2010-2015.</w:t>
      </w:r>
    </w:p>
  </w:footnote>
  <w:footnote w:id="34">
    <w:p>
      <w:pPr>
        <w:pStyle w:val="FootnoteText"/>
      </w:pPr>
      <w:r>
        <w:rPr>
          <w:rStyle w:val="FootnoteReference"/>
        </w:rPr>
        <w:footnoteRef/>
      </w:r>
      <w:r>
        <w:t xml:space="preserve"> In the case of </w:t>
      </w:r>
      <w:r>
        <w:rPr>
          <w:i/>
        </w:rPr>
        <w:t>Manufacture of beverages (C11)</w:t>
      </w:r>
      <w:r>
        <w:t>, for example, growth in output was highest in France (a country with relatively low industry electricity prices), while declines in output occurred in Denmark and Greece (countries with higher electricity prices).</w:t>
      </w:r>
    </w:p>
  </w:footnote>
  <w:footnote w:id="35">
    <w:p>
      <w:pPr>
        <w:pStyle w:val="FootnoteText"/>
      </w:pPr>
      <w:r>
        <w:rPr>
          <w:rStyle w:val="FootnoteReference"/>
        </w:rPr>
        <w:footnoteRef/>
      </w:r>
      <w:r>
        <w:t xml:space="preserve"> In Basic Chemicals (201), the benefits of lower oil prices were outweighed by the effect of increases in production in countries with relatively high industry electricity prices (Germany and Belgium) and reduced production in France, where industry electricity prices are below the EU average.</w:t>
      </w:r>
    </w:p>
  </w:footnote>
  <w:footnote w:id="36">
    <w:p>
      <w:pPr>
        <w:pStyle w:val="FootnoteText"/>
      </w:pPr>
      <w:r>
        <w:rPr>
          <w:rStyle w:val="FootnoteReference"/>
        </w:rPr>
        <w:footnoteRef/>
      </w:r>
      <w:r>
        <w:rPr>
          <w:rFonts w:eastAsia="Calibri"/>
          <w:color w:val="auto"/>
          <w:lang w:eastAsia="en-US"/>
        </w:rPr>
        <w:t xml:space="preserve"> Germany, France and the UK account for around 2/3 of the total value of production in the sector. The estimated electricity prices (excluding recoverable taxes) faced by the sector were estimated to have risen over the period in Germany (22%), France (32%) and the UK (58%).</w:t>
      </w:r>
    </w:p>
  </w:footnote>
  <w:footnote w:id="37">
    <w:p>
      <w:pPr>
        <w:pStyle w:val="FootnoteText"/>
      </w:pPr>
      <w:r>
        <w:rPr>
          <w:vertAlign w:val="superscript"/>
        </w:rPr>
        <w:footnoteRef/>
      </w:r>
      <w:r>
        <w:t xml:space="preserve"> Gross output in these sectors increased most noticeably in Germany and the UK, which each experienced annual growth in constant price output of over 3% pa.</w:t>
      </w:r>
    </w:p>
  </w:footnote>
  <w:footnote w:id="38">
    <w:p>
      <w:pPr>
        <w:pStyle w:val="FootnoteText"/>
      </w:pPr>
      <w:r>
        <w:rPr>
          <w:rStyle w:val="FootnoteReference"/>
        </w:rPr>
        <w:footnoteRef/>
      </w:r>
      <w:r>
        <w:t xml:space="preserve"> From around five countries, where both energy consumption and gross output data is available, and used to proxy trends in energy-intensity at the EU level. In addition the unexplained residual component captures changes in energy intensity due to fuel switching and could also be partly capturing other energy intensity effects.</w:t>
      </w:r>
    </w:p>
  </w:footnote>
  <w:footnote w:id="39">
    <w:p>
      <w:pPr>
        <w:pStyle w:val="FootnoteText"/>
      </w:pPr>
      <w:r>
        <w:rPr>
          <w:rStyle w:val="FootnoteReference"/>
        </w:rPr>
        <w:footnoteRef/>
      </w:r>
      <w:r>
        <w:t xml:space="preserve"> Policies such as the carbon price, energy efficiency loans and grants, energy audit or energy management systems and a package of other measures that have been offered to energy-intensive industry sectors can incentivise energy efficient investments and reduce energy cost pressures.</w:t>
      </w:r>
    </w:p>
  </w:footnote>
  <w:footnote w:id="40">
    <w:p>
      <w:pPr>
        <w:pStyle w:val="FootnoteText"/>
      </w:pPr>
      <w:r>
        <w:rPr>
          <w:rStyle w:val="FootnoteReference"/>
        </w:rPr>
        <w:footnoteRef/>
      </w:r>
      <w:r>
        <w:t xml:space="preserve"> Steel production in the EU uses either the Basic Oxygen Furnace (BOF) or Electric Arc Furnace (EAF) process. While both production processes are energy-intensive, the energy requirements are very different. The main energy costs to the BOF process is coking coal, while electricity is the primary energy cost for the EAF process. Changes to the structure of the steel manufacturing sector therefore could substantially affect energy intensity and energy costs</w:t>
      </w:r>
    </w:p>
  </w:footnote>
  <w:footnote w:id="41">
    <w:p>
      <w:r>
        <w:rPr>
          <w:rStyle w:val="FootnoteReference"/>
        </w:rPr>
        <w:footnoteRef/>
      </w:r>
      <w:r>
        <w:t xml:space="preserve"> </w:t>
      </w:r>
      <w:r>
        <w:rPr>
          <w:sz w:val="20"/>
          <w:szCs w:val="20"/>
        </w:rPr>
        <w:t>As a macro-econometric model, E3ME uses an extensive historical database</w:t>
      </w:r>
      <w:r>
        <w:rPr>
          <w:rStyle w:val="FootnoteReference"/>
          <w:sz w:val="20"/>
          <w:szCs w:val="20"/>
        </w:rPr>
        <w:footnoteRef/>
      </w:r>
      <w:r>
        <w:rPr>
          <w:sz w:val="20"/>
          <w:szCs w:val="20"/>
        </w:rPr>
        <w:t xml:space="preserve"> and is well placed to carry out ex-post economic analysis. E3ME is built around an input-output structure with a detailed representation of industry interdependencies. The input-output framework in E3ME shows, for each industry sector in each EU Member State, the cost of energy relative to total production costs. The input-output framework thus reflects industry-specific exposure to competitiveness risks from international variation in energy costs. The E3ME model also includes a series of price equations (estimated for each sector and country) which reflect different cost pass-through rates among sectors and reflect how energy costs ultimately affect prices of the goods and services produced. Import and export prices and bilateral trade equations are also estimated in each sector and country. Detailed information about E3ME is available in the Trinomics et altri study.</w:t>
      </w:r>
    </w:p>
  </w:footnote>
  <w:footnote w:id="42">
    <w:p>
      <w:pPr>
        <w:pStyle w:val="FootnoteText"/>
        <w:rPr>
          <w:rFonts w:eastAsia="Calibri"/>
          <w:color w:val="auto"/>
          <w:lang w:eastAsia="en-US"/>
        </w:rPr>
      </w:pPr>
      <w:r>
        <w:rPr>
          <w:rStyle w:val="FootnoteReference"/>
        </w:rPr>
        <w:footnoteRef/>
      </w:r>
      <w:r>
        <w:t xml:space="preserve"> </w:t>
      </w:r>
      <w:r>
        <w:rPr>
          <w:rFonts w:eastAsia="Calibri"/>
          <w:color w:val="auto"/>
          <w:lang w:eastAsia="en-US"/>
        </w:rPr>
        <w:t>A trade-weighted average electricity price is used for the counterfactual scenario. Trade weights applied are as follows: USA (24%); China (22%); Switzerland (10%); Russia (8%); Turkey (6%); Norway (5%); Japan (5%); South Korea (4%); India (3%); Brazil (3%); Canada (3%); Saudi Arabia (2%); Mexico (2%); Singapore (2%); United Arab Emirates (2%).</w:t>
      </w:r>
    </w:p>
  </w:footnote>
  <w:footnote w:id="43">
    <w:p>
      <w:pPr>
        <w:pStyle w:val="FootnoteText"/>
      </w:pPr>
      <w:r>
        <w:rPr>
          <w:rStyle w:val="FootnoteReference"/>
        </w:rPr>
        <w:footnoteRef/>
      </w:r>
      <w:r>
        <w:t xml:space="preserve"> I.e. the sum of material costs, energy costs and labour costs</w:t>
      </w:r>
    </w:p>
  </w:footnote>
  <w:footnote w:id="44">
    <w:p>
      <w:pPr>
        <w:pStyle w:val="FootnoteText"/>
      </w:pPr>
      <w:r>
        <w:rPr>
          <w:rStyle w:val="FootnoteReference"/>
        </w:rPr>
        <w:footnoteRef/>
      </w:r>
      <w:r>
        <w:t xml:space="preserve"> All energy prices and costs in this section are in nominal terms (no price deflator is applied). Both prices and costs are expressed in unit terms. Energy prices are computed as total price paid to purchase energy (net of recoverable taxes, such as VAT, and of any ex ante exemption, such as RES levy exemption) divided by total amount of energy purchased. Unlike prices, energy costs take also account for reimbursements (ex post exemption), payments for flexibility schemes and self-generation of energy.</w:t>
      </w:r>
    </w:p>
  </w:footnote>
  <w:footnote w:id="45">
    <w:p>
      <w:pPr>
        <w:pStyle w:val="FootnoteText"/>
      </w:pPr>
      <w:r>
        <w:rPr>
          <w:rStyle w:val="FootnoteReference"/>
        </w:rPr>
        <w:footnoteRef/>
      </w:r>
      <w:r>
        <w:t xml:space="preserve"> CEPS and Ecofys (2018). Study on composition and drivers of energy prices and costs: case studies in selected energy intensive industries – 2018.</w:t>
      </w:r>
    </w:p>
  </w:footnote>
  <w:footnote w:id="46">
    <w:p>
      <w:pPr>
        <w:pStyle w:val="FootnoteText"/>
      </w:pPr>
      <w:r>
        <w:rPr>
          <w:rStyle w:val="FootnoteReference"/>
        </w:rPr>
        <w:footnoteRef/>
      </w:r>
      <w:r>
        <w:t xml:space="preserve"> The construction of a 'statistically representative' plant sample per sector was not feasible due to the constraints of the study. Instead, a sample of typical plants with a broad geographical coverage and which represents at least 10% of the sectoral turnover or production capacity was built for each sector. Result findings were further cross-checked through stakeholder consultation and secondary data validation.</w:t>
      </w:r>
    </w:p>
  </w:footnote>
  <w:footnote w:id="47">
    <w:p>
      <w:pPr>
        <w:pStyle w:val="FootnoteText"/>
      </w:pPr>
      <w:r>
        <w:rPr>
          <w:rStyle w:val="FootnoteReference"/>
        </w:rPr>
        <w:footnoteRef/>
      </w:r>
      <w:r>
        <w:t xml:space="preserve"> For a given indicator, due to some inconsistent or missing data, the actual sample size may be lower than the numbers indicated in </w:t>
      </w:r>
      <w:r>
        <w:fldChar w:fldCharType="begin"/>
      </w:r>
      <w:r>
        <w:instrText xml:space="preserve"> REF _Ref530649207 \h  \* MERGEFORMAT </w:instrText>
      </w:r>
      <w:r>
        <w:fldChar w:fldCharType="separate"/>
      </w:r>
      <w:r>
        <w:t xml:space="preserve">Table </w:t>
      </w:r>
      <w:r>
        <w:rPr>
          <w:noProof/>
        </w:rPr>
        <w:t>16</w:t>
      </w:r>
      <w:r>
        <w:fldChar w:fldCharType="end"/>
      </w:r>
      <w:r>
        <w:t xml:space="preserve"> and, as such, will be mentioned in the relevant tables/figures.</w:t>
      </w:r>
    </w:p>
  </w:footnote>
  <w:footnote w:id="48">
    <w:p>
      <w:pPr>
        <w:pStyle w:val="FootnoteText"/>
      </w:pPr>
      <w:r>
        <w:rPr>
          <w:rStyle w:val="FootnoteReference"/>
        </w:rPr>
        <w:footnoteRef/>
      </w:r>
      <w:r>
        <w:t xml:space="preserve"> Sectorial results had to be aggregated at a regional level to respect confidentiality. </w:t>
      </w:r>
      <w:r>
        <w:rPr>
          <w:szCs w:val="24"/>
        </w:rPr>
        <w:t xml:space="preserve">See </w:t>
      </w:r>
      <w:r>
        <w:rPr>
          <w:szCs w:val="24"/>
        </w:rPr>
        <w:fldChar w:fldCharType="begin"/>
      </w:r>
      <w:r>
        <w:rPr>
          <w:szCs w:val="24"/>
        </w:rPr>
        <w:instrText xml:space="preserve"> REF _Ref530649207 \h  \* MERGEFORMAT </w:instrText>
      </w:r>
      <w:r>
        <w:rPr>
          <w:szCs w:val="24"/>
        </w:rPr>
      </w:r>
      <w:r>
        <w:rPr>
          <w:szCs w:val="24"/>
        </w:rPr>
        <w:fldChar w:fldCharType="separate"/>
      </w:r>
      <w:r>
        <w:t xml:space="preserve">Table </w:t>
      </w:r>
      <w:r>
        <w:rPr>
          <w:noProof/>
        </w:rPr>
        <w:t>16</w:t>
      </w:r>
      <w:r>
        <w:rPr>
          <w:szCs w:val="24"/>
        </w:rPr>
        <w:fldChar w:fldCharType="end"/>
      </w:r>
      <w:r>
        <w:t xml:space="preserve"> for the details of the EU aggregated regions.</w:t>
      </w:r>
    </w:p>
  </w:footnote>
  <w:footnote w:id="49">
    <w:p>
      <w:pPr>
        <w:pStyle w:val="FootnoteText"/>
      </w:pPr>
      <w:r>
        <w:rPr>
          <w:rStyle w:val="FootnoteReference"/>
        </w:rPr>
        <w:footnoteRef/>
      </w:r>
      <w:r>
        <w:t xml:space="preserve"> By nature, reimbursements are received with a delay (often the following year or even after). As it was not possible to trace them back with the associated consumption, they were accounted for in the year they are actually received. In general, reimbursements deducted in the costs are due to previous years' tax payments.</w:t>
      </w:r>
    </w:p>
  </w:footnote>
  <w:footnote w:id="50">
    <w:p>
      <w:pPr>
        <w:pStyle w:val="FootnoteText"/>
      </w:pPr>
      <w:r>
        <w:rPr>
          <w:rStyle w:val="FootnoteReference"/>
        </w:rPr>
        <w:footnoteRef/>
      </w:r>
      <w:r>
        <w:t xml:space="preserve"> Note that any year with less than three independent observations are always omitted.</w:t>
      </w:r>
    </w:p>
  </w:footnote>
  <w:footnote w:id="51">
    <w:p>
      <w:pPr>
        <w:pStyle w:val="FootnoteText"/>
      </w:pPr>
      <w:r>
        <w:rPr>
          <w:rStyle w:val="FootnoteReference"/>
        </w:rPr>
        <w:footnoteRef/>
      </w:r>
      <w:r>
        <w:t xml:space="preserve"> We refer the reader to the CEPS and Ecofys study for the details of the samples by Member State.</w:t>
      </w:r>
    </w:p>
  </w:footnote>
  <w:footnote w:id="52">
    <w:p>
      <w:pPr>
        <w:pStyle w:val="FootnoteText"/>
      </w:pPr>
      <w:r>
        <w:rPr>
          <w:rStyle w:val="FootnoteReference"/>
        </w:rPr>
        <w:footnoteRef/>
      </w:r>
      <w:r>
        <w:t xml:space="preserve"> It should be remembered that prices, unlike costs, do not account for ex post exemptions (reimbursement).</w:t>
      </w:r>
    </w:p>
  </w:footnote>
  <w:footnote w:id="53">
    <w:p>
      <w:pPr>
        <w:pStyle w:val="FootnoteText"/>
      </w:pPr>
      <w:r>
        <w:rPr>
          <w:rStyle w:val="FootnoteReference"/>
        </w:rPr>
        <w:footnoteRef/>
      </w:r>
      <w:r>
        <w:t xml:space="preserve"> CEPS and Ecofys (2018). Study on composition and drivers of energy prices and costs: case studies in selected energy intensive industries –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1">
    <w:nsid w:val="03A91F9C"/>
    <w:multiLevelType w:val="hybridMultilevel"/>
    <w:tmpl w:val="A8F2E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064DF"/>
    <w:multiLevelType w:val="multilevel"/>
    <w:tmpl w:val="549A2534"/>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7C70C37"/>
    <w:multiLevelType w:val="hybridMultilevel"/>
    <w:tmpl w:val="7B8AF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CB5611"/>
    <w:multiLevelType w:val="hybridMultilevel"/>
    <w:tmpl w:val="0D04D340"/>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6">
    <w:nsid w:val="0BDF118B"/>
    <w:multiLevelType w:val="hybridMultilevel"/>
    <w:tmpl w:val="5FF8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9C0454"/>
    <w:multiLevelType w:val="hybridMultilevel"/>
    <w:tmpl w:val="64C6870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252BBE"/>
    <w:multiLevelType w:val="hybridMultilevel"/>
    <w:tmpl w:val="B2CA76B6"/>
    <w:lvl w:ilvl="0" w:tplc="888E48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9">
    <w:nsid w:val="1A777DE7"/>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nsid w:val="1C552A61"/>
    <w:multiLevelType w:val="hybridMultilevel"/>
    <w:tmpl w:val="DEF04E8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783D8D"/>
    <w:multiLevelType w:val="multilevel"/>
    <w:tmpl w:val="BEA694F4"/>
    <w:lvl w:ilvl="0">
      <w:start w:val="1"/>
      <w:numFmt w:val="decimal"/>
      <w:pStyle w:val="Heading1"/>
      <w:lvlText w:val="%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pStyle w:val="Heading3"/>
      <w:lvlText w:val="A%1.%2.%3"/>
      <w:lvlJc w:val="left"/>
      <w:pPr>
        <w:ind w:left="720" w:hanging="720"/>
      </w:pPr>
      <w:rPr>
        <w:rFonts w:hint="default"/>
      </w:rPr>
    </w:lvl>
    <w:lvl w:ilvl="3">
      <w:start w:val="1"/>
      <w:numFmt w:val="decimal"/>
      <w:pStyle w:val="Heading4"/>
      <w:lvlText w:val="A%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747AE2"/>
    <w:multiLevelType w:val="hybridMultilevel"/>
    <w:tmpl w:val="1CDEBFD4"/>
    <w:lvl w:ilvl="0" w:tplc="888E487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DC5152E"/>
    <w:multiLevelType w:val="hybridMultilevel"/>
    <w:tmpl w:val="97286ACE"/>
    <w:lvl w:ilvl="0" w:tplc="888E48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224066"/>
    <w:multiLevelType w:val="hybridMultilevel"/>
    <w:tmpl w:val="A56CA86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64393"/>
    <w:multiLevelType w:val="hybridMultilevel"/>
    <w:tmpl w:val="353EF5E6"/>
    <w:lvl w:ilvl="0" w:tplc="888E4874">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820FD2"/>
    <w:multiLevelType w:val="hybridMultilevel"/>
    <w:tmpl w:val="95D22D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F77CAF"/>
    <w:multiLevelType w:val="hybridMultilevel"/>
    <w:tmpl w:val="6D921080"/>
    <w:lvl w:ilvl="0" w:tplc="BC74659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A208C"/>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2">
    <w:nsid w:val="3EB43EE9"/>
    <w:multiLevelType w:val="multilevel"/>
    <w:tmpl w:val="3EE8AD30"/>
    <w:numStyleLink w:val="Style1"/>
  </w:abstractNum>
  <w:abstractNum w:abstractNumId="23">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nsid w:val="52FF3A2F"/>
    <w:multiLevelType w:val="hybridMultilevel"/>
    <w:tmpl w:val="BC5ED60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F4738B"/>
    <w:multiLevelType w:val="hybridMultilevel"/>
    <w:tmpl w:val="7308705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D81A3A"/>
    <w:multiLevelType w:val="hybridMultilevel"/>
    <w:tmpl w:val="BFEE8F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C00F0C"/>
    <w:multiLevelType w:val="hybridMultilevel"/>
    <w:tmpl w:val="07C8F40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600A3216"/>
    <w:multiLevelType w:val="hybridMultilevel"/>
    <w:tmpl w:val="785CC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F9799C"/>
    <w:multiLevelType w:val="hybridMultilevel"/>
    <w:tmpl w:val="7020EDC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0F5259"/>
    <w:multiLevelType w:val="hybridMultilevel"/>
    <w:tmpl w:val="E9F870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FC5285"/>
    <w:multiLevelType w:val="hybridMultilevel"/>
    <w:tmpl w:val="EA42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4E587C"/>
    <w:multiLevelType w:val="hybridMultilevel"/>
    <w:tmpl w:val="879E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3D097D"/>
    <w:multiLevelType w:val="hybridMultilevel"/>
    <w:tmpl w:val="468A6C2E"/>
    <w:lvl w:ilvl="0" w:tplc="888E4874">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36">
    <w:nsid w:val="70D74490"/>
    <w:multiLevelType w:val="hybridMultilevel"/>
    <w:tmpl w:val="F600E92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A07542"/>
    <w:multiLevelType w:val="hybridMultilevel"/>
    <w:tmpl w:val="7024A8A0"/>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9C559C"/>
    <w:multiLevelType w:val="hybridMultilevel"/>
    <w:tmpl w:val="6BA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CD3F8F"/>
    <w:multiLevelType w:val="hybridMultilevel"/>
    <w:tmpl w:val="378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0"/>
  </w:num>
  <w:num w:numId="5">
    <w:abstractNumId w:val="5"/>
  </w:num>
  <w:num w:numId="6">
    <w:abstractNumId w:val="25"/>
  </w:num>
  <w:num w:numId="7">
    <w:abstractNumId w:val="9"/>
  </w:num>
  <w:num w:numId="8">
    <w:abstractNumId w:val="39"/>
  </w:num>
  <w:num w:numId="9">
    <w:abstractNumId w:val="23"/>
  </w:num>
  <w:num w:numId="10">
    <w:abstractNumId w:val="35"/>
  </w:num>
  <w:num w:numId="11">
    <w:abstractNumId w:val="15"/>
  </w:num>
  <w:num w:numId="12">
    <w:abstractNumId w:val="26"/>
  </w:num>
  <w:num w:numId="13">
    <w:abstractNumId w:val="14"/>
  </w:num>
  <w:num w:numId="14">
    <w:abstractNumId w:val="31"/>
  </w:num>
  <w:num w:numId="15">
    <w:abstractNumId w:val="36"/>
  </w:num>
  <w:num w:numId="16">
    <w:abstractNumId w:val="37"/>
  </w:num>
  <w:num w:numId="17">
    <w:abstractNumId w:val="33"/>
  </w:num>
  <w:num w:numId="18">
    <w:abstractNumId w:val="20"/>
  </w:num>
  <w:num w:numId="19">
    <w:abstractNumId w:val="21"/>
  </w:num>
  <w:num w:numId="20">
    <w:abstractNumId w:val="30"/>
  </w:num>
  <w:num w:numId="21">
    <w:abstractNumId w:val="1"/>
  </w:num>
  <w:num w:numId="22">
    <w:abstractNumId w:val="34"/>
  </w:num>
  <w:num w:numId="23">
    <w:abstractNumId w:val="32"/>
  </w:num>
  <w:num w:numId="24">
    <w:abstractNumId w:val="38"/>
  </w:num>
  <w:num w:numId="25">
    <w:abstractNumId w:val="19"/>
  </w:num>
  <w:num w:numId="26">
    <w:abstractNumId w:val="22"/>
  </w:num>
  <w:num w:numId="27">
    <w:abstractNumId w:val="29"/>
  </w:num>
  <w:num w:numId="28">
    <w:abstractNumId w:val="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6"/>
  </w:num>
  <w:num w:numId="32">
    <w:abstractNumId w:val="4"/>
  </w:num>
  <w:num w:numId="33">
    <w:abstractNumId w:val="18"/>
  </w:num>
  <w:num w:numId="34">
    <w:abstractNumId w:val="8"/>
  </w:num>
  <w:num w:numId="35">
    <w:abstractNumId w:val="24"/>
  </w:num>
  <w:num w:numId="36">
    <w:abstractNumId w:val="13"/>
  </w:num>
  <w:num w:numId="37">
    <w:abstractNumId w:val="11"/>
  </w:num>
  <w:num w:numId="38">
    <w:abstractNumId w:val="28"/>
  </w:num>
  <w:num w:numId="39">
    <w:abstractNumId w:val="7"/>
  </w:num>
  <w:num w:numId="40">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237569"/>
  </w:hdrShapeDefaults>
  <w:footnotePr>
    <w:numStart w:val="50"/>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48E32AD-433F-4EB7-8206-C4A9E0D26CA0"/>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3"/>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75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40042113">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12071890">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09163131">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77224410">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jpeg"/><Relationship Id="rId21" Type="http://schemas.openxmlformats.org/officeDocument/2006/relationships/image" Target="media/image3.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footer" Target="footer7.xml"/><Relationship Id="rId138" Type="http://schemas.openxmlformats.org/officeDocument/2006/relationships/header" Target="header27.xml"/><Relationship Id="rId159" Type="http://schemas.openxmlformats.org/officeDocument/2006/relationships/header" Target="header35.xml"/><Relationship Id="rId170" Type="http://schemas.openxmlformats.org/officeDocument/2006/relationships/image" Target="media/image86.png"/><Relationship Id="rId191" Type="http://schemas.openxmlformats.org/officeDocument/2006/relationships/chart" Target="charts/chart4.xml"/><Relationship Id="rId205" Type="http://schemas.openxmlformats.org/officeDocument/2006/relationships/footer" Target="footer48.xml"/><Relationship Id="rId16" Type="http://schemas.openxmlformats.org/officeDocument/2006/relationships/footer" Target="footer1.xml"/><Relationship Id="rId107" Type="http://schemas.openxmlformats.org/officeDocument/2006/relationships/image" Target="media/image65.emf"/><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eader" Target="header4.xml"/><Relationship Id="rId79" Type="http://schemas.openxmlformats.org/officeDocument/2006/relationships/footer" Target="footer6.xml"/><Relationship Id="rId102" Type="http://schemas.openxmlformats.org/officeDocument/2006/relationships/footer" Target="footer13.xml"/><Relationship Id="rId123" Type="http://schemas.openxmlformats.org/officeDocument/2006/relationships/header" Target="header21.xml"/><Relationship Id="rId128" Type="http://schemas.openxmlformats.org/officeDocument/2006/relationships/header" Target="header22.xml"/><Relationship Id="rId144" Type="http://schemas.openxmlformats.org/officeDocument/2006/relationships/header" Target="header29.xml"/><Relationship Id="rId149" Type="http://schemas.openxmlformats.org/officeDocument/2006/relationships/image" Target="media/image77.emf"/><Relationship Id="rId5" Type="http://schemas.openxmlformats.org/officeDocument/2006/relationships/customXml" Target="../customXml/item4.xml"/><Relationship Id="rId90" Type="http://schemas.openxmlformats.org/officeDocument/2006/relationships/image" Target="media/image60.emf"/><Relationship Id="rId95" Type="http://schemas.openxmlformats.org/officeDocument/2006/relationships/header" Target="header12.xml"/><Relationship Id="rId160" Type="http://schemas.openxmlformats.org/officeDocument/2006/relationships/footer" Target="footer34.xml"/><Relationship Id="rId165" Type="http://schemas.openxmlformats.org/officeDocument/2006/relationships/image" Target="media/image81.emf"/><Relationship Id="rId181" Type="http://schemas.openxmlformats.org/officeDocument/2006/relationships/image" Target="media/image91.emf"/><Relationship Id="rId186" Type="http://schemas.openxmlformats.org/officeDocument/2006/relationships/header" Target="header42.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oter" Target="footer16.xml"/><Relationship Id="rId118" Type="http://schemas.openxmlformats.org/officeDocument/2006/relationships/image" Target="media/image70.jpeg"/><Relationship Id="rId134" Type="http://schemas.openxmlformats.org/officeDocument/2006/relationships/header" Target="header25.xml"/><Relationship Id="rId139" Type="http://schemas.openxmlformats.org/officeDocument/2006/relationships/footer" Target="footer27.xml"/><Relationship Id="rId80" Type="http://schemas.openxmlformats.org/officeDocument/2006/relationships/image" Target="media/image56.jpeg"/><Relationship Id="rId85" Type="http://schemas.openxmlformats.org/officeDocument/2006/relationships/footer" Target="footer8.xml"/><Relationship Id="rId150" Type="http://schemas.openxmlformats.org/officeDocument/2006/relationships/image" Target="media/image78.emf"/><Relationship Id="rId155" Type="http://schemas.openxmlformats.org/officeDocument/2006/relationships/footer" Target="footer32.xml"/><Relationship Id="rId171" Type="http://schemas.openxmlformats.org/officeDocument/2006/relationships/header" Target="header37.xml"/><Relationship Id="rId176" Type="http://schemas.openxmlformats.org/officeDocument/2006/relationships/footer" Target="footer39.xml"/><Relationship Id="rId192" Type="http://schemas.openxmlformats.org/officeDocument/2006/relationships/chart" Target="charts/chart5.xml"/><Relationship Id="rId197" Type="http://schemas.openxmlformats.org/officeDocument/2006/relationships/footer" Target="footer44.xml"/><Relationship Id="rId206" Type="http://schemas.openxmlformats.org/officeDocument/2006/relationships/fontTable" Target="fontTable.xml"/><Relationship Id="rId201" Type="http://schemas.openxmlformats.org/officeDocument/2006/relationships/header" Target="header47.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footer" Target="footer14.xml"/><Relationship Id="rId108" Type="http://schemas.openxmlformats.org/officeDocument/2006/relationships/image" Target="media/image66.emf"/><Relationship Id="rId124" Type="http://schemas.openxmlformats.org/officeDocument/2006/relationships/footer" Target="footer21.xml"/><Relationship Id="rId129" Type="http://schemas.openxmlformats.org/officeDocument/2006/relationships/header" Target="header23.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header" Target="header5.xml"/><Relationship Id="rId91" Type="http://schemas.openxmlformats.org/officeDocument/2006/relationships/header" Target="header10.xml"/><Relationship Id="rId96" Type="http://schemas.openxmlformats.org/officeDocument/2006/relationships/footer" Target="footer12.xml"/><Relationship Id="rId140" Type="http://schemas.openxmlformats.org/officeDocument/2006/relationships/image" Target="media/image74.emf"/><Relationship Id="rId145" Type="http://schemas.openxmlformats.org/officeDocument/2006/relationships/footer" Target="footer28.xml"/><Relationship Id="rId161" Type="http://schemas.openxmlformats.org/officeDocument/2006/relationships/footer" Target="footer35.xml"/><Relationship Id="rId166" Type="http://schemas.openxmlformats.org/officeDocument/2006/relationships/image" Target="media/image82.emf"/><Relationship Id="rId182" Type="http://schemas.openxmlformats.org/officeDocument/2006/relationships/header" Target="header40.xml"/><Relationship Id="rId187" Type="http://schemas.openxmlformats.org/officeDocument/2006/relationships/footer" Target="footer42.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footer" Target="footer17.xml"/><Relationship Id="rId119" Type="http://schemas.openxmlformats.org/officeDocument/2006/relationships/header" Target="header19.xml"/><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57.jpeg"/><Relationship Id="rId86" Type="http://schemas.openxmlformats.org/officeDocument/2006/relationships/header" Target="header9.xml"/><Relationship Id="rId130" Type="http://schemas.openxmlformats.org/officeDocument/2006/relationships/footer" Target="footer22.xml"/><Relationship Id="rId135" Type="http://schemas.openxmlformats.org/officeDocument/2006/relationships/header" Target="header26.xml"/><Relationship Id="rId151" Type="http://schemas.openxmlformats.org/officeDocument/2006/relationships/image" Target="media/image79.emf"/><Relationship Id="rId156" Type="http://schemas.openxmlformats.org/officeDocument/2006/relationships/header" Target="header33.xml"/><Relationship Id="rId177" Type="http://schemas.openxmlformats.org/officeDocument/2006/relationships/image" Target="media/image87.emf"/><Relationship Id="rId198" Type="http://schemas.openxmlformats.org/officeDocument/2006/relationships/header" Target="header45.xml"/><Relationship Id="rId172" Type="http://schemas.openxmlformats.org/officeDocument/2006/relationships/header" Target="header38.xml"/><Relationship Id="rId193" Type="http://schemas.openxmlformats.org/officeDocument/2006/relationships/chart" Target="charts/chart6.xml"/><Relationship Id="rId202" Type="http://schemas.openxmlformats.org/officeDocument/2006/relationships/footer" Target="footer46.xml"/><Relationship Id="rId207"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21.png"/><Relationship Id="rId109" Type="http://schemas.openxmlformats.org/officeDocument/2006/relationships/image" Target="media/image67.emf"/><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oter" Target="footer4.xml"/><Relationship Id="rId97" Type="http://schemas.openxmlformats.org/officeDocument/2006/relationships/image" Target="media/image61.jpeg"/><Relationship Id="rId104" Type="http://schemas.openxmlformats.org/officeDocument/2006/relationships/header" Target="header15.xml"/><Relationship Id="rId120" Type="http://schemas.openxmlformats.org/officeDocument/2006/relationships/header" Target="header20.xml"/><Relationship Id="rId125" Type="http://schemas.openxmlformats.org/officeDocument/2006/relationships/image" Target="media/image71.emf"/><Relationship Id="rId141" Type="http://schemas.openxmlformats.org/officeDocument/2006/relationships/image" Target="media/image75.emf"/><Relationship Id="rId146" Type="http://schemas.openxmlformats.org/officeDocument/2006/relationships/footer" Target="footer29.xml"/><Relationship Id="rId167" Type="http://schemas.openxmlformats.org/officeDocument/2006/relationships/image" Target="media/image83.png"/><Relationship Id="rId188" Type="http://schemas.openxmlformats.org/officeDocument/2006/relationships/chart" Target="charts/chart1.xm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header" Target="header11.xml"/><Relationship Id="rId162" Type="http://schemas.openxmlformats.org/officeDocument/2006/relationships/header" Target="header36.xml"/><Relationship Id="rId183" Type="http://schemas.openxmlformats.org/officeDocument/2006/relationships/header" Target="header41.xml"/><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footer" Target="footer9.xml"/><Relationship Id="rId110" Type="http://schemas.openxmlformats.org/officeDocument/2006/relationships/image" Target="media/image68.emf"/><Relationship Id="rId115" Type="http://schemas.openxmlformats.org/officeDocument/2006/relationships/header" Target="header18.xml"/><Relationship Id="rId131" Type="http://schemas.openxmlformats.org/officeDocument/2006/relationships/footer" Target="footer23.xml"/><Relationship Id="rId136" Type="http://schemas.openxmlformats.org/officeDocument/2006/relationships/footer" Target="footer25.xml"/><Relationship Id="rId157" Type="http://schemas.openxmlformats.org/officeDocument/2006/relationships/footer" Target="footer33.xml"/><Relationship Id="rId178" Type="http://schemas.openxmlformats.org/officeDocument/2006/relationships/image" Target="media/image88.emf"/><Relationship Id="rId61" Type="http://schemas.openxmlformats.org/officeDocument/2006/relationships/image" Target="media/image43.png"/><Relationship Id="rId82" Type="http://schemas.openxmlformats.org/officeDocument/2006/relationships/header" Target="header7.xml"/><Relationship Id="rId152" Type="http://schemas.openxmlformats.org/officeDocument/2006/relationships/header" Target="header31.xml"/><Relationship Id="rId173" Type="http://schemas.openxmlformats.org/officeDocument/2006/relationships/footer" Target="footer37.xml"/><Relationship Id="rId194" Type="http://schemas.openxmlformats.org/officeDocument/2006/relationships/header" Target="header43.xml"/><Relationship Id="rId199" Type="http://schemas.openxmlformats.org/officeDocument/2006/relationships/footer" Target="footer45.xml"/><Relationship Id="rId203" Type="http://schemas.openxmlformats.org/officeDocument/2006/relationships/footer" Target="footer47.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footer" Target="footer5.xml"/><Relationship Id="rId100" Type="http://schemas.openxmlformats.org/officeDocument/2006/relationships/header" Target="header13.xml"/><Relationship Id="rId105" Type="http://schemas.openxmlformats.org/officeDocument/2006/relationships/footer" Target="footer15.xml"/><Relationship Id="rId126" Type="http://schemas.openxmlformats.org/officeDocument/2006/relationships/image" Target="media/image72.emf"/><Relationship Id="rId147" Type="http://schemas.openxmlformats.org/officeDocument/2006/relationships/header" Target="header30.xml"/><Relationship Id="rId168" Type="http://schemas.openxmlformats.org/officeDocument/2006/relationships/image" Target="media/image84.png"/><Relationship Id="rId8" Type="http://schemas.microsoft.com/office/2007/relationships/stylesWithEffects" Target="stylesWithEffects.xml"/><Relationship Id="rId51" Type="http://schemas.openxmlformats.org/officeDocument/2006/relationships/image" Target="media/image33.png"/><Relationship Id="rId72" Type="http://schemas.openxmlformats.org/officeDocument/2006/relationships/image" Target="media/image54.jpeg"/><Relationship Id="rId93" Type="http://schemas.openxmlformats.org/officeDocument/2006/relationships/footer" Target="footer10.xml"/><Relationship Id="rId98" Type="http://schemas.openxmlformats.org/officeDocument/2006/relationships/image" Target="media/image62.jpeg"/><Relationship Id="rId121" Type="http://schemas.openxmlformats.org/officeDocument/2006/relationships/footer" Target="footer19.xml"/><Relationship Id="rId142" Type="http://schemas.openxmlformats.org/officeDocument/2006/relationships/image" Target="media/image76.emf"/><Relationship Id="rId163" Type="http://schemas.openxmlformats.org/officeDocument/2006/relationships/footer" Target="footer36.xml"/><Relationship Id="rId184" Type="http://schemas.openxmlformats.org/officeDocument/2006/relationships/footer" Target="footer40.xml"/><Relationship Id="rId189" Type="http://schemas.openxmlformats.org/officeDocument/2006/relationships/chart" Target="charts/chart2.xml"/><Relationship Id="rId3" Type="http://schemas.openxmlformats.org/officeDocument/2006/relationships/customXml" Target="../customXml/item2.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footer" Target="footer18.xml"/><Relationship Id="rId137" Type="http://schemas.openxmlformats.org/officeDocument/2006/relationships/footer" Target="footer26.xml"/><Relationship Id="rId158" Type="http://schemas.openxmlformats.org/officeDocument/2006/relationships/header" Target="header34.xml"/><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header" Target="header8.xml"/><Relationship Id="rId88" Type="http://schemas.openxmlformats.org/officeDocument/2006/relationships/image" Target="media/image58.emf"/><Relationship Id="rId111" Type="http://schemas.openxmlformats.org/officeDocument/2006/relationships/header" Target="header16.xml"/><Relationship Id="rId132" Type="http://schemas.openxmlformats.org/officeDocument/2006/relationships/header" Target="header24.xml"/><Relationship Id="rId153" Type="http://schemas.openxmlformats.org/officeDocument/2006/relationships/header" Target="header32.xml"/><Relationship Id="rId174" Type="http://schemas.openxmlformats.org/officeDocument/2006/relationships/footer" Target="footer38.xml"/><Relationship Id="rId179" Type="http://schemas.openxmlformats.org/officeDocument/2006/relationships/image" Target="media/image89.png"/><Relationship Id="rId195" Type="http://schemas.openxmlformats.org/officeDocument/2006/relationships/header" Target="header44.xml"/><Relationship Id="rId190" Type="http://schemas.openxmlformats.org/officeDocument/2006/relationships/chart" Target="charts/chart3.xml"/><Relationship Id="rId204" Type="http://schemas.openxmlformats.org/officeDocument/2006/relationships/header" Target="header48.xml"/><Relationship Id="rId15" Type="http://schemas.openxmlformats.org/officeDocument/2006/relationships/header" Target="header2.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64.emf"/><Relationship Id="rId127" Type="http://schemas.openxmlformats.org/officeDocument/2006/relationships/image" Target="media/image73.emf"/><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jpeg"/><Relationship Id="rId78" Type="http://schemas.openxmlformats.org/officeDocument/2006/relationships/header" Target="header6.xml"/><Relationship Id="rId94" Type="http://schemas.openxmlformats.org/officeDocument/2006/relationships/footer" Target="footer11.xml"/><Relationship Id="rId99" Type="http://schemas.openxmlformats.org/officeDocument/2006/relationships/image" Target="media/image63.jpeg"/><Relationship Id="rId101" Type="http://schemas.openxmlformats.org/officeDocument/2006/relationships/header" Target="header14.xml"/><Relationship Id="rId122" Type="http://schemas.openxmlformats.org/officeDocument/2006/relationships/footer" Target="footer20.xml"/><Relationship Id="rId143" Type="http://schemas.openxmlformats.org/officeDocument/2006/relationships/header" Target="header28.xml"/><Relationship Id="rId148" Type="http://schemas.openxmlformats.org/officeDocument/2006/relationships/footer" Target="footer30.xml"/><Relationship Id="rId164" Type="http://schemas.openxmlformats.org/officeDocument/2006/relationships/image" Target="media/image80.emf"/><Relationship Id="rId169" Type="http://schemas.openxmlformats.org/officeDocument/2006/relationships/image" Target="media/image85.png"/><Relationship Id="rId185" Type="http://schemas.openxmlformats.org/officeDocument/2006/relationships/footer" Target="footer41.xml"/><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image" Target="media/image90.emf"/><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59.emf"/><Relationship Id="rId112" Type="http://schemas.openxmlformats.org/officeDocument/2006/relationships/header" Target="header17.xml"/><Relationship Id="rId133" Type="http://schemas.openxmlformats.org/officeDocument/2006/relationships/footer" Target="footer24.xml"/><Relationship Id="rId154" Type="http://schemas.openxmlformats.org/officeDocument/2006/relationships/footer" Target="footer31.xml"/><Relationship Id="rId175" Type="http://schemas.openxmlformats.org/officeDocument/2006/relationships/header" Target="header39.xml"/><Relationship Id="rId196" Type="http://schemas.openxmlformats.org/officeDocument/2006/relationships/footer" Target="footer43.xml"/><Relationship Id="rId200" Type="http://schemas.openxmlformats.org/officeDocument/2006/relationships/header" Target="header46.xml"/></Relationships>
</file>

<file path=word/_rels/footnotes.xml.rels><?xml version="1.0" encoding="UTF-8" standalone="yes"?>
<Relationships xmlns="http://schemas.openxmlformats.org/package/2006/relationships"><Relationship Id="rId3" Type="http://schemas.openxmlformats.org/officeDocument/2006/relationships/hyperlink" Target="https://www.fraserinstitute.org/studies/economic-freedom" TargetMode="External"/><Relationship Id="rId7" Type="http://schemas.openxmlformats.org/officeDocument/2006/relationships/hyperlink" Target="http://ec.europa.eu/economy_finance/publications/european_economy/2014/pdf/ee1_en.pdf" TargetMode="External"/><Relationship Id="rId2" Type="http://schemas.openxmlformats.org/officeDocument/2006/relationships/hyperlink" Target="https://www.imd.org/wcc/world-competitiveness-center-rankings/world-competitiveness-ranking-2018/" TargetMode="External"/><Relationship Id="rId1" Type="http://schemas.openxmlformats.org/officeDocument/2006/relationships/hyperlink" Target="https://www.weforum.org/reports/the-global-competitiveness-report-2017-2018" TargetMode="External"/><Relationship Id="rId6" Type="http://schemas.openxmlformats.org/officeDocument/2006/relationships/hyperlink" Target="http://ec.europa.eu/growth/industry/competitiveness/reports/ms-competitiveness-report/index_en.htm" TargetMode="External"/><Relationship Id="rId5" Type="http://schemas.openxmlformats.org/officeDocument/2006/relationships/hyperlink" Target="http://ec.europa.eu/growth/industry/competitiveness/reports/eu-competitiveness-report/index_en.htm" TargetMode="External"/><Relationship Id="rId4" Type="http://schemas.openxmlformats.org/officeDocument/2006/relationships/hyperlink" Target="https://ec.europa.eu/growth/content/single-market-integration-and-competitiveness-eu-and-its-member-states-2016_e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876826490361"/>
          <c:y val="6.5160761154855695E-2"/>
          <c:w val="0.82410045938222798"/>
          <c:h val="0.78574233401618698"/>
        </c:manualLayout>
      </c:layout>
      <c:barChart>
        <c:barDir val="col"/>
        <c:grouping val="stacked"/>
        <c:varyColors val="0"/>
        <c:ser>
          <c:idx val="0"/>
          <c:order val="0"/>
          <c:tx>
            <c:v>Energy supply costs </c:v>
          </c:tx>
          <c:invertIfNegative val="0"/>
          <c:cat>
            <c:multiLvlStrRef>
              <c:f>'ELEC COMP'!$G$5:$AL$6</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France</c:v>
                  </c:pt>
                  <c:pt idx="8">
                    <c:v>Germany</c:v>
                  </c:pt>
                  <c:pt idx="16">
                    <c:v>Netherlands</c:v>
                  </c:pt>
                  <c:pt idx="24">
                    <c:v>UK</c:v>
                  </c:pt>
                </c:lvl>
              </c:multiLvlStrCache>
            </c:multiLvlStrRef>
          </c:cat>
          <c:val>
            <c:numRef>
              <c:f>'ELEC COMP'!$G$7:$AL$7</c:f>
              <c:numCache>
                <c:formatCode>0.0</c:formatCode>
                <c:ptCount val="32"/>
                <c:pt idx="0">
                  <c:v>35.829484019628183</c:v>
                </c:pt>
                <c:pt idx="1">
                  <c:v>42.260807960085756</c:v>
                </c:pt>
                <c:pt idx="2">
                  <c:v>44.67448666179461</c:v>
                </c:pt>
                <c:pt idx="3">
                  <c:v>42.960696512837949</c:v>
                </c:pt>
                <c:pt idx="4">
                  <c:v>42.833021237146035</c:v>
                </c:pt>
                <c:pt idx="5">
                  <c:v>42.195948362497695</c:v>
                </c:pt>
                <c:pt idx="6">
                  <c:v>41.365019058353845</c:v>
                </c:pt>
                <c:pt idx="7">
                  <c:v>40.210466396379239</c:v>
                </c:pt>
                <c:pt idx="8">
                  <c:v>49.197293634393915</c:v>
                </c:pt>
                <c:pt idx="9">
                  <c:v>53.479919276282928</c:v>
                </c:pt>
                <c:pt idx="10">
                  <c:v>59.649308671252911</c:v>
                </c:pt>
                <c:pt idx="11">
                  <c:v>54.67394638109004</c:v>
                </c:pt>
                <c:pt idx="12">
                  <c:v>51.173411939153169</c:v>
                </c:pt>
                <c:pt idx="13">
                  <c:v>41.809697254342083</c:v>
                </c:pt>
                <c:pt idx="14">
                  <c:v>44.30057270273155</c:v>
                </c:pt>
                <c:pt idx="15">
                  <c:v>41.364495004740363</c:v>
                </c:pt>
                <c:pt idx="17">
                  <c:v>49.323169589845662</c:v>
                </c:pt>
                <c:pt idx="18">
                  <c:v>46.319411866896701</c:v>
                </c:pt>
                <c:pt idx="19">
                  <c:v>45.011233741488248</c:v>
                </c:pt>
                <c:pt idx="20">
                  <c:v>42.343460005195745</c:v>
                </c:pt>
                <c:pt idx="21">
                  <c:v>39.94446649549969</c:v>
                </c:pt>
                <c:pt idx="22">
                  <c:v>42.644217872262622</c:v>
                </c:pt>
                <c:pt idx="23">
                  <c:v>46.098984996011886</c:v>
                </c:pt>
                <c:pt idx="25">
                  <c:v>57.765498898639315</c:v>
                </c:pt>
                <c:pt idx="26">
                  <c:v>65.479762416320739</c:v>
                </c:pt>
                <c:pt idx="27">
                  <c:v>70.535065643697592</c:v>
                </c:pt>
                <c:pt idx="28">
                  <c:v>64.146318501365414</c:v>
                </c:pt>
                <c:pt idx="29">
                  <c:v>66.099947044839709</c:v>
                </c:pt>
                <c:pt idx="30">
                  <c:v>56.939659070152828</c:v>
                </c:pt>
                <c:pt idx="31">
                  <c:v>50.649647264571534</c:v>
                </c:pt>
              </c:numCache>
            </c:numRef>
          </c:val>
          <c:extLst xmlns:c16r2="http://schemas.microsoft.com/office/drawing/2015/06/chart">
            <c:ext xmlns:c16="http://schemas.microsoft.com/office/drawing/2014/chart" uri="{C3380CC4-5D6E-409C-BE32-E72D297353CC}">
              <c16:uniqueId val="{00000000-FAE4-4DA2-8345-AC8F658F45CC}"/>
            </c:ext>
          </c:extLst>
        </c:ser>
        <c:ser>
          <c:idx val="1"/>
          <c:order val="1"/>
          <c:tx>
            <c:v>Network costs </c:v>
          </c:tx>
          <c:invertIfNegative val="0"/>
          <c:cat>
            <c:multiLvlStrRef>
              <c:f>'ELEC COMP'!$G$5:$AL$6</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France</c:v>
                  </c:pt>
                  <c:pt idx="8">
                    <c:v>Germany</c:v>
                  </c:pt>
                  <c:pt idx="16">
                    <c:v>Netherlands</c:v>
                  </c:pt>
                  <c:pt idx="24">
                    <c:v>UK</c:v>
                  </c:pt>
                </c:lvl>
              </c:multiLvlStrCache>
            </c:multiLvlStrRef>
          </c:cat>
          <c:val>
            <c:numRef>
              <c:f>'ELEC COMP'!$G$8:$AL$8</c:f>
              <c:numCache>
                <c:formatCode>0.0</c:formatCode>
                <c:ptCount val="32"/>
                <c:pt idx="0">
                  <c:v>8.0211213000209973</c:v>
                </c:pt>
                <c:pt idx="1">
                  <c:v>8.3412204199251825</c:v>
                </c:pt>
                <c:pt idx="2">
                  <c:v>7.9242182580172518</c:v>
                </c:pt>
                <c:pt idx="3">
                  <c:v>8.0865269733087572</c:v>
                </c:pt>
                <c:pt idx="4">
                  <c:v>7.3206199625211852</c:v>
                </c:pt>
                <c:pt idx="5">
                  <c:v>6.8175889597488037</c:v>
                </c:pt>
                <c:pt idx="6">
                  <c:v>12.835495474206203</c:v>
                </c:pt>
                <c:pt idx="7">
                  <c:v>12.792467257885582</c:v>
                </c:pt>
                <c:pt idx="8">
                  <c:v>10.905144754124821</c:v>
                </c:pt>
                <c:pt idx="9">
                  <c:v>11.978138810962795</c:v>
                </c:pt>
                <c:pt idx="10">
                  <c:v>10.582547224358976</c:v>
                </c:pt>
                <c:pt idx="11">
                  <c:v>11.756305824100123</c:v>
                </c:pt>
                <c:pt idx="12">
                  <c:v>14.026769426267055</c:v>
                </c:pt>
                <c:pt idx="13">
                  <c:v>11.552859618601886</c:v>
                </c:pt>
                <c:pt idx="14">
                  <c:v>16.861900597038105</c:v>
                </c:pt>
                <c:pt idx="15">
                  <c:v>19.374739042108239</c:v>
                </c:pt>
                <c:pt idx="17">
                  <c:v>10.088558862160601</c:v>
                </c:pt>
                <c:pt idx="18">
                  <c:v>13.45674164181626</c:v>
                </c:pt>
                <c:pt idx="19">
                  <c:v>13.377488290926456</c:v>
                </c:pt>
                <c:pt idx="20">
                  <c:v>10.82342194066649</c:v>
                </c:pt>
                <c:pt idx="21">
                  <c:v>9.9377533840849441</c:v>
                </c:pt>
                <c:pt idx="22">
                  <c:v>6.4951590395209395</c:v>
                </c:pt>
                <c:pt idx="23">
                  <c:v>6.3191472393609871</c:v>
                </c:pt>
                <c:pt idx="25">
                  <c:v>10.049353167748933</c:v>
                </c:pt>
                <c:pt idx="26">
                  <c:v>14.19464929018433</c:v>
                </c:pt>
                <c:pt idx="27">
                  <c:v>11.985220909686385</c:v>
                </c:pt>
                <c:pt idx="28">
                  <c:v>19.923740077711035</c:v>
                </c:pt>
                <c:pt idx="29">
                  <c:v>22.926979882262952</c:v>
                </c:pt>
                <c:pt idx="30">
                  <c:v>21.50983763923599</c:v>
                </c:pt>
                <c:pt idx="31">
                  <c:v>18.63370017243524</c:v>
                </c:pt>
              </c:numCache>
            </c:numRef>
          </c:val>
          <c:extLst xmlns:c16r2="http://schemas.microsoft.com/office/drawing/2015/06/chart">
            <c:ext xmlns:c16="http://schemas.microsoft.com/office/drawing/2014/chart" uri="{C3380CC4-5D6E-409C-BE32-E72D297353CC}">
              <c16:uniqueId val="{00000001-FAE4-4DA2-8345-AC8F658F45CC}"/>
            </c:ext>
          </c:extLst>
        </c:ser>
        <c:ser>
          <c:idx val="2"/>
          <c:order val="2"/>
          <c:tx>
            <c:v>Renewable support</c:v>
          </c:tx>
          <c:spPr>
            <a:solidFill>
              <a:srgbClr val="377A6C"/>
            </a:solidFill>
          </c:spPr>
          <c:invertIfNegative val="0"/>
          <c:cat>
            <c:multiLvlStrRef>
              <c:f>'ELEC COMP'!$G$5:$AL$6</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France</c:v>
                  </c:pt>
                  <c:pt idx="8">
                    <c:v>Germany</c:v>
                  </c:pt>
                  <c:pt idx="16">
                    <c:v>Netherlands</c:v>
                  </c:pt>
                  <c:pt idx="24">
                    <c:v>UK</c:v>
                  </c:pt>
                </c:lvl>
              </c:multiLvlStrCache>
            </c:multiLvlStrRef>
          </c:cat>
          <c:val>
            <c:numRef>
              <c:f>'ELEC COMP'!$G$9:$AL$9</c:f>
              <c:numCache>
                <c:formatCode>0.0</c:formatCode>
                <c:ptCount val="32"/>
                <c:pt idx="0">
                  <c:v>5.5602717670609172</c:v>
                </c:pt>
                <c:pt idx="1">
                  <c:v>3.6064775697027982</c:v>
                </c:pt>
                <c:pt idx="2">
                  <c:v>3.0399071068244852</c:v>
                </c:pt>
                <c:pt idx="3">
                  <c:v>3.2429426055671651</c:v>
                </c:pt>
                <c:pt idx="4">
                  <c:v>3.3961240297332811</c:v>
                </c:pt>
                <c:pt idx="5">
                  <c:v>3.7078281816638472</c:v>
                </c:pt>
                <c:pt idx="6">
                  <c:v>9.2303251179879323E-2</c:v>
                </c:pt>
                <c:pt idx="7">
                  <c:v>5.32931634440671E-2</c:v>
                </c:pt>
                <c:pt idx="8">
                  <c:v>8.9709577417185624</c:v>
                </c:pt>
                <c:pt idx="9">
                  <c:v>12.502974401458108</c:v>
                </c:pt>
                <c:pt idx="10">
                  <c:v>22.584524192252388</c:v>
                </c:pt>
                <c:pt idx="11">
                  <c:v>19.649272158071209</c:v>
                </c:pt>
                <c:pt idx="12">
                  <c:v>24.859907225900809</c:v>
                </c:pt>
                <c:pt idx="13">
                  <c:v>24.498027955248197</c:v>
                </c:pt>
                <c:pt idx="14">
                  <c:v>21.128588265555248</c:v>
                </c:pt>
                <c:pt idx="15">
                  <c:v>25.127009497460616</c:v>
                </c:pt>
                <c:pt idx="17">
                  <c:v>5.9621284095010005E-3</c:v>
                </c:pt>
                <c:pt idx="18">
                  <c:v>6.0597484545958464E-3</c:v>
                </c:pt>
                <c:pt idx="19">
                  <c:v>6.0909689249553757E-3</c:v>
                </c:pt>
                <c:pt idx="20">
                  <c:v>5.8618668179889295E-3</c:v>
                </c:pt>
                <c:pt idx="21">
                  <c:v>3.6135938581819897E-2</c:v>
                </c:pt>
                <c:pt idx="22">
                  <c:v>0.10805432033261808</c:v>
                </c:pt>
                <c:pt idx="23">
                  <c:v>0.15178695775752385</c:v>
                </c:pt>
                <c:pt idx="25">
                  <c:v>3.0759536544658146</c:v>
                </c:pt>
                <c:pt idx="26">
                  <c:v>10.221851070117609</c:v>
                </c:pt>
                <c:pt idx="27">
                  <c:v>10.234019706860211</c:v>
                </c:pt>
                <c:pt idx="28">
                  <c:v>13.229231298091694</c:v>
                </c:pt>
                <c:pt idx="29">
                  <c:v>18.936424623836277</c:v>
                </c:pt>
                <c:pt idx="30">
                  <c:v>19.832956325800911</c:v>
                </c:pt>
                <c:pt idx="31">
                  <c:v>22.306812480250393</c:v>
                </c:pt>
              </c:numCache>
            </c:numRef>
          </c:val>
          <c:extLst xmlns:c16r2="http://schemas.microsoft.com/office/drawing/2015/06/chart">
            <c:ext xmlns:c16="http://schemas.microsoft.com/office/drawing/2014/chart" uri="{C3380CC4-5D6E-409C-BE32-E72D297353CC}">
              <c16:uniqueId val="{00000002-FAE4-4DA2-8345-AC8F658F45CC}"/>
            </c:ext>
          </c:extLst>
        </c:ser>
        <c:ser>
          <c:idx val="3"/>
          <c:order val="3"/>
          <c:tx>
            <c:v>Other taxes, fees, levies and charges (excl. VAT)</c:v>
          </c:tx>
          <c:invertIfNegative val="0"/>
          <c:cat>
            <c:multiLvlStrRef>
              <c:f>'ELEC COMP'!$G$5:$AL$6</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France</c:v>
                  </c:pt>
                  <c:pt idx="8">
                    <c:v>Germany</c:v>
                  </c:pt>
                  <c:pt idx="16">
                    <c:v>Netherlands</c:v>
                  </c:pt>
                  <c:pt idx="24">
                    <c:v>UK</c:v>
                  </c:pt>
                </c:lvl>
              </c:multiLvlStrCache>
            </c:multiLvlStrRef>
          </c:cat>
          <c:val>
            <c:numRef>
              <c:f>'ELEC COMP'!$G$10:$AL$10</c:f>
              <c:numCache>
                <c:formatCode>0.0</c:formatCode>
                <c:ptCount val="32"/>
                <c:pt idx="0">
                  <c:v>0.23018018018018019</c:v>
                </c:pt>
                <c:pt idx="1">
                  <c:v>0.26029111574344443</c:v>
                </c:pt>
                <c:pt idx="2">
                  <c:v>0.66271634452023864</c:v>
                </c:pt>
                <c:pt idx="3">
                  <c:v>0.63998033782604424</c:v>
                </c:pt>
                <c:pt idx="4">
                  <c:v>0.70097797240842519</c:v>
                </c:pt>
                <c:pt idx="5">
                  <c:v>0.48452137227222214</c:v>
                </c:pt>
                <c:pt idx="6">
                  <c:v>1.4889444187132495</c:v>
                </c:pt>
                <c:pt idx="7">
                  <c:v>1.0001817860387938</c:v>
                </c:pt>
                <c:pt idx="8">
                  <c:v>9.7619095459903544</c:v>
                </c:pt>
                <c:pt idx="9">
                  <c:v>12.056051286348449</c:v>
                </c:pt>
                <c:pt idx="10">
                  <c:v>16.499140127940016</c:v>
                </c:pt>
                <c:pt idx="11">
                  <c:v>15.151641086217602</c:v>
                </c:pt>
                <c:pt idx="12">
                  <c:v>11.855516830198678</c:v>
                </c:pt>
                <c:pt idx="13">
                  <c:v>10.501300152799807</c:v>
                </c:pt>
                <c:pt idx="14">
                  <c:v>9.9147180323278423</c:v>
                </c:pt>
                <c:pt idx="15">
                  <c:v>10.88362998253718</c:v>
                </c:pt>
                <c:pt idx="17">
                  <c:v>2.9247028416545553</c:v>
                </c:pt>
                <c:pt idx="18">
                  <c:v>3.1075423993176261</c:v>
                </c:pt>
                <c:pt idx="19">
                  <c:v>4.5603706647542372</c:v>
                </c:pt>
                <c:pt idx="20">
                  <c:v>4.558819854239073</c:v>
                </c:pt>
                <c:pt idx="21">
                  <c:v>4.4588359305678669</c:v>
                </c:pt>
                <c:pt idx="22">
                  <c:v>5.001661135358666</c:v>
                </c:pt>
                <c:pt idx="23">
                  <c:v>5.3185467209293353</c:v>
                </c:pt>
                <c:pt idx="25">
                  <c:v>0.43454255719535162</c:v>
                </c:pt>
                <c:pt idx="26">
                  <c:v>1.2371305324905979</c:v>
                </c:pt>
                <c:pt idx="27">
                  <c:v>0.80383841530873945</c:v>
                </c:pt>
                <c:pt idx="28">
                  <c:v>1.9437856145815484</c:v>
                </c:pt>
                <c:pt idx="29">
                  <c:v>3.9327618227421253</c:v>
                </c:pt>
                <c:pt idx="30">
                  <c:v>5.1083287847812855</c:v>
                </c:pt>
                <c:pt idx="31">
                  <c:v>3.6537300564770043</c:v>
                </c:pt>
              </c:numCache>
            </c:numRef>
          </c:val>
          <c:extLst xmlns:c16r2="http://schemas.microsoft.com/office/drawing/2015/06/chart">
            <c:ext xmlns:c16="http://schemas.microsoft.com/office/drawing/2014/chart" uri="{C3380CC4-5D6E-409C-BE32-E72D297353CC}">
              <c16:uniqueId val="{00000003-FAE4-4DA2-8345-AC8F658F45CC}"/>
            </c:ext>
          </c:extLst>
        </c:ser>
        <c:ser>
          <c:idx val="4"/>
          <c:order val="4"/>
          <c:tx>
            <c:strRef>
              <c:f>'ELEC COMP'!$F$11</c:f>
              <c:strCache>
                <c:ptCount val="1"/>
                <c:pt idx="0">
                  <c:v>Number of observations</c:v>
                </c:pt>
              </c:strCache>
            </c:strRef>
          </c:tx>
          <c:spPr>
            <a:noFill/>
            <a:ln>
              <a:noFill/>
            </a:ln>
          </c:spPr>
          <c:invertIfNegative val="0"/>
          <c:val>
            <c:numRef>
              <c:f>'ELEC COMP'!$G$11:$AL$11</c:f>
              <c:numCache>
                <c:formatCode>General</c:formatCode>
                <c:ptCount val="32"/>
                <c:pt idx="0">
                  <c:v>3</c:v>
                </c:pt>
                <c:pt idx="1">
                  <c:v>8</c:v>
                </c:pt>
                <c:pt idx="2">
                  <c:v>10</c:v>
                </c:pt>
                <c:pt idx="3">
                  <c:v>11</c:v>
                </c:pt>
                <c:pt idx="4">
                  <c:v>11</c:v>
                </c:pt>
                <c:pt idx="5">
                  <c:v>12</c:v>
                </c:pt>
                <c:pt idx="6">
                  <c:v>23</c:v>
                </c:pt>
                <c:pt idx="7">
                  <c:v>24</c:v>
                </c:pt>
                <c:pt idx="8">
                  <c:v>9</c:v>
                </c:pt>
                <c:pt idx="9">
                  <c:v>10</c:v>
                </c:pt>
                <c:pt idx="10">
                  <c:v>10</c:v>
                </c:pt>
                <c:pt idx="11">
                  <c:v>11</c:v>
                </c:pt>
                <c:pt idx="12">
                  <c:v>11</c:v>
                </c:pt>
                <c:pt idx="13">
                  <c:v>11</c:v>
                </c:pt>
                <c:pt idx="14">
                  <c:v>10</c:v>
                </c:pt>
                <c:pt idx="15">
                  <c:v>9</c:v>
                </c:pt>
                <c:pt idx="17">
                  <c:v>6</c:v>
                </c:pt>
                <c:pt idx="18">
                  <c:v>6</c:v>
                </c:pt>
                <c:pt idx="19">
                  <c:v>6</c:v>
                </c:pt>
                <c:pt idx="20">
                  <c:v>6</c:v>
                </c:pt>
                <c:pt idx="21">
                  <c:v>6</c:v>
                </c:pt>
                <c:pt idx="22">
                  <c:v>6</c:v>
                </c:pt>
                <c:pt idx="23">
                  <c:v>6</c:v>
                </c:pt>
                <c:pt idx="25">
                  <c:v>5</c:v>
                </c:pt>
                <c:pt idx="26">
                  <c:v>5</c:v>
                </c:pt>
                <c:pt idx="27">
                  <c:v>7</c:v>
                </c:pt>
                <c:pt idx="28">
                  <c:v>8</c:v>
                </c:pt>
                <c:pt idx="29">
                  <c:v>8</c:v>
                </c:pt>
                <c:pt idx="30">
                  <c:v>8</c:v>
                </c:pt>
                <c:pt idx="31">
                  <c:v>10</c:v>
                </c:pt>
              </c:numCache>
            </c:numRef>
          </c:val>
          <c:extLst xmlns:c16r2="http://schemas.microsoft.com/office/drawing/2015/06/chart">
            <c:ext xmlns:c16="http://schemas.microsoft.com/office/drawing/2014/chart" uri="{C3380CC4-5D6E-409C-BE32-E72D297353CC}">
              <c16:uniqueId val="{00000004-FAE4-4DA2-8345-AC8F658F45CC}"/>
            </c:ext>
          </c:extLst>
        </c:ser>
        <c:dLbls>
          <c:showLegendKey val="0"/>
          <c:showVal val="0"/>
          <c:showCatName val="0"/>
          <c:showSerName val="0"/>
          <c:showPercent val="0"/>
          <c:showBubbleSize val="0"/>
        </c:dLbls>
        <c:gapWidth val="150"/>
        <c:overlap val="100"/>
        <c:axId val="95252480"/>
        <c:axId val="95254016"/>
      </c:barChart>
      <c:catAx>
        <c:axId val="95252480"/>
        <c:scaling>
          <c:orientation val="minMax"/>
        </c:scaling>
        <c:delete val="0"/>
        <c:axPos val="b"/>
        <c:numFmt formatCode="General" sourceLinked="0"/>
        <c:majorTickMark val="out"/>
        <c:minorTickMark val="none"/>
        <c:tickLblPos val="nextTo"/>
        <c:crossAx val="95254016"/>
        <c:crosses val="autoZero"/>
        <c:auto val="1"/>
        <c:lblAlgn val="ctr"/>
        <c:lblOffset val="100"/>
        <c:noMultiLvlLbl val="0"/>
      </c:catAx>
      <c:valAx>
        <c:axId val="95254016"/>
        <c:scaling>
          <c:orientation val="minMax"/>
        </c:scaling>
        <c:delete val="0"/>
        <c:axPos val="l"/>
        <c:majorGridlines/>
        <c:title>
          <c:tx>
            <c:rich>
              <a:bodyPr/>
              <a:lstStyle/>
              <a:p>
                <a:pPr>
                  <a:defRPr sz="1199" b="1" i="0" u="none" strike="noStrike" baseline="0">
                    <a:solidFill>
                      <a:srgbClr val="000000"/>
                    </a:solidFill>
                    <a:latin typeface="Calibri"/>
                    <a:ea typeface="Calibri"/>
                    <a:cs typeface="Calibri"/>
                  </a:defRPr>
                </a:pPr>
                <a:r>
                  <a:rPr lang="en-GB" sz="1199"/>
                  <a:t>Electricity price (€/MWh)</a:t>
                </a:r>
              </a:p>
            </c:rich>
          </c:tx>
          <c:layout>
            <c:manualLayout>
              <c:xMode val="edge"/>
              <c:yMode val="edge"/>
              <c:x val="0.12793275044441102"/>
              <c:y val="0.24236931538936118"/>
            </c:manualLayout>
          </c:layout>
          <c:overlay val="0"/>
        </c:title>
        <c:numFmt formatCode="0" sourceLinked="0"/>
        <c:majorTickMark val="out"/>
        <c:minorTickMark val="none"/>
        <c:tickLblPos val="nextTo"/>
        <c:txPr>
          <a:bodyPr/>
          <a:lstStyle/>
          <a:p>
            <a:pPr>
              <a:defRPr sz="999"/>
            </a:pPr>
            <a:endParaRPr lang="en-US"/>
          </a:p>
        </c:txPr>
        <c:crossAx val="95252480"/>
        <c:crosses val="autoZero"/>
        <c:crossBetween val="between"/>
      </c:valAx>
      <c:dTable>
        <c:showHorzBorder val="1"/>
        <c:showVertBorder val="1"/>
        <c:showOutline val="1"/>
        <c:showKeys val="1"/>
        <c:txPr>
          <a:bodyPr/>
          <a:lstStyle/>
          <a:p>
            <a:pPr rtl="0">
              <a:defRPr sz="599"/>
            </a:pPr>
            <a:endParaRPr lang="en-US"/>
          </a:p>
        </c:txPr>
      </c:dTable>
    </c:plotArea>
    <c:legend>
      <c:legendPos val="r"/>
      <c:legendEntry>
        <c:idx val="0"/>
        <c:delete val="1"/>
      </c:legendEntry>
      <c:layout>
        <c:manualLayout>
          <c:xMode val="edge"/>
          <c:yMode val="edge"/>
          <c:x val="3.2318571643512716E-3"/>
          <c:y val="0.1190032520835294"/>
          <c:w val="0.12270625407492854"/>
          <c:h val="0.68262090744633019"/>
        </c:manualLayout>
      </c:layout>
      <c:overlay val="0"/>
      <c:txPr>
        <a:bodyPr/>
        <a:lstStyle/>
        <a:p>
          <a:pPr>
            <a:defRPr sz="1199"/>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876826490361"/>
          <c:y val="6.5160761154855695E-2"/>
          <c:w val="0.82410045938222798"/>
          <c:h val="0.78574233401618698"/>
        </c:manualLayout>
      </c:layout>
      <c:barChart>
        <c:barDir val="col"/>
        <c:grouping val="stacked"/>
        <c:varyColors val="0"/>
        <c:ser>
          <c:idx val="0"/>
          <c:order val="0"/>
          <c:tx>
            <c:v>Energy supply costs </c:v>
          </c:tx>
          <c:invertIfNegative val="0"/>
          <c:cat>
            <c:multiLvlStrRef>
              <c:f>'ELEC COMP'!$G$5:$AL$6</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Portugal</c:v>
                  </c:pt>
                  <c:pt idx="8">
                    <c:v>Italy</c:v>
                  </c:pt>
                  <c:pt idx="16">
                    <c:v>Spain</c:v>
                  </c:pt>
                  <c:pt idx="24">
                    <c:v>Greece</c:v>
                  </c:pt>
                </c:lvl>
              </c:multiLvlStrCache>
            </c:multiLvlStrRef>
          </c:cat>
          <c:val>
            <c:numRef>
              <c:f>'ELEC COMP'!$G$7:$AL$7</c:f>
              <c:numCache>
                <c:formatCode>General</c:formatCode>
                <c:ptCount val="32"/>
                <c:pt idx="2" formatCode="0.0">
                  <c:v>73.880455207201294</c:v>
                </c:pt>
                <c:pt idx="3" formatCode="0.0">
                  <c:v>62.611988812592379</c:v>
                </c:pt>
                <c:pt idx="4" formatCode="0.0">
                  <c:v>64.627118346518316</c:v>
                </c:pt>
                <c:pt idx="5" formatCode="0.0">
                  <c:v>63.004722161197684</c:v>
                </c:pt>
                <c:pt idx="6" formatCode="0.0">
                  <c:v>49.669498719098506</c:v>
                </c:pt>
                <c:pt idx="7" formatCode="0.0">
                  <c:v>53.226310188226897</c:v>
                </c:pt>
                <c:pt idx="8" formatCode="0.0">
                  <c:v>68.600207003522002</c:v>
                </c:pt>
                <c:pt idx="9" formatCode="0.0">
                  <c:v>67.452579730498712</c:v>
                </c:pt>
                <c:pt idx="10" formatCode="0.0">
                  <c:v>71.592811467867236</c:v>
                </c:pt>
                <c:pt idx="11" formatCode="0.0">
                  <c:v>64.33400620250022</c:v>
                </c:pt>
                <c:pt idx="12" formatCode="0.0">
                  <c:v>61.247620044451864</c:v>
                </c:pt>
                <c:pt idx="13" formatCode="0.0">
                  <c:v>56.734977177220784</c:v>
                </c:pt>
                <c:pt idx="14" formatCode="0.0">
                  <c:v>49.585445751347066</c:v>
                </c:pt>
                <c:pt idx="15" formatCode="0.0">
                  <c:v>50.898391129007692</c:v>
                </c:pt>
                <c:pt idx="16" formatCode="0.0">
                  <c:v>65.496617879555103</c:v>
                </c:pt>
                <c:pt idx="17" formatCode="0.0">
                  <c:v>64.241555817289466</c:v>
                </c:pt>
                <c:pt idx="18" formatCode="0.0">
                  <c:v>72.45346064114878</c:v>
                </c:pt>
                <c:pt idx="19" formatCode="0.0">
                  <c:v>60.823023403006488</c:v>
                </c:pt>
                <c:pt idx="20" formatCode="0.0">
                  <c:v>61.618517315870371</c:v>
                </c:pt>
                <c:pt idx="21" formatCode="0.0">
                  <c:v>69.27552633845275</c:v>
                </c:pt>
                <c:pt idx="22" formatCode="0.0">
                  <c:v>57.769294953651901</c:v>
                </c:pt>
                <c:pt idx="23" formatCode="0.0">
                  <c:v>61.140812006648027</c:v>
                </c:pt>
                <c:pt idx="26" formatCode="0.0">
                  <c:v>59.024688815187062</c:v>
                </c:pt>
                <c:pt idx="27" formatCode="0.0">
                  <c:v>61.325921004659541</c:v>
                </c:pt>
                <c:pt idx="28" formatCode="0.0">
                  <c:v>56.461759426905388</c:v>
                </c:pt>
                <c:pt idx="29" formatCode="0.0">
                  <c:v>55.769024177153881</c:v>
                </c:pt>
                <c:pt idx="30" formatCode="0.0">
                  <c:v>51.210151490894361</c:v>
                </c:pt>
                <c:pt idx="31" formatCode="0.0">
                  <c:v>47.902610007638145</c:v>
                </c:pt>
              </c:numCache>
            </c:numRef>
          </c:val>
          <c:extLst xmlns:c16r2="http://schemas.microsoft.com/office/drawing/2015/06/chart">
            <c:ext xmlns:c16="http://schemas.microsoft.com/office/drawing/2014/chart" uri="{C3380CC4-5D6E-409C-BE32-E72D297353CC}">
              <c16:uniqueId val="{00000000-DAD2-469D-BB7F-314056E73F5D}"/>
            </c:ext>
          </c:extLst>
        </c:ser>
        <c:ser>
          <c:idx val="1"/>
          <c:order val="1"/>
          <c:tx>
            <c:v>Network costs </c:v>
          </c:tx>
          <c:invertIfNegative val="0"/>
          <c:cat>
            <c:multiLvlStrRef>
              <c:f>'ELEC COMP'!$G$5:$AL$6</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Portugal</c:v>
                  </c:pt>
                  <c:pt idx="8">
                    <c:v>Italy</c:v>
                  </c:pt>
                  <c:pt idx="16">
                    <c:v>Spain</c:v>
                  </c:pt>
                  <c:pt idx="24">
                    <c:v>Greece</c:v>
                  </c:pt>
                </c:lvl>
              </c:multiLvlStrCache>
            </c:multiLvlStrRef>
          </c:cat>
          <c:val>
            <c:numRef>
              <c:f>'ELEC COMP'!$G$8:$AL$8</c:f>
              <c:numCache>
                <c:formatCode>General</c:formatCode>
                <c:ptCount val="32"/>
                <c:pt idx="2" formatCode="0.0">
                  <c:v>20.012212472042936</c:v>
                </c:pt>
                <c:pt idx="3" formatCode="0.0">
                  <c:v>28.352239988420475</c:v>
                </c:pt>
                <c:pt idx="4" formatCode="0.0">
                  <c:v>32.516677939294574</c:v>
                </c:pt>
                <c:pt idx="5" formatCode="0.0">
                  <c:v>31.124257885572153</c:v>
                </c:pt>
                <c:pt idx="6" formatCode="0.0">
                  <c:v>41.062943170309374</c:v>
                </c:pt>
                <c:pt idx="7" formatCode="0.0">
                  <c:v>42.640915350470422</c:v>
                </c:pt>
                <c:pt idx="8" formatCode="0.0">
                  <c:v>19.054080887522911</c:v>
                </c:pt>
                <c:pt idx="9" formatCode="0.0">
                  <c:v>16.709412633332978</c:v>
                </c:pt>
                <c:pt idx="10" formatCode="0.0">
                  <c:v>23.224376575837969</c:v>
                </c:pt>
                <c:pt idx="11" formatCode="0.0">
                  <c:v>27.799310493171131</c:v>
                </c:pt>
                <c:pt idx="12" formatCode="0.0">
                  <c:v>28.149996062863647</c:v>
                </c:pt>
                <c:pt idx="13" formatCode="0.0">
                  <c:v>28.48459155597013</c:v>
                </c:pt>
                <c:pt idx="14" formatCode="0.0">
                  <c:v>44.922000511317847</c:v>
                </c:pt>
                <c:pt idx="15" formatCode="0.0">
                  <c:v>39.497320985209996</c:v>
                </c:pt>
                <c:pt idx="16" formatCode="0.0">
                  <c:v>12.376537725549747</c:v>
                </c:pt>
                <c:pt idx="17" formatCode="0.0">
                  <c:v>11.387285405337392</c:v>
                </c:pt>
                <c:pt idx="18" formatCode="0.0">
                  <c:v>10.417143415694126</c:v>
                </c:pt>
                <c:pt idx="19" formatCode="0.0">
                  <c:v>18.061594532032963</c:v>
                </c:pt>
                <c:pt idx="20" formatCode="0.0">
                  <c:v>17.128951435229745</c:v>
                </c:pt>
                <c:pt idx="21" formatCode="0.0">
                  <c:v>20.030747127406407</c:v>
                </c:pt>
                <c:pt idx="22" formatCode="0.0">
                  <c:v>24.743103563768667</c:v>
                </c:pt>
                <c:pt idx="23" formatCode="0.0">
                  <c:v>25.208585791005586</c:v>
                </c:pt>
                <c:pt idx="26" formatCode="0.0">
                  <c:v>18.451655620140755</c:v>
                </c:pt>
                <c:pt idx="27" formatCode="0.0">
                  <c:v>18.211497459983541</c:v>
                </c:pt>
                <c:pt idx="28" formatCode="0.0">
                  <c:v>13.368501210594474</c:v>
                </c:pt>
                <c:pt idx="29" formatCode="0.0">
                  <c:v>12.086715624386441</c:v>
                </c:pt>
                <c:pt idx="30" formatCode="0.0">
                  <c:v>10.4204269380451</c:v>
                </c:pt>
                <c:pt idx="31" formatCode="0.0">
                  <c:v>9.2761720308638882</c:v>
                </c:pt>
              </c:numCache>
            </c:numRef>
          </c:val>
          <c:extLst xmlns:c16r2="http://schemas.microsoft.com/office/drawing/2015/06/chart">
            <c:ext xmlns:c16="http://schemas.microsoft.com/office/drawing/2014/chart" uri="{C3380CC4-5D6E-409C-BE32-E72D297353CC}">
              <c16:uniqueId val="{00000001-DAD2-469D-BB7F-314056E73F5D}"/>
            </c:ext>
          </c:extLst>
        </c:ser>
        <c:ser>
          <c:idx val="2"/>
          <c:order val="2"/>
          <c:tx>
            <c:v>Renewable support</c:v>
          </c:tx>
          <c:spPr>
            <a:solidFill>
              <a:srgbClr val="377A6C"/>
            </a:solidFill>
          </c:spPr>
          <c:invertIfNegative val="0"/>
          <c:cat>
            <c:multiLvlStrRef>
              <c:f>'ELEC COMP'!$G$5:$AL$6</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Portugal</c:v>
                  </c:pt>
                  <c:pt idx="8">
                    <c:v>Italy</c:v>
                  </c:pt>
                  <c:pt idx="16">
                    <c:v>Spain</c:v>
                  </c:pt>
                  <c:pt idx="24">
                    <c:v>Greece</c:v>
                  </c:pt>
                </c:lvl>
              </c:multiLvlStrCache>
            </c:multiLvlStrRef>
          </c:cat>
          <c:val>
            <c:numRef>
              <c:f>'ELEC COMP'!$G$9:$AL$9</c:f>
              <c:numCache>
                <c:formatCode>General</c:formatCode>
                <c:ptCount val="32"/>
                <c:pt idx="2" formatCode="0.0">
                  <c:v>0</c:v>
                </c:pt>
                <c:pt idx="3" formatCode="0.0">
                  <c:v>0</c:v>
                </c:pt>
                <c:pt idx="4" formatCode="0.0">
                  <c:v>0</c:v>
                </c:pt>
                <c:pt idx="5" formatCode="0.0">
                  <c:v>0</c:v>
                </c:pt>
                <c:pt idx="6" formatCode="0.0">
                  <c:v>0</c:v>
                </c:pt>
                <c:pt idx="7" formatCode="0.0">
                  <c:v>0</c:v>
                </c:pt>
                <c:pt idx="8" formatCode="0.0">
                  <c:v>14.205325117527789</c:v>
                </c:pt>
                <c:pt idx="9" formatCode="0.0">
                  <c:v>12.953763503823385</c:v>
                </c:pt>
                <c:pt idx="10" formatCode="0.0">
                  <c:v>26.371627296899597</c:v>
                </c:pt>
                <c:pt idx="11" formatCode="0.0">
                  <c:v>29.197664691130864</c:v>
                </c:pt>
                <c:pt idx="12" formatCode="0.0">
                  <c:v>31.149454844902305</c:v>
                </c:pt>
                <c:pt idx="13" formatCode="0.0">
                  <c:v>33.025479315824505</c:v>
                </c:pt>
                <c:pt idx="14" formatCode="0.0">
                  <c:v>23.294970975155039</c:v>
                </c:pt>
                <c:pt idx="15" formatCode="0.0">
                  <c:v>20.883116007019833</c:v>
                </c:pt>
                <c:pt idx="16" formatCode="0.0">
                  <c:v>0.16220682379537585</c:v>
                </c:pt>
                <c:pt idx="17" formatCode="0.0">
                  <c:v>0.5898118325734929</c:v>
                </c:pt>
                <c:pt idx="18" formatCode="0.0">
                  <c:v>0.63283305333168061</c:v>
                </c:pt>
                <c:pt idx="19" formatCode="0.0">
                  <c:v>1.2826955945878735</c:v>
                </c:pt>
                <c:pt idx="20" formatCode="0.0">
                  <c:v>1.02662778344267</c:v>
                </c:pt>
                <c:pt idx="21" formatCode="0.0">
                  <c:v>1.0801994257929968</c:v>
                </c:pt>
                <c:pt idx="22" formatCode="0.0">
                  <c:v>0.29653803267356715</c:v>
                </c:pt>
                <c:pt idx="23" formatCode="0.0">
                  <c:v>0.30453944410799233</c:v>
                </c:pt>
                <c:pt idx="26" formatCode="0.0">
                  <c:v>3.9608827128533641</c:v>
                </c:pt>
                <c:pt idx="27" formatCode="0.0">
                  <c:v>5.7270515226243219</c:v>
                </c:pt>
                <c:pt idx="28" formatCode="0.0">
                  <c:v>6.1580118946560907</c:v>
                </c:pt>
                <c:pt idx="29" formatCode="0.0">
                  <c:v>6.547541554190996</c:v>
                </c:pt>
                <c:pt idx="30" formatCode="0.0">
                  <c:v>5.2846335553743478</c:v>
                </c:pt>
                <c:pt idx="31" formatCode="0.0">
                  <c:v>5.1557495615812465</c:v>
                </c:pt>
              </c:numCache>
            </c:numRef>
          </c:val>
          <c:extLst xmlns:c16r2="http://schemas.microsoft.com/office/drawing/2015/06/chart">
            <c:ext xmlns:c16="http://schemas.microsoft.com/office/drawing/2014/chart" uri="{C3380CC4-5D6E-409C-BE32-E72D297353CC}">
              <c16:uniqueId val="{00000002-DAD2-469D-BB7F-314056E73F5D}"/>
            </c:ext>
          </c:extLst>
        </c:ser>
        <c:ser>
          <c:idx val="3"/>
          <c:order val="3"/>
          <c:tx>
            <c:v>Other taxes, fees, levies and charges (excl. VAT)</c:v>
          </c:tx>
          <c:invertIfNegative val="0"/>
          <c:cat>
            <c:multiLvlStrRef>
              <c:f>'ELEC COMP'!$G$5:$AL$6</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Portugal</c:v>
                  </c:pt>
                  <c:pt idx="8">
                    <c:v>Italy</c:v>
                  </c:pt>
                  <c:pt idx="16">
                    <c:v>Spain</c:v>
                  </c:pt>
                  <c:pt idx="24">
                    <c:v>Greece</c:v>
                  </c:pt>
                </c:lvl>
              </c:multiLvlStrCache>
            </c:multiLvlStrRef>
          </c:cat>
          <c:val>
            <c:numRef>
              <c:f>'ELEC COMP'!$G$10:$AL$10</c:f>
              <c:numCache>
                <c:formatCode>General</c:formatCode>
                <c:ptCount val="32"/>
                <c:pt idx="2" formatCode="0.0">
                  <c:v>0.66669492721348089</c:v>
                </c:pt>
                <c:pt idx="3" formatCode="0.0">
                  <c:v>0.42371340926063777</c:v>
                </c:pt>
                <c:pt idx="4" formatCode="0.0">
                  <c:v>0</c:v>
                </c:pt>
                <c:pt idx="5" formatCode="0.0">
                  <c:v>0</c:v>
                </c:pt>
                <c:pt idx="6" formatCode="0.0">
                  <c:v>4.7143189537209532E-3</c:v>
                </c:pt>
                <c:pt idx="7" formatCode="0.0">
                  <c:v>4.6323671539439054E-3</c:v>
                </c:pt>
                <c:pt idx="8" formatCode="0.0">
                  <c:v>9.447804597399891</c:v>
                </c:pt>
                <c:pt idx="9" formatCode="0.0">
                  <c:v>10.82438040217539</c:v>
                </c:pt>
                <c:pt idx="10" formatCode="0.0">
                  <c:v>14.285910648679762</c:v>
                </c:pt>
                <c:pt idx="11" formatCode="0.0">
                  <c:v>16.01749918538308</c:v>
                </c:pt>
                <c:pt idx="12" formatCode="0.0">
                  <c:v>16.861422366742612</c:v>
                </c:pt>
                <c:pt idx="13" formatCode="0.0">
                  <c:v>17.026930597793488</c:v>
                </c:pt>
                <c:pt idx="14" formatCode="0.0">
                  <c:v>13.768802367995898</c:v>
                </c:pt>
                <c:pt idx="15" formatCode="0.0">
                  <c:v>12.494844716343087</c:v>
                </c:pt>
                <c:pt idx="16" formatCode="0.0">
                  <c:v>3.847401098609625</c:v>
                </c:pt>
                <c:pt idx="17" formatCode="0.0">
                  <c:v>4.7998265243987754</c:v>
                </c:pt>
                <c:pt idx="18" formatCode="0.0">
                  <c:v>5.4027821631400714</c:v>
                </c:pt>
                <c:pt idx="19" formatCode="0.0">
                  <c:v>4.6662246605924338</c:v>
                </c:pt>
                <c:pt idx="20" formatCode="0.0">
                  <c:v>4.3617282303216731</c:v>
                </c:pt>
                <c:pt idx="21" formatCode="0.0">
                  <c:v>4.034974431705157</c:v>
                </c:pt>
                <c:pt idx="22" formatCode="0.0">
                  <c:v>1.2205768562362931</c:v>
                </c:pt>
                <c:pt idx="23" formatCode="0.0">
                  <c:v>1.4145841010014877</c:v>
                </c:pt>
                <c:pt idx="26" formatCode="0.0">
                  <c:v>13.307030465151561</c:v>
                </c:pt>
                <c:pt idx="27" formatCode="0.0">
                  <c:v>13.242083501208015</c:v>
                </c:pt>
                <c:pt idx="28" formatCode="0.0">
                  <c:v>11.538719595688521</c:v>
                </c:pt>
                <c:pt idx="29" formatCode="0.0">
                  <c:v>9.1843983564772369</c:v>
                </c:pt>
                <c:pt idx="30" formatCode="0.0">
                  <c:v>7.8822510338560434</c:v>
                </c:pt>
                <c:pt idx="31" formatCode="0.0">
                  <c:v>8.9142998802769089</c:v>
                </c:pt>
              </c:numCache>
            </c:numRef>
          </c:val>
          <c:extLst xmlns:c16r2="http://schemas.microsoft.com/office/drawing/2015/06/chart">
            <c:ext xmlns:c16="http://schemas.microsoft.com/office/drawing/2014/chart" uri="{C3380CC4-5D6E-409C-BE32-E72D297353CC}">
              <c16:uniqueId val="{00000003-DAD2-469D-BB7F-314056E73F5D}"/>
            </c:ext>
          </c:extLst>
        </c:ser>
        <c:ser>
          <c:idx val="4"/>
          <c:order val="4"/>
          <c:tx>
            <c:strRef>
              <c:f>'ELEC COMP'!$F$11</c:f>
              <c:strCache>
                <c:ptCount val="1"/>
                <c:pt idx="0">
                  <c:v>Number of observations</c:v>
                </c:pt>
              </c:strCache>
            </c:strRef>
          </c:tx>
          <c:spPr>
            <a:noFill/>
            <a:ln>
              <a:noFill/>
            </a:ln>
          </c:spPr>
          <c:invertIfNegative val="0"/>
          <c:val>
            <c:numRef>
              <c:f>'ELEC COMP'!$G$11:$AL$11</c:f>
              <c:numCache>
                <c:formatCode>General</c:formatCode>
                <c:ptCount val="32"/>
                <c:pt idx="2">
                  <c:v>3</c:v>
                </c:pt>
                <c:pt idx="3">
                  <c:v>3</c:v>
                </c:pt>
                <c:pt idx="4">
                  <c:v>3</c:v>
                </c:pt>
                <c:pt idx="5">
                  <c:v>3</c:v>
                </c:pt>
                <c:pt idx="6">
                  <c:v>3</c:v>
                </c:pt>
                <c:pt idx="7">
                  <c:v>3</c:v>
                </c:pt>
                <c:pt idx="8">
                  <c:v>10</c:v>
                </c:pt>
                <c:pt idx="9">
                  <c:v>14</c:v>
                </c:pt>
                <c:pt idx="10">
                  <c:v>14</c:v>
                </c:pt>
                <c:pt idx="11">
                  <c:v>14</c:v>
                </c:pt>
                <c:pt idx="12">
                  <c:v>14</c:v>
                </c:pt>
                <c:pt idx="13">
                  <c:v>14</c:v>
                </c:pt>
                <c:pt idx="14">
                  <c:v>18</c:v>
                </c:pt>
                <c:pt idx="15">
                  <c:v>18</c:v>
                </c:pt>
                <c:pt idx="16">
                  <c:v>6</c:v>
                </c:pt>
                <c:pt idx="17">
                  <c:v>8</c:v>
                </c:pt>
                <c:pt idx="18">
                  <c:v>10</c:v>
                </c:pt>
                <c:pt idx="19">
                  <c:v>11</c:v>
                </c:pt>
                <c:pt idx="20">
                  <c:v>10</c:v>
                </c:pt>
                <c:pt idx="21">
                  <c:v>10</c:v>
                </c:pt>
                <c:pt idx="22">
                  <c:v>16</c:v>
                </c:pt>
                <c:pt idx="23">
                  <c:v>16</c:v>
                </c:pt>
                <c:pt idx="26">
                  <c:v>6</c:v>
                </c:pt>
                <c:pt idx="27">
                  <c:v>6</c:v>
                </c:pt>
                <c:pt idx="28">
                  <c:v>6</c:v>
                </c:pt>
                <c:pt idx="29">
                  <c:v>6</c:v>
                </c:pt>
                <c:pt idx="30">
                  <c:v>6</c:v>
                </c:pt>
                <c:pt idx="31">
                  <c:v>6</c:v>
                </c:pt>
              </c:numCache>
            </c:numRef>
          </c:val>
          <c:extLst xmlns:c16r2="http://schemas.microsoft.com/office/drawing/2015/06/chart">
            <c:ext xmlns:c16="http://schemas.microsoft.com/office/drawing/2014/chart" uri="{C3380CC4-5D6E-409C-BE32-E72D297353CC}">
              <c16:uniqueId val="{00000004-DAD2-469D-BB7F-314056E73F5D}"/>
            </c:ext>
          </c:extLst>
        </c:ser>
        <c:dLbls>
          <c:showLegendKey val="0"/>
          <c:showVal val="0"/>
          <c:showCatName val="0"/>
          <c:showSerName val="0"/>
          <c:showPercent val="0"/>
          <c:showBubbleSize val="0"/>
        </c:dLbls>
        <c:gapWidth val="150"/>
        <c:overlap val="100"/>
        <c:axId val="96190464"/>
        <c:axId val="96192000"/>
      </c:barChart>
      <c:catAx>
        <c:axId val="96190464"/>
        <c:scaling>
          <c:orientation val="minMax"/>
        </c:scaling>
        <c:delete val="0"/>
        <c:axPos val="b"/>
        <c:numFmt formatCode="General" sourceLinked="0"/>
        <c:majorTickMark val="out"/>
        <c:minorTickMark val="none"/>
        <c:tickLblPos val="nextTo"/>
        <c:crossAx val="96192000"/>
        <c:crosses val="autoZero"/>
        <c:auto val="1"/>
        <c:lblAlgn val="ctr"/>
        <c:lblOffset val="100"/>
        <c:noMultiLvlLbl val="0"/>
      </c:catAx>
      <c:valAx>
        <c:axId val="96192000"/>
        <c:scaling>
          <c:orientation val="minMax"/>
        </c:scaling>
        <c:delete val="0"/>
        <c:axPos val="l"/>
        <c:majorGridlines/>
        <c:title>
          <c:tx>
            <c:rich>
              <a:bodyPr/>
              <a:lstStyle/>
              <a:p>
                <a:pPr>
                  <a:defRPr sz="699" b="1" i="0" u="none" strike="noStrike" baseline="0">
                    <a:solidFill>
                      <a:srgbClr val="000000"/>
                    </a:solidFill>
                    <a:latin typeface="Calibri"/>
                    <a:ea typeface="Calibri"/>
                    <a:cs typeface="Calibri"/>
                  </a:defRPr>
                </a:pPr>
                <a:r>
                  <a:rPr lang="en-GB" sz="1198" b="1" i="0" baseline="0">
                    <a:effectLst/>
                  </a:rPr>
                  <a:t>Electricity price (€/MWh)</a:t>
                </a:r>
                <a:endParaRPr lang="en-GB" sz="700">
                  <a:effectLst/>
                </a:endParaRPr>
              </a:p>
            </c:rich>
          </c:tx>
          <c:layout>
            <c:manualLayout>
              <c:xMode val="edge"/>
              <c:yMode val="edge"/>
              <c:x val="0.12938061086313254"/>
              <c:y val="0.22441765766933455"/>
            </c:manualLayout>
          </c:layout>
          <c:overlay val="0"/>
        </c:title>
        <c:numFmt formatCode="0" sourceLinked="0"/>
        <c:majorTickMark val="out"/>
        <c:minorTickMark val="none"/>
        <c:tickLblPos val="nextTo"/>
        <c:txPr>
          <a:bodyPr/>
          <a:lstStyle/>
          <a:p>
            <a:pPr>
              <a:defRPr sz="999"/>
            </a:pPr>
            <a:endParaRPr lang="en-US"/>
          </a:p>
        </c:txPr>
        <c:crossAx val="96190464"/>
        <c:crosses val="autoZero"/>
        <c:crossBetween val="between"/>
      </c:valAx>
      <c:dTable>
        <c:showHorzBorder val="1"/>
        <c:showVertBorder val="1"/>
        <c:showOutline val="1"/>
        <c:showKeys val="1"/>
        <c:txPr>
          <a:bodyPr/>
          <a:lstStyle/>
          <a:p>
            <a:pPr rtl="0">
              <a:defRPr sz="599"/>
            </a:pPr>
            <a:endParaRPr lang="en-US"/>
          </a:p>
        </c:txPr>
      </c:dTable>
      <c:spPr>
        <a:ln>
          <a:noFill/>
        </a:ln>
      </c:spPr>
    </c:plotArea>
    <c:legend>
      <c:legendPos val="r"/>
      <c:legendEntry>
        <c:idx val="0"/>
        <c:delete val="1"/>
      </c:legendEntry>
      <c:layout>
        <c:manualLayout>
          <c:xMode val="edge"/>
          <c:yMode val="edge"/>
          <c:x val="3.2318571643512716E-3"/>
          <c:y val="0.12444206819826535"/>
          <c:w val="0.11441953513772563"/>
          <c:h val="0.66856096691617262"/>
        </c:manualLayout>
      </c:layout>
      <c:overlay val="0"/>
      <c:txPr>
        <a:bodyPr/>
        <a:lstStyle/>
        <a:p>
          <a:pPr>
            <a:defRPr sz="1198"/>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876826490361"/>
          <c:y val="6.5160761154855695E-2"/>
          <c:w val="0.82410045938222798"/>
          <c:h val="0.78574233401618698"/>
        </c:manualLayout>
      </c:layout>
      <c:barChart>
        <c:barDir val="col"/>
        <c:grouping val="stacked"/>
        <c:varyColors val="0"/>
        <c:ser>
          <c:idx val="0"/>
          <c:order val="0"/>
          <c:tx>
            <c:v>Energy supply costs </c:v>
          </c:tx>
          <c:invertIfNegative val="0"/>
          <c:cat>
            <c:multiLvlStrRef>
              <c:f>'ELEC COMP'!$G$5:$V$6</c:f>
              <c:multiLvlStrCache>
                <c:ptCount val="16"/>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lvl>
                <c:lvl>
                  <c:pt idx="0">
                    <c:v>Poland </c:v>
                  </c:pt>
                  <c:pt idx="8">
                    <c:v>Bulgaria</c:v>
                  </c:pt>
                </c:lvl>
              </c:multiLvlStrCache>
            </c:multiLvlStrRef>
          </c:cat>
          <c:val>
            <c:numRef>
              <c:f>'ELEC COMP'!$G$7:$V$7</c:f>
              <c:numCache>
                <c:formatCode>General</c:formatCode>
                <c:ptCount val="16"/>
                <c:pt idx="2" formatCode="0.0">
                  <c:v>73.880455207201294</c:v>
                </c:pt>
                <c:pt idx="3" formatCode="0.0">
                  <c:v>62.611988812592379</c:v>
                </c:pt>
                <c:pt idx="4" formatCode="0.0">
                  <c:v>64.627118346518316</c:v>
                </c:pt>
                <c:pt idx="5" formatCode="0.0">
                  <c:v>63.004722161197684</c:v>
                </c:pt>
                <c:pt idx="6" formatCode="0.0">
                  <c:v>49.669498719098506</c:v>
                </c:pt>
                <c:pt idx="7" formatCode="0.0">
                  <c:v>53.226310188226897</c:v>
                </c:pt>
                <c:pt idx="8" formatCode="0.0">
                  <c:v>68.600207003522002</c:v>
                </c:pt>
                <c:pt idx="9" formatCode="0.0">
                  <c:v>67.452579730498712</c:v>
                </c:pt>
                <c:pt idx="10" formatCode="0.0">
                  <c:v>71.592811467867236</c:v>
                </c:pt>
                <c:pt idx="11" formatCode="0.0">
                  <c:v>64.33400620250022</c:v>
                </c:pt>
                <c:pt idx="12" formatCode="0.0">
                  <c:v>61.247620044451864</c:v>
                </c:pt>
                <c:pt idx="13" formatCode="0.0">
                  <c:v>56.734977177220784</c:v>
                </c:pt>
                <c:pt idx="14" formatCode="0.0">
                  <c:v>49.585445751347066</c:v>
                </c:pt>
                <c:pt idx="15" formatCode="0.0">
                  <c:v>50.898391129007692</c:v>
                </c:pt>
              </c:numCache>
            </c:numRef>
          </c:val>
          <c:extLst xmlns:c16r2="http://schemas.microsoft.com/office/drawing/2015/06/chart">
            <c:ext xmlns:c16="http://schemas.microsoft.com/office/drawing/2014/chart" uri="{C3380CC4-5D6E-409C-BE32-E72D297353CC}">
              <c16:uniqueId val="{00000000-80B9-4840-AA34-7D78E5A12DA8}"/>
            </c:ext>
          </c:extLst>
        </c:ser>
        <c:ser>
          <c:idx val="1"/>
          <c:order val="1"/>
          <c:tx>
            <c:v>Network costs </c:v>
          </c:tx>
          <c:invertIfNegative val="0"/>
          <c:cat>
            <c:multiLvlStrRef>
              <c:f>'ELEC COMP'!$G$5:$V$6</c:f>
              <c:multiLvlStrCache>
                <c:ptCount val="16"/>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lvl>
                <c:lvl>
                  <c:pt idx="0">
                    <c:v>Poland </c:v>
                  </c:pt>
                  <c:pt idx="8">
                    <c:v>Bulgaria</c:v>
                  </c:pt>
                </c:lvl>
              </c:multiLvlStrCache>
            </c:multiLvlStrRef>
          </c:cat>
          <c:val>
            <c:numRef>
              <c:f>'ELEC COMP'!$G$8:$V$8</c:f>
              <c:numCache>
                <c:formatCode>General</c:formatCode>
                <c:ptCount val="16"/>
                <c:pt idx="2" formatCode="0.0">
                  <c:v>20.012212472042936</c:v>
                </c:pt>
                <c:pt idx="3" formatCode="0.0">
                  <c:v>28.352239988420475</c:v>
                </c:pt>
                <c:pt idx="4" formatCode="0.0">
                  <c:v>32.516677939294574</c:v>
                </c:pt>
                <c:pt idx="5" formatCode="0.0">
                  <c:v>31.124257885572153</c:v>
                </c:pt>
                <c:pt idx="6" formatCode="0.0">
                  <c:v>41.062943170309374</c:v>
                </c:pt>
                <c:pt idx="7" formatCode="0.0">
                  <c:v>42.640915350470422</c:v>
                </c:pt>
                <c:pt idx="8" formatCode="0.0">
                  <c:v>19.054080887522911</c:v>
                </c:pt>
                <c:pt idx="9" formatCode="0.0">
                  <c:v>16.709412633332978</c:v>
                </c:pt>
                <c:pt idx="10" formatCode="0.0">
                  <c:v>23.224376575837969</c:v>
                </c:pt>
                <c:pt idx="11" formatCode="0.0">
                  <c:v>27.799310493171131</c:v>
                </c:pt>
                <c:pt idx="12" formatCode="0.0">
                  <c:v>28.149996062863647</c:v>
                </c:pt>
                <c:pt idx="13" formatCode="0.0">
                  <c:v>28.48459155597013</c:v>
                </c:pt>
                <c:pt idx="14" formatCode="0.0">
                  <c:v>44.922000511317847</c:v>
                </c:pt>
                <c:pt idx="15" formatCode="0.0">
                  <c:v>39.497320985209996</c:v>
                </c:pt>
              </c:numCache>
            </c:numRef>
          </c:val>
          <c:extLst xmlns:c16r2="http://schemas.microsoft.com/office/drawing/2015/06/chart">
            <c:ext xmlns:c16="http://schemas.microsoft.com/office/drawing/2014/chart" uri="{C3380CC4-5D6E-409C-BE32-E72D297353CC}">
              <c16:uniqueId val="{00000001-80B9-4840-AA34-7D78E5A12DA8}"/>
            </c:ext>
          </c:extLst>
        </c:ser>
        <c:ser>
          <c:idx val="2"/>
          <c:order val="2"/>
          <c:tx>
            <c:v>Renewable support</c:v>
          </c:tx>
          <c:spPr>
            <a:solidFill>
              <a:srgbClr val="377A6C"/>
            </a:solidFill>
          </c:spPr>
          <c:invertIfNegative val="0"/>
          <c:cat>
            <c:multiLvlStrRef>
              <c:f>'ELEC COMP'!$G$5:$V$6</c:f>
              <c:multiLvlStrCache>
                <c:ptCount val="16"/>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lvl>
                <c:lvl>
                  <c:pt idx="0">
                    <c:v>Poland </c:v>
                  </c:pt>
                  <c:pt idx="8">
                    <c:v>Bulgaria</c:v>
                  </c:pt>
                </c:lvl>
              </c:multiLvlStrCache>
            </c:multiLvlStrRef>
          </c:cat>
          <c:val>
            <c:numRef>
              <c:f>'ELEC COMP'!$G$9:$V$9</c:f>
              <c:numCache>
                <c:formatCode>General</c:formatCode>
                <c:ptCount val="16"/>
                <c:pt idx="2" formatCode="0.0">
                  <c:v>0</c:v>
                </c:pt>
                <c:pt idx="3" formatCode="0.0">
                  <c:v>0</c:v>
                </c:pt>
                <c:pt idx="4" formatCode="0.0">
                  <c:v>0</c:v>
                </c:pt>
                <c:pt idx="5" formatCode="0.0">
                  <c:v>0</c:v>
                </c:pt>
                <c:pt idx="6" formatCode="0.0">
                  <c:v>0</c:v>
                </c:pt>
                <c:pt idx="7" formatCode="0.0">
                  <c:v>0</c:v>
                </c:pt>
                <c:pt idx="8" formatCode="0.0">
                  <c:v>14.205325117527789</c:v>
                </c:pt>
                <c:pt idx="9" formatCode="0.0">
                  <c:v>12.953763503823385</c:v>
                </c:pt>
                <c:pt idx="10" formatCode="0.0">
                  <c:v>26.371627296899597</c:v>
                </c:pt>
                <c:pt idx="11" formatCode="0.0">
                  <c:v>29.197664691130864</c:v>
                </c:pt>
                <c:pt idx="12" formatCode="0.0">
                  <c:v>31.149454844902305</c:v>
                </c:pt>
                <c:pt idx="13" formatCode="0.0">
                  <c:v>33.025479315824505</c:v>
                </c:pt>
                <c:pt idx="14" formatCode="0.0">
                  <c:v>23.294970975155039</c:v>
                </c:pt>
                <c:pt idx="15" formatCode="0.0">
                  <c:v>20.883116007019833</c:v>
                </c:pt>
              </c:numCache>
            </c:numRef>
          </c:val>
          <c:extLst xmlns:c16r2="http://schemas.microsoft.com/office/drawing/2015/06/chart">
            <c:ext xmlns:c16="http://schemas.microsoft.com/office/drawing/2014/chart" uri="{C3380CC4-5D6E-409C-BE32-E72D297353CC}">
              <c16:uniqueId val="{00000002-80B9-4840-AA34-7D78E5A12DA8}"/>
            </c:ext>
          </c:extLst>
        </c:ser>
        <c:ser>
          <c:idx val="3"/>
          <c:order val="3"/>
          <c:tx>
            <c:v>Other taxes, fees, levies and charges (excl. VAT)</c:v>
          </c:tx>
          <c:invertIfNegative val="0"/>
          <c:cat>
            <c:multiLvlStrRef>
              <c:f>'ELEC COMP'!$G$5:$V$6</c:f>
              <c:multiLvlStrCache>
                <c:ptCount val="16"/>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lvl>
                <c:lvl>
                  <c:pt idx="0">
                    <c:v>Poland </c:v>
                  </c:pt>
                  <c:pt idx="8">
                    <c:v>Bulgaria</c:v>
                  </c:pt>
                </c:lvl>
              </c:multiLvlStrCache>
            </c:multiLvlStrRef>
          </c:cat>
          <c:val>
            <c:numRef>
              <c:f>'ELEC COMP'!$G$10:$V$10</c:f>
              <c:numCache>
                <c:formatCode>General</c:formatCode>
                <c:ptCount val="16"/>
                <c:pt idx="2" formatCode="0.0">
                  <c:v>0.66669492721348089</c:v>
                </c:pt>
                <c:pt idx="3" formatCode="0.0">
                  <c:v>0.42371340926063777</c:v>
                </c:pt>
                <c:pt idx="4" formatCode="0.0">
                  <c:v>0</c:v>
                </c:pt>
                <c:pt idx="5" formatCode="0.0">
                  <c:v>0</c:v>
                </c:pt>
                <c:pt idx="6" formatCode="0.0">
                  <c:v>4.7143189537209532E-3</c:v>
                </c:pt>
                <c:pt idx="7" formatCode="0.0">
                  <c:v>4.6323671539439054E-3</c:v>
                </c:pt>
                <c:pt idx="8" formatCode="0.0">
                  <c:v>9.447804597399891</c:v>
                </c:pt>
                <c:pt idx="9" formatCode="0.0">
                  <c:v>10.82438040217539</c:v>
                </c:pt>
                <c:pt idx="10" formatCode="0.0">
                  <c:v>14.285910648679762</c:v>
                </c:pt>
                <c:pt idx="11" formatCode="0.0">
                  <c:v>16.01749918538308</c:v>
                </c:pt>
                <c:pt idx="12" formatCode="0.0">
                  <c:v>16.861422366742612</c:v>
                </c:pt>
                <c:pt idx="13" formatCode="0.0">
                  <c:v>17.026930597793488</c:v>
                </c:pt>
                <c:pt idx="14" formatCode="0.0">
                  <c:v>13.768802367995898</c:v>
                </c:pt>
                <c:pt idx="15" formatCode="0.0">
                  <c:v>12.494844716343087</c:v>
                </c:pt>
              </c:numCache>
            </c:numRef>
          </c:val>
          <c:extLst xmlns:c16r2="http://schemas.microsoft.com/office/drawing/2015/06/chart">
            <c:ext xmlns:c16="http://schemas.microsoft.com/office/drawing/2014/chart" uri="{C3380CC4-5D6E-409C-BE32-E72D297353CC}">
              <c16:uniqueId val="{00000003-80B9-4840-AA34-7D78E5A12DA8}"/>
            </c:ext>
          </c:extLst>
        </c:ser>
        <c:ser>
          <c:idx val="4"/>
          <c:order val="4"/>
          <c:tx>
            <c:v>Number of observations</c:v>
          </c:tx>
          <c:spPr>
            <a:noFill/>
            <a:ln>
              <a:noFill/>
            </a:ln>
          </c:spPr>
          <c:invertIfNegative val="0"/>
          <c:val>
            <c:numRef>
              <c:f>'ELEC COMP'!$G$11:$V$11</c:f>
              <c:numCache>
                <c:formatCode>General</c:formatCode>
                <c:ptCount val="16"/>
                <c:pt idx="2">
                  <c:v>8</c:v>
                </c:pt>
                <c:pt idx="3">
                  <c:v>8</c:v>
                </c:pt>
                <c:pt idx="4">
                  <c:v>8</c:v>
                </c:pt>
                <c:pt idx="5">
                  <c:v>5</c:v>
                </c:pt>
                <c:pt idx="6">
                  <c:v>10</c:v>
                </c:pt>
                <c:pt idx="7">
                  <c:v>8</c:v>
                </c:pt>
                <c:pt idx="8">
                  <c:v>3</c:v>
                </c:pt>
                <c:pt idx="9">
                  <c:v>4</c:v>
                </c:pt>
                <c:pt idx="10">
                  <c:v>4</c:v>
                </c:pt>
                <c:pt idx="11">
                  <c:v>3</c:v>
                </c:pt>
                <c:pt idx="12">
                  <c:v>3</c:v>
                </c:pt>
                <c:pt idx="13">
                  <c:v>3</c:v>
                </c:pt>
                <c:pt idx="14">
                  <c:v>4</c:v>
                </c:pt>
                <c:pt idx="15">
                  <c:v>4</c:v>
                </c:pt>
              </c:numCache>
            </c:numRef>
          </c:val>
          <c:extLst xmlns:c16r2="http://schemas.microsoft.com/office/drawing/2015/06/chart">
            <c:ext xmlns:c16="http://schemas.microsoft.com/office/drawing/2014/chart" uri="{C3380CC4-5D6E-409C-BE32-E72D297353CC}">
              <c16:uniqueId val="{00000004-80B9-4840-AA34-7D78E5A12DA8}"/>
            </c:ext>
          </c:extLst>
        </c:ser>
        <c:dLbls>
          <c:showLegendKey val="0"/>
          <c:showVal val="0"/>
          <c:showCatName val="0"/>
          <c:showSerName val="0"/>
          <c:showPercent val="0"/>
          <c:showBubbleSize val="0"/>
        </c:dLbls>
        <c:gapWidth val="150"/>
        <c:overlap val="100"/>
        <c:axId val="96516736"/>
        <c:axId val="96522624"/>
      </c:barChart>
      <c:catAx>
        <c:axId val="96516736"/>
        <c:scaling>
          <c:orientation val="minMax"/>
        </c:scaling>
        <c:delete val="0"/>
        <c:axPos val="b"/>
        <c:numFmt formatCode="General" sourceLinked="0"/>
        <c:majorTickMark val="out"/>
        <c:minorTickMark val="none"/>
        <c:tickLblPos val="nextTo"/>
        <c:crossAx val="96522624"/>
        <c:crosses val="autoZero"/>
        <c:auto val="1"/>
        <c:lblAlgn val="ctr"/>
        <c:lblOffset val="100"/>
        <c:noMultiLvlLbl val="0"/>
      </c:catAx>
      <c:valAx>
        <c:axId val="96522624"/>
        <c:scaling>
          <c:orientation val="minMax"/>
        </c:scaling>
        <c:delete val="0"/>
        <c:axPos val="l"/>
        <c:majorGridlines/>
        <c:title>
          <c:tx>
            <c:rich>
              <a:bodyPr rot="-5400000" vert="horz"/>
              <a:lstStyle/>
              <a:p>
                <a:pPr>
                  <a:defRPr sz="700">
                    <a:latin typeface="Calibri" panose="020F0502020204030204" pitchFamily="34" charset="0"/>
                  </a:defRPr>
                </a:pPr>
                <a:r>
                  <a:rPr lang="en-GB" sz="1200" b="1" i="0" baseline="0">
                    <a:effectLst/>
                    <a:latin typeface="Calibri" panose="020F0502020204030204" pitchFamily="34" charset="0"/>
                  </a:rPr>
                  <a:t>Electricity price (€/MWh)</a:t>
                </a:r>
                <a:endParaRPr lang="en-GB" sz="700">
                  <a:effectLst/>
                  <a:latin typeface="Calibri" panose="020F0502020204030204" pitchFamily="34" charset="0"/>
                </a:endParaRPr>
              </a:p>
            </c:rich>
          </c:tx>
          <c:layout>
            <c:manualLayout>
              <c:xMode val="edge"/>
              <c:yMode val="edge"/>
              <c:x val="0.12804520955223209"/>
              <c:y val="0.22380452880276644"/>
            </c:manualLayout>
          </c:layout>
          <c:overlay val="0"/>
        </c:title>
        <c:numFmt formatCode="0" sourceLinked="0"/>
        <c:majorTickMark val="out"/>
        <c:minorTickMark val="none"/>
        <c:tickLblPos val="nextTo"/>
        <c:txPr>
          <a:bodyPr/>
          <a:lstStyle/>
          <a:p>
            <a:pPr>
              <a:defRPr sz="1000"/>
            </a:pPr>
            <a:endParaRPr lang="en-US"/>
          </a:p>
        </c:txPr>
        <c:crossAx val="96516736"/>
        <c:crosses val="autoZero"/>
        <c:crossBetween val="between"/>
      </c:valAx>
      <c:dTable>
        <c:showHorzBorder val="1"/>
        <c:showVertBorder val="1"/>
        <c:showOutline val="1"/>
        <c:showKeys val="1"/>
        <c:txPr>
          <a:bodyPr/>
          <a:lstStyle/>
          <a:p>
            <a:pPr rtl="0">
              <a:defRPr sz="600"/>
            </a:pPr>
            <a:endParaRPr lang="en-US"/>
          </a:p>
        </c:txPr>
      </c:dTable>
    </c:plotArea>
    <c:legend>
      <c:legendPos val="r"/>
      <c:legendEntry>
        <c:idx val="0"/>
        <c:delete val="1"/>
      </c:legendEntry>
      <c:layout>
        <c:manualLayout>
          <c:xMode val="edge"/>
          <c:yMode val="edge"/>
          <c:x val="5.7102069950035689E-3"/>
          <c:y val="0.13599469914358567"/>
          <c:w val="0.11710633503865356"/>
          <c:h val="0.61836593006519347"/>
        </c:manualLayout>
      </c:layout>
      <c:overlay val="0"/>
      <c:txPr>
        <a:bodyPr/>
        <a:lstStyle/>
        <a:p>
          <a:pPr>
            <a:defRPr sz="1100"/>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876826490361"/>
          <c:y val="6.5160761154855695E-2"/>
          <c:w val="0.83361067934337496"/>
          <c:h val="0.76236534087026497"/>
        </c:manualLayout>
      </c:layout>
      <c:barChart>
        <c:barDir val="col"/>
        <c:grouping val="stacked"/>
        <c:varyColors val="0"/>
        <c:ser>
          <c:idx val="0"/>
          <c:order val="0"/>
          <c:tx>
            <c:v>Energy supply costs </c:v>
          </c:tx>
          <c:invertIfNegative val="0"/>
          <c:cat>
            <c:multiLvlStrRef>
              <c:f>'GAS COMP'!$G$7:$AL$8</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France</c:v>
                  </c:pt>
                  <c:pt idx="8">
                    <c:v>Germany</c:v>
                  </c:pt>
                  <c:pt idx="16">
                    <c:v>Netherlands</c:v>
                  </c:pt>
                  <c:pt idx="24">
                    <c:v>UK</c:v>
                  </c:pt>
                </c:lvl>
              </c:multiLvlStrCache>
            </c:multiLvlStrRef>
          </c:cat>
          <c:val>
            <c:numRef>
              <c:f>'GAS COMP'!$G$9:$AL$9</c:f>
              <c:numCache>
                <c:formatCode>0</c:formatCode>
                <c:ptCount val="32"/>
                <c:pt idx="0">
                  <c:v>22.545329900239182</c:v>
                </c:pt>
                <c:pt idx="1">
                  <c:v>23.456099316664126</c:v>
                </c:pt>
                <c:pt idx="2">
                  <c:v>28.13242448023469</c:v>
                </c:pt>
                <c:pt idx="3">
                  <c:v>28.233409907006166</c:v>
                </c:pt>
                <c:pt idx="4">
                  <c:v>26.153685101907275</c:v>
                </c:pt>
                <c:pt idx="5">
                  <c:v>24.296061014204419</c:v>
                </c:pt>
                <c:pt idx="6">
                  <c:v>18.494661866679564</c:v>
                </c:pt>
                <c:pt idx="7">
                  <c:v>17.966097438527175</c:v>
                </c:pt>
                <c:pt idx="8">
                  <c:v>27.607230233495223</c:v>
                </c:pt>
                <c:pt idx="9">
                  <c:v>25.758176040971151</c:v>
                </c:pt>
                <c:pt idx="10">
                  <c:v>26.453477735283141</c:v>
                </c:pt>
                <c:pt idx="11">
                  <c:v>27.541859828259753</c:v>
                </c:pt>
                <c:pt idx="12">
                  <c:v>24.926138997072183</c:v>
                </c:pt>
                <c:pt idx="13">
                  <c:v>23.359458234608798</c:v>
                </c:pt>
                <c:pt idx="14">
                  <c:v>21.13971749052164</c:v>
                </c:pt>
                <c:pt idx="15">
                  <c:v>18.190517739026248</c:v>
                </c:pt>
                <c:pt idx="16">
                  <c:v>26.121962980025035</c:v>
                </c:pt>
                <c:pt idx="17">
                  <c:v>19.409486523594502</c:v>
                </c:pt>
                <c:pt idx="18">
                  <c:v>23.11436778622306</c:v>
                </c:pt>
                <c:pt idx="19">
                  <c:v>26.7844811479202</c:v>
                </c:pt>
                <c:pt idx="20">
                  <c:v>25.135097803246399</c:v>
                </c:pt>
                <c:pt idx="21">
                  <c:v>23.156699034116588</c:v>
                </c:pt>
                <c:pt idx="22">
                  <c:v>18.069157911325512</c:v>
                </c:pt>
                <c:pt idx="23">
                  <c:v>18.628789658623187</c:v>
                </c:pt>
                <c:pt idx="25">
                  <c:v>18.569562615985785</c:v>
                </c:pt>
                <c:pt idx="26">
                  <c:v>25.275774284686388</c:v>
                </c:pt>
                <c:pt idx="27">
                  <c:v>27.563123082004733</c:v>
                </c:pt>
                <c:pt idx="28">
                  <c:v>25.951634865416903</c:v>
                </c:pt>
                <c:pt idx="29">
                  <c:v>25.311677281026551</c:v>
                </c:pt>
                <c:pt idx="30">
                  <c:v>17.874747275524417</c:v>
                </c:pt>
                <c:pt idx="31">
                  <c:v>17.521378783651222</c:v>
                </c:pt>
              </c:numCache>
            </c:numRef>
          </c:val>
          <c:extLst xmlns:c16r2="http://schemas.microsoft.com/office/drawing/2015/06/chart">
            <c:ext xmlns:c16="http://schemas.microsoft.com/office/drawing/2014/chart" uri="{C3380CC4-5D6E-409C-BE32-E72D297353CC}">
              <c16:uniqueId val="{00000000-5393-4858-8040-6B75DF571AB1}"/>
            </c:ext>
          </c:extLst>
        </c:ser>
        <c:ser>
          <c:idx val="1"/>
          <c:order val="1"/>
          <c:tx>
            <c:v>Network costs </c:v>
          </c:tx>
          <c:invertIfNegative val="0"/>
          <c:cat>
            <c:multiLvlStrRef>
              <c:f>'GAS COMP'!$G$7:$AL$8</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France</c:v>
                  </c:pt>
                  <c:pt idx="8">
                    <c:v>Germany</c:v>
                  </c:pt>
                  <c:pt idx="16">
                    <c:v>Netherlands</c:v>
                  </c:pt>
                  <c:pt idx="24">
                    <c:v>UK</c:v>
                  </c:pt>
                </c:lvl>
              </c:multiLvlStrCache>
            </c:multiLvlStrRef>
          </c:cat>
          <c:val>
            <c:numRef>
              <c:f>'GAS COMP'!$G$10:$AL$10</c:f>
              <c:numCache>
                <c:formatCode>0.0</c:formatCode>
                <c:ptCount val="32"/>
                <c:pt idx="0">
                  <c:v>2.3405339862564305</c:v>
                </c:pt>
                <c:pt idx="1">
                  <c:v>1.5930096758832089</c:v>
                </c:pt>
                <c:pt idx="2">
                  <c:v>1.1403117307149737</c:v>
                </c:pt>
                <c:pt idx="3">
                  <c:v>1.1957543628573659</c:v>
                </c:pt>
                <c:pt idx="4">
                  <c:v>1.4642014390908753</c:v>
                </c:pt>
                <c:pt idx="5">
                  <c:v>1.3685460289505542</c:v>
                </c:pt>
                <c:pt idx="6">
                  <c:v>2.6825597993419246</c:v>
                </c:pt>
                <c:pt idx="7">
                  <c:v>2.2725636818444253</c:v>
                </c:pt>
                <c:pt idx="8">
                  <c:v>0.76660655240877174</c:v>
                </c:pt>
                <c:pt idx="9">
                  <c:v>0.80096097510144548</c:v>
                </c:pt>
                <c:pt idx="10">
                  <c:v>1.0205044709176334</c:v>
                </c:pt>
                <c:pt idx="11">
                  <c:v>1.003491562242264</c:v>
                </c:pt>
                <c:pt idx="12">
                  <c:v>1.2861725021629704</c:v>
                </c:pt>
                <c:pt idx="13">
                  <c:v>1.3562572199799301</c:v>
                </c:pt>
                <c:pt idx="14">
                  <c:v>2.0887289738655408</c:v>
                </c:pt>
                <c:pt idx="15">
                  <c:v>2.0382785578508607</c:v>
                </c:pt>
                <c:pt idx="16">
                  <c:v>0.67400455643364698</c:v>
                </c:pt>
                <c:pt idx="17">
                  <c:v>0.60158885248222727</c:v>
                </c:pt>
                <c:pt idx="18">
                  <c:v>0.66325421832464548</c:v>
                </c:pt>
                <c:pt idx="19">
                  <c:v>0.50694157710829069</c:v>
                </c:pt>
                <c:pt idx="20">
                  <c:v>0.47664954994834047</c:v>
                </c:pt>
                <c:pt idx="21">
                  <c:v>0.45415719841274083</c:v>
                </c:pt>
                <c:pt idx="22">
                  <c:v>0.54203097042905735</c:v>
                </c:pt>
                <c:pt idx="23">
                  <c:v>0.54001979731530103</c:v>
                </c:pt>
                <c:pt idx="25">
                  <c:v>1.418220638244331</c:v>
                </c:pt>
                <c:pt idx="26">
                  <c:v>1.4423547772151604</c:v>
                </c:pt>
                <c:pt idx="27">
                  <c:v>1.3234592184243044</c:v>
                </c:pt>
                <c:pt idx="28">
                  <c:v>1.5490415379064411</c:v>
                </c:pt>
                <c:pt idx="29">
                  <c:v>2.1430290283615783</c:v>
                </c:pt>
                <c:pt idx="30">
                  <c:v>2.5163173004134647</c:v>
                </c:pt>
                <c:pt idx="31">
                  <c:v>2.4087838081395962</c:v>
                </c:pt>
              </c:numCache>
            </c:numRef>
          </c:val>
          <c:extLst xmlns:c16r2="http://schemas.microsoft.com/office/drawing/2015/06/chart">
            <c:ext xmlns:c16="http://schemas.microsoft.com/office/drawing/2014/chart" uri="{C3380CC4-5D6E-409C-BE32-E72D297353CC}">
              <c16:uniqueId val="{00000001-5393-4858-8040-6B75DF571AB1}"/>
            </c:ext>
          </c:extLst>
        </c:ser>
        <c:ser>
          <c:idx val="3"/>
          <c:order val="2"/>
          <c:tx>
            <c:v>Other taxes, fees, levies and charges (excl. VAT)</c:v>
          </c:tx>
          <c:invertIfNegative val="0"/>
          <c:cat>
            <c:multiLvlStrRef>
              <c:f>'GAS COMP'!$G$7:$AL$8</c:f>
              <c:multiLvlStrCache>
                <c:ptCount val="32"/>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pt idx="24">
                    <c:v>2008</c:v>
                  </c:pt>
                  <c:pt idx="25">
                    <c:v>2010</c:v>
                  </c:pt>
                  <c:pt idx="26">
                    <c:v>2012</c:v>
                  </c:pt>
                  <c:pt idx="27">
                    <c:v>2013</c:v>
                  </c:pt>
                  <c:pt idx="28">
                    <c:v>2014</c:v>
                  </c:pt>
                  <c:pt idx="29">
                    <c:v>2015</c:v>
                  </c:pt>
                  <c:pt idx="30">
                    <c:v>2016</c:v>
                  </c:pt>
                  <c:pt idx="31">
                    <c:v>2017</c:v>
                  </c:pt>
                </c:lvl>
                <c:lvl>
                  <c:pt idx="0">
                    <c:v>France</c:v>
                  </c:pt>
                  <c:pt idx="8">
                    <c:v>Germany</c:v>
                  </c:pt>
                  <c:pt idx="16">
                    <c:v>Netherlands</c:v>
                  </c:pt>
                  <c:pt idx="24">
                    <c:v>UK</c:v>
                  </c:pt>
                </c:lvl>
              </c:multiLvlStrCache>
            </c:multiLvlStrRef>
          </c:cat>
          <c:val>
            <c:numRef>
              <c:f>'GAS COMP'!$G$11:$AL$11</c:f>
              <c:numCache>
                <c:formatCode>0.0</c:formatCode>
                <c:ptCount val="32"/>
                <c:pt idx="0">
                  <c:v>0.65484057341578739</c:v>
                </c:pt>
                <c:pt idx="1">
                  <c:v>0.90802952310812024</c:v>
                </c:pt>
                <c:pt idx="2">
                  <c:v>0.73146658796109976</c:v>
                </c:pt>
                <c:pt idx="3">
                  <c:v>0.78555572804947982</c:v>
                </c:pt>
                <c:pt idx="4">
                  <c:v>0.8277333817485808</c:v>
                </c:pt>
                <c:pt idx="5">
                  <c:v>0.84471801624080811</c:v>
                </c:pt>
                <c:pt idx="6">
                  <c:v>0.49582015985145167</c:v>
                </c:pt>
                <c:pt idx="7">
                  <c:v>0.43785460837826523</c:v>
                </c:pt>
                <c:pt idx="8">
                  <c:v>3.4607248623533242</c:v>
                </c:pt>
                <c:pt idx="9">
                  <c:v>2.4885467303738875</c:v>
                </c:pt>
                <c:pt idx="10">
                  <c:v>2.8780708019069712</c:v>
                </c:pt>
                <c:pt idx="11">
                  <c:v>2.8136926442633214</c:v>
                </c:pt>
                <c:pt idx="12">
                  <c:v>3.068945469387597</c:v>
                </c:pt>
                <c:pt idx="13">
                  <c:v>3.1023636083417023</c:v>
                </c:pt>
                <c:pt idx="14">
                  <c:v>4.1328451890297364</c:v>
                </c:pt>
                <c:pt idx="15">
                  <c:v>4.7231008215003794</c:v>
                </c:pt>
                <c:pt idx="16">
                  <c:v>1.305005320331261</c:v>
                </c:pt>
                <c:pt idx="17">
                  <c:v>1.0567174442828651</c:v>
                </c:pt>
                <c:pt idx="18">
                  <c:v>1.2732656212343469</c:v>
                </c:pt>
                <c:pt idx="19">
                  <c:v>1.4713294035527964</c:v>
                </c:pt>
                <c:pt idx="20">
                  <c:v>1.4271877848096641</c:v>
                </c:pt>
                <c:pt idx="21">
                  <c:v>1.6025562012162107</c:v>
                </c:pt>
                <c:pt idx="22">
                  <c:v>1.9765869355827921</c:v>
                </c:pt>
                <c:pt idx="23">
                  <c:v>0.70348097098311468</c:v>
                </c:pt>
                <c:pt idx="25">
                  <c:v>0.38342011057930192</c:v>
                </c:pt>
                <c:pt idx="26">
                  <c:v>0.77567210020605148</c:v>
                </c:pt>
                <c:pt idx="27">
                  <c:v>0.80649979301588171</c:v>
                </c:pt>
                <c:pt idx="28">
                  <c:v>0.40689406533489503</c:v>
                </c:pt>
                <c:pt idx="29">
                  <c:v>0.35028645431547761</c:v>
                </c:pt>
                <c:pt idx="30">
                  <c:v>0.3196875281629824</c:v>
                </c:pt>
                <c:pt idx="31">
                  <c:v>0.25976714818663044</c:v>
                </c:pt>
              </c:numCache>
            </c:numRef>
          </c:val>
          <c:extLst xmlns:c16r2="http://schemas.microsoft.com/office/drawing/2015/06/chart">
            <c:ext xmlns:c16="http://schemas.microsoft.com/office/drawing/2014/chart" uri="{C3380CC4-5D6E-409C-BE32-E72D297353CC}">
              <c16:uniqueId val="{00000002-5393-4858-8040-6B75DF571AB1}"/>
            </c:ext>
          </c:extLst>
        </c:ser>
        <c:ser>
          <c:idx val="2"/>
          <c:order val="3"/>
          <c:tx>
            <c:strRef>
              <c:f>'GAS COMP'!$F$12</c:f>
              <c:strCache>
                <c:ptCount val="1"/>
                <c:pt idx="0">
                  <c:v>Number of observations</c:v>
                </c:pt>
              </c:strCache>
            </c:strRef>
          </c:tx>
          <c:spPr>
            <a:noFill/>
            <a:ln>
              <a:noFill/>
            </a:ln>
          </c:spPr>
          <c:invertIfNegative val="0"/>
          <c:val>
            <c:numRef>
              <c:f>'GAS COMP'!$G$12:$AL$12</c:f>
              <c:numCache>
                <c:formatCode>General</c:formatCode>
                <c:ptCount val="32"/>
                <c:pt idx="0">
                  <c:v>3</c:v>
                </c:pt>
                <c:pt idx="1">
                  <c:v>7</c:v>
                </c:pt>
                <c:pt idx="2">
                  <c:v>9</c:v>
                </c:pt>
                <c:pt idx="3">
                  <c:v>9</c:v>
                </c:pt>
                <c:pt idx="4">
                  <c:v>10</c:v>
                </c:pt>
                <c:pt idx="5">
                  <c:v>10</c:v>
                </c:pt>
                <c:pt idx="6">
                  <c:v>23</c:v>
                </c:pt>
                <c:pt idx="7">
                  <c:v>24</c:v>
                </c:pt>
                <c:pt idx="8">
                  <c:v>7</c:v>
                </c:pt>
                <c:pt idx="9">
                  <c:v>8</c:v>
                </c:pt>
                <c:pt idx="10">
                  <c:v>8</c:v>
                </c:pt>
                <c:pt idx="11">
                  <c:v>8</c:v>
                </c:pt>
                <c:pt idx="12">
                  <c:v>9</c:v>
                </c:pt>
                <c:pt idx="13">
                  <c:v>9</c:v>
                </c:pt>
                <c:pt idx="14">
                  <c:v>10</c:v>
                </c:pt>
                <c:pt idx="15">
                  <c:v>9</c:v>
                </c:pt>
                <c:pt idx="16">
                  <c:v>4</c:v>
                </c:pt>
                <c:pt idx="17">
                  <c:v>5</c:v>
                </c:pt>
                <c:pt idx="18">
                  <c:v>5</c:v>
                </c:pt>
                <c:pt idx="19">
                  <c:v>6</c:v>
                </c:pt>
                <c:pt idx="20">
                  <c:v>6</c:v>
                </c:pt>
                <c:pt idx="21">
                  <c:v>6</c:v>
                </c:pt>
                <c:pt idx="22">
                  <c:v>6</c:v>
                </c:pt>
                <c:pt idx="23">
                  <c:v>6</c:v>
                </c:pt>
                <c:pt idx="25">
                  <c:v>5</c:v>
                </c:pt>
                <c:pt idx="26">
                  <c:v>7</c:v>
                </c:pt>
                <c:pt idx="27">
                  <c:v>7</c:v>
                </c:pt>
                <c:pt idx="28">
                  <c:v>8</c:v>
                </c:pt>
                <c:pt idx="29">
                  <c:v>7</c:v>
                </c:pt>
                <c:pt idx="30">
                  <c:v>7</c:v>
                </c:pt>
                <c:pt idx="31">
                  <c:v>7</c:v>
                </c:pt>
              </c:numCache>
            </c:numRef>
          </c:val>
          <c:extLst xmlns:c16r2="http://schemas.microsoft.com/office/drawing/2015/06/chart">
            <c:ext xmlns:c16="http://schemas.microsoft.com/office/drawing/2014/chart" uri="{C3380CC4-5D6E-409C-BE32-E72D297353CC}">
              <c16:uniqueId val="{00000003-5393-4858-8040-6B75DF571AB1}"/>
            </c:ext>
          </c:extLst>
        </c:ser>
        <c:dLbls>
          <c:showLegendKey val="0"/>
          <c:showVal val="0"/>
          <c:showCatName val="0"/>
          <c:showSerName val="0"/>
          <c:showPercent val="0"/>
          <c:showBubbleSize val="0"/>
        </c:dLbls>
        <c:gapWidth val="150"/>
        <c:overlap val="100"/>
        <c:axId val="96433664"/>
        <c:axId val="96435200"/>
      </c:barChart>
      <c:catAx>
        <c:axId val="96433664"/>
        <c:scaling>
          <c:orientation val="minMax"/>
        </c:scaling>
        <c:delete val="0"/>
        <c:axPos val="b"/>
        <c:numFmt formatCode="General" sourceLinked="0"/>
        <c:majorTickMark val="out"/>
        <c:minorTickMark val="none"/>
        <c:tickLblPos val="nextTo"/>
        <c:crossAx val="96435200"/>
        <c:crosses val="autoZero"/>
        <c:auto val="1"/>
        <c:lblAlgn val="ctr"/>
        <c:lblOffset val="100"/>
        <c:noMultiLvlLbl val="0"/>
      </c:catAx>
      <c:valAx>
        <c:axId val="96435200"/>
        <c:scaling>
          <c:orientation val="minMax"/>
          <c:max val="40"/>
        </c:scaling>
        <c:delete val="0"/>
        <c:axPos val="l"/>
        <c:majorGridlines/>
        <c:title>
          <c:tx>
            <c:rich>
              <a:bodyPr/>
              <a:lstStyle/>
              <a:p>
                <a:pPr>
                  <a:defRPr sz="1099" b="1" i="0" u="none" strike="noStrike" baseline="0">
                    <a:solidFill>
                      <a:srgbClr val="000000"/>
                    </a:solidFill>
                    <a:latin typeface="Calibri"/>
                    <a:ea typeface="Calibri"/>
                    <a:cs typeface="Calibri"/>
                  </a:defRPr>
                </a:pPr>
                <a:r>
                  <a:rPr lang="en-GB" sz="1199" b="1" i="0" baseline="0">
                    <a:effectLst/>
                  </a:rPr>
                  <a:t>Natural gas price (€/MWh)</a:t>
                </a:r>
                <a:endParaRPr lang="en-GB" sz="1100">
                  <a:effectLst/>
                </a:endParaRPr>
              </a:p>
            </c:rich>
          </c:tx>
          <c:layout>
            <c:manualLayout>
              <c:xMode val="edge"/>
              <c:yMode val="edge"/>
              <c:x val="0.16141859190678087"/>
              <c:y val="0.22039090625154112"/>
            </c:manualLayout>
          </c:layout>
          <c:overlay val="0"/>
        </c:title>
        <c:numFmt formatCode="0" sourceLinked="1"/>
        <c:majorTickMark val="out"/>
        <c:minorTickMark val="none"/>
        <c:tickLblPos val="nextTo"/>
        <c:txPr>
          <a:bodyPr/>
          <a:lstStyle/>
          <a:p>
            <a:pPr>
              <a:defRPr sz="1199"/>
            </a:pPr>
            <a:endParaRPr lang="en-US"/>
          </a:p>
        </c:txPr>
        <c:crossAx val="96433664"/>
        <c:crosses val="autoZero"/>
        <c:crossBetween val="between"/>
      </c:valAx>
      <c:dTable>
        <c:showHorzBorder val="1"/>
        <c:showVertBorder val="1"/>
        <c:showOutline val="1"/>
        <c:showKeys val="1"/>
        <c:txPr>
          <a:bodyPr/>
          <a:lstStyle/>
          <a:p>
            <a:pPr rtl="0">
              <a:defRPr sz="699"/>
            </a:pPr>
            <a:endParaRPr lang="en-US"/>
          </a:p>
        </c:txPr>
      </c:dTable>
    </c:plotArea>
    <c:legend>
      <c:legendPos val="r"/>
      <c:legendEntry>
        <c:idx val="0"/>
        <c:delete val="1"/>
      </c:legendEntry>
      <c:legendEntry>
        <c:idx val="1"/>
        <c:txPr>
          <a:bodyPr/>
          <a:lstStyle/>
          <a:p>
            <a:pPr>
              <a:defRPr sz="1199"/>
            </a:pPr>
            <a:endParaRPr lang="en-US"/>
          </a:p>
        </c:txPr>
      </c:legendEntry>
      <c:legendEntry>
        <c:idx val="2"/>
        <c:txPr>
          <a:bodyPr/>
          <a:lstStyle/>
          <a:p>
            <a:pPr>
              <a:defRPr sz="1199"/>
            </a:pPr>
            <a:endParaRPr lang="en-US"/>
          </a:p>
        </c:txPr>
      </c:legendEntry>
      <c:layout>
        <c:manualLayout>
          <c:xMode val="edge"/>
          <c:yMode val="edge"/>
          <c:x val="9.1053618297712788E-3"/>
          <c:y val="0.19652425492742429"/>
          <c:w val="0.10956799630815378"/>
          <c:h val="0.52339333366210228"/>
        </c:manualLayout>
      </c:layout>
      <c:overlay val="0"/>
      <c:txPr>
        <a:bodyPr/>
        <a:lstStyle/>
        <a:p>
          <a:pPr>
            <a:defRPr sz="1199"/>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876826490361"/>
          <c:y val="6.5160761154855695E-2"/>
          <c:w val="0.83361067934337496"/>
          <c:h val="0.76236534087026497"/>
        </c:manualLayout>
      </c:layout>
      <c:barChart>
        <c:barDir val="col"/>
        <c:grouping val="stacked"/>
        <c:varyColors val="0"/>
        <c:ser>
          <c:idx val="0"/>
          <c:order val="0"/>
          <c:tx>
            <c:v>Energy supply costs </c:v>
          </c:tx>
          <c:invertIfNegative val="0"/>
          <c:cat>
            <c:multiLvlStrRef>
              <c:f>'ELEC COMP'!$G$5:$AD$6</c:f>
              <c:multiLvlStrCache>
                <c:ptCount val="24"/>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lvl>
                <c:lvl>
                  <c:pt idx="0">
                    <c:v>Portugal</c:v>
                  </c:pt>
                  <c:pt idx="8">
                    <c:v>Italy</c:v>
                  </c:pt>
                  <c:pt idx="16">
                    <c:v>Spain</c:v>
                  </c:pt>
                </c:lvl>
              </c:multiLvlStrCache>
            </c:multiLvlStrRef>
          </c:cat>
          <c:val>
            <c:numRef>
              <c:f>'GAS COMP'!$G$9:$AD$9</c:f>
              <c:numCache>
                <c:formatCode>General</c:formatCode>
                <c:ptCount val="24"/>
                <c:pt idx="2" formatCode="0.0">
                  <c:v>32.9178488777045</c:v>
                </c:pt>
                <c:pt idx="3" formatCode="0.0">
                  <c:v>32.082052747628133</c:v>
                </c:pt>
                <c:pt idx="4" formatCode="0.0">
                  <c:v>33.597853946578496</c:v>
                </c:pt>
                <c:pt idx="5" formatCode="0.0">
                  <c:v>28.076765329681425</c:v>
                </c:pt>
                <c:pt idx="6" formatCode="0.0">
                  <c:v>21.648572257709869</c:v>
                </c:pt>
                <c:pt idx="7" formatCode="0.0">
                  <c:v>21.593205580470325</c:v>
                </c:pt>
                <c:pt idx="8" formatCode="0.0">
                  <c:v>25.16448498984596</c:v>
                </c:pt>
                <c:pt idx="9" formatCode="0.0">
                  <c:v>25.466581399585721</c:v>
                </c:pt>
                <c:pt idx="10" formatCode="0.0">
                  <c:v>31.450333131347328</c:v>
                </c:pt>
                <c:pt idx="11" formatCode="0.0">
                  <c:v>31.043543070016003</c:v>
                </c:pt>
                <c:pt idx="12" formatCode="0.0">
                  <c:v>28.294242434445124</c:v>
                </c:pt>
                <c:pt idx="13" formatCode="0.0">
                  <c:v>26.677016015626126</c:v>
                </c:pt>
                <c:pt idx="14" formatCode="0.0">
                  <c:v>21.955714799892792</c:v>
                </c:pt>
                <c:pt idx="15" formatCode="0.0">
                  <c:v>18.405753717981248</c:v>
                </c:pt>
                <c:pt idx="16" formatCode="0.0">
                  <c:v>26.722173226827756</c:v>
                </c:pt>
                <c:pt idx="17" formatCode="0.0">
                  <c:v>21.925755856740079</c:v>
                </c:pt>
                <c:pt idx="18" formatCode="0.0">
                  <c:v>30.603941946005623</c:v>
                </c:pt>
                <c:pt idx="19" formatCode="0.0">
                  <c:v>30.558314039147508</c:v>
                </c:pt>
                <c:pt idx="20" formatCode="0.0">
                  <c:v>30.233803529651727</c:v>
                </c:pt>
                <c:pt idx="21" formatCode="0.0">
                  <c:v>25.225021450267537</c:v>
                </c:pt>
                <c:pt idx="22" formatCode="0.0">
                  <c:v>18.613395235822068</c:v>
                </c:pt>
                <c:pt idx="23" formatCode="0.0">
                  <c:v>18.915745211415683</c:v>
                </c:pt>
              </c:numCache>
            </c:numRef>
          </c:val>
          <c:extLst xmlns:c16r2="http://schemas.microsoft.com/office/drawing/2015/06/chart">
            <c:ext xmlns:c16="http://schemas.microsoft.com/office/drawing/2014/chart" uri="{C3380CC4-5D6E-409C-BE32-E72D297353CC}">
              <c16:uniqueId val="{00000000-D3AC-4117-82B0-8910767AB19A}"/>
            </c:ext>
          </c:extLst>
        </c:ser>
        <c:ser>
          <c:idx val="1"/>
          <c:order val="1"/>
          <c:tx>
            <c:v>Network costs </c:v>
          </c:tx>
          <c:invertIfNegative val="0"/>
          <c:cat>
            <c:multiLvlStrRef>
              <c:f>'ELEC COMP'!$G$5:$AD$6</c:f>
              <c:multiLvlStrCache>
                <c:ptCount val="24"/>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lvl>
                <c:lvl>
                  <c:pt idx="0">
                    <c:v>Portugal</c:v>
                  </c:pt>
                  <c:pt idx="8">
                    <c:v>Italy</c:v>
                  </c:pt>
                  <c:pt idx="16">
                    <c:v>Spain</c:v>
                  </c:pt>
                </c:lvl>
              </c:multiLvlStrCache>
            </c:multiLvlStrRef>
          </c:cat>
          <c:val>
            <c:numRef>
              <c:f>'GAS COMP'!$G$10:$AD$10</c:f>
              <c:numCache>
                <c:formatCode>General</c:formatCode>
                <c:ptCount val="24"/>
                <c:pt idx="2" formatCode="0.0">
                  <c:v>4.3369732305240527</c:v>
                </c:pt>
                <c:pt idx="3" formatCode="0.0">
                  <c:v>4.6057600077549958</c:v>
                </c:pt>
                <c:pt idx="4" formatCode="0.0">
                  <c:v>3.5335755342897204</c:v>
                </c:pt>
                <c:pt idx="5" formatCode="0.0">
                  <c:v>5.4118925300836827</c:v>
                </c:pt>
                <c:pt idx="6" formatCode="0.0">
                  <c:v>4.2139871506364948</c:v>
                </c:pt>
                <c:pt idx="7" formatCode="0.0">
                  <c:v>2.9354069631987065</c:v>
                </c:pt>
                <c:pt idx="8" formatCode="0.0">
                  <c:v>1.6624236803913908</c:v>
                </c:pt>
                <c:pt idx="9" formatCode="0.0">
                  <c:v>1.644809043450141</c:v>
                </c:pt>
                <c:pt idx="10" formatCode="0.0">
                  <c:v>1.8995692425918744</c:v>
                </c:pt>
                <c:pt idx="11" formatCode="0.0">
                  <c:v>2.3710767123591441</c:v>
                </c:pt>
                <c:pt idx="12" formatCode="0.0">
                  <c:v>2.6598666923894068</c:v>
                </c:pt>
                <c:pt idx="13" formatCode="0.0">
                  <c:v>2.4450230402670505</c:v>
                </c:pt>
                <c:pt idx="14" formatCode="0.0">
                  <c:v>3.5835814523308462</c:v>
                </c:pt>
                <c:pt idx="15" formatCode="0.0">
                  <c:v>3.5260497693329831</c:v>
                </c:pt>
                <c:pt idx="16" formatCode="0.0">
                  <c:v>0.67400455643364698</c:v>
                </c:pt>
                <c:pt idx="17" formatCode="0.0">
                  <c:v>1.1936536755602638</c:v>
                </c:pt>
                <c:pt idx="18" formatCode="0.0">
                  <c:v>1.4905536694953505</c:v>
                </c:pt>
                <c:pt idx="19" formatCode="0.0">
                  <c:v>2.1668779620510126</c:v>
                </c:pt>
                <c:pt idx="20" formatCode="0.0">
                  <c:v>2.215678058381862</c:v>
                </c:pt>
                <c:pt idx="21" formatCode="0.0">
                  <c:v>2.0182775061317528</c:v>
                </c:pt>
                <c:pt idx="22" formatCode="0.0">
                  <c:v>2.3188732057844641</c:v>
                </c:pt>
                <c:pt idx="23" formatCode="0.0">
                  <c:v>3.0551876414130774</c:v>
                </c:pt>
              </c:numCache>
            </c:numRef>
          </c:val>
          <c:extLst xmlns:c16r2="http://schemas.microsoft.com/office/drawing/2015/06/chart">
            <c:ext xmlns:c16="http://schemas.microsoft.com/office/drawing/2014/chart" uri="{C3380CC4-5D6E-409C-BE32-E72D297353CC}">
              <c16:uniqueId val="{00000001-D3AC-4117-82B0-8910767AB19A}"/>
            </c:ext>
          </c:extLst>
        </c:ser>
        <c:ser>
          <c:idx val="3"/>
          <c:order val="2"/>
          <c:tx>
            <c:v>Other taxes, fees, levies and charges (excl. VAT)</c:v>
          </c:tx>
          <c:invertIfNegative val="0"/>
          <c:cat>
            <c:multiLvlStrRef>
              <c:f>'ELEC COMP'!$G$5:$AD$6</c:f>
              <c:multiLvlStrCache>
                <c:ptCount val="24"/>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pt idx="16">
                    <c:v>2008</c:v>
                  </c:pt>
                  <c:pt idx="17">
                    <c:v>2010</c:v>
                  </c:pt>
                  <c:pt idx="18">
                    <c:v>2012</c:v>
                  </c:pt>
                  <c:pt idx="19">
                    <c:v>2013</c:v>
                  </c:pt>
                  <c:pt idx="20">
                    <c:v>2014</c:v>
                  </c:pt>
                  <c:pt idx="21">
                    <c:v>2015</c:v>
                  </c:pt>
                  <c:pt idx="22">
                    <c:v>2016</c:v>
                  </c:pt>
                  <c:pt idx="23">
                    <c:v>2017</c:v>
                  </c:pt>
                </c:lvl>
                <c:lvl>
                  <c:pt idx="0">
                    <c:v>Portugal</c:v>
                  </c:pt>
                  <c:pt idx="8">
                    <c:v>Italy</c:v>
                  </c:pt>
                  <c:pt idx="16">
                    <c:v>Spain</c:v>
                  </c:pt>
                </c:lvl>
              </c:multiLvlStrCache>
            </c:multiLvlStrRef>
          </c:cat>
          <c:val>
            <c:numRef>
              <c:f>'GAS COMP'!$G$11:$AD$11</c:f>
              <c:numCache>
                <c:formatCode>General</c:formatCode>
                <c:ptCount val="24"/>
                <c:pt idx="2" formatCode="0.0">
                  <c:v>0</c:v>
                </c:pt>
                <c:pt idx="3" formatCode="0.0">
                  <c:v>0.40303085005258182</c:v>
                </c:pt>
                <c:pt idx="4" formatCode="0.0">
                  <c:v>0.2991601287777842</c:v>
                </c:pt>
                <c:pt idx="5" formatCode="0.0">
                  <c:v>0.30555616512439043</c:v>
                </c:pt>
                <c:pt idx="6" formatCode="0.0">
                  <c:v>3.5202796949577217E-2</c:v>
                </c:pt>
                <c:pt idx="7" formatCode="0.0">
                  <c:v>1.0382463561080905E-4</c:v>
                </c:pt>
                <c:pt idx="8" formatCode="0.0">
                  <c:v>0.30684801574138371</c:v>
                </c:pt>
                <c:pt idx="9" formatCode="0.0">
                  <c:v>0.59256204567591342</c:v>
                </c:pt>
                <c:pt idx="10" formatCode="0.0">
                  <c:v>0.59509185822965871</c:v>
                </c:pt>
                <c:pt idx="11" formatCode="0.0">
                  <c:v>0.57819274434445511</c:v>
                </c:pt>
                <c:pt idx="12" formatCode="0.0">
                  <c:v>0.49609351389618855</c:v>
                </c:pt>
                <c:pt idx="13" formatCode="0.0">
                  <c:v>0.55200265507954827</c:v>
                </c:pt>
                <c:pt idx="14" formatCode="0.0">
                  <c:v>0.48024177847969146</c:v>
                </c:pt>
                <c:pt idx="15" formatCode="0.0">
                  <c:v>0.37486010526439334</c:v>
                </c:pt>
                <c:pt idx="16" formatCode="0.0">
                  <c:v>1.305005320331261</c:v>
                </c:pt>
                <c:pt idx="17" formatCode="0.0">
                  <c:v>0.12303384477649039</c:v>
                </c:pt>
                <c:pt idx="18" formatCode="0.0">
                  <c:v>0.18173404625089348</c:v>
                </c:pt>
                <c:pt idx="19" formatCode="0.0">
                  <c:v>0.32255679820913485</c:v>
                </c:pt>
                <c:pt idx="20" formatCode="0.0">
                  <c:v>0.5357585189902111</c:v>
                </c:pt>
                <c:pt idx="21" formatCode="0.0">
                  <c:v>0.5080575388918015</c:v>
                </c:pt>
                <c:pt idx="22" formatCode="0.0">
                  <c:v>0.487598512929941</c:v>
                </c:pt>
                <c:pt idx="23" formatCode="0.0">
                  <c:v>0.50983163285491395</c:v>
                </c:pt>
              </c:numCache>
            </c:numRef>
          </c:val>
          <c:extLst xmlns:c16r2="http://schemas.microsoft.com/office/drawing/2015/06/chart">
            <c:ext xmlns:c16="http://schemas.microsoft.com/office/drawing/2014/chart" uri="{C3380CC4-5D6E-409C-BE32-E72D297353CC}">
              <c16:uniqueId val="{00000002-D3AC-4117-82B0-8910767AB19A}"/>
            </c:ext>
          </c:extLst>
        </c:ser>
        <c:ser>
          <c:idx val="2"/>
          <c:order val="3"/>
          <c:tx>
            <c:strRef>
              <c:f>'GAS COMP'!$F$12</c:f>
              <c:strCache>
                <c:ptCount val="1"/>
                <c:pt idx="0">
                  <c:v>Number of observations</c:v>
                </c:pt>
              </c:strCache>
            </c:strRef>
          </c:tx>
          <c:spPr>
            <a:noFill/>
            <a:ln>
              <a:noFill/>
            </a:ln>
          </c:spPr>
          <c:invertIfNegative val="0"/>
          <c:val>
            <c:numRef>
              <c:f>'GAS COMP'!$G$12:$AD$12</c:f>
              <c:numCache>
                <c:formatCode>General</c:formatCode>
                <c:ptCount val="24"/>
                <c:pt idx="2">
                  <c:v>3</c:v>
                </c:pt>
                <c:pt idx="3">
                  <c:v>3</c:v>
                </c:pt>
                <c:pt idx="4">
                  <c:v>4</c:v>
                </c:pt>
                <c:pt idx="5">
                  <c:v>4</c:v>
                </c:pt>
                <c:pt idx="6">
                  <c:v>5</c:v>
                </c:pt>
                <c:pt idx="7">
                  <c:v>5</c:v>
                </c:pt>
                <c:pt idx="8">
                  <c:v>8</c:v>
                </c:pt>
                <c:pt idx="9">
                  <c:v>13</c:v>
                </c:pt>
                <c:pt idx="10">
                  <c:v>15</c:v>
                </c:pt>
                <c:pt idx="11">
                  <c:v>15</c:v>
                </c:pt>
                <c:pt idx="12">
                  <c:v>16</c:v>
                </c:pt>
                <c:pt idx="13">
                  <c:v>14</c:v>
                </c:pt>
                <c:pt idx="14">
                  <c:v>19</c:v>
                </c:pt>
                <c:pt idx="15">
                  <c:v>20</c:v>
                </c:pt>
                <c:pt idx="16">
                  <c:v>9</c:v>
                </c:pt>
                <c:pt idx="17">
                  <c:v>11</c:v>
                </c:pt>
                <c:pt idx="18">
                  <c:v>13</c:v>
                </c:pt>
                <c:pt idx="19">
                  <c:v>12</c:v>
                </c:pt>
                <c:pt idx="20">
                  <c:v>12</c:v>
                </c:pt>
                <c:pt idx="21">
                  <c:v>12</c:v>
                </c:pt>
                <c:pt idx="22">
                  <c:v>18</c:v>
                </c:pt>
                <c:pt idx="23">
                  <c:v>18</c:v>
                </c:pt>
              </c:numCache>
            </c:numRef>
          </c:val>
          <c:extLst xmlns:c16r2="http://schemas.microsoft.com/office/drawing/2015/06/chart">
            <c:ext xmlns:c16="http://schemas.microsoft.com/office/drawing/2014/chart" uri="{C3380CC4-5D6E-409C-BE32-E72D297353CC}">
              <c16:uniqueId val="{00000003-D3AC-4117-82B0-8910767AB19A}"/>
            </c:ext>
          </c:extLst>
        </c:ser>
        <c:dLbls>
          <c:showLegendKey val="0"/>
          <c:showVal val="0"/>
          <c:showCatName val="0"/>
          <c:showSerName val="0"/>
          <c:showPercent val="0"/>
          <c:showBubbleSize val="0"/>
        </c:dLbls>
        <c:gapWidth val="150"/>
        <c:overlap val="100"/>
        <c:axId val="96579584"/>
        <c:axId val="96581120"/>
      </c:barChart>
      <c:catAx>
        <c:axId val="96579584"/>
        <c:scaling>
          <c:orientation val="minMax"/>
        </c:scaling>
        <c:delete val="0"/>
        <c:axPos val="b"/>
        <c:numFmt formatCode="General" sourceLinked="0"/>
        <c:majorTickMark val="out"/>
        <c:minorTickMark val="none"/>
        <c:tickLblPos val="nextTo"/>
        <c:crossAx val="96581120"/>
        <c:crosses val="autoZero"/>
        <c:auto val="1"/>
        <c:lblAlgn val="ctr"/>
        <c:lblOffset val="100"/>
        <c:noMultiLvlLbl val="0"/>
      </c:catAx>
      <c:valAx>
        <c:axId val="96581120"/>
        <c:scaling>
          <c:orientation val="minMax"/>
          <c:max val="40"/>
        </c:scaling>
        <c:delete val="0"/>
        <c:axPos val="l"/>
        <c:majorGridlines/>
        <c:title>
          <c:tx>
            <c:rich>
              <a:bodyPr/>
              <a:lstStyle/>
              <a:p>
                <a:pPr>
                  <a:defRPr sz="1098" b="1" i="0" u="none" strike="noStrike" baseline="0">
                    <a:solidFill>
                      <a:srgbClr val="000000"/>
                    </a:solidFill>
                    <a:latin typeface="Calibri"/>
                    <a:ea typeface="Calibri"/>
                    <a:cs typeface="Calibri"/>
                  </a:defRPr>
                </a:pPr>
                <a:r>
                  <a:rPr lang="en-GB" sz="1197" b="1" i="0" baseline="0">
                    <a:effectLst/>
                  </a:rPr>
                  <a:t>Natural gas price (€/MWh)</a:t>
                </a:r>
                <a:endParaRPr lang="en-GB" sz="1100">
                  <a:effectLst/>
                </a:endParaRPr>
              </a:p>
            </c:rich>
          </c:tx>
          <c:layout>
            <c:manualLayout>
              <c:xMode val="edge"/>
              <c:yMode val="edge"/>
              <c:x val="0.14596958131325286"/>
              <c:y val="0.21362259633863756"/>
            </c:manualLayout>
          </c:layout>
          <c:overlay val="0"/>
        </c:title>
        <c:numFmt formatCode="General" sourceLinked="1"/>
        <c:majorTickMark val="out"/>
        <c:minorTickMark val="none"/>
        <c:tickLblPos val="nextTo"/>
        <c:txPr>
          <a:bodyPr/>
          <a:lstStyle/>
          <a:p>
            <a:pPr>
              <a:defRPr sz="1197"/>
            </a:pPr>
            <a:endParaRPr lang="en-US"/>
          </a:p>
        </c:txPr>
        <c:crossAx val="96579584"/>
        <c:crosses val="autoZero"/>
        <c:crossBetween val="between"/>
      </c:valAx>
      <c:dTable>
        <c:showHorzBorder val="1"/>
        <c:showVertBorder val="1"/>
        <c:showOutline val="1"/>
        <c:showKeys val="1"/>
        <c:txPr>
          <a:bodyPr/>
          <a:lstStyle/>
          <a:p>
            <a:pPr rtl="0">
              <a:defRPr sz="698"/>
            </a:pPr>
            <a:endParaRPr lang="en-US"/>
          </a:p>
        </c:txPr>
      </c:dTable>
    </c:plotArea>
    <c:legend>
      <c:legendPos val="r"/>
      <c:legendEntry>
        <c:idx val="0"/>
        <c:delete val="1"/>
      </c:legendEntry>
      <c:legendEntry>
        <c:idx val="1"/>
        <c:txPr>
          <a:bodyPr/>
          <a:lstStyle/>
          <a:p>
            <a:pPr>
              <a:defRPr sz="1197"/>
            </a:pPr>
            <a:endParaRPr lang="en-US"/>
          </a:p>
        </c:txPr>
      </c:legendEntry>
      <c:legendEntry>
        <c:idx val="2"/>
        <c:txPr>
          <a:bodyPr/>
          <a:lstStyle/>
          <a:p>
            <a:pPr>
              <a:defRPr sz="1197"/>
            </a:pPr>
            <a:endParaRPr lang="en-US"/>
          </a:p>
        </c:txPr>
      </c:legendEntry>
      <c:layout>
        <c:manualLayout>
          <c:xMode val="edge"/>
          <c:yMode val="edge"/>
          <c:x val="1.684305837316187E-2"/>
          <c:y val="0.17529162411183957"/>
          <c:w val="0.1150233240495593"/>
          <c:h val="0.53955171921501455"/>
        </c:manualLayout>
      </c:layout>
      <c:overlay val="0"/>
      <c:txPr>
        <a:bodyPr/>
        <a:lstStyle/>
        <a:p>
          <a:pPr>
            <a:defRPr sz="1197"/>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876826490361"/>
          <c:y val="6.5160761154855695E-2"/>
          <c:w val="0.83361067934337496"/>
          <c:h val="0.76236534087026497"/>
        </c:manualLayout>
      </c:layout>
      <c:barChart>
        <c:barDir val="col"/>
        <c:grouping val="stacked"/>
        <c:varyColors val="0"/>
        <c:ser>
          <c:idx val="0"/>
          <c:order val="0"/>
          <c:tx>
            <c:v>Energy supply costs </c:v>
          </c:tx>
          <c:invertIfNegative val="0"/>
          <c:cat>
            <c:multiLvlStrRef>
              <c:f>'ELEC COMP'!$G$5:$V$6</c:f>
              <c:multiLvlStrCache>
                <c:ptCount val="16"/>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lvl>
                <c:lvl>
                  <c:pt idx="0">
                    <c:v>Poland </c:v>
                  </c:pt>
                  <c:pt idx="8">
                    <c:v>Bulgaria</c:v>
                  </c:pt>
                </c:lvl>
              </c:multiLvlStrCache>
            </c:multiLvlStrRef>
          </c:cat>
          <c:val>
            <c:numRef>
              <c:f>'GAS COMP'!$G$9:$V$9</c:f>
              <c:numCache>
                <c:formatCode>0.0</c:formatCode>
                <c:ptCount val="16"/>
                <c:pt idx="0">
                  <c:v>23.491379175116403</c:v>
                </c:pt>
                <c:pt idx="1">
                  <c:v>23.721722285839885</c:v>
                </c:pt>
                <c:pt idx="2">
                  <c:v>28.667607546220491</c:v>
                </c:pt>
                <c:pt idx="3">
                  <c:v>28.427812371066786</c:v>
                </c:pt>
                <c:pt idx="4">
                  <c:v>29.660982679599449</c:v>
                </c:pt>
                <c:pt idx="5">
                  <c:v>25.327602789990735</c:v>
                </c:pt>
                <c:pt idx="6">
                  <c:v>18.117699422015583</c:v>
                </c:pt>
                <c:pt idx="7">
                  <c:v>19.178143809731999</c:v>
                </c:pt>
                <c:pt idx="8">
                  <c:v>25.16448498984596</c:v>
                </c:pt>
                <c:pt idx="9">
                  <c:v>25.466581399585721</c:v>
                </c:pt>
                <c:pt idx="10">
                  <c:v>31.450333131347328</c:v>
                </c:pt>
                <c:pt idx="11">
                  <c:v>31.043543070016003</c:v>
                </c:pt>
                <c:pt idx="12">
                  <c:v>28.294242434445124</c:v>
                </c:pt>
                <c:pt idx="13">
                  <c:v>26.677016015626126</c:v>
                </c:pt>
                <c:pt idx="14">
                  <c:v>21.955714799892792</c:v>
                </c:pt>
                <c:pt idx="15">
                  <c:v>18.405753717981248</c:v>
                </c:pt>
              </c:numCache>
            </c:numRef>
          </c:val>
          <c:extLst xmlns:c16r2="http://schemas.microsoft.com/office/drawing/2015/06/chart">
            <c:ext xmlns:c16="http://schemas.microsoft.com/office/drawing/2014/chart" uri="{C3380CC4-5D6E-409C-BE32-E72D297353CC}">
              <c16:uniqueId val="{00000000-A55B-49F8-A2DB-EDE2F2E15523}"/>
            </c:ext>
          </c:extLst>
        </c:ser>
        <c:ser>
          <c:idx val="1"/>
          <c:order val="1"/>
          <c:tx>
            <c:v>Network costs </c:v>
          </c:tx>
          <c:invertIfNegative val="0"/>
          <c:cat>
            <c:multiLvlStrRef>
              <c:f>'ELEC COMP'!$G$5:$V$6</c:f>
              <c:multiLvlStrCache>
                <c:ptCount val="16"/>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lvl>
                <c:lvl>
                  <c:pt idx="0">
                    <c:v>Poland </c:v>
                  </c:pt>
                  <c:pt idx="8">
                    <c:v>Bulgaria</c:v>
                  </c:pt>
                </c:lvl>
              </c:multiLvlStrCache>
            </c:multiLvlStrRef>
          </c:cat>
          <c:val>
            <c:numRef>
              <c:f>'GAS COMP'!$G$10:$V$10</c:f>
              <c:numCache>
                <c:formatCode>0.0</c:formatCode>
                <c:ptCount val="16"/>
                <c:pt idx="0">
                  <c:v>2.8339436531365334</c:v>
                </c:pt>
                <c:pt idx="1">
                  <c:v>4.1803536581252434</c:v>
                </c:pt>
                <c:pt idx="2">
                  <c:v>2.8357714789464996</c:v>
                </c:pt>
                <c:pt idx="3">
                  <c:v>2.7759781164538913</c:v>
                </c:pt>
                <c:pt idx="4">
                  <c:v>2.4980771407894791</c:v>
                </c:pt>
                <c:pt idx="5">
                  <c:v>2.7161332693738798</c:v>
                </c:pt>
                <c:pt idx="6">
                  <c:v>2.4321170573404389</c:v>
                </c:pt>
                <c:pt idx="7">
                  <c:v>2.6127847749065505</c:v>
                </c:pt>
                <c:pt idx="8">
                  <c:v>1.6624236803913908</c:v>
                </c:pt>
                <c:pt idx="9">
                  <c:v>1.644809043450141</c:v>
                </c:pt>
                <c:pt idx="10">
                  <c:v>1.8995692425918744</c:v>
                </c:pt>
                <c:pt idx="11">
                  <c:v>2.3710767123591441</c:v>
                </c:pt>
                <c:pt idx="12">
                  <c:v>2.6598666923894068</c:v>
                </c:pt>
                <c:pt idx="13">
                  <c:v>2.4450230402670505</c:v>
                </c:pt>
                <c:pt idx="14">
                  <c:v>3.5835814523308462</c:v>
                </c:pt>
                <c:pt idx="15">
                  <c:v>3.5260497693329831</c:v>
                </c:pt>
              </c:numCache>
            </c:numRef>
          </c:val>
          <c:extLst xmlns:c16r2="http://schemas.microsoft.com/office/drawing/2015/06/chart">
            <c:ext xmlns:c16="http://schemas.microsoft.com/office/drawing/2014/chart" uri="{C3380CC4-5D6E-409C-BE32-E72D297353CC}">
              <c16:uniqueId val="{00000001-A55B-49F8-A2DB-EDE2F2E15523}"/>
            </c:ext>
          </c:extLst>
        </c:ser>
        <c:ser>
          <c:idx val="3"/>
          <c:order val="2"/>
          <c:tx>
            <c:v>Other taxes, fees, levies and charges (excl. VAT)</c:v>
          </c:tx>
          <c:invertIfNegative val="0"/>
          <c:cat>
            <c:multiLvlStrRef>
              <c:f>'ELEC COMP'!$G$5:$V$6</c:f>
              <c:multiLvlStrCache>
                <c:ptCount val="16"/>
                <c:lvl>
                  <c:pt idx="0">
                    <c:v>2008</c:v>
                  </c:pt>
                  <c:pt idx="1">
                    <c:v>2010</c:v>
                  </c:pt>
                  <c:pt idx="2">
                    <c:v>2012</c:v>
                  </c:pt>
                  <c:pt idx="3">
                    <c:v>2013</c:v>
                  </c:pt>
                  <c:pt idx="4">
                    <c:v>2014</c:v>
                  </c:pt>
                  <c:pt idx="5">
                    <c:v>2015</c:v>
                  </c:pt>
                  <c:pt idx="6">
                    <c:v>2016</c:v>
                  </c:pt>
                  <c:pt idx="7">
                    <c:v>2017</c:v>
                  </c:pt>
                  <c:pt idx="8">
                    <c:v>2008</c:v>
                  </c:pt>
                  <c:pt idx="9">
                    <c:v>2010</c:v>
                  </c:pt>
                  <c:pt idx="10">
                    <c:v>2012</c:v>
                  </c:pt>
                  <c:pt idx="11">
                    <c:v>2013</c:v>
                  </c:pt>
                  <c:pt idx="12">
                    <c:v>2014</c:v>
                  </c:pt>
                  <c:pt idx="13">
                    <c:v>2015</c:v>
                  </c:pt>
                  <c:pt idx="14">
                    <c:v>2016</c:v>
                  </c:pt>
                  <c:pt idx="15">
                    <c:v>2017</c:v>
                  </c:pt>
                </c:lvl>
                <c:lvl>
                  <c:pt idx="0">
                    <c:v>Poland </c:v>
                  </c:pt>
                  <c:pt idx="8">
                    <c:v>Bulgaria</c:v>
                  </c:pt>
                </c:lvl>
              </c:multiLvlStrCache>
            </c:multiLvlStrRef>
          </c:cat>
          <c:val>
            <c:numRef>
              <c:f>'GAS COMP'!$G$11:$V$11</c:f>
              <c:numCache>
                <c:formatCode>0.0</c:formatCode>
                <c:ptCount val="16"/>
                <c:pt idx="0">
                  <c:v>8.4790825018326855E-5</c:v>
                </c:pt>
                <c:pt idx="1">
                  <c:v>6.9229823650394224E-5</c:v>
                </c:pt>
                <c:pt idx="2">
                  <c:v>0.14943895266368681</c:v>
                </c:pt>
                <c:pt idx="3">
                  <c:v>0.19803469167821422</c:v>
                </c:pt>
                <c:pt idx="4">
                  <c:v>0.20018516146954124</c:v>
                </c:pt>
                <c:pt idx="5">
                  <c:v>0.38803828728670997</c:v>
                </c:pt>
                <c:pt idx="6">
                  <c:v>0.2042387792243873</c:v>
                </c:pt>
                <c:pt idx="7">
                  <c:v>4.1775162231659252E-2</c:v>
                </c:pt>
                <c:pt idx="8">
                  <c:v>0.30684801574138371</c:v>
                </c:pt>
                <c:pt idx="9">
                  <c:v>0.59256204567591342</c:v>
                </c:pt>
                <c:pt idx="10">
                  <c:v>0.59509185822965871</c:v>
                </c:pt>
                <c:pt idx="11">
                  <c:v>0.57819274434445511</c:v>
                </c:pt>
                <c:pt idx="12">
                  <c:v>0.49609351389618855</c:v>
                </c:pt>
                <c:pt idx="13">
                  <c:v>0.55200265507954827</c:v>
                </c:pt>
                <c:pt idx="14">
                  <c:v>0.48024177847969146</c:v>
                </c:pt>
                <c:pt idx="15">
                  <c:v>0.37486010526439334</c:v>
                </c:pt>
              </c:numCache>
            </c:numRef>
          </c:val>
          <c:extLst xmlns:c16r2="http://schemas.microsoft.com/office/drawing/2015/06/chart">
            <c:ext xmlns:c16="http://schemas.microsoft.com/office/drawing/2014/chart" uri="{C3380CC4-5D6E-409C-BE32-E72D297353CC}">
              <c16:uniqueId val="{00000002-A55B-49F8-A2DB-EDE2F2E15523}"/>
            </c:ext>
          </c:extLst>
        </c:ser>
        <c:ser>
          <c:idx val="2"/>
          <c:order val="3"/>
          <c:tx>
            <c:strRef>
              <c:f>'GAS COMP'!$F$12</c:f>
              <c:strCache>
                <c:ptCount val="1"/>
                <c:pt idx="0">
                  <c:v>Number of observations</c:v>
                </c:pt>
              </c:strCache>
            </c:strRef>
          </c:tx>
          <c:spPr>
            <a:noFill/>
            <a:ln>
              <a:noFill/>
            </a:ln>
          </c:spPr>
          <c:invertIfNegative val="0"/>
          <c:val>
            <c:numRef>
              <c:f>'GAS COMP'!$G$12:$V$12</c:f>
              <c:numCache>
                <c:formatCode>General</c:formatCode>
                <c:ptCount val="16"/>
                <c:pt idx="0">
                  <c:v>5</c:v>
                </c:pt>
                <c:pt idx="1">
                  <c:v>7</c:v>
                </c:pt>
                <c:pt idx="2">
                  <c:v>8</c:v>
                </c:pt>
                <c:pt idx="3">
                  <c:v>8</c:v>
                </c:pt>
                <c:pt idx="4">
                  <c:v>8</c:v>
                </c:pt>
                <c:pt idx="5">
                  <c:v>5</c:v>
                </c:pt>
                <c:pt idx="6">
                  <c:v>10</c:v>
                </c:pt>
                <c:pt idx="7">
                  <c:v>8</c:v>
                </c:pt>
                <c:pt idx="8">
                  <c:v>3</c:v>
                </c:pt>
                <c:pt idx="9">
                  <c:v>4</c:v>
                </c:pt>
                <c:pt idx="10">
                  <c:v>4</c:v>
                </c:pt>
                <c:pt idx="11">
                  <c:v>4</c:v>
                </c:pt>
                <c:pt idx="12">
                  <c:v>4</c:v>
                </c:pt>
                <c:pt idx="13">
                  <c:v>4</c:v>
                </c:pt>
                <c:pt idx="14">
                  <c:v>4</c:v>
                </c:pt>
                <c:pt idx="15">
                  <c:v>4</c:v>
                </c:pt>
              </c:numCache>
            </c:numRef>
          </c:val>
          <c:extLst xmlns:c16r2="http://schemas.microsoft.com/office/drawing/2015/06/chart">
            <c:ext xmlns:c16="http://schemas.microsoft.com/office/drawing/2014/chart" uri="{C3380CC4-5D6E-409C-BE32-E72D297353CC}">
              <c16:uniqueId val="{00000003-A55B-49F8-A2DB-EDE2F2E15523}"/>
            </c:ext>
          </c:extLst>
        </c:ser>
        <c:dLbls>
          <c:showLegendKey val="0"/>
          <c:showVal val="0"/>
          <c:showCatName val="0"/>
          <c:showSerName val="0"/>
          <c:showPercent val="0"/>
          <c:showBubbleSize val="0"/>
        </c:dLbls>
        <c:gapWidth val="150"/>
        <c:overlap val="100"/>
        <c:axId val="96760576"/>
        <c:axId val="96762112"/>
      </c:barChart>
      <c:catAx>
        <c:axId val="96760576"/>
        <c:scaling>
          <c:orientation val="minMax"/>
        </c:scaling>
        <c:delete val="0"/>
        <c:axPos val="b"/>
        <c:numFmt formatCode="General" sourceLinked="0"/>
        <c:majorTickMark val="out"/>
        <c:minorTickMark val="none"/>
        <c:tickLblPos val="nextTo"/>
        <c:crossAx val="96762112"/>
        <c:crosses val="autoZero"/>
        <c:auto val="1"/>
        <c:lblAlgn val="ctr"/>
        <c:lblOffset val="100"/>
        <c:noMultiLvlLbl val="0"/>
      </c:catAx>
      <c:valAx>
        <c:axId val="96762112"/>
        <c:scaling>
          <c:orientation val="minMax"/>
          <c:max val="40"/>
        </c:scaling>
        <c:delete val="0"/>
        <c:axPos val="l"/>
        <c:majorGridlines/>
        <c:title>
          <c:tx>
            <c:rich>
              <a:bodyPr/>
              <a:lstStyle/>
              <a:p>
                <a:pPr>
                  <a:defRPr sz="1098" b="1" i="0" u="none" strike="noStrike" baseline="0">
                    <a:solidFill>
                      <a:srgbClr val="000000"/>
                    </a:solidFill>
                    <a:latin typeface="Calibri"/>
                    <a:ea typeface="Calibri"/>
                    <a:cs typeface="Calibri"/>
                  </a:defRPr>
                </a:pPr>
                <a:r>
                  <a:rPr lang="en-GB" sz="1198" b="1" i="0" baseline="0">
                    <a:effectLst/>
                  </a:rPr>
                  <a:t>Natural gas price (€/MWh)</a:t>
                </a:r>
                <a:endParaRPr lang="en-GB" sz="1100">
                  <a:effectLst/>
                </a:endParaRPr>
              </a:p>
            </c:rich>
          </c:tx>
          <c:layout>
            <c:manualLayout>
              <c:xMode val="edge"/>
              <c:yMode val="edge"/>
              <c:x val="0.14891915433647718"/>
              <c:y val="0.22916998735481953"/>
            </c:manualLayout>
          </c:layout>
          <c:overlay val="0"/>
        </c:title>
        <c:numFmt formatCode="0.0" sourceLinked="1"/>
        <c:majorTickMark val="out"/>
        <c:minorTickMark val="none"/>
        <c:tickLblPos val="nextTo"/>
        <c:txPr>
          <a:bodyPr/>
          <a:lstStyle/>
          <a:p>
            <a:pPr>
              <a:defRPr sz="1198"/>
            </a:pPr>
            <a:endParaRPr lang="en-US"/>
          </a:p>
        </c:txPr>
        <c:crossAx val="96760576"/>
        <c:crosses val="autoZero"/>
        <c:crossBetween val="between"/>
      </c:valAx>
      <c:dTable>
        <c:showHorzBorder val="1"/>
        <c:showVertBorder val="1"/>
        <c:showOutline val="1"/>
        <c:showKeys val="1"/>
        <c:txPr>
          <a:bodyPr/>
          <a:lstStyle/>
          <a:p>
            <a:pPr rtl="0">
              <a:defRPr sz="699"/>
            </a:pPr>
            <a:endParaRPr lang="en-US"/>
          </a:p>
        </c:txPr>
      </c:dTable>
    </c:plotArea>
    <c:legend>
      <c:legendPos val="r"/>
      <c:legendEntry>
        <c:idx val="0"/>
        <c:delete val="1"/>
      </c:legendEntry>
      <c:legendEntry>
        <c:idx val="1"/>
        <c:txPr>
          <a:bodyPr/>
          <a:lstStyle/>
          <a:p>
            <a:pPr>
              <a:defRPr sz="1198"/>
            </a:pPr>
            <a:endParaRPr lang="en-US"/>
          </a:p>
        </c:txPr>
      </c:legendEntry>
      <c:legendEntry>
        <c:idx val="2"/>
        <c:txPr>
          <a:bodyPr/>
          <a:lstStyle/>
          <a:p>
            <a:pPr>
              <a:defRPr sz="1198"/>
            </a:pPr>
            <a:endParaRPr lang="en-US"/>
          </a:p>
        </c:txPr>
      </c:legendEntry>
      <c:layout>
        <c:manualLayout>
          <c:xMode val="edge"/>
          <c:yMode val="edge"/>
          <c:x val="8.2545066482074356E-3"/>
          <c:y val="0.18400140265867579"/>
          <c:w val="0.1218423466297482"/>
          <c:h val="0.56028286949961215"/>
        </c:manualLayout>
      </c:layout>
      <c:overlay val="0"/>
      <c:txPr>
        <a:bodyPr/>
        <a:lstStyle/>
        <a:p>
          <a:pPr>
            <a:defRPr sz="1198"/>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PC2018">
    <a:dk1>
      <a:sysClr val="windowText" lastClr="000000"/>
    </a:dk1>
    <a:lt1>
      <a:sysClr val="window" lastClr="FFFFFF"/>
    </a:lt1>
    <a:dk2>
      <a:srgbClr val="009DC5"/>
    </a:dk2>
    <a:lt2>
      <a:srgbClr val="CEDBE6"/>
    </a:lt2>
    <a:accent1>
      <a:srgbClr val="B1C6D7"/>
    </a:accent1>
    <a:accent2>
      <a:srgbClr val="8F8F8F"/>
    </a:accent2>
    <a:accent3>
      <a:srgbClr val="37546C"/>
    </a:accent3>
    <a:accent4>
      <a:srgbClr val="0F161D"/>
    </a:accent4>
    <a:accent5>
      <a:srgbClr val="86A6C1"/>
    </a:accent5>
    <a:accent6>
      <a:srgbClr val="B9C401"/>
    </a:accent6>
    <a:hlink>
      <a:srgbClr val="6B9F25"/>
    </a:hlink>
    <a:folHlink>
      <a:srgbClr val="9F6715"/>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PC2018">
    <a:dk1>
      <a:sysClr val="windowText" lastClr="000000"/>
    </a:dk1>
    <a:lt1>
      <a:sysClr val="window" lastClr="FFFFFF"/>
    </a:lt1>
    <a:dk2>
      <a:srgbClr val="009DC5"/>
    </a:dk2>
    <a:lt2>
      <a:srgbClr val="CEDBE6"/>
    </a:lt2>
    <a:accent1>
      <a:srgbClr val="B1C6D7"/>
    </a:accent1>
    <a:accent2>
      <a:srgbClr val="8F8F8F"/>
    </a:accent2>
    <a:accent3>
      <a:srgbClr val="37546C"/>
    </a:accent3>
    <a:accent4>
      <a:srgbClr val="0F161D"/>
    </a:accent4>
    <a:accent5>
      <a:srgbClr val="86A6C1"/>
    </a:accent5>
    <a:accent6>
      <a:srgbClr val="B9C401"/>
    </a:accent6>
    <a:hlink>
      <a:srgbClr val="6B9F25"/>
    </a:hlink>
    <a:folHlink>
      <a:srgbClr val="9F6715"/>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PC2018">
    <a:dk1>
      <a:sysClr val="windowText" lastClr="000000"/>
    </a:dk1>
    <a:lt1>
      <a:sysClr val="window" lastClr="FFFFFF"/>
    </a:lt1>
    <a:dk2>
      <a:srgbClr val="009DC5"/>
    </a:dk2>
    <a:lt2>
      <a:srgbClr val="CEDBE6"/>
    </a:lt2>
    <a:accent1>
      <a:srgbClr val="B1C6D7"/>
    </a:accent1>
    <a:accent2>
      <a:srgbClr val="8F8F8F"/>
    </a:accent2>
    <a:accent3>
      <a:srgbClr val="37546C"/>
    </a:accent3>
    <a:accent4>
      <a:srgbClr val="0F161D"/>
    </a:accent4>
    <a:accent5>
      <a:srgbClr val="86A6C1"/>
    </a:accent5>
    <a:accent6>
      <a:srgbClr val="B9C401"/>
    </a:accent6>
    <a:hlink>
      <a:srgbClr val="6B9F25"/>
    </a:hlink>
    <a:folHlink>
      <a:srgbClr val="9F6715"/>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PC2018">
    <a:dk1>
      <a:sysClr val="windowText" lastClr="000000"/>
    </a:dk1>
    <a:lt1>
      <a:sysClr val="window" lastClr="FFFFFF"/>
    </a:lt1>
    <a:dk2>
      <a:srgbClr val="009DC5"/>
    </a:dk2>
    <a:lt2>
      <a:srgbClr val="CEDBE6"/>
    </a:lt2>
    <a:accent1>
      <a:srgbClr val="B1C6D7"/>
    </a:accent1>
    <a:accent2>
      <a:srgbClr val="8F8F8F"/>
    </a:accent2>
    <a:accent3>
      <a:srgbClr val="37546C"/>
    </a:accent3>
    <a:accent4>
      <a:srgbClr val="0F161D"/>
    </a:accent4>
    <a:accent5>
      <a:srgbClr val="86A6C1"/>
    </a:accent5>
    <a:accent6>
      <a:srgbClr val="B9C401"/>
    </a:accent6>
    <a:hlink>
      <a:srgbClr val="6B9F25"/>
    </a:hlink>
    <a:folHlink>
      <a:srgbClr val="9F6715"/>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PC2018">
    <a:dk1>
      <a:sysClr val="windowText" lastClr="000000"/>
    </a:dk1>
    <a:lt1>
      <a:sysClr val="window" lastClr="FFFFFF"/>
    </a:lt1>
    <a:dk2>
      <a:srgbClr val="009DC5"/>
    </a:dk2>
    <a:lt2>
      <a:srgbClr val="CEDBE6"/>
    </a:lt2>
    <a:accent1>
      <a:srgbClr val="B1C6D7"/>
    </a:accent1>
    <a:accent2>
      <a:srgbClr val="8F8F8F"/>
    </a:accent2>
    <a:accent3>
      <a:srgbClr val="37546C"/>
    </a:accent3>
    <a:accent4>
      <a:srgbClr val="0F161D"/>
    </a:accent4>
    <a:accent5>
      <a:srgbClr val="86A6C1"/>
    </a:accent5>
    <a:accent6>
      <a:srgbClr val="B9C401"/>
    </a:accent6>
    <a:hlink>
      <a:srgbClr val="6B9F25"/>
    </a:hlink>
    <a:folHlink>
      <a:srgbClr val="9F6715"/>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PC2018">
    <a:dk1>
      <a:sysClr val="windowText" lastClr="000000"/>
    </a:dk1>
    <a:lt1>
      <a:sysClr val="window" lastClr="FFFFFF"/>
    </a:lt1>
    <a:dk2>
      <a:srgbClr val="009DC5"/>
    </a:dk2>
    <a:lt2>
      <a:srgbClr val="CEDBE6"/>
    </a:lt2>
    <a:accent1>
      <a:srgbClr val="B1C6D7"/>
    </a:accent1>
    <a:accent2>
      <a:srgbClr val="8F8F8F"/>
    </a:accent2>
    <a:accent3>
      <a:srgbClr val="37546C"/>
    </a:accent3>
    <a:accent4>
      <a:srgbClr val="0F161D"/>
    </a:accent4>
    <a:accent5>
      <a:srgbClr val="86A6C1"/>
    </a:accent5>
    <a:accent6>
      <a:srgbClr val="B9C401"/>
    </a:accent6>
    <a:hlink>
      <a:srgbClr val="6B9F25"/>
    </a:hlink>
    <a:folHlink>
      <a:srgbClr val="9F6715"/>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5108ABC-8F73-471A-9BE4-B1C2D332CE2C}">
  <ds:schemaRefs>
    <ds:schemaRef ds:uri="http://schemas.microsoft.com/office/2006/documentManagement/types"/>
    <ds:schemaRef ds:uri="5abd62ad-0606-492b-b6b3-a241217a7a72"/>
    <ds:schemaRef ds:uri="http://schemas.microsoft.com/office/2006/metadata/properties"/>
    <ds:schemaRef ds:uri="http://purl.org/dc/elements/1.1/"/>
    <ds:schemaRef ds:uri="http://schemas.microsoft.com/sharepoint/v3/fields"/>
    <ds:schemaRef ds:uri="http://schemas.openxmlformats.org/package/2006/metadata/core-properties"/>
    <ds:schemaRef ds:uri="http://purl.org/dc/term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B0462695-9EAB-4C07-98FC-3F04428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4.xml><?xml version="1.0" encoding="utf-8"?>
<ds:datastoreItem xmlns:ds="http://schemas.openxmlformats.org/officeDocument/2006/customXml" ds:itemID="{66F48511-27EB-4DF0-8FCC-CA9CCA1D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17</Pages>
  <Words>19525</Words>
  <Characters>102508</Characters>
  <Application>Microsoft Office Word</Application>
  <DocSecurity>0</DocSecurity>
  <Lines>4456</Lines>
  <Paragraphs>2976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119057</CharactersWithSpaces>
  <SharedDoc>false</SharedDoc>
  <HLinks>
    <vt:vector size="246" baseType="variant">
      <vt:variant>
        <vt:i4>6946942</vt:i4>
      </vt:variant>
      <vt:variant>
        <vt:i4>366</vt:i4>
      </vt:variant>
      <vt:variant>
        <vt:i4>0</vt:i4>
      </vt:variant>
      <vt:variant>
        <vt:i4>5</vt:i4>
      </vt:variant>
      <vt:variant>
        <vt:lpwstr>http://www2.deloitte.com/global/en/pages/manufacturing/articles/global-manufacturing-competitiveness-index.html</vt:lpwstr>
      </vt:variant>
      <vt:variant>
        <vt:lpwstr/>
      </vt:variant>
      <vt:variant>
        <vt:i4>2556031</vt:i4>
      </vt:variant>
      <vt:variant>
        <vt:i4>363</vt:i4>
      </vt:variant>
      <vt:variant>
        <vt:i4>0</vt:i4>
      </vt:variant>
      <vt:variant>
        <vt:i4>5</vt:i4>
      </vt:variant>
      <vt:variant>
        <vt:lpwstr>https://openknowledge.worldbank.org/bitstream/handle/10986/2248/673620PUB0EPI007869B009780821389379.pdf?sequence=1</vt:lpwstr>
      </vt:variant>
      <vt:variant>
        <vt:lpwstr/>
      </vt:variant>
      <vt:variant>
        <vt:i4>8126499</vt:i4>
      </vt:variant>
      <vt:variant>
        <vt:i4>360</vt:i4>
      </vt:variant>
      <vt:variant>
        <vt:i4>0</vt:i4>
      </vt:variant>
      <vt:variant>
        <vt:i4>5</vt:i4>
      </vt:variant>
      <vt:variant>
        <vt:lpwstr>http://www.oecd.org/economy/reform/</vt:lpwstr>
      </vt:variant>
      <vt:variant>
        <vt:lpwstr/>
      </vt:variant>
      <vt:variant>
        <vt:i4>3801133</vt:i4>
      </vt:variant>
      <vt:variant>
        <vt:i4>357</vt:i4>
      </vt:variant>
      <vt:variant>
        <vt:i4>0</vt:i4>
      </vt:variant>
      <vt:variant>
        <vt:i4>5</vt:i4>
      </vt:variant>
      <vt:variant>
        <vt:lpwstr>http://www.imd.org/wcc/</vt:lpwstr>
      </vt:variant>
      <vt:variant>
        <vt:lpwstr/>
      </vt:variant>
      <vt:variant>
        <vt:i4>6619252</vt:i4>
      </vt:variant>
      <vt:variant>
        <vt:i4>354</vt:i4>
      </vt:variant>
      <vt:variant>
        <vt:i4>0</vt:i4>
      </vt:variant>
      <vt:variant>
        <vt:i4>5</vt:i4>
      </vt:variant>
      <vt:variant>
        <vt:lpwstr>http://reports.weforum.org/global-competitiveness-report-2015-2016/</vt:lpwstr>
      </vt:variant>
      <vt:variant>
        <vt:lpwstr/>
      </vt:variant>
      <vt:variant>
        <vt:i4>1114170</vt:i4>
      </vt:variant>
      <vt:variant>
        <vt:i4>122</vt:i4>
      </vt:variant>
      <vt:variant>
        <vt:i4>0</vt:i4>
      </vt:variant>
      <vt:variant>
        <vt:i4>5</vt:i4>
      </vt:variant>
      <vt:variant>
        <vt:lpwstr/>
      </vt:variant>
      <vt:variant>
        <vt:lpwstr>_Toc446605814</vt:lpwstr>
      </vt:variant>
      <vt:variant>
        <vt:i4>1114170</vt:i4>
      </vt:variant>
      <vt:variant>
        <vt:i4>116</vt:i4>
      </vt:variant>
      <vt:variant>
        <vt:i4>0</vt:i4>
      </vt:variant>
      <vt:variant>
        <vt:i4>5</vt:i4>
      </vt:variant>
      <vt:variant>
        <vt:lpwstr/>
      </vt:variant>
      <vt:variant>
        <vt:lpwstr>_Toc446605813</vt:lpwstr>
      </vt:variant>
      <vt:variant>
        <vt:i4>1114170</vt:i4>
      </vt:variant>
      <vt:variant>
        <vt:i4>110</vt:i4>
      </vt:variant>
      <vt:variant>
        <vt:i4>0</vt:i4>
      </vt:variant>
      <vt:variant>
        <vt:i4>5</vt:i4>
      </vt:variant>
      <vt:variant>
        <vt:lpwstr/>
      </vt:variant>
      <vt:variant>
        <vt:lpwstr>_Toc446605812</vt:lpwstr>
      </vt:variant>
      <vt:variant>
        <vt:i4>1114170</vt:i4>
      </vt:variant>
      <vt:variant>
        <vt:i4>104</vt:i4>
      </vt:variant>
      <vt:variant>
        <vt:i4>0</vt:i4>
      </vt:variant>
      <vt:variant>
        <vt:i4>5</vt:i4>
      </vt:variant>
      <vt:variant>
        <vt:lpwstr/>
      </vt:variant>
      <vt:variant>
        <vt:lpwstr>_Toc446605811</vt:lpwstr>
      </vt:variant>
      <vt:variant>
        <vt:i4>1114170</vt:i4>
      </vt:variant>
      <vt:variant>
        <vt:i4>98</vt:i4>
      </vt:variant>
      <vt:variant>
        <vt:i4>0</vt:i4>
      </vt:variant>
      <vt:variant>
        <vt:i4>5</vt:i4>
      </vt:variant>
      <vt:variant>
        <vt:lpwstr/>
      </vt:variant>
      <vt:variant>
        <vt:lpwstr>_Toc446605810</vt:lpwstr>
      </vt:variant>
      <vt:variant>
        <vt:i4>1048634</vt:i4>
      </vt:variant>
      <vt:variant>
        <vt:i4>92</vt:i4>
      </vt:variant>
      <vt:variant>
        <vt:i4>0</vt:i4>
      </vt:variant>
      <vt:variant>
        <vt:i4>5</vt:i4>
      </vt:variant>
      <vt:variant>
        <vt:lpwstr/>
      </vt:variant>
      <vt:variant>
        <vt:lpwstr>_Toc446605809</vt:lpwstr>
      </vt:variant>
      <vt:variant>
        <vt:i4>1048634</vt:i4>
      </vt:variant>
      <vt:variant>
        <vt:i4>86</vt:i4>
      </vt:variant>
      <vt:variant>
        <vt:i4>0</vt:i4>
      </vt:variant>
      <vt:variant>
        <vt:i4>5</vt:i4>
      </vt:variant>
      <vt:variant>
        <vt:lpwstr/>
      </vt:variant>
      <vt:variant>
        <vt:lpwstr>_Toc446605808</vt:lpwstr>
      </vt:variant>
      <vt:variant>
        <vt:i4>1048634</vt:i4>
      </vt:variant>
      <vt:variant>
        <vt:i4>80</vt:i4>
      </vt:variant>
      <vt:variant>
        <vt:i4>0</vt:i4>
      </vt:variant>
      <vt:variant>
        <vt:i4>5</vt:i4>
      </vt:variant>
      <vt:variant>
        <vt:lpwstr/>
      </vt:variant>
      <vt:variant>
        <vt:lpwstr>_Toc446605807</vt:lpwstr>
      </vt:variant>
      <vt:variant>
        <vt:i4>1048634</vt:i4>
      </vt:variant>
      <vt:variant>
        <vt:i4>74</vt:i4>
      </vt:variant>
      <vt:variant>
        <vt:i4>0</vt:i4>
      </vt:variant>
      <vt:variant>
        <vt:i4>5</vt:i4>
      </vt:variant>
      <vt:variant>
        <vt:lpwstr/>
      </vt:variant>
      <vt:variant>
        <vt:lpwstr>_Toc446605806</vt:lpwstr>
      </vt:variant>
      <vt:variant>
        <vt:i4>1048634</vt:i4>
      </vt:variant>
      <vt:variant>
        <vt:i4>68</vt:i4>
      </vt:variant>
      <vt:variant>
        <vt:i4>0</vt:i4>
      </vt:variant>
      <vt:variant>
        <vt:i4>5</vt:i4>
      </vt:variant>
      <vt:variant>
        <vt:lpwstr/>
      </vt:variant>
      <vt:variant>
        <vt:lpwstr>_Toc446605805</vt:lpwstr>
      </vt:variant>
      <vt:variant>
        <vt:i4>1048634</vt:i4>
      </vt:variant>
      <vt:variant>
        <vt:i4>62</vt:i4>
      </vt:variant>
      <vt:variant>
        <vt:i4>0</vt:i4>
      </vt:variant>
      <vt:variant>
        <vt:i4>5</vt:i4>
      </vt:variant>
      <vt:variant>
        <vt:lpwstr/>
      </vt:variant>
      <vt:variant>
        <vt:lpwstr>_Toc446605804</vt:lpwstr>
      </vt:variant>
      <vt:variant>
        <vt:i4>1048634</vt:i4>
      </vt:variant>
      <vt:variant>
        <vt:i4>56</vt:i4>
      </vt:variant>
      <vt:variant>
        <vt:i4>0</vt:i4>
      </vt:variant>
      <vt:variant>
        <vt:i4>5</vt:i4>
      </vt:variant>
      <vt:variant>
        <vt:lpwstr/>
      </vt:variant>
      <vt:variant>
        <vt:lpwstr>_Toc446605803</vt:lpwstr>
      </vt:variant>
      <vt:variant>
        <vt:i4>1048634</vt:i4>
      </vt:variant>
      <vt:variant>
        <vt:i4>50</vt:i4>
      </vt:variant>
      <vt:variant>
        <vt:i4>0</vt:i4>
      </vt:variant>
      <vt:variant>
        <vt:i4>5</vt:i4>
      </vt:variant>
      <vt:variant>
        <vt:lpwstr/>
      </vt:variant>
      <vt:variant>
        <vt:lpwstr>_Toc446605802</vt:lpwstr>
      </vt:variant>
      <vt:variant>
        <vt:i4>1048634</vt:i4>
      </vt:variant>
      <vt:variant>
        <vt:i4>44</vt:i4>
      </vt:variant>
      <vt:variant>
        <vt:i4>0</vt:i4>
      </vt:variant>
      <vt:variant>
        <vt:i4>5</vt:i4>
      </vt:variant>
      <vt:variant>
        <vt:lpwstr/>
      </vt:variant>
      <vt:variant>
        <vt:lpwstr>_Toc446605801</vt:lpwstr>
      </vt:variant>
      <vt:variant>
        <vt:i4>1048634</vt:i4>
      </vt:variant>
      <vt:variant>
        <vt:i4>38</vt:i4>
      </vt:variant>
      <vt:variant>
        <vt:i4>0</vt:i4>
      </vt:variant>
      <vt:variant>
        <vt:i4>5</vt:i4>
      </vt:variant>
      <vt:variant>
        <vt:lpwstr/>
      </vt:variant>
      <vt:variant>
        <vt:lpwstr>_Toc446605800</vt:lpwstr>
      </vt:variant>
      <vt:variant>
        <vt:i4>1638453</vt:i4>
      </vt:variant>
      <vt:variant>
        <vt:i4>32</vt:i4>
      </vt:variant>
      <vt:variant>
        <vt:i4>0</vt:i4>
      </vt:variant>
      <vt:variant>
        <vt:i4>5</vt:i4>
      </vt:variant>
      <vt:variant>
        <vt:lpwstr/>
      </vt:variant>
      <vt:variant>
        <vt:lpwstr>_Toc446605799</vt:lpwstr>
      </vt:variant>
      <vt:variant>
        <vt:i4>1638453</vt:i4>
      </vt:variant>
      <vt:variant>
        <vt:i4>26</vt:i4>
      </vt:variant>
      <vt:variant>
        <vt:i4>0</vt:i4>
      </vt:variant>
      <vt:variant>
        <vt:i4>5</vt:i4>
      </vt:variant>
      <vt:variant>
        <vt:lpwstr/>
      </vt:variant>
      <vt:variant>
        <vt:lpwstr>_Toc446605798</vt:lpwstr>
      </vt:variant>
      <vt:variant>
        <vt:i4>1638453</vt:i4>
      </vt:variant>
      <vt:variant>
        <vt:i4>20</vt:i4>
      </vt:variant>
      <vt:variant>
        <vt:i4>0</vt:i4>
      </vt:variant>
      <vt:variant>
        <vt:i4>5</vt:i4>
      </vt:variant>
      <vt:variant>
        <vt:lpwstr/>
      </vt:variant>
      <vt:variant>
        <vt:lpwstr>_Toc446605797</vt:lpwstr>
      </vt:variant>
      <vt:variant>
        <vt:i4>1638453</vt:i4>
      </vt:variant>
      <vt:variant>
        <vt:i4>14</vt:i4>
      </vt:variant>
      <vt:variant>
        <vt:i4>0</vt:i4>
      </vt:variant>
      <vt:variant>
        <vt:i4>5</vt:i4>
      </vt:variant>
      <vt:variant>
        <vt:lpwstr/>
      </vt:variant>
      <vt:variant>
        <vt:lpwstr>_Toc446605796</vt:lpwstr>
      </vt:variant>
      <vt:variant>
        <vt:i4>1638453</vt:i4>
      </vt:variant>
      <vt:variant>
        <vt:i4>8</vt:i4>
      </vt:variant>
      <vt:variant>
        <vt:i4>0</vt:i4>
      </vt:variant>
      <vt:variant>
        <vt:i4>5</vt:i4>
      </vt:variant>
      <vt:variant>
        <vt:lpwstr/>
      </vt:variant>
      <vt:variant>
        <vt:lpwstr>_Toc446605795</vt:lpwstr>
      </vt:variant>
      <vt:variant>
        <vt:i4>1638453</vt:i4>
      </vt:variant>
      <vt:variant>
        <vt:i4>2</vt:i4>
      </vt:variant>
      <vt:variant>
        <vt:i4>0</vt:i4>
      </vt:variant>
      <vt:variant>
        <vt:i4>5</vt:i4>
      </vt:variant>
      <vt:variant>
        <vt:lpwstr/>
      </vt:variant>
      <vt:variant>
        <vt:lpwstr>_Toc446605794</vt:lpwstr>
      </vt:variant>
      <vt:variant>
        <vt:i4>6094854</vt:i4>
      </vt:variant>
      <vt:variant>
        <vt:i4>42</vt:i4>
      </vt:variant>
      <vt:variant>
        <vt:i4>0</vt:i4>
      </vt:variant>
      <vt:variant>
        <vt:i4>5</vt:i4>
      </vt:variant>
      <vt:variant>
        <vt:lpwstr>https://ec.europa.eu/energy/en/statistics/weekly-oil-bulletin</vt:lpwstr>
      </vt:variant>
      <vt:variant>
        <vt:lpwstr/>
      </vt:variant>
      <vt:variant>
        <vt:i4>6225993</vt:i4>
      </vt:variant>
      <vt:variant>
        <vt:i4>39</vt:i4>
      </vt:variant>
      <vt:variant>
        <vt:i4>0</vt:i4>
      </vt:variant>
      <vt:variant>
        <vt:i4>5</vt:i4>
      </vt:variant>
      <vt:variant>
        <vt:lpwstr>https://ec.europa.eu/energy/sites/ener/files/documents/1999-280_council_decision.pdf</vt:lpwstr>
      </vt:variant>
      <vt:variant>
        <vt:lpwstr/>
      </vt:variant>
      <vt:variant>
        <vt:i4>2883592</vt:i4>
      </vt:variant>
      <vt:variant>
        <vt:i4>36</vt:i4>
      </vt:variant>
      <vt:variant>
        <vt:i4>0</vt:i4>
      </vt:variant>
      <vt:variant>
        <vt:i4>5</vt:i4>
      </vt:variant>
      <vt:variant>
        <vt:lpwstr>http://ec.europa.eu/taxation_customs/resources/documents/taxation/vat/how_vat_works/rates/vat_rates_en.pdf</vt:lpwstr>
      </vt:variant>
      <vt:variant>
        <vt:lpwstr/>
      </vt:variant>
      <vt:variant>
        <vt:i4>2228246</vt:i4>
      </vt:variant>
      <vt:variant>
        <vt:i4>33</vt:i4>
      </vt:variant>
      <vt:variant>
        <vt:i4>0</vt:i4>
      </vt:variant>
      <vt:variant>
        <vt:i4>5</vt:i4>
      </vt:variant>
      <vt:variant>
        <vt:lpwstr>http://ec.europa.eu/taxation_customs/resources/documents/taxation/excise_duties/energy_products/rates/excise_duties_energy_products_en.pdf</vt:lpwstr>
      </vt:variant>
      <vt:variant>
        <vt:lpwstr/>
      </vt:variant>
      <vt:variant>
        <vt:i4>7536674</vt:i4>
      </vt:variant>
      <vt:variant>
        <vt:i4>30</vt:i4>
      </vt:variant>
      <vt:variant>
        <vt:i4>0</vt:i4>
      </vt:variant>
      <vt:variant>
        <vt:i4>5</vt:i4>
      </vt:variant>
      <vt:variant>
        <vt:lpwstr>http://ec.europa.eu/taxation_customs/resources/documents/taxation/excise_duties/energy_products/rates/excise_duties-part_ii_energy_products_en.pdf</vt:lpwstr>
      </vt:variant>
      <vt:variant>
        <vt:lpwstr/>
      </vt:variant>
      <vt:variant>
        <vt:i4>5898258</vt:i4>
      </vt:variant>
      <vt:variant>
        <vt:i4>27</vt:i4>
      </vt:variant>
      <vt:variant>
        <vt:i4>0</vt:i4>
      </vt:variant>
      <vt:variant>
        <vt:i4>5</vt:i4>
      </vt:variant>
      <vt:variant>
        <vt:lpwstr>http://eur-lex.europa.eu/LexUriServ/LexUriServ.do?uri=OJ:L:2003:283:0051:0070:EN:PDF</vt:lpwstr>
      </vt:variant>
      <vt:variant>
        <vt:lpwstr/>
      </vt:variant>
      <vt:variant>
        <vt:i4>1245252</vt:i4>
      </vt:variant>
      <vt:variant>
        <vt:i4>24</vt:i4>
      </vt:variant>
      <vt:variant>
        <vt:i4>0</vt:i4>
      </vt:variant>
      <vt:variant>
        <vt:i4>5</vt:i4>
      </vt:variant>
      <vt:variant>
        <vt:lpwstr>http://www.oecd-library.org/docserver/download/6114031ec011.pdf?expires=1461084656&amp;id=id&amp;accname=oid031827&amp;checksum=12F571270E33482CF12EF7226D88CE98</vt:lpwstr>
      </vt:variant>
      <vt:variant>
        <vt:lpwstr/>
      </vt:variant>
      <vt:variant>
        <vt:i4>589894</vt:i4>
      </vt:variant>
      <vt:variant>
        <vt:i4>21</vt:i4>
      </vt:variant>
      <vt:variant>
        <vt:i4>0</vt:i4>
      </vt:variant>
      <vt:variant>
        <vt:i4>5</vt:i4>
      </vt:variant>
      <vt:variant>
        <vt:lpwstr>https://www.imf.org/external/pubs/ft/wp/2015/wp15105.pdf</vt:lpwstr>
      </vt:variant>
      <vt:variant>
        <vt:lpwstr/>
      </vt:variant>
      <vt:variant>
        <vt:i4>3276927</vt:i4>
      </vt:variant>
      <vt:variant>
        <vt:i4>18</vt:i4>
      </vt:variant>
      <vt:variant>
        <vt:i4>0</vt:i4>
      </vt:variant>
      <vt:variant>
        <vt:i4>5</vt:i4>
      </vt:variant>
      <vt:variant>
        <vt:lpwstr>http://ec.europa.eu/environment/enveco/taxation/pdf/201412ffs_final_report.pdf</vt:lpwstr>
      </vt:variant>
      <vt:variant>
        <vt:lpwstr/>
      </vt:variant>
      <vt:variant>
        <vt:i4>3080234</vt:i4>
      </vt:variant>
      <vt:variant>
        <vt:i4>15</vt:i4>
      </vt:variant>
      <vt:variant>
        <vt:i4>0</vt:i4>
      </vt:variant>
      <vt:variant>
        <vt:i4>5</vt:i4>
      </vt:variant>
      <vt:variant>
        <vt:lpwstr>https://ec.europa.eu/energy/sites/ener/files/documents/20141013_subsidies_costs_eu_energy.pdf</vt:lpwstr>
      </vt:variant>
      <vt:variant>
        <vt:lpwstr/>
      </vt:variant>
      <vt:variant>
        <vt:i4>7274618</vt:i4>
      </vt:variant>
      <vt:variant>
        <vt:i4>12</vt:i4>
      </vt:variant>
      <vt:variant>
        <vt:i4>0</vt:i4>
      </vt:variant>
      <vt:variant>
        <vt:i4>5</vt:i4>
      </vt:variant>
      <vt:variant>
        <vt:lpwstr>http://www.odyssee-mure.eu/</vt:lpwstr>
      </vt:variant>
      <vt:variant>
        <vt:lpwstr/>
      </vt:variant>
      <vt:variant>
        <vt:i4>4718617</vt:i4>
      </vt:variant>
      <vt:variant>
        <vt:i4>9</vt:i4>
      </vt:variant>
      <vt:variant>
        <vt:i4>0</vt:i4>
      </vt:variant>
      <vt:variant>
        <vt:i4>5</vt:i4>
      </vt:variant>
      <vt:variant>
        <vt:lpwstr>http://www.ecb.europa.eu/stats/exchange/eurofxref/html/index.en.html</vt:lpwstr>
      </vt:variant>
      <vt:variant>
        <vt:lpwstr/>
      </vt:variant>
      <vt:variant>
        <vt:i4>6488163</vt:i4>
      </vt:variant>
      <vt:variant>
        <vt:i4>6</vt:i4>
      </vt:variant>
      <vt:variant>
        <vt:i4>0</vt:i4>
      </vt:variant>
      <vt:variant>
        <vt:i4>5</vt:i4>
      </vt:variant>
      <vt:variant>
        <vt:lpwstr>http://www.bafa.de/bafa/de/energie/erdgas/ausgewaehlte_statistiken/egasmon_xls.xls</vt:lpwstr>
      </vt:variant>
      <vt:variant>
        <vt:lpwstr/>
      </vt:variant>
      <vt:variant>
        <vt:i4>3539005</vt:i4>
      </vt:variant>
      <vt:variant>
        <vt:i4>3</vt:i4>
      </vt:variant>
      <vt:variant>
        <vt:i4>0</vt:i4>
      </vt:variant>
      <vt:variant>
        <vt:i4>5</vt:i4>
      </vt:variant>
      <vt:variant>
        <vt:lpwstr>https://ec.europa.eu/energy/en/statistics/eu-crude-oil-imports</vt:lpwstr>
      </vt:variant>
      <vt:variant>
        <vt:lpwstr/>
      </vt:variant>
      <vt:variant>
        <vt:i4>3538994</vt:i4>
      </vt:variant>
      <vt:variant>
        <vt:i4>0</vt:i4>
      </vt:variant>
      <vt:variant>
        <vt:i4>0</vt:i4>
      </vt:variant>
      <vt:variant>
        <vt:i4>5</vt:i4>
      </vt:variant>
      <vt:variant>
        <vt:lpwstr>http://eur-lex.europa.eu/legal-content/EN/ALL/?uri=CELEX:31995R2964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69</cp:revision>
  <cp:lastPrinted>2018-10-12T07:15:00Z</cp:lastPrinted>
  <dcterms:created xsi:type="dcterms:W3CDTF">2018-11-27T14:23:00Z</dcterms:created>
  <dcterms:modified xsi:type="dcterms:W3CDTF">2018-12-18T09:45:00Z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11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ontentTypeId">
    <vt:lpwstr>0x010100258AA79CEB83498886A3A08681123250005E2AC295F185DC4590AEB664EBBB01D6</vt:lpwstr>
  </property>
  <property fmtid="{D5CDD505-2E9C-101B-9397-08002B2CF9AE}" pid="7" name="IsMyDocuments">
    <vt:bool>true</vt:bool>
  </property>
  <property fmtid="{D5CDD505-2E9C-101B-9397-08002B2CF9AE}" pid="8" name="Last edited using">
    <vt:lpwstr>LW 6.0.1, Build 20180503</vt:lpwstr>
  </property>
  <property fmtid="{D5CDD505-2E9C-101B-9397-08002B2CF9AE}" pid="9" name="Created using">
    <vt:lpwstr>LW 6.0.1, Build 20180503</vt:lpwstr>
  </property>
</Properties>
</file>