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61E3D09-20B7-43A1-AC09-C63B831689C7" style="width:450.25pt;height:393.3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pPr>
        <w:pStyle w:val="Heading1"/>
        <w:numPr>
          <w:ilvl w:val="0"/>
          <w:numId w:val="0"/>
        </w:numPr>
        <w:rPr>
          <w:noProof/>
        </w:rPr>
      </w:pPr>
      <w:bookmarkStart w:id="1" w:name="_Toc524619582"/>
      <w:bookmarkStart w:id="2" w:name="_Toc524961129"/>
      <w:bookmarkStart w:id="3" w:name="_Toc525143087"/>
      <w:bookmarkStart w:id="4" w:name="_Toc525222239"/>
      <w:bookmarkStart w:id="5" w:name="_Toc525222408"/>
      <w:bookmarkStart w:id="6" w:name="_Toc526420805"/>
      <w:bookmarkStart w:id="7" w:name="_Toc526434034"/>
      <w:bookmarkStart w:id="8" w:name="_Toc526435978"/>
      <w:bookmarkStart w:id="9" w:name="_Toc527544401"/>
      <w:bookmarkStart w:id="10" w:name="_GoBack"/>
      <w:bookmarkEnd w:id="10"/>
      <w:r>
        <w:rPr>
          <w:noProof/>
        </w:rPr>
        <w:lastRenderedPageBreak/>
        <w:t>ANNEX 1 – SECTORIAL CASE STUDIES</w:t>
      </w:r>
      <w:bookmarkEnd w:id="1"/>
      <w:bookmarkEnd w:id="2"/>
      <w:bookmarkEnd w:id="3"/>
      <w:bookmarkEnd w:id="4"/>
      <w:bookmarkEnd w:id="5"/>
      <w:bookmarkEnd w:id="6"/>
      <w:bookmarkEnd w:id="7"/>
      <w:bookmarkEnd w:id="8"/>
      <w:bookmarkEnd w:id="9"/>
    </w:p>
    <w:p>
      <w:pPr>
        <w:rPr>
          <w:noProof/>
          <w:highlight w:val="lightGray"/>
        </w:rPr>
      </w:pPr>
    </w:p>
    <w:p>
      <w:pPr>
        <w:spacing w:after="0"/>
        <w:jc w:val="left"/>
        <w:rPr>
          <w:noProof/>
          <w:color w:val="0070C0"/>
          <w:sz w:val="32"/>
          <w:szCs w:val="32"/>
        </w:rPr>
      </w:pPr>
      <w:r>
        <w:rPr>
          <w:b/>
          <w:noProof/>
          <w:color w:val="0070C0"/>
          <w:sz w:val="32"/>
          <w:szCs w:val="32"/>
        </w:rPr>
        <w:t>Content</w:t>
      </w:r>
    </w:p>
    <w:p>
      <w:pPr>
        <w:spacing w:after="0"/>
        <w:jc w:val="left"/>
        <w:rPr>
          <w:noProof/>
          <w:color w:val="0070C0"/>
          <w:sz w:val="32"/>
          <w:szCs w:val="32"/>
        </w:rPr>
      </w:pP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A1.1</w:t>
      </w:r>
      <w:r>
        <w:rPr>
          <w:rFonts w:asciiTheme="minorHAnsi" w:eastAsiaTheme="minorEastAsia" w:hAnsiTheme="minorHAnsi" w:cstheme="minorBidi"/>
          <w:b w:val="0"/>
          <w:bCs w:val="0"/>
          <w:caps w:val="0"/>
          <w:noProof/>
          <w:szCs w:val="22"/>
          <w:lang w:eastAsia="en-GB"/>
        </w:rPr>
        <w:tab/>
      </w:r>
      <w:r>
        <w:rPr>
          <w:rStyle w:val="Hyperlink"/>
          <w:noProof/>
          <w:lang w:eastAsia="en-GB"/>
        </w:rPr>
        <w:t>INTRODUCTION</w:t>
      </w:r>
      <w:r>
        <w:rPr>
          <w:noProof/>
          <w:webHidden/>
        </w:rPr>
        <w:tab/>
        <w:t>6</w:t>
      </w:r>
    </w:p>
    <w:p>
      <w:pPr>
        <w:pStyle w:val="TOC2"/>
        <w:rPr>
          <w:rFonts w:asciiTheme="minorHAnsi" w:eastAsiaTheme="minorEastAsia" w:hAnsiTheme="minorHAnsi" w:cstheme="minorBidi"/>
          <w:smallCaps w:val="0"/>
          <w:szCs w:val="22"/>
          <w:lang w:eastAsia="en-GB"/>
        </w:rPr>
      </w:pPr>
      <w:r>
        <w:rPr>
          <w:rStyle w:val="Hyperlink"/>
        </w:rPr>
        <w:t>A1.1.1</w:t>
      </w:r>
      <w:r>
        <w:rPr>
          <w:rFonts w:asciiTheme="minorHAnsi" w:eastAsiaTheme="minorEastAsia" w:hAnsiTheme="minorHAnsi" w:cstheme="minorBidi"/>
          <w:smallCaps w:val="0"/>
          <w:szCs w:val="22"/>
          <w:lang w:eastAsia="en-GB"/>
        </w:rPr>
        <w:tab/>
      </w:r>
      <w:r>
        <w:rPr>
          <w:rStyle w:val="Hyperlink"/>
        </w:rPr>
        <w:t>Overview</w:t>
      </w:r>
      <w:r>
        <w:rPr>
          <w:webHidden/>
        </w:rPr>
        <w:tab/>
        <w:t>6</w:t>
      </w:r>
    </w:p>
    <w:p>
      <w:pPr>
        <w:pStyle w:val="TOC2"/>
        <w:rPr>
          <w:rFonts w:asciiTheme="minorHAnsi" w:eastAsiaTheme="minorEastAsia" w:hAnsiTheme="minorHAnsi" w:cstheme="minorBidi"/>
          <w:smallCaps w:val="0"/>
          <w:szCs w:val="22"/>
          <w:lang w:eastAsia="en-GB"/>
        </w:rPr>
      </w:pPr>
      <w:r>
        <w:rPr>
          <w:rStyle w:val="Hyperlink"/>
        </w:rPr>
        <w:t>A1.1.2</w:t>
      </w:r>
      <w:r>
        <w:rPr>
          <w:rFonts w:asciiTheme="minorHAnsi" w:eastAsiaTheme="minorEastAsia" w:hAnsiTheme="minorHAnsi" w:cstheme="minorBidi"/>
          <w:smallCaps w:val="0"/>
          <w:szCs w:val="22"/>
          <w:lang w:eastAsia="en-GB"/>
        </w:rPr>
        <w:tab/>
      </w:r>
      <w:r>
        <w:rPr>
          <w:rStyle w:val="Hyperlink"/>
        </w:rPr>
        <w:t>Methodology of the analysis</w:t>
      </w:r>
      <w:r>
        <w:rPr>
          <w:webHidden/>
        </w:rPr>
        <w:tab/>
        <w:t>9</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A1.2</w:t>
      </w:r>
      <w:r>
        <w:rPr>
          <w:rFonts w:asciiTheme="minorHAnsi" w:eastAsiaTheme="minorEastAsia" w:hAnsiTheme="minorHAnsi" w:cstheme="minorBidi"/>
          <w:b w:val="0"/>
          <w:bCs w:val="0"/>
          <w:caps w:val="0"/>
          <w:noProof/>
          <w:szCs w:val="22"/>
          <w:lang w:eastAsia="en-GB"/>
        </w:rPr>
        <w:tab/>
      </w:r>
      <w:r>
        <w:rPr>
          <w:rStyle w:val="Hyperlink"/>
          <w:noProof/>
          <w:lang w:eastAsia="en-GB"/>
        </w:rPr>
        <w:t>IRON AND STEEL</w:t>
      </w:r>
      <w:r>
        <w:rPr>
          <w:noProof/>
          <w:webHidden/>
        </w:rPr>
        <w:tab/>
        <w:t>11</w:t>
      </w:r>
    </w:p>
    <w:p>
      <w:pPr>
        <w:pStyle w:val="TOC2"/>
        <w:rPr>
          <w:rFonts w:asciiTheme="minorHAnsi" w:eastAsiaTheme="minorEastAsia" w:hAnsiTheme="minorHAnsi" w:cstheme="minorBidi"/>
          <w:smallCaps w:val="0"/>
          <w:szCs w:val="22"/>
          <w:lang w:eastAsia="en-GB"/>
        </w:rPr>
      </w:pPr>
      <w:r>
        <w:rPr>
          <w:rStyle w:val="Hyperlink"/>
        </w:rPr>
        <w:t>A1.2.1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11</w:t>
      </w:r>
    </w:p>
    <w:p>
      <w:pPr>
        <w:pStyle w:val="TOC2"/>
        <w:rPr>
          <w:rFonts w:asciiTheme="minorHAnsi" w:eastAsiaTheme="minorEastAsia" w:hAnsiTheme="minorHAnsi" w:cstheme="minorBidi"/>
          <w:smallCaps w:val="0"/>
          <w:szCs w:val="22"/>
          <w:lang w:eastAsia="en-GB"/>
        </w:rPr>
      </w:pPr>
      <w:r>
        <w:rPr>
          <w:rStyle w:val="Hyperlink"/>
        </w:rPr>
        <w:t>A1.2.2</w:t>
      </w:r>
      <w:r>
        <w:rPr>
          <w:rFonts w:asciiTheme="minorHAnsi" w:eastAsiaTheme="minorEastAsia" w:hAnsiTheme="minorHAnsi" w:cstheme="minorBidi"/>
          <w:smallCaps w:val="0"/>
          <w:szCs w:val="22"/>
          <w:lang w:eastAsia="en-GB"/>
        </w:rPr>
        <w:tab/>
      </w:r>
      <w:r>
        <w:rPr>
          <w:rStyle w:val="Hyperlink"/>
        </w:rPr>
        <w:t>BOF plants</w:t>
      </w:r>
      <w:r>
        <w:rPr>
          <w:webHidden/>
        </w:rPr>
        <w:tab/>
        <w:t>12</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A1.2.2.1</w:t>
      </w:r>
      <w:r>
        <w:rPr>
          <w:rFonts w:asciiTheme="minorHAnsi" w:eastAsiaTheme="minorEastAsia" w:hAnsiTheme="minorHAnsi" w:cstheme="minorBidi"/>
          <w:i w:val="0"/>
          <w:iCs w:val="0"/>
          <w:noProof/>
          <w:szCs w:val="22"/>
          <w:lang w:eastAsia="en-GB"/>
        </w:rPr>
        <w:tab/>
      </w:r>
      <w:r>
        <w:rPr>
          <w:rStyle w:val="Hyperlink"/>
          <w:noProof/>
        </w:rPr>
        <w:t>Electricity prices, costs and intensity</w:t>
      </w:r>
      <w:r>
        <w:rPr>
          <w:noProof/>
          <w:webHidden/>
        </w:rPr>
        <w:tab/>
        <w:t>12</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A1.2.2.2</w:t>
      </w:r>
      <w:r>
        <w:rPr>
          <w:rFonts w:asciiTheme="minorHAnsi" w:eastAsiaTheme="minorEastAsia" w:hAnsiTheme="minorHAnsi" w:cstheme="minorBidi"/>
          <w:i w:val="0"/>
          <w:iCs w:val="0"/>
          <w:noProof/>
          <w:szCs w:val="22"/>
          <w:lang w:eastAsia="en-GB"/>
        </w:rPr>
        <w:tab/>
      </w:r>
      <w:r>
        <w:rPr>
          <w:rStyle w:val="Hyperlink"/>
          <w:noProof/>
        </w:rPr>
        <w:t>Natural gas and total gas prices, costs and intensity</w:t>
      </w:r>
      <w:r>
        <w:rPr>
          <w:noProof/>
          <w:webHidden/>
        </w:rPr>
        <w:tab/>
        <w:t>12</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A1.2.2.3</w:t>
      </w:r>
      <w:r>
        <w:rPr>
          <w:rFonts w:asciiTheme="minorHAnsi" w:eastAsiaTheme="minorEastAsia" w:hAnsiTheme="minorHAnsi" w:cstheme="minorBidi"/>
          <w:i w:val="0"/>
          <w:iCs w:val="0"/>
          <w:noProof/>
          <w:szCs w:val="22"/>
          <w:lang w:eastAsia="en-GB"/>
        </w:rPr>
        <w:tab/>
      </w:r>
      <w:r>
        <w:rPr>
          <w:rStyle w:val="Hyperlink"/>
          <w:noProof/>
        </w:rPr>
        <w:t>Competitiveness</w:t>
      </w:r>
      <w:r>
        <w:rPr>
          <w:noProof/>
          <w:webHidden/>
        </w:rPr>
        <w:tab/>
        <w:t>12</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A1.2.2.4</w:t>
      </w:r>
      <w:r>
        <w:rPr>
          <w:rFonts w:asciiTheme="minorHAnsi" w:eastAsiaTheme="minorEastAsia" w:hAnsiTheme="minorHAnsi" w:cstheme="minorBidi"/>
          <w:i w:val="0"/>
          <w:iCs w:val="0"/>
          <w:noProof/>
          <w:szCs w:val="22"/>
          <w:lang w:eastAsia="en-GB"/>
        </w:rPr>
        <w:tab/>
      </w:r>
      <w:r>
        <w:rPr>
          <w:rStyle w:val="Hyperlink"/>
          <w:noProof/>
        </w:rPr>
        <w:t>Tables and graphs</w:t>
      </w:r>
      <w:r>
        <w:rPr>
          <w:noProof/>
          <w:webHidden/>
        </w:rPr>
        <w:tab/>
        <w:t>13</w:t>
      </w:r>
    </w:p>
    <w:p>
      <w:pPr>
        <w:pStyle w:val="TOC2"/>
        <w:rPr>
          <w:rFonts w:asciiTheme="minorHAnsi" w:eastAsiaTheme="minorEastAsia" w:hAnsiTheme="minorHAnsi" w:cstheme="minorBidi"/>
          <w:smallCaps w:val="0"/>
          <w:szCs w:val="22"/>
          <w:lang w:eastAsia="en-GB"/>
        </w:rPr>
      </w:pPr>
      <w:r>
        <w:rPr>
          <w:rStyle w:val="Hyperlink"/>
        </w:rPr>
        <w:t>A1.2.3</w:t>
      </w:r>
      <w:r>
        <w:rPr>
          <w:rFonts w:asciiTheme="minorHAnsi" w:eastAsiaTheme="minorEastAsia" w:hAnsiTheme="minorHAnsi" w:cstheme="minorBidi"/>
          <w:smallCaps w:val="0"/>
          <w:szCs w:val="22"/>
          <w:lang w:eastAsia="en-GB"/>
        </w:rPr>
        <w:tab/>
      </w:r>
      <w:r>
        <w:rPr>
          <w:rStyle w:val="Hyperlink"/>
        </w:rPr>
        <w:t>EAF plants</w:t>
      </w:r>
      <w:r>
        <w:rPr>
          <w:webHidden/>
        </w:rPr>
        <w:tab/>
        <w:t>19</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A1.2.3.1</w:t>
      </w:r>
      <w:r>
        <w:rPr>
          <w:rFonts w:asciiTheme="minorHAnsi" w:eastAsiaTheme="minorEastAsia" w:hAnsiTheme="minorHAnsi" w:cstheme="minorBidi"/>
          <w:i w:val="0"/>
          <w:iCs w:val="0"/>
          <w:noProof/>
          <w:szCs w:val="22"/>
          <w:lang w:eastAsia="en-GB"/>
        </w:rPr>
        <w:tab/>
      </w:r>
      <w:r>
        <w:rPr>
          <w:rStyle w:val="Hyperlink"/>
          <w:noProof/>
        </w:rPr>
        <w:t>Electricity prices, costs and intensity</w:t>
      </w:r>
      <w:r>
        <w:rPr>
          <w:noProof/>
          <w:webHidden/>
        </w:rPr>
        <w:tab/>
        <w:t>19</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A1.2.3.2</w:t>
      </w:r>
      <w:r>
        <w:rPr>
          <w:rFonts w:asciiTheme="minorHAnsi" w:eastAsiaTheme="minorEastAsia" w:hAnsiTheme="minorHAnsi" w:cstheme="minorBidi"/>
          <w:i w:val="0"/>
          <w:iCs w:val="0"/>
          <w:noProof/>
          <w:szCs w:val="22"/>
          <w:lang w:eastAsia="en-GB"/>
        </w:rPr>
        <w:tab/>
      </w:r>
      <w:r>
        <w:rPr>
          <w:rStyle w:val="Hyperlink"/>
          <w:noProof/>
        </w:rPr>
        <w:t>Natural gas prices, costs and intensity</w:t>
      </w:r>
      <w:r>
        <w:rPr>
          <w:noProof/>
          <w:webHidden/>
        </w:rPr>
        <w:tab/>
        <w:t>19</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A1.2.3.3</w:t>
      </w:r>
      <w:r>
        <w:rPr>
          <w:rFonts w:asciiTheme="minorHAnsi" w:eastAsiaTheme="minorEastAsia" w:hAnsiTheme="minorHAnsi" w:cstheme="minorBidi"/>
          <w:i w:val="0"/>
          <w:iCs w:val="0"/>
          <w:noProof/>
          <w:szCs w:val="22"/>
          <w:lang w:eastAsia="en-GB"/>
        </w:rPr>
        <w:tab/>
      </w:r>
      <w:r>
        <w:rPr>
          <w:rStyle w:val="Hyperlink"/>
          <w:noProof/>
        </w:rPr>
        <w:t>Competitiveness</w:t>
      </w:r>
      <w:r>
        <w:rPr>
          <w:noProof/>
          <w:webHidden/>
        </w:rPr>
        <w:tab/>
        <w:t>20</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A1.2.3.4</w:t>
      </w:r>
      <w:r>
        <w:rPr>
          <w:rFonts w:asciiTheme="minorHAnsi" w:eastAsiaTheme="minorEastAsia" w:hAnsiTheme="minorHAnsi" w:cstheme="minorBidi"/>
          <w:i w:val="0"/>
          <w:iCs w:val="0"/>
          <w:noProof/>
          <w:szCs w:val="22"/>
          <w:lang w:eastAsia="en-GB"/>
        </w:rPr>
        <w:tab/>
      </w:r>
      <w:r>
        <w:rPr>
          <w:rStyle w:val="Hyperlink"/>
          <w:noProof/>
        </w:rPr>
        <w:t>Tables and graphs</w:t>
      </w:r>
      <w:r>
        <w:rPr>
          <w:noProof/>
          <w:webHidden/>
        </w:rPr>
        <w:tab/>
        <w:t>20</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A1.3</w:t>
      </w:r>
      <w:r>
        <w:rPr>
          <w:rFonts w:asciiTheme="minorHAnsi" w:eastAsiaTheme="minorEastAsia" w:hAnsiTheme="minorHAnsi" w:cstheme="minorBidi"/>
          <w:b w:val="0"/>
          <w:bCs w:val="0"/>
          <w:caps w:val="0"/>
          <w:noProof/>
          <w:szCs w:val="22"/>
          <w:lang w:eastAsia="en-GB"/>
        </w:rPr>
        <w:tab/>
      </w:r>
      <w:r>
        <w:rPr>
          <w:rStyle w:val="Hyperlink"/>
          <w:noProof/>
          <w:lang w:eastAsia="en-GB"/>
        </w:rPr>
        <w:t>ALUMINIUM</w:t>
      </w:r>
      <w:r>
        <w:rPr>
          <w:noProof/>
          <w:webHidden/>
        </w:rPr>
        <w:tab/>
        <w:t>26</w:t>
      </w:r>
    </w:p>
    <w:p>
      <w:pPr>
        <w:pStyle w:val="TOC2"/>
        <w:rPr>
          <w:rFonts w:asciiTheme="minorHAnsi" w:eastAsiaTheme="minorEastAsia" w:hAnsiTheme="minorHAnsi" w:cstheme="minorBidi"/>
          <w:smallCaps w:val="0"/>
          <w:szCs w:val="22"/>
          <w:lang w:eastAsia="en-GB"/>
        </w:rPr>
      </w:pPr>
      <w:r>
        <w:rPr>
          <w:rStyle w:val="Hyperlink"/>
        </w:rPr>
        <w:t>A1.3.1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26</w:t>
      </w:r>
    </w:p>
    <w:p>
      <w:pPr>
        <w:pStyle w:val="TOC2"/>
        <w:rPr>
          <w:rFonts w:asciiTheme="minorHAnsi" w:eastAsiaTheme="minorEastAsia" w:hAnsiTheme="minorHAnsi" w:cstheme="minorBidi"/>
          <w:smallCaps w:val="0"/>
          <w:szCs w:val="22"/>
          <w:lang w:eastAsia="en-GB"/>
        </w:rPr>
      </w:pPr>
      <w:r>
        <w:rPr>
          <w:rStyle w:val="Hyperlink"/>
        </w:rPr>
        <w:t>A1.3.2</w:t>
      </w:r>
      <w:r>
        <w:rPr>
          <w:rFonts w:asciiTheme="minorHAnsi" w:eastAsiaTheme="minorEastAsia" w:hAnsiTheme="minorHAnsi" w:cstheme="minorBidi"/>
          <w:smallCaps w:val="0"/>
          <w:szCs w:val="22"/>
          <w:lang w:eastAsia="en-GB"/>
        </w:rPr>
        <w:tab/>
      </w:r>
      <w:r>
        <w:rPr>
          <w:rStyle w:val="Hyperlink"/>
        </w:rPr>
        <w:t>Primary aluminium plants</w:t>
      </w:r>
      <w:r>
        <w:rPr>
          <w:webHidden/>
        </w:rPr>
        <w:tab/>
        <w:t>27</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A1.3.2.1</w:t>
      </w:r>
      <w:r>
        <w:rPr>
          <w:rFonts w:asciiTheme="minorHAnsi" w:eastAsiaTheme="minorEastAsia" w:hAnsiTheme="minorHAnsi" w:cstheme="minorBidi"/>
          <w:i w:val="0"/>
          <w:iCs w:val="0"/>
          <w:noProof/>
          <w:szCs w:val="22"/>
          <w:lang w:eastAsia="en-GB"/>
        </w:rPr>
        <w:tab/>
      </w:r>
      <w:r>
        <w:rPr>
          <w:rStyle w:val="Hyperlink"/>
          <w:noProof/>
        </w:rPr>
        <w:t>Electricity prices, costs and intensity</w:t>
      </w:r>
      <w:r>
        <w:rPr>
          <w:noProof/>
          <w:webHidden/>
        </w:rPr>
        <w:tab/>
        <w:t>27</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A1.3.2.2</w:t>
      </w:r>
      <w:r>
        <w:rPr>
          <w:rFonts w:asciiTheme="minorHAnsi" w:eastAsiaTheme="minorEastAsia" w:hAnsiTheme="minorHAnsi" w:cstheme="minorBidi"/>
          <w:i w:val="0"/>
          <w:iCs w:val="0"/>
          <w:noProof/>
          <w:szCs w:val="22"/>
          <w:lang w:eastAsia="en-GB"/>
        </w:rPr>
        <w:tab/>
      </w:r>
      <w:r>
        <w:rPr>
          <w:rStyle w:val="Hyperlink"/>
          <w:noProof/>
        </w:rPr>
        <w:t>Natural gas prices, costs and intensity</w:t>
      </w:r>
      <w:r>
        <w:rPr>
          <w:noProof/>
          <w:webHidden/>
        </w:rPr>
        <w:tab/>
        <w:t>27</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A1.3.2.3</w:t>
      </w:r>
      <w:r>
        <w:rPr>
          <w:rFonts w:asciiTheme="minorHAnsi" w:eastAsiaTheme="minorEastAsia" w:hAnsiTheme="minorHAnsi" w:cstheme="minorBidi"/>
          <w:i w:val="0"/>
          <w:iCs w:val="0"/>
          <w:noProof/>
          <w:szCs w:val="22"/>
          <w:lang w:eastAsia="en-GB"/>
        </w:rPr>
        <w:tab/>
      </w:r>
      <w:r>
        <w:rPr>
          <w:rStyle w:val="Hyperlink"/>
          <w:noProof/>
        </w:rPr>
        <w:t>Competitiveness</w:t>
      </w:r>
      <w:r>
        <w:rPr>
          <w:noProof/>
          <w:webHidden/>
        </w:rPr>
        <w:tab/>
        <w:t>27</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A1.3.2.4</w:t>
      </w:r>
      <w:r>
        <w:rPr>
          <w:rFonts w:asciiTheme="minorHAnsi" w:eastAsiaTheme="minorEastAsia" w:hAnsiTheme="minorHAnsi" w:cstheme="minorBidi"/>
          <w:i w:val="0"/>
          <w:iCs w:val="0"/>
          <w:noProof/>
          <w:szCs w:val="22"/>
          <w:lang w:eastAsia="en-GB"/>
        </w:rPr>
        <w:tab/>
      </w:r>
      <w:r>
        <w:rPr>
          <w:rStyle w:val="Hyperlink"/>
          <w:noProof/>
        </w:rPr>
        <w:t>Tables and graphs</w:t>
      </w:r>
      <w:r>
        <w:rPr>
          <w:noProof/>
          <w:webHidden/>
        </w:rPr>
        <w:tab/>
        <w:t>28</w:t>
      </w:r>
    </w:p>
    <w:p>
      <w:pPr>
        <w:pStyle w:val="TOC2"/>
        <w:rPr>
          <w:rFonts w:asciiTheme="minorHAnsi" w:eastAsiaTheme="minorEastAsia" w:hAnsiTheme="minorHAnsi" w:cstheme="minorBidi"/>
          <w:smallCaps w:val="0"/>
          <w:szCs w:val="22"/>
          <w:lang w:eastAsia="en-GB"/>
        </w:rPr>
      </w:pPr>
      <w:r>
        <w:rPr>
          <w:rStyle w:val="Hyperlink"/>
        </w:rPr>
        <w:t>A1.3.3</w:t>
      </w:r>
      <w:r>
        <w:rPr>
          <w:rFonts w:asciiTheme="minorHAnsi" w:eastAsiaTheme="minorEastAsia" w:hAnsiTheme="minorHAnsi" w:cstheme="minorBidi"/>
          <w:smallCaps w:val="0"/>
          <w:szCs w:val="22"/>
          <w:lang w:eastAsia="en-GB"/>
        </w:rPr>
        <w:tab/>
      </w:r>
      <w:r>
        <w:rPr>
          <w:rStyle w:val="Hyperlink"/>
        </w:rPr>
        <w:t>Secondary aluminium plants</w:t>
      </w:r>
      <w:r>
        <w:rPr>
          <w:webHidden/>
        </w:rPr>
        <w:tab/>
        <w:t>33</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A1.3.3.1</w:t>
      </w:r>
      <w:r>
        <w:rPr>
          <w:rFonts w:asciiTheme="minorHAnsi" w:eastAsiaTheme="minorEastAsia" w:hAnsiTheme="minorHAnsi" w:cstheme="minorBidi"/>
          <w:i w:val="0"/>
          <w:iCs w:val="0"/>
          <w:noProof/>
          <w:szCs w:val="22"/>
          <w:lang w:eastAsia="en-GB"/>
        </w:rPr>
        <w:tab/>
      </w:r>
      <w:r>
        <w:rPr>
          <w:rStyle w:val="Hyperlink"/>
          <w:noProof/>
        </w:rPr>
        <w:t>Electricity prices, costs and intensity</w:t>
      </w:r>
      <w:r>
        <w:rPr>
          <w:noProof/>
          <w:webHidden/>
        </w:rPr>
        <w:tab/>
        <w:t>33</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A1.3.3.2</w:t>
      </w:r>
      <w:r>
        <w:rPr>
          <w:rFonts w:asciiTheme="minorHAnsi" w:eastAsiaTheme="minorEastAsia" w:hAnsiTheme="minorHAnsi" w:cstheme="minorBidi"/>
          <w:i w:val="0"/>
          <w:iCs w:val="0"/>
          <w:noProof/>
          <w:szCs w:val="22"/>
          <w:lang w:eastAsia="en-GB"/>
        </w:rPr>
        <w:tab/>
      </w:r>
      <w:r>
        <w:rPr>
          <w:rStyle w:val="Hyperlink"/>
          <w:noProof/>
        </w:rPr>
        <w:t>Natural gas prices, costs and intensity</w:t>
      </w:r>
      <w:r>
        <w:rPr>
          <w:noProof/>
          <w:webHidden/>
        </w:rPr>
        <w:tab/>
        <w:t>33</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A1.3.3.3</w:t>
      </w:r>
      <w:r>
        <w:rPr>
          <w:rFonts w:asciiTheme="minorHAnsi" w:eastAsiaTheme="minorEastAsia" w:hAnsiTheme="minorHAnsi" w:cstheme="minorBidi"/>
          <w:i w:val="0"/>
          <w:iCs w:val="0"/>
          <w:noProof/>
          <w:szCs w:val="22"/>
          <w:lang w:eastAsia="en-GB"/>
        </w:rPr>
        <w:tab/>
      </w:r>
      <w:r>
        <w:rPr>
          <w:rStyle w:val="Hyperlink"/>
          <w:noProof/>
        </w:rPr>
        <w:t>Competitiveness</w:t>
      </w:r>
      <w:r>
        <w:rPr>
          <w:noProof/>
          <w:webHidden/>
        </w:rPr>
        <w:tab/>
        <w:t>33</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A1.3.3.4</w:t>
      </w:r>
      <w:r>
        <w:rPr>
          <w:rFonts w:asciiTheme="minorHAnsi" w:eastAsiaTheme="minorEastAsia" w:hAnsiTheme="minorHAnsi" w:cstheme="minorBidi"/>
          <w:i w:val="0"/>
          <w:iCs w:val="0"/>
          <w:noProof/>
          <w:szCs w:val="22"/>
          <w:lang w:eastAsia="en-GB"/>
        </w:rPr>
        <w:tab/>
      </w:r>
      <w:r>
        <w:rPr>
          <w:rStyle w:val="Hyperlink"/>
          <w:noProof/>
        </w:rPr>
        <w:t>Tables and graphs</w:t>
      </w:r>
      <w:r>
        <w:rPr>
          <w:noProof/>
          <w:webHidden/>
        </w:rPr>
        <w:tab/>
        <w:t>34</w:t>
      </w:r>
    </w:p>
    <w:p>
      <w:pPr>
        <w:pStyle w:val="TOC2"/>
        <w:rPr>
          <w:rFonts w:asciiTheme="minorHAnsi" w:eastAsiaTheme="minorEastAsia" w:hAnsiTheme="minorHAnsi" w:cstheme="minorBidi"/>
          <w:smallCaps w:val="0"/>
          <w:szCs w:val="22"/>
          <w:lang w:eastAsia="en-GB"/>
        </w:rPr>
      </w:pPr>
      <w:r>
        <w:rPr>
          <w:rStyle w:val="Hyperlink"/>
        </w:rPr>
        <w:t>A1.3.4</w:t>
      </w:r>
      <w:r>
        <w:rPr>
          <w:rFonts w:asciiTheme="minorHAnsi" w:eastAsiaTheme="minorEastAsia" w:hAnsiTheme="minorHAnsi" w:cstheme="minorBidi"/>
          <w:smallCaps w:val="0"/>
          <w:szCs w:val="22"/>
          <w:lang w:eastAsia="en-GB"/>
        </w:rPr>
        <w:tab/>
      </w:r>
      <w:r>
        <w:rPr>
          <w:rStyle w:val="Hyperlink"/>
        </w:rPr>
        <w:t>Downstream aluminium plants</w:t>
      </w:r>
      <w:r>
        <w:rPr>
          <w:webHidden/>
        </w:rPr>
        <w:tab/>
        <w:t>38</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A1.3.4.1</w:t>
      </w:r>
      <w:r>
        <w:rPr>
          <w:rFonts w:asciiTheme="minorHAnsi" w:eastAsiaTheme="minorEastAsia" w:hAnsiTheme="minorHAnsi" w:cstheme="minorBidi"/>
          <w:i w:val="0"/>
          <w:iCs w:val="0"/>
          <w:noProof/>
          <w:szCs w:val="22"/>
          <w:lang w:eastAsia="en-GB"/>
        </w:rPr>
        <w:tab/>
      </w:r>
      <w:r>
        <w:rPr>
          <w:rStyle w:val="Hyperlink"/>
          <w:noProof/>
        </w:rPr>
        <w:t>Electricity prices, costs and intensity</w:t>
      </w:r>
      <w:r>
        <w:rPr>
          <w:noProof/>
          <w:webHidden/>
        </w:rPr>
        <w:tab/>
        <w:t>38</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A1.3.4.2</w:t>
      </w:r>
      <w:r>
        <w:rPr>
          <w:rFonts w:asciiTheme="minorHAnsi" w:eastAsiaTheme="minorEastAsia" w:hAnsiTheme="minorHAnsi" w:cstheme="minorBidi"/>
          <w:i w:val="0"/>
          <w:iCs w:val="0"/>
          <w:noProof/>
          <w:szCs w:val="22"/>
          <w:lang w:eastAsia="en-GB"/>
        </w:rPr>
        <w:tab/>
      </w:r>
      <w:r>
        <w:rPr>
          <w:rStyle w:val="Hyperlink"/>
          <w:noProof/>
        </w:rPr>
        <w:t>Natural gas prices, costs and intensity</w:t>
      </w:r>
      <w:r>
        <w:rPr>
          <w:noProof/>
          <w:webHidden/>
        </w:rPr>
        <w:tab/>
        <w:t>38</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A1.3.4.3</w:t>
      </w:r>
      <w:r>
        <w:rPr>
          <w:rFonts w:asciiTheme="minorHAnsi" w:eastAsiaTheme="minorEastAsia" w:hAnsiTheme="minorHAnsi" w:cstheme="minorBidi"/>
          <w:i w:val="0"/>
          <w:iCs w:val="0"/>
          <w:noProof/>
          <w:szCs w:val="22"/>
          <w:lang w:eastAsia="en-GB"/>
        </w:rPr>
        <w:tab/>
      </w:r>
      <w:r>
        <w:rPr>
          <w:rStyle w:val="Hyperlink"/>
          <w:noProof/>
        </w:rPr>
        <w:t>Competitiveness</w:t>
      </w:r>
      <w:r>
        <w:rPr>
          <w:noProof/>
          <w:webHidden/>
        </w:rPr>
        <w:tab/>
        <w:t>38</w:t>
      </w:r>
    </w:p>
    <w:p>
      <w:pPr>
        <w:pStyle w:val="TOC3"/>
        <w:tabs>
          <w:tab w:val="left" w:pos="1540"/>
          <w:tab w:val="right" w:leader="dot" w:pos="9060"/>
        </w:tabs>
        <w:rPr>
          <w:rFonts w:asciiTheme="minorHAnsi" w:eastAsiaTheme="minorEastAsia" w:hAnsiTheme="minorHAnsi" w:cstheme="minorBidi"/>
          <w:i w:val="0"/>
          <w:iCs w:val="0"/>
          <w:noProof/>
          <w:szCs w:val="22"/>
          <w:lang w:eastAsia="en-GB"/>
        </w:rPr>
      </w:pPr>
      <w:r>
        <w:rPr>
          <w:rStyle w:val="Hyperlink"/>
          <w:noProof/>
        </w:rPr>
        <w:t>A1.3.4.4</w:t>
      </w:r>
      <w:r>
        <w:rPr>
          <w:rFonts w:asciiTheme="minorHAnsi" w:eastAsiaTheme="minorEastAsia" w:hAnsiTheme="minorHAnsi" w:cstheme="minorBidi"/>
          <w:i w:val="0"/>
          <w:iCs w:val="0"/>
          <w:noProof/>
          <w:szCs w:val="22"/>
          <w:lang w:eastAsia="en-GB"/>
        </w:rPr>
        <w:tab/>
      </w:r>
      <w:r>
        <w:rPr>
          <w:rStyle w:val="Hyperlink"/>
          <w:noProof/>
        </w:rPr>
        <w:t>Tables and graphs</w:t>
      </w:r>
      <w:r>
        <w:rPr>
          <w:noProof/>
          <w:webHidden/>
        </w:rPr>
        <w:tab/>
        <w:t>39</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A1.4</w:t>
      </w:r>
      <w:r>
        <w:rPr>
          <w:rFonts w:asciiTheme="minorHAnsi" w:eastAsiaTheme="minorEastAsia" w:hAnsiTheme="minorHAnsi" w:cstheme="minorBidi"/>
          <w:b w:val="0"/>
          <w:bCs w:val="0"/>
          <w:caps w:val="0"/>
          <w:noProof/>
          <w:szCs w:val="22"/>
          <w:lang w:eastAsia="en-GB"/>
        </w:rPr>
        <w:tab/>
      </w:r>
      <w:r>
        <w:rPr>
          <w:rStyle w:val="Hyperlink"/>
          <w:noProof/>
          <w:lang w:eastAsia="en-GB"/>
        </w:rPr>
        <w:t>BRICKS AND ROOF TILES</w:t>
      </w:r>
      <w:r>
        <w:rPr>
          <w:noProof/>
          <w:webHidden/>
        </w:rPr>
        <w:tab/>
        <w:t>43</w:t>
      </w:r>
    </w:p>
    <w:p>
      <w:pPr>
        <w:pStyle w:val="TOC2"/>
        <w:rPr>
          <w:rFonts w:asciiTheme="minorHAnsi" w:eastAsiaTheme="minorEastAsia" w:hAnsiTheme="minorHAnsi" w:cstheme="minorBidi"/>
          <w:smallCaps w:val="0"/>
          <w:szCs w:val="22"/>
          <w:lang w:eastAsia="en-GB"/>
        </w:rPr>
      </w:pPr>
      <w:r>
        <w:rPr>
          <w:rStyle w:val="Hyperlink"/>
        </w:rPr>
        <w:t>A1.4.1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43</w:t>
      </w:r>
    </w:p>
    <w:p>
      <w:pPr>
        <w:pStyle w:val="TOC2"/>
        <w:rPr>
          <w:rFonts w:asciiTheme="minorHAnsi" w:eastAsiaTheme="minorEastAsia" w:hAnsiTheme="minorHAnsi" w:cstheme="minorBidi"/>
          <w:smallCaps w:val="0"/>
          <w:szCs w:val="22"/>
          <w:lang w:eastAsia="en-GB"/>
        </w:rPr>
      </w:pPr>
      <w:r>
        <w:rPr>
          <w:rStyle w:val="Hyperlink"/>
        </w:rPr>
        <w:t>A1.4.2</w:t>
      </w:r>
      <w:r>
        <w:rPr>
          <w:rFonts w:asciiTheme="minorHAnsi" w:eastAsiaTheme="minorEastAsia" w:hAnsiTheme="minorHAnsi" w:cstheme="minorBidi"/>
          <w:smallCaps w:val="0"/>
          <w:szCs w:val="22"/>
          <w:lang w:eastAsia="en-GB"/>
        </w:rPr>
        <w:tab/>
      </w:r>
      <w:r>
        <w:rPr>
          <w:rStyle w:val="Hyperlink"/>
        </w:rPr>
        <w:t>Electricity prices, costs and intensity</w:t>
      </w:r>
      <w:r>
        <w:rPr>
          <w:webHidden/>
        </w:rPr>
        <w:tab/>
        <w:t>43</w:t>
      </w:r>
    </w:p>
    <w:p>
      <w:pPr>
        <w:pStyle w:val="TOC2"/>
        <w:rPr>
          <w:rFonts w:asciiTheme="minorHAnsi" w:eastAsiaTheme="minorEastAsia" w:hAnsiTheme="minorHAnsi" w:cstheme="minorBidi"/>
          <w:smallCaps w:val="0"/>
          <w:szCs w:val="22"/>
          <w:lang w:eastAsia="en-GB"/>
        </w:rPr>
      </w:pPr>
      <w:r>
        <w:rPr>
          <w:rStyle w:val="Hyperlink"/>
        </w:rPr>
        <w:t>A1.4.3</w:t>
      </w:r>
      <w:r>
        <w:rPr>
          <w:rFonts w:asciiTheme="minorHAnsi" w:eastAsiaTheme="minorEastAsia" w:hAnsiTheme="minorHAnsi" w:cstheme="minorBidi"/>
          <w:smallCaps w:val="0"/>
          <w:szCs w:val="22"/>
          <w:lang w:eastAsia="en-GB"/>
        </w:rPr>
        <w:tab/>
      </w:r>
      <w:r>
        <w:rPr>
          <w:rStyle w:val="Hyperlink"/>
        </w:rPr>
        <w:t>Natural gas prices, costs and intensity</w:t>
      </w:r>
      <w:r>
        <w:rPr>
          <w:webHidden/>
        </w:rPr>
        <w:tab/>
        <w:t>44</w:t>
      </w:r>
    </w:p>
    <w:p>
      <w:pPr>
        <w:pStyle w:val="TOC2"/>
        <w:rPr>
          <w:rFonts w:asciiTheme="minorHAnsi" w:eastAsiaTheme="minorEastAsia" w:hAnsiTheme="minorHAnsi" w:cstheme="minorBidi"/>
          <w:smallCaps w:val="0"/>
          <w:szCs w:val="22"/>
          <w:lang w:eastAsia="en-GB"/>
        </w:rPr>
      </w:pPr>
      <w:r>
        <w:rPr>
          <w:rStyle w:val="Hyperlink"/>
        </w:rPr>
        <w:t>A1.4.4</w:t>
      </w:r>
      <w:r>
        <w:rPr>
          <w:rFonts w:asciiTheme="minorHAnsi" w:eastAsiaTheme="minorEastAsia" w:hAnsiTheme="minorHAnsi" w:cstheme="minorBidi"/>
          <w:smallCaps w:val="0"/>
          <w:szCs w:val="22"/>
          <w:lang w:eastAsia="en-GB"/>
        </w:rPr>
        <w:tab/>
      </w:r>
      <w:r>
        <w:rPr>
          <w:rStyle w:val="Hyperlink"/>
        </w:rPr>
        <w:t>Competitiveness</w:t>
      </w:r>
      <w:r>
        <w:rPr>
          <w:webHidden/>
        </w:rPr>
        <w:tab/>
        <w:t>44</w:t>
      </w:r>
    </w:p>
    <w:p>
      <w:pPr>
        <w:pStyle w:val="TOC2"/>
        <w:rPr>
          <w:rFonts w:asciiTheme="minorHAnsi" w:eastAsiaTheme="minorEastAsia" w:hAnsiTheme="minorHAnsi" w:cstheme="minorBidi"/>
          <w:smallCaps w:val="0"/>
          <w:szCs w:val="22"/>
          <w:lang w:eastAsia="en-GB"/>
        </w:rPr>
      </w:pPr>
      <w:r>
        <w:rPr>
          <w:rStyle w:val="Hyperlink"/>
        </w:rPr>
        <w:t>A1.4.5</w:t>
      </w:r>
      <w:r>
        <w:rPr>
          <w:rFonts w:asciiTheme="minorHAnsi" w:eastAsiaTheme="minorEastAsia" w:hAnsiTheme="minorHAnsi" w:cstheme="minorBidi"/>
          <w:smallCaps w:val="0"/>
          <w:szCs w:val="22"/>
          <w:lang w:eastAsia="en-GB"/>
        </w:rPr>
        <w:tab/>
      </w:r>
      <w:r>
        <w:rPr>
          <w:rStyle w:val="Hyperlink"/>
        </w:rPr>
        <w:t>Tables and graphs</w:t>
      </w:r>
      <w:r>
        <w:rPr>
          <w:webHidden/>
        </w:rPr>
        <w:tab/>
        <w:t>45</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A1.5</w:t>
      </w:r>
      <w:r>
        <w:rPr>
          <w:rFonts w:asciiTheme="minorHAnsi" w:eastAsiaTheme="minorEastAsia" w:hAnsiTheme="minorHAnsi" w:cstheme="minorBidi"/>
          <w:b w:val="0"/>
          <w:bCs w:val="0"/>
          <w:caps w:val="0"/>
          <w:noProof/>
          <w:szCs w:val="22"/>
          <w:lang w:eastAsia="en-GB"/>
        </w:rPr>
        <w:tab/>
      </w:r>
      <w:r>
        <w:rPr>
          <w:rStyle w:val="Hyperlink"/>
          <w:noProof/>
          <w:lang w:eastAsia="en-GB"/>
        </w:rPr>
        <w:t>WALL AND FLOOR TILES</w:t>
      </w:r>
      <w:r>
        <w:rPr>
          <w:noProof/>
          <w:webHidden/>
        </w:rPr>
        <w:tab/>
        <w:t>51</w:t>
      </w:r>
    </w:p>
    <w:p>
      <w:pPr>
        <w:pStyle w:val="TOC2"/>
        <w:rPr>
          <w:rFonts w:asciiTheme="minorHAnsi" w:eastAsiaTheme="minorEastAsia" w:hAnsiTheme="minorHAnsi" w:cstheme="minorBidi"/>
          <w:smallCaps w:val="0"/>
          <w:szCs w:val="22"/>
          <w:lang w:eastAsia="en-GB"/>
        </w:rPr>
      </w:pPr>
      <w:r>
        <w:rPr>
          <w:rStyle w:val="Hyperlink"/>
        </w:rPr>
        <w:t>A1.5.1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51</w:t>
      </w:r>
    </w:p>
    <w:p>
      <w:pPr>
        <w:pStyle w:val="TOC2"/>
        <w:rPr>
          <w:rFonts w:asciiTheme="minorHAnsi" w:eastAsiaTheme="minorEastAsia" w:hAnsiTheme="minorHAnsi" w:cstheme="minorBidi"/>
          <w:smallCaps w:val="0"/>
          <w:szCs w:val="22"/>
          <w:lang w:eastAsia="en-GB"/>
        </w:rPr>
      </w:pPr>
      <w:r>
        <w:rPr>
          <w:rStyle w:val="Hyperlink"/>
        </w:rPr>
        <w:t>A1.5.2</w:t>
      </w:r>
      <w:r>
        <w:rPr>
          <w:rFonts w:asciiTheme="minorHAnsi" w:eastAsiaTheme="minorEastAsia" w:hAnsiTheme="minorHAnsi" w:cstheme="minorBidi"/>
          <w:smallCaps w:val="0"/>
          <w:szCs w:val="22"/>
          <w:lang w:eastAsia="en-GB"/>
        </w:rPr>
        <w:tab/>
      </w:r>
      <w:r>
        <w:rPr>
          <w:rStyle w:val="Hyperlink"/>
        </w:rPr>
        <w:t>Electricity prices, costs and intensity</w:t>
      </w:r>
      <w:r>
        <w:rPr>
          <w:webHidden/>
        </w:rPr>
        <w:tab/>
        <w:t>51</w:t>
      </w:r>
    </w:p>
    <w:p>
      <w:pPr>
        <w:pStyle w:val="TOC2"/>
        <w:rPr>
          <w:rFonts w:asciiTheme="minorHAnsi" w:eastAsiaTheme="minorEastAsia" w:hAnsiTheme="minorHAnsi" w:cstheme="minorBidi"/>
          <w:smallCaps w:val="0"/>
          <w:szCs w:val="22"/>
          <w:lang w:eastAsia="en-GB"/>
        </w:rPr>
      </w:pPr>
      <w:r>
        <w:rPr>
          <w:rStyle w:val="Hyperlink"/>
        </w:rPr>
        <w:t>A1.5.3</w:t>
      </w:r>
      <w:r>
        <w:rPr>
          <w:rFonts w:asciiTheme="minorHAnsi" w:eastAsiaTheme="minorEastAsia" w:hAnsiTheme="minorHAnsi" w:cstheme="minorBidi"/>
          <w:smallCaps w:val="0"/>
          <w:szCs w:val="22"/>
          <w:lang w:eastAsia="en-GB"/>
        </w:rPr>
        <w:tab/>
      </w:r>
      <w:r>
        <w:rPr>
          <w:rStyle w:val="Hyperlink"/>
        </w:rPr>
        <w:t>Natural gas prices, costs and intensity</w:t>
      </w:r>
      <w:r>
        <w:rPr>
          <w:webHidden/>
        </w:rPr>
        <w:tab/>
        <w:t>52</w:t>
      </w:r>
    </w:p>
    <w:p>
      <w:pPr>
        <w:pStyle w:val="TOC2"/>
        <w:rPr>
          <w:rFonts w:asciiTheme="minorHAnsi" w:eastAsiaTheme="minorEastAsia" w:hAnsiTheme="minorHAnsi" w:cstheme="minorBidi"/>
          <w:smallCaps w:val="0"/>
          <w:szCs w:val="22"/>
          <w:lang w:eastAsia="en-GB"/>
        </w:rPr>
      </w:pPr>
      <w:r>
        <w:rPr>
          <w:rStyle w:val="Hyperlink"/>
        </w:rPr>
        <w:t>A1.5.4</w:t>
      </w:r>
      <w:r>
        <w:rPr>
          <w:rFonts w:asciiTheme="minorHAnsi" w:eastAsiaTheme="minorEastAsia" w:hAnsiTheme="minorHAnsi" w:cstheme="minorBidi"/>
          <w:smallCaps w:val="0"/>
          <w:szCs w:val="22"/>
          <w:lang w:eastAsia="en-GB"/>
        </w:rPr>
        <w:tab/>
      </w:r>
      <w:r>
        <w:rPr>
          <w:rStyle w:val="Hyperlink"/>
        </w:rPr>
        <w:t>Competitiveness</w:t>
      </w:r>
      <w:r>
        <w:rPr>
          <w:webHidden/>
        </w:rPr>
        <w:tab/>
        <w:t>52</w:t>
      </w:r>
    </w:p>
    <w:p>
      <w:pPr>
        <w:pStyle w:val="TOC2"/>
        <w:rPr>
          <w:rFonts w:asciiTheme="minorHAnsi" w:eastAsiaTheme="minorEastAsia" w:hAnsiTheme="minorHAnsi" w:cstheme="minorBidi"/>
          <w:smallCaps w:val="0"/>
          <w:szCs w:val="22"/>
          <w:lang w:eastAsia="en-GB"/>
        </w:rPr>
      </w:pPr>
      <w:r>
        <w:rPr>
          <w:rStyle w:val="Hyperlink"/>
        </w:rPr>
        <w:t>A1.5.5</w:t>
      </w:r>
      <w:r>
        <w:rPr>
          <w:rFonts w:asciiTheme="minorHAnsi" w:eastAsiaTheme="minorEastAsia" w:hAnsiTheme="minorHAnsi" w:cstheme="minorBidi"/>
          <w:smallCaps w:val="0"/>
          <w:szCs w:val="22"/>
          <w:lang w:eastAsia="en-GB"/>
        </w:rPr>
        <w:tab/>
      </w:r>
      <w:r>
        <w:rPr>
          <w:rStyle w:val="Hyperlink"/>
        </w:rPr>
        <w:t>Tables and graphs</w:t>
      </w:r>
      <w:r>
        <w:rPr>
          <w:webHidden/>
        </w:rPr>
        <w:tab/>
        <w:t>53</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A1.6</w:t>
      </w:r>
      <w:r>
        <w:rPr>
          <w:rFonts w:asciiTheme="minorHAnsi" w:eastAsiaTheme="minorEastAsia" w:hAnsiTheme="minorHAnsi" w:cstheme="minorBidi"/>
          <w:b w:val="0"/>
          <w:bCs w:val="0"/>
          <w:caps w:val="0"/>
          <w:noProof/>
          <w:szCs w:val="22"/>
          <w:lang w:eastAsia="en-GB"/>
        </w:rPr>
        <w:tab/>
      </w:r>
      <w:r>
        <w:rPr>
          <w:rStyle w:val="Hyperlink"/>
          <w:noProof/>
          <w:lang w:eastAsia="en-GB"/>
        </w:rPr>
        <w:t>GLASS TABLEWARE</w:t>
      </w:r>
      <w:r>
        <w:rPr>
          <w:noProof/>
          <w:webHidden/>
        </w:rPr>
        <w:tab/>
        <w:t>59</w:t>
      </w:r>
    </w:p>
    <w:p>
      <w:pPr>
        <w:pStyle w:val="TOC2"/>
        <w:rPr>
          <w:rFonts w:asciiTheme="minorHAnsi" w:eastAsiaTheme="minorEastAsia" w:hAnsiTheme="minorHAnsi" w:cstheme="minorBidi"/>
          <w:smallCaps w:val="0"/>
          <w:szCs w:val="22"/>
          <w:lang w:eastAsia="en-GB"/>
        </w:rPr>
      </w:pPr>
      <w:r>
        <w:rPr>
          <w:rStyle w:val="Hyperlink"/>
        </w:rPr>
        <w:t>A1.6.1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59</w:t>
      </w:r>
    </w:p>
    <w:p>
      <w:pPr>
        <w:pStyle w:val="TOC2"/>
        <w:rPr>
          <w:rFonts w:asciiTheme="minorHAnsi" w:eastAsiaTheme="minorEastAsia" w:hAnsiTheme="minorHAnsi" w:cstheme="minorBidi"/>
          <w:smallCaps w:val="0"/>
          <w:szCs w:val="22"/>
          <w:lang w:eastAsia="en-GB"/>
        </w:rPr>
      </w:pPr>
      <w:r>
        <w:rPr>
          <w:rStyle w:val="Hyperlink"/>
        </w:rPr>
        <w:t>A1.6.2</w:t>
      </w:r>
      <w:r>
        <w:rPr>
          <w:rFonts w:asciiTheme="minorHAnsi" w:eastAsiaTheme="minorEastAsia" w:hAnsiTheme="minorHAnsi" w:cstheme="minorBidi"/>
          <w:smallCaps w:val="0"/>
          <w:szCs w:val="22"/>
          <w:lang w:eastAsia="en-GB"/>
        </w:rPr>
        <w:tab/>
      </w:r>
      <w:r>
        <w:rPr>
          <w:rStyle w:val="Hyperlink"/>
        </w:rPr>
        <w:t>Electricity prices, costs and intensity</w:t>
      </w:r>
      <w:r>
        <w:rPr>
          <w:webHidden/>
        </w:rPr>
        <w:tab/>
        <w:t>59</w:t>
      </w:r>
    </w:p>
    <w:p>
      <w:pPr>
        <w:pStyle w:val="TOC2"/>
        <w:rPr>
          <w:rFonts w:asciiTheme="minorHAnsi" w:eastAsiaTheme="minorEastAsia" w:hAnsiTheme="minorHAnsi" w:cstheme="minorBidi"/>
          <w:smallCaps w:val="0"/>
          <w:szCs w:val="22"/>
          <w:lang w:eastAsia="en-GB"/>
        </w:rPr>
      </w:pPr>
      <w:r>
        <w:rPr>
          <w:rStyle w:val="Hyperlink"/>
        </w:rPr>
        <w:t>A1.6.3</w:t>
      </w:r>
      <w:r>
        <w:rPr>
          <w:rFonts w:asciiTheme="minorHAnsi" w:eastAsiaTheme="minorEastAsia" w:hAnsiTheme="minorHAnsi" w:cstheme="minorBidi"/>
          <w:smallCaps w:val="0"/>
          <w:szCs w:val="22"/>
          <w:lang w:eastAsia="en-GB"/>
        </w:rPr>
        <w:tab/>
      </w:r>
      <w:r>
        <w:rPr>
          <w:rStyle w:val="Hyperlink"/>
        </w:rPr>
        <w:t>Natural gas prices, costs and intensity</w:t>
      </w:r>
      <w:r>
        <w:rPr>
          <w:webHidden/>
        </w:rPr>
        <w:tab/>
        <w:t>60</w:t>
      </w:r>
    </w:p>
    <w:p>
      <w:pPr>
        <w:pStyle w:val="TOC2"/>
        <w:rPr>
          <w:rFonts w:asciiTheme="minorHAnsi" w:eastAsiaTheme="minorEastAsia" w:hAnsiTheme="minorHAnsi" w:cstheme="minorBidi"/>
          <w:smallCaps w:val="0"/>
          <w:szCs w:val="22"/>
          <w:lang w:eastAsia="en-GB"/>
        </w:rPr>
      </w:pPr>
      <w:r>
        <w:rPr>
          <w:rStyle w:val="Hyperlink"/>
        </w:rPr>
        <w:t>A1.6.4</w:t>
      </w:r>
      <w:r>
        <w:rPr>
          <w:rFonts w:asciiTheme="minorHAnsi" w:eastAsiaTheme="minorEastAsia" w:hAnsiTheme="minorHAnsi" w:cstheme="minorBidi"/>
          <w:smallCaps w:val="0"/>
          <w:szCs w:val="22"/>
          <w:lang w:eastAsia="en-GB"/>
        </w:rPr>
        <w:tab/>
      </w:r>
      <w:r>
        <w:rPr>
          <w:rStyle w:val="Hyperlink"/>
        </w:rPr>
        <w:t>Competitiveness</w:t>
      </w:r>
      <w:r>
        <w:rPr>
          <w:webHidden/>
        </w:rPr>
        <w:tab/>
        <w:t>60</w:t>
      </w:r>
    </w:p>
    <w:p>
      <w:pPr>
        <w:pStyle w:val="TOC2"/>
        <w:rPr>
          <w:rFonts w:asciiTheme="minorHAnsi" w:eastAsiaTheme="minorEastAsia" w:hAnsiTheme="minorHAnsi" w:cstheme="minorBidi"/>
          <w:smallCaps w:val="0"/>
          <w:szCs w:val="22"/>
          <w:lang w:eastAsia="en-GB"/>
        </w:rPr>
      </w:pPr>
      <w:r>
        <w:rPr>
          <w:rStyle w:val="Hyperlink"/>
        </w:rPr>
        <w:lastRenderedPageBreak/>
        <w:t>A1.6.5</w:t>
      </w:r>
      <w:r>
        <w:rPr>
          <w:rFonts w:asciiTheme="minorHAnsi" w:eastAsiaTheme="minorEastAsia" w:hAnsiTheme="minorHAnsi" w:cstheme="minorBidi"/>
          <w:smallCaps w:val="0"/>
          <w:szCs w:val="22"/>
          <w:lang w:eastAsia="en-GB"/>
        </w:rPr>
        <w:tab/>
      </w:r>
      <w:r>
        <w:rPr>
          <w:rStyle w:val="Hyperlink"/>
        </w:rPr>
        <w:t>Tables and graphs</w:t>
      </w:r>
      <w:r>
        <w:rPr>
          <w:webHidden/>
        </w:rPr>
        <w:tab/>
        <w:t>61</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A1.7</w:t>
      </w:r>
      <w:r>
        <w:rPr>
          <w:rFonts w:asciiTheme="minorHAnsi" w:eastAsiaTheme="minorEastAsia" w:hAnsiTheme="minorHAnsi" w:cstheme="minorBidi"/>
          <w:b w:val="0"/>
          <w:bCs w:val="0"/>
          <w:caps w:val="0"/>
          <w:noProof/>
          <w:szCs w:val="22"/>
          <w:lang w:eastAsia="en-GB"/>
        </w:rPr>
        <w:tab/>
      </w:r>
      <w:r>
        <w:rPr>
          <w:rStyle w:val="Hyperlink"/>
          <w:noProof/>
          <w:lang w:eastAsia="en-GB"/>
        </w:rPr>
        <w:t>PACKAGING GLASS</w:t>
      </w:r>
      <w:r>
        <w:rPr>
          <w:noProof/>
          <w:webHidden/>
        </w:rPr>
        <w:tab/>
        <w:t>67</w:t>
      </w:r>
    </w:p>
    <w:p>
      <w:pPr>
        <w:pStyle w:val="TOC2"/>
        <w:rPr>
          <w:rFonts w:asciiTheme="minorHAnsi" w:eastAsiaTheme="minorEastAsia" w:hAnsiTheme="minorHAnsi" w:cstheme="minorBidi"/>
          <w:smallCaps w:val="0"/>
          <w:szCs w:val="22"/>
          <w:lang w:eastAsia="en-GB"/>
        </w:rPr>
      </w:pPr>
      <w:r>
        <w:rPr>
          <w:rStyle w:val="Hyperlink"/>
        </w:rPr>
        <w:t>A1.7.1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67</w:t>
      </w:r>
    </w:p>
    <w:p>
      <w:pPr>
        <w:pStyle w:val="TOC2"/>
        <w:rPr>
          <w:rFonts w:asciiTheme="minorHAnsi" w:eastAsiaTheme="minorEastAsia" w:hAnsiTheme="minorHAnsi" w:cstheme="minorBidi"/>
          <w:smallCaps w:val="0"/>
          <w:szCs w:val="22"/>
          <w:lang w:eastAsia="en-GB"/>
        </w:rPr>
      </w:pPr>
      <w:r>
        <w:rPr>
          <w:rStyle w:val="Hyperlink"/>
        </w:rPr>
        <w:t>A1.7.2</w:t>
      </w:r>
      <w:r>
        <w:rPr>
          <w:rFonts w:asciiTheme="minorHAnsi" w:eastAsiaTheme="minorEastAsia" w:hAnsiTheme="minorHAnsi" w:cstheme="minorBidi"/>
          <w:smallCaps w:val="0"/>
          <w:szCs w:val="22"/>
          <w:lang w:eastAsia="en-GB"/>
        </w:rPr>
        <w:tab/>
      </w:r>
      <w:r>
        <w:rPr>
          <w:rStyle w:val="Hyperlink"/>
        </w:rPr>
        <w:t>Electricity prices, costs and intensity</w:t>
      </w:r>
      <w:r>
        <w:rPr>
          <w:webHidden/>
        </w:rPr>
        <w:tab/>
        <w:t>67</w:t>
      </w:r>
    </w:p>
    <w:p>
      <w:pPr>
        <w:pStyle w:val="TOC2"/>
        <w:rPr>
          <w:rFonts w:asciiTheme="minorHAnsi" w:eastAsiaTheme="minorEastAsia" w:hAnsiTheme="minorHAnsi" w:cstheme="minorBidi"/>
          <w:smallCaps w:val="0"/>
          <w:szCs w:val="22"/>
          <w:lang w:eastAsia="en-GB"/>
        </w:rPr>
      </w:pPr>
      <w:r>
        <w:rPr>
          <w:rStyle w:val="Hyperlink"/>
        </w:rPr>
        <w:t>A1.7.3</w:t>
      </w:r>
      <w:r>
        <w:rPr>
          <w:rFonts w:asciiTheme="minorHAnsi" w:eastAsiaTheme="minorEastAsia" w:hAnsiTheme="minorHAnsi" w:cstheme="minorBidi"/>
          <w:smallCaps w:val="0"/>
          <w:szCs w:val="22"/>
          <w:lang w:eastAsia="en-GB"/>
        </w:rPr>
        <w:tab/>
      </w:r>
      <w:r>
        <w:rPr>
          <w:rStyle w:val="Hyperlink"/>
        </w:rPr>
        <w:t>Natural gas prices, costs and intensity</w:t>
      </w:r>
      <w:r>
        <w:rPr>
          <w:webHidden/>
        </w:rPr>
        <w:tab/>
        <w:t>68</w:t>
      </w:r>
    </w:p>
    <w:p>
      <w:pPr>
        <w:pStyle w:val="TOC2"/>
        <w:rPr>
          <w:rFonts w:asciiTheme="minorHAnsi" w:eastAsiaTheme="minorEastAsia" w:hAnsiTheme="minorHAnsi" w:cstheme="minorBidi"/>
          <w:smallCaps w:val="0"/>
          <w:szCs w:val="22"/>
          <w:lang w:eastAsia="en-GB"/>
        </w:rPr>
      </w:pPr>
      <w:r>
        <w:rPr>
          <w:rStyle w:val="Hyperlink"/>
        </w:rPr>
        <w:t>A1.7.4</w:t>
      </w:r>
      <w:r>
        <w:rPr>
          <w:rFonts w:asciiTheme="minorHAnsi" w:eastAsiaTheme="minorEastAsia" w:hAnsiTheme="minorHAnsi" w:cstheme="minorBidi"/>
          <w:smallCaps w:val="0"/>
          <w:szCs w:val="22"/>
          <w:lang w:eastAsia="en-GB"/>
        </w:rPr>
        <w:tab/>
      </w:r>
      <w:r>
        <w:rPr>
          <w:rStyle w:val="Hyperlink"/>
        </w:rPr>
        <w:t>Competitiveness</w:t>
      </w:r>
      <w:r>
        <w:rPr>
          <w:webHidden/>
        </w:rPr>
        <w:tab/>
        <w:t>68</w:t>
      </w:r>
    </w:p>
    <w:p>
      <w:pPr>
        <w:pStyle w:val="TOC2"/>
        <w:rPr>
          <w:rFonts w:asciiTheme="minorHAnsi" w:eastAsiaTheme="minorEastAsia" w:hAnsiTheme="minorHAnsi" w:cstheme="minorBidi"/>
          <w:smallCaps w:val="0"/>
          <w:szCs w:val="22"/>
          <w:lang w:eastAsia="en-GB"/>
        </w:rPr>
      </w:pPr>
      <w:r>
        <w:rPr>
          <w:rStyle w:val="Hyperlink"/>
        </w:rPr>
        <w:t>A1.7.5</w:t>
      </w:r>
      <w:r>
        <w:rPr>
          <w:rFonts w:asciiTheme="minorHAnsi" w:eastAsiaTheme="minorEastAsia" w:hAnsiTheme="minorHAnsi" w:cstheme="minorBidi"/>
          <w:smallCaps w:val="0"/>
          <w:szCs w:val="22"/>
          <w:lang w:eastAsia="en-GB"/>
        </w:rPr>
        <w:tab/>
      </w:r>
      <w:r>
        <w:rPr>
          <w:rStyle w:val="Hyperlink"/>
        </w:rPr>
        <w:t>Tables and graphs</w:t>
      </w:r>
      <w:r>
        <w:rPr>
          <w:webHidden/>
        </w:rPr>
        <w:tab/>
        <w:t>68</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A1.8</w:t>
      </w:r>
      <w:r>
        <w:rPr>
          <w:rFonts w:asciiTheme="minorHAnsi" w:eastAsiaTheme="minorEastAsia" w:hAnsiTheme="minorHAnsi" w:cstheme="minorBidi"/>
          <w:b w:val="0"/>
          <w:bCs w:val="0"/>
          <w:caps w:val="0"/>
          <w:noProof/>
          <w:szCs w:val="22"/>
          <w:lang w:eastAsia="en-GB"/>
        </w:rPr>
        <w:tab/>
      </w:r>
      <w:r>
        <w:rPr>
          <w:rStyle w:val="Hyperlink"/>
          <w:noProof/>
          <w:lang w:eastAsia="en-GB"/>
        </w:rPr>
        <w:t>NITROGEN FERTILISERS</w:t>
      </w:r>
      <w:r>
        <w:rPr>
          <w:noProof/>
          <w:webHidden/>
        </w:rPr>
        <w:tab/>
        <w:t>74</w:t>
      </w:r>
    </w:p>
    <w:p>
      <w:pPr>
        <w:pStyle w:val="TOC2"/>
        <w:rPr>
          <w:rFonts w:asciiTheme="minorHAnsi" w:eastAsiaTheme="minorEastAsia" w:hAnsiTheme="minorHAnsi" w:cstheme="minorBidi"/>
          <w:smallCaps w:val="0"/>
          <w:szCs w:val="22"/>
          <w:lang w:eastAsia="en-GB"/>
        </w:rPr>
      </w:pPr>
      <w:r>
        <w:rPr>
          <w:rStyle w:val="Hyperlink"/>
        </w:rPr>
        <w:t>A1.8.1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74</w:t>
      </w:r>
    </w:p>
    <w:p>
      <w:pPr>
        <w:pStyle w:val="TOC2"/>
        <w:rPr>
          <w:rFonts w:asciiTheme="minorHAnsi" w:eastAsiaTheme="minorEastAsia" w:hAnsiTheme="minorHAnsi" w:cstheme="minorBidi"/>
          <w:smallCaps w:val="0"/>
          <w:szCs w:val="22"/>
          <w:lang w:eastAsia="en-GB"/>
        </w:rPr>
      </w:pPr>
      <w:r>
        <w:rPr>
          <w:rStyle w:val="Hyperlink"/>
        </w:rPr>
        <w:t>A1.8.2</w:t>
      </w:r>
      <w:r>
        <w:rPr>
          <w:rFonts w:asciiTheme="minorHAnsi" w:eastAsiaTheme="minorEastAsia" w:hAnsiTheme="minorHAnsi" w:cstheme="minorBidi"/>
          <w:smallCaps w:val="0"/>
          <w:szCs w:val="22"/>
          <w:lang w:eastAsia="en-GB"/>
        </w:rPr>
        <w:tab/>
      </w:r>
      <w:r>
        <w:rPr>
          <w:rStyle w:val="Hyperlink"/>
        </w:rPr>
        <w:t>Electricity prices, costs and intensity</w:t>
      </w:r>
      <w:r>
        <w:rPr>
          <w:webHidden/>
        </w:rPr>
        <w:tab/>
        <w:t>74</w:t>
      </w:r>
    </w:p>
    <w:p>
      <w:pPr>
        <w:pStyle w:val="TOC2"/>
        <w:rPr>
          <w:rFonts w:asciiTheme="minorHAnsi" w:eastAsiaTheme="minorEastAsia" w:hAnsiTheme="minorHAnsi" w:cstheme="minorBidi"/>
          <w:smallCaps w:val="0"/>
          <w:szCs w:val="22"/>
          <w:lang w:eastAsia="en-GB"/>
        </w:rPr>
      </w:pPr>
      <w:r>
        <w:rPr>
          <w:rStyle w:val="Hyperlink"/>
        </w:rPr>
        <w:t>A1.8.3</w:t>
      </w:r>
      <w:r>
        <w:rPr>
          <w:rFonts w:asciiTheme="minorHAnsi" w:eastAsiaTheme="minorEastAsia" w:hAnsiTheme="minorHAnsi" w:cstheme="minorBidi"/>
          <w:smallCaps w:val="0"/>
          <w:szCs w:val="22"/>
          <w:lang w:eastAsia="en-GB"/>
        </w:rPr>
        <w:tab/>
      </w:r>
      <w:r>
        <w:rPr>
          <w:rStyle w:val="Hyperlink"/>
        </w:rPr>
        <w:t>Natural gas prices, costs and intensity</w:t>
      </w:r>
      <w:r>
        <w:rPr>
          <w:webHidden/>
        </w:rPr>
        <w:tab/>
        <w:t>74</w:t>
      </w:r>
    </w:p>
    <w:p>
      <w:pPr>
        <w:pStyle w:val="TOC2"/>
        <w:rPr>
          <w:rFonts w:asciiTheme="minorHAnsi" w:eastAsiaTheme="minorEastAsia" w:hAnsiTheme="minorHAnsi" w:cstheme="minorBidi"/>
          <w:smallCaps w:val="0"/>
          <w:szCs w:val="22"/>
          <w:lang w:eastAsia="en-GB"/>
        </w:rPr>
      </w:pPr>
      <w:r>
        <w:rPr>
          <w:rStyle w:val="Hyperlink"/>
        </w:rPr>
        <w:t>A1.8.4</w:t>
      </w:r>
      <w:r>
        <w:rPr>
          <w:rFonts w:asciiTheme="minorHAnsi" w:eastAsiaTheme="minorEastAsia" w:hAnsiTheme="minorHAnsi" w:cstheme="minorBidi"/>
          <w:smallCaps w:val="0"/>
          <w:szCs w:val="22"/>
          <w:lang w:eastAsia="en-GB"/>
        </w:rPr>
        <w:tab/>
      </w:r>
      <w:r>
        <w:rPr>
          <w:rStyle w:val="Hyperlink"/>
        </w:rPr>
        <w:t>Competitiveness</w:t>
      </w:r>
      <w:r>
        <w:rPr>
          <w:webHidden/>
        </w:rPr>
        <w:tab/>
        <w:t>75</w:t>
      </w:r>
    </w:p>
    <w:p>
      <w:pPr>
        <w:pStyle w:val="TOC2"/>
        <w:rPr>
          <w:rFonts w:asciiTheme="minorHAnsi" w:eastAsiaTheme="minorEastAsia" w:hAnsiTheme="minorHAnsi" w:cstheme="minorBidi"/>
          <w:smallCaps w:val="0"/>
          <w:szCs w:val="22"/>
          <w:lang w:eastAsia="en-GB"/>
        </w:rPr>
      </w:pPr>
      <w:r>
        <w:rPr>
          <w:rStyle w:val="Hyperlink"/>
        </w:rPr>
        <w:t>A1.8.5</w:t>
      </w:r>
      <w:r>
        <w:rPr>
          <w:rFonts w:asciiTheme="minorHAnsi" w:eastAsiaTheme="minorEastAsia" w:hAnsiTheme="minorHAnsi" w:cstheme="minorBidi"/>
          <w:smallCaps w:val="0"/>
          <w:szCs w:val="22"/>
          <w:lang w:eastAsia="en-GB"/>
        </w:rPr>
        <w:tab/>
      </w:r>
      <w:r>
        <w:rPr>
          <w:rStyle w:val="Hyperlink"/>
        </w:rPr>
        <w:t>Tables and graphs</w:t>
      </w:r>
      <w:r>
        <w:rPr>
          <w:webHidden/>
        </w:rPr>
        <w:tab/>
        <w:t>75</w:t>
      </w:r>
    </w:p>
    <w:p>
      <w:pPr>
        <w:pStyle w:val="TOC1"/>
        <w:tabs>
          <w:tab w:val="left" w:pos="660"/>
        </w:tabs>
        <w:rPr>
          <w:rFonts w:asciiTheme="minorHAnsi" w:eastAsiaTheme="minorEastAsia" w:hAnsiTheme="minorHAnsi" w:cstheme="minorBidi"/>
          <w:b w:val="0"/>
          <w:bCs w:val="0"/>
          <w:caps w:val="0"/>
          <w:noProof/>
          <w:szCs w:val="22"/>
          <w:lang w:eastAsia="en-GB"/>
        </w:rPr>
      </w:pPr>
      <w:r>
        <w:rPr>
          <w:rStyle w:val="Hyperlink"/>
          <w:noProof/>
          <w:lang w:eastAsia="en-GB"/>
        </w:rPr>
        <w:t>A1.9</w:t>
      </w:r>
      <w:r>
        <w:rPr>
          <w:rFonts w:asciiTheme="minorHAnsi" w:eastAsiaTheme="minorEastAsia" w:hAnsiTheme="minorHAnsi" w:cstheme="minorBidi"/>
          <w:b w:val="0"/>
          <w:bCs w:val="0"/>
          <w:caps w:val="0"/>
          <w:noProof/>
          <w:szCs w:val="22"/>
          <w:lang w:eastAsia="en-GB"/>
        </w:rPr>
        <w:tab/>
      </w:r>
      <w:r>
        <w:rPr>
          <w:rStyle w:val="Hyperlink"/>
          <w:noProof/>
          <w:lang w:eastAsia="en-GB"/>
        </w:rPr>
        <w:t>REFINERIES</w:t>
      </w:r>
      <w:r>
        <w:rPr>
          <w:noProof/>
          <w:webHidden/>
        </w:rPr>
        <w:tab/>
        <w:t>81</w:t>
      </w:r>
    </w:p>
    <w:p>
      <w:pPr>
        <w:pStyle w:val="TOC2"/>
        <w:rPr>
          <w:rFonts w:asciiTheme="minorHAnsi" w:eastAsiaTheme="minorEastAsia" w:hAnsiTheme="minorHAnsi" w:cstheme="minorBidi"/>
          <w:smallCaps w:val="0"/>
          <w:szCs w:val="22"/>
          <w:lang w:eastAsia="en-GB"/>
        </w:rPr>
      </w:pPr>
      <w:r>
        <w:rPr>
          <w:rStyle w:val="Hyperlink"/>
        </w:rPr>
        <w:t>A1.9.1</w:t>
      </w:r>
      <w:r>
        <w:rPr>
          <w:rFonts w:asciiTheme="minorHAnsi" w:eastAsiaTheme="minorEastAsia" w:hAnsiTheme="minorHAnsi" w:cstheme="minorBidi"/>
          <w:smallCaps w:val="0"/>
          <w:szCs w:val="22"/>
          <w:lang w:eastAsia="en-GB"/>
        </w:rPr>
        <w:tab/>
      </w:r>
      <w:r>
        <w:rPr>
          <w:rStyle w:val="Hyperlink"/>
        </w:rPr>
        <w:t>General information and sample composition</w:t>
      </w:r>
      <w:r>
        <w:rPr>
          <w:webHidden/>
        </w:rPr>
        <w:tab/>
        <w:t>81</w:t>
      </w:r>
    </w:p>
    <w:p>
      <w:pPr>
        <w:pStyle w:val="TOC2"/>
        <w:rPr>
          <w:rFonts w:asciiTheme="minorHAnsi" w:eastAsiaTheme="minorEastAsia" w:hAnsiTheme="minorHAnsi" w:cstheme="minorBidi"/>
          <w:smallCaps w:val="0"/>
          <w:szCs w:val="22"/>
          <w:lang w:eastAsia="en-GB"/>
        </w:rPr>
      </w:pPr>
      <w:r>
        <w:rPr>
          <w:rStyle w:val="Hyperlink"/>
        </w:rPr>
        <w:t>A1.9.2</w:t>
      </w:r>
      <w:r>
        <w:rPr>
          <w:rFonts w:asciiTheme="minorHAnsi" w:eastAsiaTheme="minorEastAsia" w:hAnsiTheme="minorHAnsi" w:cstheme="minorBidi"/>
          <w:smallCaps w:val="0"/>
          <w:szCs w:val="22"/>
          <w:lang w:eastAsia="en-GB"/>
        </w:rPr>
        <w:tab/>
      </w:r>
      <w:r>
        <w:rPr>
          <w:rStyle w:val="Hyperlink"/>
        </w:rPr>
        <w:t>Electricity prices, costs and intensity</w:t>
      </w:r>
      <w:r>
        <w:rPr>
          <w:webHidden/>
        </w:rPr>
        <w:tab/>
        <w:t>81</w:t>
      </w:r>
    </w:p>
    <w:p>
      <w:pPr>
        <w:pStyle w:val="TOC2"/>
        <w:rPr>
          <w:rFonts w:asciiTheme="minorHAnsi" w:eastAsiaTheme="minorEastAsia" w:hAnsiTheme="minorHAnsi" w:cstheme="minorBidi"/>
          <w:smallCaps w:val="0"/>
          <w:szCs w:val="22"/>
          <w:lang w:eastAsia="en-GB"/>
        </w:rPr>
      </w:pPr>
      <w:r>
        <w:rPr>
          <w:rStyle w:val="Hyperlink"/>
        </w:rPr>
        <w:t>A1.9.3</w:t>
      </w:r>
      <w:r>
        <w:rPr>
          <w:rFonts w:asciiTheme="minorHAnsi" w:eastAsiaTheme="minorEastAsia" w:hAnsiTheme="minorHAnsi" w:cstheme="minorBidi"/>
          <w:smallCaps w:val="0"/>
          <w:szCs w:val="22"/>
          <w:lang w:eastAsia="en-GB"/>
        </w:rPr>
        <w:tab/>
      </w:r>
      <w:r>
        <w:rPr>
          <w:rStyle w:val="Hyperlink"/>
        </w:rPr>
        <w:t>Natural gas and total gas prices, costs and intensity</w:t>
      </w:r>
      <w:r>
        <w:rPr>
          <w:webHidden/>
        </w:rPr>
        <w:tab/>
        <w:t>82</w:t>
      </w:r>
    </w:p>
    <w:p>
      <w:pPr>
        <w:pStyle w:val="TOC2"/>
        <w:rPr>
          <w:rFonts w:asciiTheme="minorHAnsi" w:eastAsiaTheme="minorEastAsia" w:hAnsiTheme="minorHAnsi" w:cstheme="minorBidi"/>
          <w:smallCaps w:val="0"/>
          <w:szCs w:val="22"/>
          <w:lang w:eastAsia="en-GB"/>
        </w:rPr>
      </w:pPr>
      <w:r>
        <w:rPr>
          <w:rStyle w:val="Hyperlink"/>
        </w:rPr>
        <w:t>A1.9.4</w:t>
      </w:r>
      <w:r>
        <w:rPr>
          <w:rFonts w:asciiTheme="minorHAnsi" w:eastAsiaTheme="minorEastAsia" w:hAnsiTheme="minorHAnsi" w:cstheme="minorBidi"/>
          <w:smallCaps w:val="0"/>
          <w:szCs w:val="22"/>
          <w:lang w:eastAsia="en-GB"/>
        </w:rPr>
        <w:tab/>
      </w:r>
      <w:r>
        <w:rPr>
          <w:rStyle w:val="Hyperlink"/>
        </w:rPr>
        <w:t>Prices, costs and intensity of other fuels including feedstocks</w:t>
      </w:r>
      <w:r>
        <w:rPr>
          <w:webHidden/>
        </w:rPr>
        <w:tab/>
        <w:t>82</w:t>
      </w:r>
    </w:p>
    <w:p>
      <w:pPr>
        <w:pStyle w:val="TOC2"/>
        <w:rPr>
          <w:rFonts w:asciiTheme="minorHAnsi" w:eastAsiaTheme="minorEastAsia" w:hAnsiTheme="minorHAnsi" w:cstheme="minorBidi"/>
          <w:smallCaps w:val="0"/>
          <w:szCs w:val="22"/>
          <w:lang w:eastAsia="en-GB"/>
        </w:rPr>
      </w:pPr>
      <w:r>
        <w:rPr>
          <w:rStyle w:val="Hyperlink"/>
        </w:rPr>
        <w:t>A1.9.5</w:t>
      </w:r>
      <w:r>
        <w:rPr>
          <w:rFonts w:asciiTheme="minorHAnsi" w:eastAsiaTheme="minorEastAsia" w:hAnsiTheme="minorHAnsi" w:cstheme="minorBidi"/>
          <w:smallCaps w:val="0"/>
          <w:szCs w:val="22"/>
          <w:lang w:eastAsia="en-GB"/>
        </w:rPr>
        <w:tab/>
      </w:r>
      <w:r>
        <w:rPr>
          <w:rStyle w:val="Hyperlink"/>
        </w:rPr>
        <w:t>Competitiveness</w:t>
      </w:r>
      <w:r>
        <w:rPr>
          <w:webHidden/>
        </w:rPr>
        <w:tab/>
        <w:t>82</w:t>
      </w:r>
    </w:p>
    <w:p>
      <w:pPr>
        <w:pStyle w:val="TOC2"/>
        <w:rPr>
          <w:rFonts w:asciiTheme="minorHAnsi" w:eastAsiaTheme="minorEastAsia" w:hAnsiTheme="minorHAnsi" w:cstheme="minorBidi"/>
          <w:smallCaps w:val="0"/>
          <w:szCs w:val="22"/>
          <w:lang w:eastAsia="en-GB"/>
        </w:rPr>
      </w:pPr>
      <w:r>
        <w:rPr>
          <w:rStyle w:val="Hyperlink"/>
        </w:rPr>
        <w:t>A1.9.6</w:t>
      </w:r>
      <w:r>
        <w:rPr>
          <w:rFonts w:asciiTheme="minorHAnsi" w:eastAsiaTheme="minorEastAsia" w:hAnsiTheme="minorHAnsi" w:cstheme="minorBidi"/>
          <w:smallCaps w:val="0"/>
          <w:szCs w:val="22"/>
          <w:lang w:eastAsia="en-GB"/>
        </w:rPr>
        <w:tab/>
      </w:r>
      <w:r>
        <w:rPr>
          <w:rStyle w:val="Hyperlink"/>
        </w:rPr>
        <w:t>Tables and graphs</w:t>
      </w:r>
      <w:r>
        <w:rPr>
          <w:webHidden/>
        </w:rPr>
        <w:tab/>
        <w:t>83</w:t>
      </w:r>
    </w:p>
    <w:p>
      <w:pPr>
        <w:spacing w:after="0"/>
        <w:jc w:val="center"/>
        <w:rPr>
          <w:noProof/>
        </w:rPr>
      </w:pPr>
    </w:p>
    <w:p>
      <w:pPr>
        <w:spacing w:after="0"/>
        <w:jc w:val="left"/>
        <w:rPr>
          <w:noProof/>
        </w:rPr>
      </w:pPr>
      <w:r>
        <w:rPr>
          <w:noProof/>
        </w:rPr>
        <w:br w:type="page"/>
      </w:r>
    </w:p>
    <w:p>
      <w:pPr>
        <w:spacing w:after="0"/>
        <w:rPr>
          <w:b/>
          <w:noProof/>
          <w:color w:val="0070C0"/>
          <w:sz w:val="32"/>
          <w:szCs w:val="32"/>
        </w:rPr>
      </w:pPr>
      <w:r>
        <w:rPr>
          <w:b/>
          <w:noProof/>
          <w:color w:val="0070C0"/>
          <w:sz w:val="32"/>
          <w:szCs w:val="32"/>
        </w:rPr>
        <w:t>List of Figures</w:t>
      </w:r>
    </w:p>
    <w:p>
      <w:pPr>
        <w:spacing w:after="0"/>
        <w:jc w:val="left"/>
        <w:rPr>
          <w:b/>
          <w:noProof/>
          <w:color w:val="0070C0"/>
          <w:sz w:val="32"/>
          <w:szCs w:val="32"/>
        </w:rPr>
      </w:pP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1. Example of box plot</w:t>
      </w:r>
      <w:r>
        <w:rPr>
          <w:noProof/>
          <w:webHidden/>
        </w:rPr>
        <w:tab/>
        <w:t>10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2. Components of the EU average electricity price for BOF steel production (%)</w:t>
      </w:r>
      <w:r>
        <w:rPr>
          <w:noProof/>
          <w:webHidden/>
        </w:rPr>
        <w:tab/>
        <w:t>13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 </w:t>
      </w:r>
      <w:r>
        <w:rPr>
          <w:rStyle w:val="Hyperlink"/>
          <w:rFonts w:eastAsia="Times New Roman"/>
          <w:noProof/>
          <w:lang w:eastAsia="en-GB"/>
        </w:rPr>
        <w:t xml:space="preserve">Electricity costs </w:t>
      </w:r>
      <w:r>
        <w:rPr>
          <w:rStyle w:val="Hyperlink"/>
          <w:noProof/>
        </w:rPr>
        <w:t>of BOF steel production</w:t>
      </w:r>
      <w:r>
        <w:rPr>
          <w:rStyle w:val="Hyperlink"/>
          <w:rFonts w:eastAsia="Times New Roman"/>
          <w:noProof/>
          <w:lang w:eastAsia="en-GB"/>
        </w:rPr>
        <w:t xml:space="preserve"> (€/MWh)</w:t>
      </w:r>
      <w:r>
        <w:rPr>
          <w:noProof/>
          <w:webHidden/>
        </w:rPr>
        <w:tab/>
        <w:t>14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 </w:t>
      </w:r>
      <w:r>
        <w:rPr>
          <w:rStyle w:val="Hyperlink"/>
          <w:rFonts w:eastAsia="Times New Roman"/>
          <w:noProof/>
          <w:lang w:eastAsia="en-GB"/>
        </w:rPr>
        <w:t>Electricity costs</w:t>
      </w:r>
      <w:r>
        <w:rPr>
          <w:rStyle w:val="Hyperlink"/>
          <w:noProof/>
        </w:rPr>
        <w:t xml:space="preserve"> of BOF steel production</w:t>
      </w:r>
      <w:r>
        <w:rPr>
          <w:rStyle w:val="Hyperlink"/>
          <w:rFonts w:eastAsia="Times New Roman"/>
          <w:noProof/>
          <w:lang w:eastAsia="en-GB"/>
        </w:rPr>
        <w:t xml:space="preserve"> (€/tonne)</w:t>
      </w:r>
      <w:r>
        <w:rPr>
          <w:noProof/>
          <w:webHidden/>
        </w:rPr>
        <w:tab/>
        <w:t>14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 </w:t>
      </w:r>
      <w:r>
        <w:rPr>
          <w:rStyle w:val="Hyperlink"/>
          <w:rFonts w:eastAsia="Times New Roman"/>
          <w:noProof/>
          <w:lang w:eastAsia="en-GB"/>
        </w:rPr>
        <w:t xml:space="preserve">Electricity intensity </w:t>
      </w:r>
      <w:r>
        <w:rPr>
          <w:rStyle w:val="Hyperlink"/>
          <w:noProof/>
        </w:rPr>
        <w:t>of BOF steel production</w:t>
      </w:r>
      <w:r>
        <w:rPr>
          <w:rStyle w:val="Hyperlink"/>
          <w:rFonts w:eastAsia="Times New Roman"/>
          <w:noProof/>
          <w:lang w:eastAsia="en-GB"/>
        </w:rPr>
        <w:t xml:space="preserve"> (MWh/tonne)</w:t>
      </w:r>
      <w:r>
        <w:rPr>
          <w:noProof/>
          <w:webHidden/>
        </w:rPr>
        <w:tab/>
        <w:t>15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 </w:t>
      </w:r>
      <w:r>
        <w:rPr>
          <w:rStyle w:val="Hyperlink"/>
          <w:rFonts w:eastAsia="Times New Roman"/>
          <w:noProof/>
          <w:lang w:eastAsia="en-GB"/>
        </w:rPr>
        <w:t>Natural gas prices</w:t>
      </w:r>
      <w:r>
        <w:rPr>
          <w:rStyle w:val="Hyperlink"/>
          <w:noProof/>
        </w:rPr>
        <w:t xml:space="preserve"> of BOF steel production</w:t>
      </w:r>
      <w:r>
        <w:rPr>
          <w:rStyle w:val="Hyperlink"/>
          <w:rFonts w:eastAsia="Times New Roman"/>
          <w:noProof/>
          <w:lang w:eastAsia="en-GB"/>
        </w:rPr>
        <w:t xml:space="preserve"> (€/MWh)</w:t>
      </w:r>
      <w:r>
        <w:rPr>
          <w:noProof/>
          <w:webHidden/>
        </w:rPr>
        <w:tab/>
        <w:t>15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7. Components of the EU average natural gas price for BOF steel production (%)</w:t>
      </w:r>
      <w:r>
        <w:rPr>
          <w:noProof/>
          <w:webHidden/>
        </w:rPr>
        <w:tab/>
        <w:t>16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 </w:t>
      </w:r>
      <w:r>
        <w:rPr>
          <w:rStyle w:val="Hyperlink"/>
          <w:rFonts w:eastAsia="Times New Roman"/>
          <w:noProof/>
          <w:lang w:eastAsia="en-GB"/>
        </w:rPr>
        <w:t>Natural gas costs</w:t>
      </w:r>
      <w:r>
        <w:rPr>
          <w:rStyle w:val="Hyperlink"/>
          <w:noProof/>
        </w:rPr>
        <w:t xml:space="preserve"> of BOF steel production</w:t>
      </w:r>
      <w:r>
        <w:rPr>
          <w:rStyle w:val="Hyperlink"/>
          <w:rFonts w:eastAsia="Times New Roman"/>
          <w:noProof/>
          <w:lang w:eastAsia="en-GB"/>
        </w:rPr>
        <w:t xml:space="preserve"> (€/tonne)</w:t>
      </w:r>
      <w:r>
        <w:rPr>
          <w:noProof/>
          <w:webHidden/>
        </w:rPr>
        <w:tab/>
        <w:t>16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 </w:t>
      </w:r>
      <w:r>
        <w:rPr>
          <w:rStyle w:val="Hyperlink"/>
          <w:rFonts w:eastAsia="Times New Roman"/>
          <w:noProof/>
          <w:lang w:eastAsia="en-GB"/>
        </w:rPr>
        <w:t xml:space="preserve">Natural gas intensity </w:t>
      </w:r>
      <w:r>
        <w:rPr>
          <w:rStyle w:val="Hyperlink"/>
          <w:noProof/>
        </w:rPr>
        <w:t>of BOF steel production</w:t>
      </w:r>
      <w:r>
        <w:rPr>
          <w:rStyle w:val="Hyperlink"/>
          <w:rFonts w:eastAsia="Times New Roman"/>
          <w:noProof/>
          <w:lang w:eastAsia="en-GB"/>
        </w:rPr>
        <w:t xml:space="preserve"> (MWh/tonne)</w:t>
      </w:r>
      <w:r>
        <w:rPr>
          <w:noProof/>
          <w:webHidden/>
        </w:rPr>
        <w:tab/>
        <w:t>17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10. </w:t>
      </w:r>
      <w:r>
        <w:rPr>
          <w:rStyle w:val="Hyperlink"/>
          <w:rFonts w:eastAsia="Times New Roman"/>
          <w:noProof/>
          <w:lang w:eastAsia="en-GB"/>
        </w:rPr>
        <w:t xml:space="preserve">Total gas intensity </w:t>
      </w:r>
      <w:r>
        <w:rPr>
          <w:rStyle w:val="Hyperlink"/>
          <w:noProof/>
        </w:rPr>
        <w:t>of BOF steel production</w:t>
      </w:r>
      <w:r>
        <w:rPr>
          <w:rStyle w:val="Hyperlink"/>
          <w:rFonts w:eastAsia="Times New Roman"/>
          <w:noProof/>
          <w:lang w:eastAsia="en-GB"/>
        </w:rPr>
        <w:t xml:space="preserve"> (MWh/tonne)</w:t>
      </w:r>
      <w:r>
        <w:rPr>
          <w:noProof/>
          <w:webHidden/>
        </w:rPr>
        <w:tab/>
        <w:t>17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11. </w:t>
      </w:r>
      <w:r>
        <w:rPr>
          <w:rStyle w:val="Hyperlink"/>
          <w:rFonts w:eastAsia="Times New Roman"/>
          <w:noProof/>
          <w:lang w:eastAsia="en-GB"/>
        </w:rPr>
        <w:t xml:space="preserve">Energy costs versus EBITDA </w:t>
      </w:r>
      <w:r>
        <w:rPr>
          <w:rStyle w:val="Hyperlink"/>
          <w:noProof/>
        </w:rPr>
        <w:t>of BOF steel production</w:t>
      </w:r>
      <w:r>
        <w:rPr>
          <w:rStyle w:val="Hyperlink"/>
          <w:rFonts w:eastAsia="Times New Roman"/>
          <w:noProof/>
          <w:lang w:eastAsia="en-GB"/>
        </w:rPr>
        <w:t xml:space="preserve"> (€/tonne)</w:t>
      </w:r>
      <w:r>
        <w:rPr>
          <w:noProof/>
          <w:webHidden/>
        </w:rPr>
        <w:tab/>
        <w:t>18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12. Components of the EU average electricity price for EAF steel production (%)</w:t>
      </w:r>
      <w:r>
        <w:rPr>
          <w:noProof/>
          <w:webHidden/>
        </w:rPr>
        <w:tab/>
        <w:t>21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13. </w:t>
      </w:r>
      <w:r>
        <w:rPr>
          <w:rStyle w:val="Hyperlink"/>
          <w:rFonts w:eastAsia="Times New Roman"/>
          <w:noProof/>
          <w:lang w:eastAsia="en-GB"/>
        </w:rPr>
        <w:t xml:space="preserve">Electricity costs </w:t>
      </w:r>
      <w:r>
        <w:rPr>
          <w:rStyle w:val="Hyperlink"/>
          <w:noProof/>
        </w:rPr>
        <w:t>of EAF steel production</w:t>
      </w:r>
      <w:r>
        <w:rPr>
          <w:rStyle w:val="Hyperlink"/>
          <w:rFonts w:eastAsia="Times New Roman"/>
          <w:noProof/>
          <w:lang w:eastAsia="en-GB"/>
        </w:rPr>
        <w:t xml:space="preserve"> (€/MWh)</w:t>
      </w:r>
      <w:r>
        <w:rPr>
          <w:noProof/>
          <w:webHidden/>
        </w:rPr>
        <w:tab/>
        <w:t>21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14. </w:t>
      </w:r>
      <w:r>
        <w:rPr>
          <w:rStyle w:val="Hyperlink"/>
          <w:rFonts w:eastAsia="Times New Roman"/>
          <w:noProof/>
          <w:lang w:eastAsia="en-GB"/>
        </w:rPr>
        <w:t>Electricity costs</w:t>
      </w:r>
      <w:r>
        <w:rPr>
          <w:rStyle w:val="Hyperlink"/>
          <w:noProof/>
        </w:rPr>
        <w:t xml:space="preserve"> of EAF steel production</w:t>
      </w:r>
      <w:r>
        <w:rPr>
          <w:rStyle w:val="Hyperlink"/>
          <w:rFonts w:eastAsia="Times New Roman"/>
          <w:noProof/>
          <w:lang w:eastAsia="en-GB"/>
        </w:rPr>
        <w:t xml:space="preserve"> (€/tonne)</w:t>
      </w:r>
      <w:r>
        <w:rPr>
          <w:noProof/>
          <w:webHidden/>
        </w:rPr>
        <w:tab/>
        <w:t>22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15. </w:t>
      </w:r>
      <w:r>
        <w:rPr>
          <w:rStyle w:val="Hyperlink"/>
          <w:rFonts w:eastAsia="Times New Roman"/>
          <w:noProof/>
          <w:lang w:eastAsia="en-GB"/>
        </w:rPr>
        <w:t xml:space="preserve">Electricity intensity </w:t>
      </w:r>
      <w:r>
        <w:rPr>
          <w:rStyle w:val="Hyperlink"/>
          <w:noProof/>
        </w:rPr>
        <w:t>of EAF steel production</w:t>
      </w:r>
      <w:r>
        <w:rPr>
          <w:rStyle w:val="Hyperlink"/>
          <w:rFonts w:eastAsia="Times New Roman"/>
          <w:noProof/>
          <w:lang w:eastAsia="en-GB"/>
        </w:rPr>
        <w:t xml:space="preserve"> (MWh/tonne)</w:t>
      </w:r>
      <w:r>
        <w:rPr>
          <w:noProof/>
          <w:webHidden/>
        </w:rPr>
        <w:tab/>
        <w:t>22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16. </w:t>
      </w:r>
      <w:r>
        <w:rPr>
          <w:rStyle w:val="Hyperlink"/>
          <w:rFonts w:eastAsia="Times New Roman"/>
          <w:noProof/>
          <w:lang w:eastAsia="en-GB"/>
        </w:rPr>
        <w:t>Natural gas prices</w:t>
      </w:r>
      <w:r>
        <w:rPr>
          <w:rStyle w:val="Hyperlink"/>
          <w:noProof/>
        </w:rPr>
        <w:t xml:space="preserve"> of EAF steel production</w:t>
      </w:r>
      <w:r>
        <w:rPr>
          <w:rStyle w:val="Hyperlink"/>
          <w:rFonts w:eastAsia="Times New Roman"/>
          <w:noProof/>
          <w:lang w:eastAsia="en-GB"/>
        </w:rPr>
        <w:t xml:space="preserve"> (€/MWh)</w:t>
      </w:r>
      <w:r>
        <w:rPr>
          <w:noProof/>
          <w:webHidden/>
        </w:rPr>
        <w:tab/>
        <w:t>23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17. Components of the EU average natural gas price for EAF steel</w:t>
      </w:r>
      <w:r>
        <w:rPr>
          <w:rStyle w:val="Hyperlink"/>
          <w:noProof/>
          <w:lang w:eastAsia="en-GB"/>
        </w:rPr>
        <w:t xml:space="preserve"> </w:t>
      </w:r>
      <w:r>
        <w:rPr>
          <w:rStyle w:val="Hyperlink"/>
          <w:noProof/>
        </w:rPr>
        <w:t>production (%)</w:t>
      </w:r>
      <w:r>
        <w:rPr>
          <w:noProof/>
          <w:webHidden/>
        </w:rPr>
        <w:tab/>
        <w:t>23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18. </w:t>
      </w:r>
      <w:r>
        <w:rPr>
          <w:rStyle w:val="Hyperlink"/>
          <w:rFonts w:eastAsia="Times New Roman"/>
          <w:noProof/>
          <w:lang w:eastAsia="en-GB"/>
        </w:rPr>
        <w:t>Natural gas costs</w:t>
      </w:r>
      <w:r>
        <w:rPr>
          <w:rStyle w:val="Hyperlink"/>
          <w:noProof/>
        </w:rPr>
        <w:t xml:space="preserve"> of EAF steel production</w:t>
      </w:r>
      <w:r>
        <w:rPr>
          <w:rStyle w:val="Hyperlink"/>
          <w:rFonts w:eastAsia="Times New Roman"/>
          <w:noProof/>
          <w:lang w:eastAsia="en-GB"/>
        </w:rPr>
        <w:t xml:space="preserve"> (€/tonne)</w:t>
      </w:r>
      <w:r>
        <w:rPr>
          <w:noProof/>
          <w:webHidden/>
        </w:rPr>
        <w:tab/>
        <w:t>24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19. </w:t>
      </w:r>
      <w:r>
        <w:rPr>
          <w:rStyle w:val="Hyperlink"/>
          <w:rFonts w:eastAsia="Times New Roman"/>
          <w:noProof/>
          <w:lang w:eastAsia="en-GB"/>
        </w:rPr>
        <w:t xml:space="preserve">Natural gas intensity </w:t>
      </w:r>
      <w:r>
        <w:rPr>
          <w:rStyle w:val="Hyperlink"/>
          <w:noProof/>
        </w:rPr>
        <w:t>of EAF steel production</w:t>
      </w:r>
      <w:r>
        <w:rPr>
          <w:rStyle w:val="Hyperlink"/>
          <w:rFonts w:eastAsia="Times New Roman"/>
          <w:noProof/>
          <w:lang w:eastAsia="en-GB"/>
        </w:rPr>
        <w:t xml:space="preserve"> (MWh/tonne)</w:t>
      </w:r>
      <w:r>
        <w:rPr>
          <w:noProof/>
          <w:webHidden/>
        </w:rPr>
        <w:tab/>
        <w:t>24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20. </w:t>
      </w:r>
      <w:r>
        <w:rPr>
          <w:rStyle w:val="Hyperlink"/>
          <w:rFonts w:eastAsia="Times New Roman"/>
          <w:noProof/>
          <w:lang w:eastAsia="en-GB"/>
        </w:rPr>
        <w:t xml:space="preserve">Energy costs versus EBITDA </w:t>
      </w:r>
      <w:r>
        <w:rPr>
          <w:rStyle w:val="Hyperlink"/>
          <w:noProof/>
        </w:rPr>
        <w:t>of EAF steel production</w:t>
      </w:r>
      <w:r>
        <w:rPr>
          <w:rStyle w:val="Hyperlink"/>
          <w:rFonts w:eastAsia="Times New Roman"/>
          <w:noProof/>
          <w:lang w:eastAsia="en-GB"/>
        </w:rPr>
        <w:t xml:space="preserve"> (€/tonne)</w:t>
      </w:r>
      <w:r>
        <w:rPr>
          <w:noProof/>
          <w:webHidden/>
        </w:rPr>
        <w:tab/>
        <w:t>25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21. Components of the EU average electricity price for primary aluminium production (%)</w:t>
      </w:r>
      <w:r>
        <w:rPr>
          <w:noProof/>
          <w:webHidden/>
        </w:rPr>
        <w:tab/>
        <w:t>28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22. </w:t>
      </w:r>
      <w:r>
        <w:rPr>
          <w:rStyle w:val="Hyperlink"/>
          <w:rFonts w:eastAsia="Times New Roman"/>
          <w:noProof/>
          <w:lang w:eastAsia="en-GB"/>
        </w:rPr>
        <w:t xml:space="preserve">Electricity costs </w:t>
      </w:r>
      <w:r>
        <w:rPr>
          <w:rStyle w:val="Hyperlink"/>
          <w:noProof/>
        </w:rPr>
        <w:t>of primary aluminium production</w:t>
      </w:r>
      <w:r>
        <w:rPr>
          <w:rStyle w:val="Hyperlink"/>
          <w:rFonts w:eastAsia="Times New Roman"/>
          <w:noProof/>
          <w:lang w:eastAsia="en-GB"/>
        </w:rPr>
        <w:t xml:space="preserve"> (€/MWh)</w:t>
      </w:r>
      <w:r>
        <w:rPr>
          <w:noProof/>
          <w:webHidden/>
        </w:rPr>
        <w:tab/>
        <w:t>29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23. </w:t>
      </w:r>
      <w:r>
        <w:rPr>
          <w:rStyle w:val="Hyperlink"/>
          <w:rFonts w:eastAsia="Times New Roman"/>
          <w:noProof/>
          <w:lang w:eastAsia="en-GB"/>
        </w:rPr>
        <w:t>Electricity costs</w:t>
      </w:r>
      <w:r>
        <w:rPr>
          <w:rStyle w:val="Hyperlink"/>
          <w:noProof/>
        </w:rPr>
        <w:t xml:space="preserve"> of primary aluminium production</w:t>
      </w:r>
      <w:r>
        <w:rPr>
          <w:rStyle w:val="Hyperlink"/>
          <w:rFonts w:eastAsia="Times New Roman"/>
          <w:noProof/>
          <w:lang w:eastAsia="en-GB"/>
        </w:rPr>
        <w:t xml:space="preserve"> (€/tonne)</w:t>
      </w:r>
      <w:r>
        <w:rPr>
          <w:noProof/>
          <w:webHidden/>
        </w:rPr>
        <w:tab/>
        <w:t>29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24. </w:t>
      </w:r>
      <w:r>
        <w:rPr>
          <w:rStyle w:val="Hyperlink"/>
          <w:rFonts w:eastAsia="Times New Roman"/>
          <w:noProof/>
          <w:lang w:eastAsia="en-GB"/>
        </w:rPr>
        <w:t xml:space="preserve">Electricity intensity </w:t>
      </w:r>
      <w:r>
        <w:rPr>
          <w:rStyle w:val="Hyperlink"/>
          <w:noProof/>
        </w:rPr>
        <w:t>of primary aluminium production</w:t>
      </w:r>
      <w:r>
        <w:rPr>
          <w:rStyle w:val="Hyperlink"/>
          <w:rFonts w:eastAsia="Times New Roman"/>
          <w:noProof/>
          <w:lang w:eastAsia="en-GB"/>
        </w:rPr>
        <w:t xml:space="preserve"> (MWh/tonne)</w:t>
      </w:r>
      <w:r>
        <w:rPr>
          <w:noProof/>
          <w:webHidden/>
        </w:rPr>
        <w:tab/>
        <w:t>30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25. </w:t>
      </w:r>
      <w:r>
        <w:rPr>
          <w:rStyle w:val="Hyperlink"/>
          <w:rFonts w:eastAsia="Times New Roman"/>
          <w:noProof/>
          <w:lang w:eastAsia="en-GB"/>
        </w:rPr>
        <w:t>Natural gas prices</w:t>
      </w:r>
      <w:r>
        <w:rPr>
          <w:rStyle w:val="Hyperlink"/>
          <w:noProof/>
        </w:rPr>
        <w:t xml:space="preserve"> of primary aluminium production</w:t>
      </w:r>
      <w:r>
        <w:rPr>
          <w:rStyle w:val="Hyperlink"/>
          <w:rFonts w:eastAsia="Times New Roman"/>
          <w:noProof/>
          <w:lang w:eastAsia="en-GB"/>
        </w:rPr>
        <w:t xml:space="preserve"> (€/MWh)</w:t>
      </w:r>
      <w:r>
        <w:rPr>
          <w:noProof/>
          <w:webHidden/>
        </w:rPr>
        <w:tab/>
        <w:t>30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26. </w:t>
      </w:r>
      <w:r>
        <w:rPr>
          <w:rStyle w:val="Hyperlink"/>
          <w:rFonts w:eastAsia="Times New Roman"/>
          <w:noProof/>
          <w:lang w:eastAsia="en-GB"/>
        </w:rPr>
        <w:t>Natural gas costs</w:t>
      </w:r>
      <w:r>
        <w:rPr>
          <w:rStyle w:val="Hyperlink"/>
          <w:noProof/>
        </w:rPr>
        <w:t xml:space="preserve"> of primary aluminium production</w:t>
      </w:r>
      <w:r>
        <w:rPr>
          <w:rStyle w:val="Hyperlink"/>
          <w:rFonts w:eastAsia="Times New Roman"/>
          <w:noProof/>
          <w:lang w:eastAsia="en-GB"/>
        </w:rPr>
        <w:t xml:space="preserve"> (€/tonne)</w:t>
      </w:r>
      <w:r>
        <w:rPr>
          <w:noProof/>
          <w:webHidden/>
        </w:rPr>
        <w:tab/>
        <w:t>31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27. </w:t>
      </w:r>
      <w:r>
        <w:rPr>
          <w:rStyle w:val="Hyperlink"/>
          <w:rFonts w:eastAsia="Times New Roman"/>
          <w:noProof/>
          <w:lang w:eastAsia="en-GB"/>
        </w:rPr>
        <w:t xml:space="preserve">Natural gas intensity </w:t>
      </w:r>
      <w:r>
        <w:rPr>
          <w:rStyle w:val="Hyperlink"/>
          <w:noProof/>
        </w:rPr>
        <w:t>of primary aluminium production</w:t>
      </w:r>
      <w:r>
        <w:rPr>
          <w:rStyle w:val="Hyperlink"/>
          <w:rFonts w:eastAsia="Times New Roman"/>
          <w:noProof/>
          <w:lang w:eastAsia="en-GB"/>
        </w:rPr>
        <w:t xml:space="preserve"> (MWh/tonne)</w:t>
      </w:r>
      <w:r>
        <w:rPr>
          <w:noProof/>
          <w:webHidden/>
        </w:rPr>
        <w:tab/>
        <w:t>31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28. </w:t>
      </w:r>
      <w:r>
        <w:rPr>
          <w:rStyle w:val="Hyperlink"/>
          <w:rFonts w:eastAsia="Times New Roman"/>
          <w:noProof/>
          <w:lang w:eastAsia="en-GB"/>
        </w:rPr>
        <w:t xml:space="preserve">Energy costs versus EBITDA </w:t>
      </w:r>
      <w:r>
        <w:rPr>
          <w:rStyle w:val="Hyperlink"/>
          <w:noProof/>
        </w:rPr>
        <w:t>of primary aluminium production</w:t>
      </w:r>
      <w:r>
        <w:rPr>
          <w:rStyle w:val="Hyperlink"/>
          <w:rFonts w:eastAsia="Times New Roman"/>
          <w:noProof/>
          <w:lang w:eastAsia="en-GB"/>
        </w:rPr>
        <w:t xml:space="preserve"> (€/tonne)</w:t>
      </w:r>
      <w:r>
        <w:rPr>
          <w:noProof/>
          <w:webHidden/>
        </w:rPr>
        <w:tab/>
        <w:t>32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29. Components of the EU average electricity price for secondary aluminium production (%)</w:t>
      </w:r>
      <w:r>
        <w:rPr>
          <w:noProof/>
          <w:webHidden/>
        </w:rPr>
        <w:tab/>
        <w:t>34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30. </w:t>
      </w:r>
      <w:r>
        <w:rPr>
          <w:rStyle w:val="Hyperlink"/>
          <w:rFonts w:eastAsia="Times New Roman"/>
          <w:noProof/>
          <w:lang w:eastAsia="en-GB"/>
        </w:rPr>
        <w:t xml:space="preserve">Electricity costs </w:t>
      </w:r>
      <w:r>
        <w:rPr>
          <w:rStyle w:val="Hyperlink"/>
          <w:noProof/>
        </w:rPr>
        <w:t>of secondary aluminium production</w:t>
      </w:r>
      <w:r>
        <w:rPr>
          <w:rStyle w:val="Hyperlink"/>
          <w:rFonts w:eastAsia="Times New Roman"/>
          <w:noProof/>
          <w:lang w:eastAsia="en-GB"/>
        </w:rPr>
        <w:t xml:space="preserve"> (€/MWh)</w:t>
      </w:r>
      <w:r>
        <w:rPr>
          <w:noProof/>
          <w:webHidden/>
        </w:rPr>
        <w:tab/>
        <w:t>34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31. </w:t>
      </w:r>
      <w:r>
        <w:rPr>
          <w:rStyle w:val="Hyperlink"/>
          <w:rFonts w:eastAsia="Times New Roman"/>
          <w:noProof/>
          <w:lang w:eastAsia="en-GB"/>
        </w:rPr>
        <w:t>Electricity costs</w:t>
      </w:r>
      <w:r>
        <w:rPr>
          <w:rStyle w:val="Hyperlink"/>
          <w:noProof/>
        </w:rPr>
        <w:t xml:space="preserve"> of secondary aluminium production</w:t>
      </w:r>
      <w:r>
        <w:rPr>
          <w:rStyle w:val="Hyperlink"/>
          <w:rFonts w:eastAsia="Times New Roman"/>
          <w:noProof/>
          <w:lang w:eastAsia="en-GB"/>
        </w:rPr>
        <w:t xml:space="preserve"> (€/tonne)</w:t>
      </w:r>
      <w:r>
        <w:rPr>
          <w:noProof/>
          <w:webHidden/>
        </w:rPr>
        <w:tab/>
        <w:t>35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32. </w:t>
      </w:r>
      <w:r>
        <w:rPr>
          <w:rStyle w:val="Hyperlink"/>
          <w:rFonts w:eastAsia="Times New Roman"/>
          <w:noProof/>
          <w:lang w:eastAsia="en-GB"/>
        </w:rPr>
        <w:t xml:space="preserve">Electricity intensity </w:t>
      </w:r>
      <w:r>
        <w:rPr>
          <w:rStyle w:val="Hyperlink"/>
          <w:noProof/>
        </w:rPr>
        <w:t>of secondary aluminium production</w:t>
      </w:r>
      <w:r>
        <w:rPr>
          <w:rStyle w:val="Hyperlink"/>
          <w:rFonts w:eastAsia="Times New Roman"/>
          <w:noProof/>
          <w:lang w:eastAsia="en-GB"/>
        </w:rPr>
        <w:t xml:space="preserve"> (MWh/tonne)</w:t>
      </w:r>
      <w:r>
        <w:rPr>
          <w:noProof/>
          <w:webHidden/>
        </w:rPr>
        <w:tab/>
        <w:t>35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33. </w:t>
      </w:r>
      <w:r>
        <w:rPr>
          <w:rStyle w:val="Hyperlink"/>
          <w:rFonts w:eastAsia="Times New Roman"/>
          <w:noProof/>
          <w:lang w:eastAsia="en-GB"/>
        </w:rPr>
        <w:t>Natural gas prices</w:t>
      </w:r>
      <w:r>
        <w:rPr>
          <w:rStyle w:val="Hyperlink"/>
          <w:noProof/>
        </w:rPr>
        <w:t xml:space="preserve"> of secondary aluminium production</w:t>
      </w:r>
      <w:r>
        <w:rPr>
          <w:rStyle w:val="Hyperlink"/>
          <w:rFonts w:eastAsia="Times New Roman"/>
          <w:noProof/>
          <w:lang w:eastAsia="en-GB"/>
        </w:rPr>
        <w:t xml:space="preserve"> (€/MWh)</w:t>
      </w:r>
      <w:r>
        <w:rPr>
          <w:noProof/>
          <w:webHidden/>
        </w:rPr>
        <w:tab/>
        <w:t>36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34. Components of the EU average natural gas price for secondary aluminium production (%)</w:t>
      </w:r>
      <w:r>
        <w:rPr>
          <w:noProof/>
          <w:webHidden/>
        </w:rPr>
        <w:tab/>
        <w:t>36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35. </w:t>
      </w:r>
      <w:r>
        <w:rPr>
          <w:rStyle w:val="Hyperlink"/>
          <w:rFonts w:eastAsia="Times New Roman"/>
          <w:noProof/>
          <w:lang w:eastAsia="en-GB"/>
        </w:rPr>
        <w:t>Natural gas costs</w:t>
      </w:r>
      <w:r>
        <w:rPr>
          <w:rStyle w:val="Hyperlink"/>
          <w:noProof/>
        </w:rPr>
        <w:t xml:space="preserve"> of secondary aluminium production</w:t>
      </w:r>
      <w:r>
        <w:rPr>
          <w:rStyle w:val="Hyperlink"/>
          <w:rFonts w:eastAsia="Times New Roman"/>
          <w:noProof/>
          <w:lang w:eastAsia="en-GB"/>
        </w:rPr>
        <w:t xml:space="preserve"> (€/tonne)</w:t>
      </w:r>
      <w:r>
        <w:rPr>
          <w:noProof/>
          <w:webHidden/>
        </w:rPr>
        <w:tab/>
        <w:t>37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36. </w:t>
      </w:r>
      <w:r>
        <w:rPr>
          <w:rStyle w:val="Hyperlink"/>
          <w:rFonts w:eastAsia="Times New Roman"/>
          <w:noProof/>
          <w:lang w:eastAsia="en-GB"/>
        </w:rPr>
        <w:t xml:space="preserve">Natural gas intensity </w:t>
      </w:r>
      <w:r>
        <w:rPr>
          <w:rStyle w:val="Hyperlink"/>
          <w:noProof/>
        </w:rPr>
        <w:t>of secondary aluminium production</w:t>
      </w:r>
      <w:r>
        <w:rPr>
          <w:rStyle w:val="Hyperlink"/>
          <w:rFonts w:eastAsia="Times New Roman"/>
          <w:noProof/>
          <w:lang w:eastAsia="en-GB"/>
        </w:rPr>
        <w:t xml:space="preserve"> (MWh/tonne)</w:t>
      </w:r>
      <w:r>
        <w:rPr>
          <w:noProof/>
          <w:webHidden/>
        </w:rPr>
        <w:tab/>
        <w:t>37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37. Components of the EU average electricity price for downstream aluminium production (%)</w:t>
      </w:r>
      <w:r>
        <w:rPr>
          <w:noProof/>
          <w:webHidden/>
        </w:rPr>
        <w:tab/>
        <w:t>39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38. </w:t>
      </w:r>
      <w:r>
        <w:rPr>
          <w:rStyle w:val="Hyperlink"/>
          <w:rFonts w:eastAsia="Times New Roman"/>
          <w:noProof/>
          <w:lang w:eastAsia="en-GB"/>
        </w:rPr>
        <w:t xml:space="preserve">Electricity costs </w:t>
      </w:r>
      <w:r>
        <w:rPr>
          <w:rStyle w:val="Hyperlink"/>
          <w:noProof/>
        </w:rPr>
        <w:t>of downstream aluminium production</w:t>
      </w:r>
      <w:r>
        <w:rPr>
          <w:rStyle w:val="Hyperlink"/>
          <w:rFonts w:eastAsia="Times New Roman"/>
          <w:noProof/>
          <w:lang w:eastAsia="en-GB"/>
        </w:rPr>
        <w:t xml:space="preserve"> (€/MWh)</w:t>
      </w:r>
      <w:r>
        <w:rPr>
          <w:noProof/>
          <w:webHidden/>
        </w:rPr>
        <w:tab/>
        <w:t>39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39. </w:t>
      </w:r>
      <w:r>
        <w:rPr>
          <w:rStyle w:val="Hyperlink"/>
          <w:rFonts w:eastAsia="Times New Roman"/>
          <w:noProof/>
          <w:lang w:eastAsia="en-GB"/>
        </w:rPr>
        <w:t>Electricity costs</w:t>
      </w:r>
      <w:r>
        <w:rPr>
          <w:rStyle w:val="Hyperlink"/>
          <w:noProof/>
        </w:rPr>
        <w:t xml:space="preserve"> of downstream aluminium production</w:t>
      </w:r>
      <w:r>
        <w:rPr>
          <w:rStyle w:val="Hyperlink"/>
          <w:rFonts w:eastAsia="Times New Roman"/>
          <w:noProof/>
          <w:lang w:eastAsia="en-GB"/>
        </w:rPr>
        <w:t xml:space="preserve"> (€/tonne)</w:t>
      </w:r>
      <w:r>
        <w:rPr>
          <w:noProof/>
          <w:webHidden/>
        </w:rPr>
        <w:tab/>
        <w:t>40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40. </w:t>
      </w:r>
      <w:r>
        <w:rPr>
          <w:rStyle w:val="Hyperlink"/>
          <w:rFonts w:eastAsia="Times New Roman"/>
          <w:noProof/>
          <w:lang w:eastAsia="en-GB"/>
        </w:rPr>
        <w:t xml:space="preserve">Electricity intensity </w:t>
      </w:r>
      <w:r>
        <w:rPr>
          <w:rStyle w:val="Hyperlink"/>
          <w:noProof/>
        </w:rPr>
        <w:t>of downstream aluminium production</w:t>
      </w:r>
      <w:r>
        <w:rPr>
          <w:rStyle w:val="Hyperlink"/>
          <w:rFonts w:eastAsia="Times New Roman"/>
          <w:noProof/>
          <w:lang w:eastAsia="en-GB"/>
        </w:rPr>
        <w:t xml:space="preserve"> (MWh/tonne)</w:t>
      </w:r>
      <w:r>
        <w:rPr>
          <w:noProof/>
          <w:webHidden/>
        </w:rPr>
        <w:tab/>
        <w:t>40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41. </w:t>
      </w:r>
      <w:r>
        <w:rPr>
          <w:rStyle w:val="Hyperlink"/>
          <w:rFonts w:eastAsia="Times New Roman"/>
          <w:noProof/>
          <w:lang w:eastAsia="en-GB"/>
        </w:rPr>
        <w:t>Natural gas prices</w:t>
      </w:r>
      <w:r>
        <w:rPr>
          <w:rStyle w:val="Hyperlink"/>
          <w:noProof/>
        </w:rPr>
        <w:t xml:space="preserve"> of downstream aluminium production</w:t>
      </w:r>
      <w:r>
        <w:rPr>
          <w:rStyle w:val="Hyperlink"/>
          <w:rFonts w:eastAsia="Times New Roman"/>
          <w:noProof/>
          <w:lang w:eastAsia="en-GB"/>
        </w:rPr>
        <w:t xml:space="preserve"> (€/MWh)</w:t>
      </w:r>
      <w:r>
        <w:rPr>
          <w:noProof/>
          <w:webHidden/>
        </w:rPr>
        <w:tab/>
        <w:t>41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42. Components of the EU average natural gas price for downstream aluminium production (%)</w:t>
      </w:r>
      <w:r>
        <w:rPr>
          <w:noProof/>
          <w:webHidden/>
        </w:rPr>
        <w:tab/>
        <w:t>41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43. </w:t>
      </w:r>
      <w:r>
        <w:rPr>
          <w:rStyle w:val="Hyperlink"/>
          <w:rFonts w:eastAsia="Times New Roman"/>
          <w:noProof/>
          <w:lang w:eastAsia="en-GB"/>
        </w:rPr>
        <w:t>Natural gas costs</w:t>
      </w:r>
      <w:r>
        <w:rPr>
          <w:rStyle w:val="Hyperlink"/>
          <w:noProof/>
        </w:rPr>
        <w:t xml:space="preserve"> of downstream aluminium production</w:t>
      </w:r>
      <w:r>
        <w:rPr>
          <w:rStyle w:val="Hyperlink"/>
          <w:rFonts w:eastAsia="Times New Roman"/>
          <w:noProof/>
          <w:lang w:eastAsia="en-GB"/>
        </w:rPr>
        <w:t xml:space="preserve"> (€/tonne)</w:t>
      </w:r>
      <w:r>
        <w:rPr>
          <w:noProof/>
          <w:webHidden/>
        </w:rPr>
        <w:tab/>
        <w:t>42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44. </w:t>
      </w:r>
      <w:r>
        <w:rPr>
          <w:rStyle w:val="Hyperlink"/>
          <w:rFonts w:eastAsia="Times New Roman"/>
          <w:noProof/>
          <w:lang w:eastAsia="en-GB"/>
        </w:rPr>
        <w:t xml:space="preserve">Natural gas intensity </w:t>
      </w:r>
      <w:r>
        <w:rPr>
          <w:rStyle w:val="Hyperlink"/>
          <w:noProof/>
        </w:rPr>
        <w:t>of downstream aluminium production</w:t>
      </w:r>
      <w:r>
        <w:rPr>
          <w:rStyle w:val="Hyperlink"/>
          <w:rFonts w:eastAsia="Times New Roman"/>
          <w:noProof/>
          <w:lang w:eastAsia="en-GB"/>
        </w:rPr>
        <w:t xml:space="preserve"> (MWh/tonne)</w:t>
      </w:r>
      <w:r>
        <w:rPr>
          <w:noProof/>
          <w:webHidden/>
        </w:rPr>
        <w:tab/>
        <w:t>42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45. Components of the EU average electricity price for </w:t>
      </w:r>
      <w:r>
        <w:rPr>
          <w:rStyle w:val="Hyperlink"/>
          <w:noProof/>
          <w:lang w:eastAsia="en-GB"/>
        </w:rPr>
        <w:t>brick and roof tile</w:t>
      </w:r>
      <w:r>
        <w:rPr>
          <w:rStyle w:val="Hyperlink"/>
          <w:noProof/>
        </w:rPr>
        <w:t xml:space="preserve"> production (%)</w:t>
      </w:r>
      <w:r>
        <w:rPr>
          <w:noProof/>
          <w:webHidden/>
        </w:rPr>
        <w:tab/>
        <w:t>45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46. </w:t>
      </w:r>
      <w:r>
        <w:rPr>
          <w:rStyle w:val="Hyperlink"/>
          <w:rFonts w:eastAsia="Times New Roman"/>
          <w:noProof/>
          <w:lang w:eastAsia="en-GB"/>
        </w:rPr>
        <w:t xml:space="preserve">Electricity costs </w:t>
      </w:r>
      <w:r>
        <w:rPr>
          <w:rStyle w:val="Hyperlink"/>
          <w:noProof/>
        </w:rPr>
        <w:t xml:space="preserve">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(€/MWh)</w:t>
      </w:r>
      <w:r>
        <w:rPr>
          <w:noProof/>
          <w:webHidden/>
        </w:rPr>
        <w:tab/>
        <w:t>46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47. </w:t>
      </w:r>
      <w:r>
        <w:rPr>
          <w:rStyle w:val="Hyperlink"/>
          <w:rFonts w:eastAsia="Times New Roman"/>
          <w:noProof/>
          <w:lang w:eastAsia="en-GB"/>
        </w:rPr>
        <w:t>Electricity costs</w:t>
      </w:r>
      <w:r>
        <w:rPr>
          <w:rStyle w:val="Hyperlink"/>
          <w:noProof/>
        </w:rPr>
        <w:t xml:space="preserve"> 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(€/tonne)</w:t>
      </w:r>
      <w:r>
        <w:rPr>
          <w:noProof/>
          <w:webHidden/>
        </w:rPr>
        <w:tab/>
        <w:t>46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48. </w:t>
      </w:r>
      <w:r>
        <w:rPr>
          <w:rStyle w:val="Hyperlink"/>
          <w:rFonts w:eastAsia="Times New Roman"/>
          <w:noProof/>
        </w:rPr>
        <w:t xml:space="preserve">Electricity intensity </w:t>
      </w:r>
      <w:r>
        <w:rPr>
          <w:rStyle w:val="Hyperlink"/>
          <w:noProof/>
        </w:rPr>
        <w:t>of brick and roof tile production</w:t>
      </w:r>
      <w:r>
        <w:rPr>
          <w:rStyle w:val="Hyperlink"/>
          <w:rFonts w:eastAsia="Times New Roman"/>
          <w:noProof/>
        </w:rPr>
        <w:t xml:space="preserve"> (MWh/tonne)</w:t>
      </w:r>
      <w:r>
        <w:rPr>
          <w:noProof/>
          <w:webHidden/>
        </w:rPr>
        <w:tab/>
        <w:t>47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49. </w:t>
      </w:r>
      <w:r>
        <w:rPr>
          <w:rStyle w:val="Hyperlink"/>
          <w:rFonts w:eastAsia="Times New Roman"/>
          <w:noProof/>
          <w:lang w:eastAsia="en-GB"/>
        </w:rPr>
        <w:t>Natural gas prices</w:t>
      </w:r>
      <w:r>
        <w:rPr>
          <w:rStyle w:val="Hyperlink"/>
          <w:noProof/>
        </w:rPr>
        <w:t xml:space="preserve"> 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(€/MWh)</w:t>
      </w:r>
      <w:r>
        <w:rPr>
          <w:noProof/>
          <w:webHidden/>
        </w:rPr>
        <w:tab/>
        <w:t>47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50. Components of the EU average natural gas price for </w:t>
      </w:r>
      <w:r>
        <w:rPr>
          <w:rStyle w:val="Hyperlink"/>
          <w:noProof/>
          <w:lang w:eastAsia="en-GB"/>
        </w:rPr>
        <w:t>brick and roof tile</w:t>
      </w:r>
      <w:r>
        <w:rPr>
          <w:rStyle w:val="Hyperlink"/>
          <w:noProof/>
        </w:rPr>
        <w:t xml:space="preserve"> production (%)</w:t>
      </w:r>
      <w:r>
        <w:rPr>
          <w:noProof/>
          <w:webHidden/>
        </w:rPr>
        <w:tab/>
        <w:t>48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51. </w:t>
      </w:r>
      <w:r>
        <w:rPr>
          <w:rStyle w:val="Hyperlink"/>
          <w:rFonts w:eastAsia="Times New Roman"/>
          <w:noProof/>
          <w:lang w:eastAsia="en-GB"/>
        </w:rPr>
        <w:t>Natural gas costs</w:t>
      </w:r>
      <w:r>
        <w:rPr>
          <w:rStyle w:val="Hyperlink"/>
          <w:noProof/>
        </w:rPr>
        <w:t xml:space="preserve"> 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(€/tonne)</w:t>
      </w:r>
      <w:r>
        <w:rPr>
          <w:noProof/>
          <w:webHidden/>
        </w:rPr>
        <w:tab/>
        <w:t>48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52. </w:t>
      </w:r>
      <w:r>
        <w:rPr>
          <w:rStyle w:val="Hyperlink"/>
          <w:rFonts w:eastAsia="Times New Roman"/>
          <w:noProof/>
        </w:rPr>
        <w:t xml:space="preserve">Natural gas intensity </w:t>
      </w:r>
      <w:r>
        <w:rPr>
          <w:rStyle w:val="Hyperlink"/>
          <w:noProof/>
        </w:rPr>
        <w:t>of brick and roof tile production</w:t>
      </w:r>
      <w:r>
        <w:rPr>
          <w:rStyle w:val="Hyperlink"/>
          <w:rFonts w:eastAsia="Times New Roman"/>
          <w:noProof/>
        </w:rPr>
        <w:t xml:space="preserve"> (MWh/tonne)</w:t>
      </w:r>
      <w:r>
        <w:rPr>
          <w:noProof/>
          <w:webHidden/>
        </w:rPr>
        <w:tab/>
        <w:t>49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53. </w:t>
      </w:r>
      <w:r>
        <w:rPr>
          <w:rStyle w:val="Hyperlink"/>
          <w:rFonts w:eastAsia="Times New Roman"/>
          <w:noProof/>
        </w:rPr>
        <w:t xml:space="preserve">Energy costs versus EBITDA </w:t>
      </w:r>
      <w:r>
        <w:rPr>
          <w:rStyle w:val="Hyperlink"/>
          <w:noProof/>
        </w:rPr>
        <w:t>of brick and roof tile production</w:t>
      </w:r>
      <w:r>
        <w:rPr>
          <w:rStyle w:val="Hyperlink"/>
          <w:rFonts w:eastAsia="Times New Roman"/>
          <w:noProof/>
        </w:rPr>
        <w:t xml:space="preserve"> (€/tonne)</w:t>
      </w:r>
      <w:r>
        <w:rPr>
          <w:noProof/>
          <w:webHidden/>
        </w:rPr>
        <w:tab/>
        <w:t>50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54. Components of the EU average electricity price for </w:t>
      </w:r>
      <w:r>
        <w:rPr>
          <w:rStyle w:val="Hyperlink"/>
          <w:noProof/>
          <w:lang w:eastAsia="en-GB"/>
        </w:rPr>
        <w:t>wall and floor tile</w:t>
      </w:r>
      <w:r>
        <w:rPr>
          <w:rStyle w:val="Hyperlink"/>
          <w:noProof/>
        </w:rPr>
        <w:t xml:space="preserve"> production (%)</w:t>
      </w:r>
      <w:r>
        <w:rPr>
          <w:noProof/>
          <w:webHidden/>
        </w:rPr>
        <w:tab/>
        <w:t>53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55. </w:t>
      </w:r>
      <w:r>
        <w:rPr>
          <w:rStyle w:val="Hyperlink"/>
          <w:rFonts w:eastAsia="Times New Roman"/>
          <w:noProof/>
          <w:lang w:eastAsia="en-GB"/>
        </w:rPr>
        <w:t xml:space="preserve">Electricity costs </w:t>
      </w:r>
      <w:r>
        <w:rPr>
          <w:rStyle w:val="Hyperlink"/>
          <w:noProof/>
        </w:rPr>
        <w:t xml:space="preserve">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(€/MWh)</w:t>
      </w:r>
      <w:r>
        <w:rPr>
          <w:noProof/>
          <w:webHidden/>
        </w:rPr>
        <w:tab/>
        <w:t>54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56. </w:t>
      </w:r>
      <w:r>
        <w:rPr>
          <w:rStyle w:val="Hyperlink"/>
          <w:rFonts w:eastAsia="Times New Roman"/>
          <w:noProof/>
          <w:lang w:eastAsia="en-GB"/>
        </w:rPr>
        <w:t>Electricity costs</w:t>
      </w:r>
      <w:r>
        <w:rPr>
          <w:rStyle w:val="Hyperlink"/>
          <w:noProof/>
        </w:rPr>
        <w:t xml:space="preserve"> 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(€/tonne)</w:t>
      </w:r>
      <w:r>
        <w:rPr>
          <w:noProof/>
          <w:webHidden/>
        </w:rPr>
        <w:tab/>
        <w:t>54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57. </w:t>
      </w:r>
      <w:r>
        <w:rPr>
          <w:rStyle w:val="Hyperlink"/>
          <w:rFonts w:eastAsia="Times New Roman"/>
          <w:noProof/>
        </w:rPr>
        <w:t xml:space="preserve">Electricity intensity </w:t>
      </w:r>
      <w:r>
        <w:rPr>
          <w:rStyle w:val="Hyperlink"/>
          <w:noProof/>
        </w:rPr>
        <w:t>of wall and floor tile production</w:t>
      </w:r>
      <w:r>
        <w:rPr>
          <w:rStyle w:val="Hyperlink"/>
          <w:rFonts w:eastAsia="Times New Roman"/>
          <w:noProof/>
        </w:rPr>
        <w:t xml:space="preserve"> (MWh/tonne)</w:t>
      </w:r>
      <w:r>
        <w:rPr>
          <w:noProof/>
          <w:webHidden/>
        </w:rPr>
        <w:tab/>
        <w:t>55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58. </w:t>
      </w:r>
      <w:r>
        <w:rPr>
          <w:rStyle w:val="Hyperlink"/>
          <w:rFonts w:eastAsia="Times New Roman"/>
          <w:noProof/>
          <w:lang w:eastAsia="en-GB"/>
        </w:rPr>
        <w:t>Natural gas prices</w:t>
      </w:r>
      <w:r>
        <w:rPr>
          <w:rStyle w:val="Hyperlink"/>
          <w:noProof/>
        </w:rPr>
        <w:t xml:space="preserve"> 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(€/MWh)</w:t>
      </w:r>
      <w:r>
        <w:rPr>
          <w:noProof/>
          <w:webHidden/>
        </w:rPr>
        <w:tab/>
        <w:t>55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59. Components of the EU average natural gas price for </w:t>
      </w:r>
      <w:r>
        <w:rPr>
          <w:rStyle w:val="Hyperlink"/>
          <w:noProof/>
          <w:lang w:eastAsia="en-GB"/>
        </w:rPr>
        <w:t>wall and floor tile</w:t>
      </w:r>
      <w:r>
        <w:rPr>
          <w:rStyle w:val="Hyperlink"/>
          <w:noProof/>
        </w:rPr>
        <w:t xml:space="preserve"> production (%)</w:t>
      </w:r>
      <w:r>
        <w:rPr>
          <w:noProof/>
          <w:webHidden/>
        </w:rPr>
        <w:tab/>
        <w:t>56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60. </w:t>
      </w:r>
      <w:r>
        <w:rPr>
          <w:rStyle w:val="Hyperlink"/>
          <w:rFonts w:eastAsia="Times New Roman"/>
          <w:noProof/>
          <w:lang w:eastAsia="en-GB"/>
        </w:rPr>
        <w:t>Natural gas costs</w:t>
      </w:r>
      <w:r>
        <w:rPr>
          <w:rStyle w:val="Hyperlink"/>
          <w:noProof/>
        </w:rPr>
        <w:t xml:space="preserve"> 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(€/tonne)</w:t>
      </w:r>
      <w:r>
        <w:rPr>
          <w:noProof/>
          <w:webHidden/>
        </w:rPr>
        <w:tab/>
        <w:t>56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61. </w:t>
      </w:r>
      <w:r>
        <w:rPr>
          <w:rStyle w:val="Hyperlink"/>
          <w:rFonts w:eastAsia="Times New Roman"/>
          <w:noProof/>
        </w:rPr>
        <w:t xml:space="preserve">Natural gas intensity </w:t>
      </w:r>
      <w:r>
        <w:rPr>
          <w:rStyle w:val="Hyperlink"/>
          <w:noProof/>
        </w:rPr>
        <w:t>of wall and floor tile production</w:t>
      </w:r>
      <w:r>
        <w:rPr>
          <w:rStyle w:val="Hyperlink"/>
          <w:rFonts w:eastAsia="Times New Roman"/>
          <w:noProof/>
        </w:rPr>
        <w:t xml:space="preserve"> (MWh/tonne)</w:t>
      </w:r>
      <w:r>
        <w:rPr>
          <w:noProof/>
          <w:webHidden/>
        </w:rPr>
        <w:tab/>
        <w:t>57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62. </w:t>
      </w:r>
      <w:r>
        <w:rPr>
          <w:rStyle w:val="Hyperlink"/>
          <w:rFonts w:eastAsia="Times New Roman"/>
          <w:noProof/>
        </w:rPr>
        <w:t xml:space="preserve">Energy costs versus EBITDA </w:t>
      </w:r>
      <w:r>
        <w:rPr>
          <w:rStyle w:val="Hyperlink"/>
          <w:noProof/>
        </w:rPr>
        <w:t>of wall and floor tile production</w:t>
      </w:r>
      <w:r>
        <w:rPr>
          <w:rStyle w:val="Hyperlink"/>
          <w:rFonts w:eastAsia="Times New Roman"/>
          <w:noProof/>
        </w:rPr>
        <w:t xml:space="preserve"> (€/tonne)</w:t>
      </w:r>
      <w:r>
        <w:rPr>
          <w:noProof/>
          <w:webHidden/>
        </w:rPr>
        <w:tab/>
        <w:t>58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63. Components of the EU average electricity price for glass tableware production (%)</w:t>
      </w:r>
      <w:r>
        <w:rPr>
          <w:noProof/>
          <w:webHidden/>
        </w:rPr>
        <w:tab/>
        <w:t>61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64. </w:t>
      </w:r>
      <w:r>
        <w:rPr>
          <w:rStyle w:val="Hyperlink"/>
          <w:rFonts w:eastAsia="Times New Roman"/>
          <w:noProof/>
          <w:lang w:eastAsia="en-GB"/>
        </w:rPr>
        <w:t xml:space="preserve">Electricity costs </w:t>
      </w:r>
      <w:r>
        <w:rPr>
          <w:rStyle w:val="Hyperlink"/>
          <w:noProof/>
        </w:rPr>
        <w:t>of glass tableware production</w:t>
      </w:r>
      <w:r>
        <w:rPr>
          <w:rStyle w:val="Hyperlink"/>
          <w:rFonts w:eastAsia="Times New Roman"/>
          <w:noProof/>
          <w:lang w:eastAsia="en-GB"/>
        </w:rPr>
        <w:t xml:space="preserve"> (€/MWh)</w:t>
      </w:r>
      <w:r>
        <w:rPr>
          <w:noProof/>
          <w:webHidden/>
        </w:rPr>
        <w:tab/>
        <w:t>62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65. </w:t>
      </w:r>
      <w:r>
        <w:rPr>
          <w:rStyle w:val="Hyperlink"/>
          <w:rFonts w:eastAsia="Times New Roman"/>
          <w:noProof/>
          <w:lang w:eastAsia="en-GB"/>
        </w:rPr>
        <w:t>Electricity costs</w:t>
      </w:r>
      <w:r>
        <w:rPr>
          <w:rStyle w:val="Hyperlink"/>
          <w:noProof/>
        </w:rPr>
        <w:t xml:space="preserve"> of glass tableware production</w:t>
      </w:r>
      <w:r>
        <w:rPr>
          <w:rStyle w:val="Hyperlink"/>
          <w:rFonts w:eastAsia="Times New Roman"/>
          <w:noProof/>
          <w:lang w:eastAsia="en-GB"/>
        </w:rPr>
        <w:t xml:space="preserve"> (€/tonne)</w:t>
      </w:r>
      <w:r>
        <w:rPr>
          <w:noProof/>
          <w:webHidden/>
        </w:rPr>
        <w:tab/>
        <w:t>62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66. </w:t>
      </w:r>
      <w:r>
        <w:rPr>
          <w:rStyle w:val="Hyperlink"/>
          <w:rFonts w:eastAsia="Times New Roman"/>
          <w:noProof/>
          <w:lang w:eastAsia="en-GB"/>
        </w:rPr>
        <w:t xml:space="preserve">Electricity intensity </w:t>
      </w:r>
      <w:r>
        <w:rPr>
          <w:rStyle w:val="Hyperlink"/>
          <w:noProof/>
        </w:rPr>
        <w:t>of glass tableware production</w:t>
      </w:r>
      <w:r>
        <w:rPr>
          <w:rStyle w:val="Hyperlink"/>
          <w:rFonts w:eastAsia="Times New Roman"/>
          <w:noProof/>
          <w:lang w:eastAsia="en-GB"/>
        </w:rPr>
        <w:t xml:space="preserve"> (MWh/tonne)</w:t>
      </w:r>
      <w:r>
        <w:rPr>
          <w:noProof/>
          <w:webHidden/>
        </w:rPr>
        <w:tab/>
        <w:t>63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67. </w:t>
      </w:r>
      <w:r>
        <w:rPr>
          <w:rStyle w:val="Hyperlink"/>
          <w:rFonts w:eastAsia="Times New Roman"/>
          <w:noProof/>
          <w:lang w:eastAsia="en-GB"/>
        </w:rPr>
        <w:t>Natural gas prices</w:t>
      </w:r>
      <w:r>
        <w:rPr>
          <w:rStyle w:val="Hyperlink"/>
          <w:noProof/>
        </w:rPr>
        <w:t xml:space="preserve"> of glass tableware production</w:t>
      </w:r>
      <w:r>
        <w:rPr>
          <w:rStyle w:val="Hyperlink"/>
          <w:rFonts w:eastAsia="Times New Roman"/>
          <w:noProof/>
          <w:lang w:eastAsia="en-GB"/>
        </w:rPr>
        <w:t xml:space="preserve"> (€/MWh)</w:t>
      </w:r>
      <w:r>
        <w:rPr>
          <w:noProof/>
          <w:webHidden/>
        </w:rPr>
        <w:tab/>
        <w:t>63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68. Components of the EU average natural gas price for glass tableware production (%)</w:t>
      </w:r>
      <w:r>
        <w:rPr>
          <w:noProof/>
          <w:webHidden/>
        </w:rPr>
        <w:tab/>
        <w:t>64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69. </w:t>
      </w:r>
      <w:r>
        <w:rPr>
          <w:rStyle w:val="Hyperlink"/>
          <w:rFonts w:eastAsia="Times New Roman"/>
          <w:noProof/>
          <w:lang w:eastAsia="en-GB"/>
        </w:rPr>
        <w:t>Natural gas costs</w:t>
      </w:r>
      <w:r>
        <w:rPr>
          <w:rStyle w:val="Hyperlink"/>
          <w:noProof/>
        </w:rPr>
        <w:t xml:space="preserve"> of glass tableware production</w:t>
      </w:r>
      <w:r>
        <w:rPr>
          <w:rStyle w:val="Hyperlink"/>
          <w:rFonts w:eastAsia="Times New Roman"/>
          <w:noProof/>
          <w:lang w:eastAsia="en-GB"/>
        </w:rPr>
        <w:t xml:space="preserve"> (€/tonne)</w:t>
      </w:r>
      <w:r>
        <w:rPr>
          <w:noProof/>
          <w:webHidden/>
        </w:rPr>
        <w:tab/>
        <w:t>64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70. </w:t>
      </w:r>
      <w:r>
        <w:rPr>
          <w:rStyle w:val="Hyperlink"/>
          <w:rFonts w:eastAsia="Times New Roman"/>
          <w:noProof/>
          <w:lang w:eastAsia="en-GB"/>
        </w:rPr>
        <w:t xml:space="preserve">Natural gas intensity </w:t>
      </w:r>
      <w:r>
        <w:rPr>
          <w:rStyle w:val="Hyperlink"/>
          <w:noProof/>
        </w:rPr>
        <w:t>of glass tableware production</w:t>
      </w:r>
      <w:r>
        <w:rPr>
          <w:rStyle w:val="Hyperlink"/>
          <w:rFonts w:eastAsia="Times New Roman"/>
          <w:noProof/>
          <w:lang w:eastAsia="en-GB"/>
        </w:rPr>
        <w:t xml:space="preserve"> (MWh/tonne)</w:t>
      </w:r>
      <w:r>
        <w:rPr>
          <w:noProof/>
          <w:webHidden/>
        </w:rPr>
        <w:tab/>
        <w:t>65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71. </w:t>
      </w:r>
      <w:r>
        <w:rPr>
          <w:rStyle w:val="Hyperlink"/>
          <w:rFonts w:eastAsia="Times New Roman"/>
          <w:noProof/>
          <w:lang w:eastAsia="en-GB"/>
        </w:rPr>
        <w:t xml:space="preserve">Energy costs versus EBITDA </w:t>
      </w:r>
      <w:r>
        <w:rPr>
          <w:rStyle w:val="Hyperlink"/>
          <w:noProof/>
        </w:rPr>
        <w:t>of glass tableware production</w:t>
      </w:r>
      <w:r>
        <w:rPr>
          <w:rStyle w:val="Hyperlink"/>
          <w:rFonts w:eastAsia="Times New Roman"/>
          <w:noProof/>
          <w:lang w:eastAsia="en-GB"/>
        </w:rPr>
        <w:t xml:space="preserve"> (€/tonne)</w:t>
      </w:r>
      <w:r>
        <w:rPr>
          <w:noProof/>
          <w:webHidden/>
        </w:rPr>
        <w:tab/>
        <w:t>66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72. Components of the EU average electricity price for p</w:t>
      </w:r>
      <w:r>
        <w:rPr>
          <w:rStyle w:val="Hyperlink"/>
          <w:noProof/>
          <w:lang w:eastAsia="en-GB"/>
        </w:rPr>
        <w:t>ackaging glass</w:t>
      </w:r>
      <w:r>
        <w:rPr>
          <w:rStyle w:val="Hyperlink"/>
          <w:noProof/>
        </w:rPr>
        <w:t xml:space="preserve"> production (%)</w:t>
      </w:r>
      <w:r>
        <w:rPr>
          <w:noProof/>
          <w:webHidden/>
        </w:rPr>
        <w:tab/>
        <w:t>69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73. </w:t>
      </w:r>
      <w:r>
        <w:rPr>
          <w:rStyle w:val="Hyperlink"/>
          <w:rFonts w:eastAsia="Times New Roman"/>
          <w:noProof/>
          <w:lang w:eastAsia="en-GB"/>
        </w:rPr>
        <w:t xml:space="preserve">Electricity costs </w:t>
      </w:r>
      <w:r>
        <w:rPr>
          <w:rStyle w:val="Hyperlink"/>
          <w:noProof/>
        </w:rPr>
        <w:t>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(€/MWh)</w:t>
      </w:r>
      <w:r>
        <w:rPr>
          <w:noProof/>
          <w:webHidden/>
        </w:rPr>
        <w:tab/>
        <w:t>69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74. </w:t>
      </w:r>
      <w:r>
        <w:rPr>
          <w:rStyle w:val="Hyperlink"/>
          <w:rFonts w:eastAsia="Times New Roman"/>
          <w:noProof/>
          <w:lang w:eastAsia="en-GB"/>
        </w:rPr>
        <w:t>Electricity costs</w:t>
      </w:r>
      <w:r>
        <w:rPr>
          <w:rStyle w:val="Hyperlink"/>
          <w:noProof/>
        </w:rPr>
        <w:t xml:space="preserve"> 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(€/tonne)</w:t>
      </w:r>
      <w:r>
        <w:rPr>
          <w:noProof/>
          <w:webHidden/>
        </w:rPr>
        <w:tab/>
        <w:t>70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75. </w:t>
      </w:r>
      <w:r>
        <w:rPr>
          <w:rStyle w:val="Hyperlink"/>
          <w:rFonts w:eastAsia="Times New Roman"/>
          <w:noProof/>
          <w:lang w:eastAsia="en-GB"/>
        </w:rPr>
        <w:t xml:space="preserve">Electricity intensity </w:t>
      </w:r>
      <w:r>
        <w:rPr>
          <w:rStyle w:val="Hyperlink"/>
          <w:noProof/>
        </w:rPr>
        <w:t>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(MWh/tonne)</w:t>
      </w:r>
      <w:r>
        <w:rPr>
          <w:noProof/>
          <w:webHidden/>
        </w:rPr>
        <w:tab/>
        <w:t>70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76. </w:t>
      </w:r>
      <w:r>
        <w:rPr>
          <w:rStyle w:val="Hyperlink"/>
          <w:rFonts w:eastAsia="Times New Roman"/>
          <w:noProof/>
          <w:lang w:eastAsia="en-GB"/>
        </w:rPr>
        <w:t>Natural gas prices</w:t>
      </w:r>
      <w:r>
        <w:rPr>
          <w:rStyle w:val="Hyperlink"/>
          <w:noProof/>
        </w:rPr>
        <w:t xml:space="preserve"> 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(€/MWh)</w:t>
      </w:r>
      <w:r>
        <w:rPr>
          <w:noProof/>
          <w:webHidden/>
        </w:rPr>
        <w:tab/>
        <w:t>71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77. Components of the EU average natural gas price for p</w:t>
      </w:r>
      <w:r>
        <w:rPr>
          <w:rStyle w:val="Hyperlink"/>
          <w:noProof/>
          <w:lang w:eastAsia="en-GB"/>
        </w:rPr>
        <w:t>ackaging glass</w:t>
      </w:r>
      <w:r>
        <w:rPr>
          <w:rStyle w:val="Hyperlink"/>
          <w:noProof/>
        </w:rPr>
        <w:t xml:space="preserve"> production (%)</w:t>
      </w:r>
      <w:r>
        <w:rPr>
          <w:noProof/>
          <w:webHidden/>
        </w:rPr>
        <w:tab/>
        <w:t>71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78. </w:t>
      </w:r>
      <w:r>
        <w:rPr>
          <w:rStyle w:val="Hyperlink"/>
          <w:rFonts w:eastAsia="Times New Roman"/>
          <w:noProof/>
          <w:lang w:eastAsia="en-GB"/>
        </w:rPr>
        <w:t>Natural gas costs</w:t>
      </w:r>
      <w:r>
        <w:rPr>
          <w:rStyle w:val="Hyperlink"/>
          <w:noProof/>
        </w:rPr>
        <w:t xml:space="preserve"> 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(€/tonne)</w:t>
      </w:r>
      <w:r>
        <w:rPr>
          <w:noProof/>
          <w:webHidden/>
        </w:rPr>
        <w:tab/>
        <w:t>72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79. </w:t>
      </w:r>
      <w:r>
        <w:rPr>
          <w:rStyle w:val="Hyperlink"/>
          <w:rFonts w:eastAsia="Times New Roman"/>
          <w:noProof/>
          <w:lang w:eastAsia="en-GB"/>
        </w:rPr>
        <w:t xml:space="preserve">Natural gas intensity </w:t>
      </w:r>
      <w:r>
        <w:rPr>
          <w:rStyle w:val="Hyperlink"/>
          <w:noProof/>
        </w:rPr>
        <w:t>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(MWh/tonne)</w:t>
      </w:r>
      <w:r>
        <w:rPr>
          <w:noProof/>
          <w:webHidden/>
        </w:rPr>
        <w:tab/>
        <w:t>72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80. </w:t>
      </w:r>
      <w:r>
        <w:rPr>
          <w:rStyle w:val="Hyperlink"/>
          <w:rFonts w:eastAsia="Times New Roman"/>
          <w:noProof/>
        </w:rPr>
        <w:t xml:space="preserve">Energy costs versus EBITDA </w:t>
      </w:r>
      <w:r>
        <w:rPr>
          <w:rStyle w:val="Hyperlink"/>
          <w:noProof/>
        </w:rPr>
        <w:t>of packaging glass production</w:t>
      </w:r>
      <w:r>
        <w:rPr>
          <w:rStyle w:val="Hyperlink"/>
          <w:rFonts w:eastAsia="Times New Roman"/>
          <w:noProof/>
        </w:rPr>
        <w:t xml:space="preserve"> (€/tonne)</w:t>
      </w:r>
      <w:r>
        <w:rPr>
          <w:noProof/>
          <w:webHidden/>
        </w:rPr>
        <w:tab/>
        <w:t>73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81. Components of the EU average electricity price for nitrogen fertiliser production (%)</w:t>
      </w:r>
      <w:r>
        <w:rPr>
          <w:noProof/>
          <w:webHidden/>
        </w:rPr>
        <w:tab/>
        <w:t>76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82. </w:t>
      </w:r>
      <w:r>
        <w:rPr>
          <w:rStyle w:val="Hyperlink"/>
          <w:rFonts w:eastAsia="Times New Roman"/>
          <w:noProof/>
          <w:lang w:eastAsia="en-GB"/>
        </w:rPr>
        <w:t xml:space="preserve">Electricity costs </w:t>
      </w:r>
      <w:r>
        <w:rPr>
          <w:rStyle w:val="Hyperlink"/>
          <w:noProof/>
        </w:rPr>
        <w:t>of nitrogen fertiliser production</w:t>
      </w:r>
      <w:r>
        <w:rPr>
          <w:rStyle w:val="Hyperlink"/>
          <w:rFonts w:eastAsia="Times New Roman"/>
          <w:noProof/>
          <w:lang w:eastAsia="en-GB"/>
        </w:rPr>
        <w:t xml:space="preserve"> (€/MWh)</w:t>
      </w:r>
      <w:r>
        <w:rPr>
          <w:noProof/>
          <w:webHidden/>
        </w:rPr>
        <w:tab/>
        <w:t>76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83. </w:t>
      </w:r>
      <w:r>
        <w:rPr>
          <w:rStyle w:val="Hyperlink"/>
          <w:rFonts w:eastAsia="Times New Roman"/>
          <w:noProof/>
          <w:lang w:eastAsia="en-GB"/>
        </w:rPr>
        <w:t>Electricity costs</w:t>
      </w:r>
      <w:r>
        <w:rPr>
          <w:rStyle w:val="Hyperlink"/>
          <w:noProof/>
        </w:rPr>
        <w:t xml:space="preserve"> of nitrogen fertiliser production</w:t>
      </w:r>
      <w:r>
        <w:rPr>
          <w:rStyle w:val="Hyperlink"/>
          <w:rFonts w:eastAsia="Times New Roman"/>
          <w:noProof/>
          <w:lang w:eastAsia="en-GB"/>
        </w:rPr>
        <w:t xml:space="preserve"> (€/tonne)</w:t>
      </w:r>
      <w:r>
        <w:rPr>
          <w:noProof/>
          <w:webHidden/>
        </w:rPr>
        <w:tab/>
        <w:t>77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84. </w:t>
      </w:r>
      <w:r>
        <w:rPr>
          <w:rStyle w:val="Hyperlink"/>
          <w:rFonts w:eastAsia="Times New Roman"/>
          <w:noProof/>
          <w:lang w:eastAsia="en-GB"/>
        </w:rPr>
        <w:t xml:space="preserve">Electricity intensity </w:t>
      </w:r>
      <w:r>
        <w:rPr>
          <w:rStyle w:val="Hyperlink"/>
          <w:noProof/>
        </w:rPr>
        <w:t>of nitrogen fertiliser production</w:t>
      </w:r>
      <w:r>
        <w:rPr>
          <w:rStyle w:val="Hyperlink"/>
          <w:rFonts w:eastAsia="Times New Roman"/>
          <w:noProof/>
          <w:lang w:eastAsia="en-GB"/>
        </w:rPr>
        <w:t xml:space="preserve"> (MWh/tonne)</w:t>
      </w:r>
      <w:r>
        <w:rPr>
          <w:noProof/>
          <w:webHidden/>
        </w:rPr>
        <w:tab/>
        <w:t>77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85. </w:t>
      </w:r>
      <w:r>
        <w:rPr>
          <w:rStyle w:val="Hyperlink"/>
          <w:rFonts w:eastAsia="Times New Roman"/>
          <w:noProof/>
          <w:lang w:eastAsia="en-GB"/>
        </w:rPr>
        <w:t>Natural gas prices</w:t>
      </w:r>
      <w:r>
        <w:rPr>
          <w:rStyle w:val="Hyperlink"/>
          <w:noProof/>
        </w:rPr>
        <w:t xml:space="preserve"> of nitrogen fertiliser production</w:t>
      </w:r>
      <w:r>
        <w:rPr>
          <w:rStyle w:val="Hyperlink"/>
          <w:rFonts w:eastAsia="Times New Roman"/>
          <w:noProof/>
          <w:lang w:eastAsia="en-GB"/>
        </w:rPr>
        <w:t xml:space="preserve"> (€/MWh)</w:t>
      </w:r>
      <w:r>
        <w:rPr>
          <w:noProof/>
          <w:webHidden/>
        </w:rPr>
        <w:tab/>
        <w:t>78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86. Components of the EU average natural gas price for nitrogen fertiliser production (%)</w:t>
      </w:r>
      <w:r>
        <w:rPr>
          <w:noProof/>
          <w:webHidden/>
        </w:rPr>
        <w:tab/>
        <w:t>78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87. </w:t>
      </w:r>
      <w:r>
        <w:rPr>
          <w:rStyle w:val="Hyperlink"/>
          <w:rFonts w:eastAsia="Times New Roman"/>
          <w:noProof/>
          <w:lang w:eastAsia="en-GB"/>
        </w:rPr>
        <w:t>Natural gas costs</w:t>
      </w:r>
      <w:r>
        <w:rPr>
          <w:rStyle w:val="Hyperlink"/>
          <w:noProof/>
        </w:rPr>
        <w:t xml:space="preserve"> of nitrogen fertiliser production</w:t>
      </w:r>
      <w:r>
        <w:rPr>
          <w:rStyle w:val="Hyperlink"/>
          <w:rFonts w:eastAsia="Times New Roman"/>
          <w:noProof/>
          <w:lang w:eastAsia="en-GB"/>
        </w:rPr>
        <w:t xml:space="preserve"> (€/tonne)</w:t>
      </w:r>
      <w:r>
        <w:rPr>
          <w:noProof/>
          <w:webHidden/>
        </w:rPr>
        <w:tab/>
        <w:t>79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88. </w:t>
      </w:r>
      <w:r>
        <w:rPr>
          <w:rStyle w:val="Hyperlink"/>
          <w:rFonts w:eastAsia="Times New Roman"/>
          <w:noProof/>
          <w:lang w:eastAsia="en-GB"/>
        </w:rPr>
        <w:t xml:space="preserve">Natural gas intensity </w:t>
      </w:r>
      <w:r>
        <w:rPr>
          <w:rStyle w:val="Hyperlink"/>
          <w:noProof/>
        </w:rPr>
        <w:t>of nitrogen fertiliser production</w:t>
      </w:r>
      <w:r>
        <w:rPr>
          <w:rStyle w:val="Hyperlink"/>
          <w:rFonts w:eastAsia="Times New Roman"/>
          <w:noProof/>
          <w:lang w:eastAsia="en-GB"/>
        </w:rPr>
        <w:t xml:space="preserve"> (MWh/tonne)</w:t>
      </w:r>
      <w:r>
        <w:rPr>
          <w:noProof/>
          <w:webHidden/>
        </w:rPr>
        <w:tab/>
        <w:t>79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89. </w:t>
      </w:r>
      <w:r>
        <w:rPr>
          <w:rStyle w:val="Hyperlink"/>
          <w:rFonts w:eastAsia="Times New Roman"/>
          <w:noProof/>
          <w:lang w:eastAsia="en-GB"/>
        </w:rPr>
        <w:t xml:space="preserve">Energy costs versus EBITDA </w:t>
      </w:r>
      <w:r>
        <w:rPr>
          <w:rStyle w:val="Hyperlink"/>
          <w:noProof/>
        </w:rPr>
        <w:t>of nitrogen fertiliser production</w:t>
      </w:r>
      <w:r>
        <w:rPr>
          <w:rStyle w:val="Hyperlink"/>
          <w:rFonts w:eastAsia="Times New Roman"/>
          <w:noProof/>
          <w:lang w:eastAsia="en-GB"/>
        </w:rPr>
        <w:t xml:space="preserve"> (€/tonne)</w:t>
      </w:r>
      <w:r>
        <w:rPr>
          <w:noProof/>
          <w:webHidden/>
        </w:rPr>
        <w:tab/>
        <w:t>80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90. Components of the EU average electricity price for </w:t>
      </w:r>
      <w:r>
        <w:rPr>
          <w:rStyle w:val="Hyperlink"/>
          <w:noProof/>
          <w:lang w:eastAsia="en-GB"/>
        </w:rPr>
        <w:t>refineries</w:t>
      </w:r>
      <w:r>
        <w:rPr>
          <w:rStyle w:val="Hyperlink"/>
          <w:noProof/>
        </w:rPr>
        <w:t xml:space="preserve"> (%)</w:t>
      </w:r>
      <w:r>
        <w:rPr>
          <w:noProof/>
          <w:webHidden/>
        </w:rPr>
        <w:tab/>
        <w:t>83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91. </w:t>
      </w:r>
      <w:r>
        <w:rPr>
          <w:rStyle w:val="Hyperlink"/>
          <w:rFonts w:eastAsia="Times New Roman"/>
          <w:noProof/>
          <w:lang w:eastAsia="en-GB"/>
        </w:rPr>
        <w:t xml:space="preserve">Electricity costs </w:t>
      </w:r>
      <w:r>
        <w:rPr>
          <w:rStyle w:val="Hyperlink"/>
          <w:noProof/>
        </w:rPr>
        <w:t xml:space="preserve">of </w:t>
      </w:r>
      <w:r>
        <w:rPr>
          <w:rStyle w:val="Hyperlink"/>
          <w:noProof/>
          <w:lang w:eastAsia="en-GB"/>
        </w:rPr>
        <w:t>refineries</w:t>
      </w:r>
      <w:r>
        <w:rPr>
          <w:rStyle w:val="Hyperlink"/>
          <w:rFonts w:eastAsia="Times New Roman"/>
          <w:noProof/>
          <w:lang w:eastAsia="en-GB"/>
        </w:rPr>
        <w:t xml:space="preserve"> (€/MWh)</w:t>
      </w:r>
      <w:r>
        <w:rPr>
          <w:noProof/>
          <w:webHidden/>
        </w:rPr>
        <w:tab/>
        <w:t>84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92. </w:t>
      </w:r>
      <w:r>
        <w:rPr>
          <w:rStyle w:val="Hyperlink"/>
          <w:rFonts w:eastAsia="Times New Roman"/>
          <w:noProof/>
          <w:lang w:eastAsia="en-GB"/>
        </w:rPr>
        <w:t>Electricity costs</w:t>
      </w:r>
      <w:r>
        <w:rPr>
          <w:rStyle w:val="Hyperlink"/>
          <w:noProof/>
        </w:rPr>
        <w:t xml:space="preserve"> of </w:t>
      </w:r>
      <w:r>
        <w:rPr>
          <w:rStyle w:val="Hyperlink"/>
          <w:noProof/>
          <w:lang w:eastAsia="en-GB"/>
        </w:rPr>
        <w:t>refineries</w:t>
      </w:r>
      <w:r>
        <w:rPr>
          <w:rStyle w:val="Hyperlink"/>
          <w:rFonts w:eastAsia="Times New Roman"/>
          <w:noProof/>
          <w:lang w:eastAsia="en-GB"/>
        </w:rPr>
        <w:t xml:space="preserve"> (€/tonne)</w:t>
      </w:r>
      <w:r>
        <w:rPr>
          <w:noProof/>
          <w:webHidden/>
        </w:rPr>
        <w:tab/>
        <w:t>84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93. </w:t>
      </w:r>
      <w:r>
        <w:rPr>
          <w:rStyle w:val="Hyperlink"/>
          <w:rFonts w:eastAsia="Times New Roman"/>
          <w:noProof/>
        </w:rPr>
        <w:t xml:space="preserve">Electricity intensity </w:t>
      </w:r>
      <w:r>
        <w:rPr>
          <w:rStyle w:val="Hyperlink"/>
          <w:noProof/>
        </w:rPr>
        <w:t>of refineries</w:t>
      </w:r>
      <w:r>
        <w:rPr>
          <w:rStyle w:val="Hyperlink"/>
          <w:rFonts w:eastAsia="Times New Roman"/>
          <w:noProof/>
        </w:rPr>
        <w:t xml:space="preserve"> (MWh/tonne)</w:t>
      </w:r>
      <w:r>
        <w:rPr>
          <w:noProof/>
          <w:webHidden/>
        </w:rPr>
        <w:tab/>
        <w:t>85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94. </w:t>
      </w:r>
      <w:r>
        <w:rPr>
          <w:rStyle w:val="Hyperlink"/>
          <w:rFonts w:eastAsia="Times New Roman"/>
          <w:noProof/>
          <w:lang w:eastAsia="en-GB"/>
        </w:rPr>
        <w:t>Natural gas prices</w:t>
      </w:r>
      <w:r>
        <w:rPr>
          <w:rStyle w:val="Hyperlink"/>
          <w:noProof/>
        </w:rPr>
        <w:t xml:space="preserve"> of </w:t>
      </w:r>
      <w:r>
        <w:rPr>
          <w:rStyle w:val="Hyperlink"/>
          <w:noProof/>
          <w:lang w:eastAsia="en-GB"/>
        </w:rPr>
        <w:t>refineries</w:t>
      </w:r>
      <w:r>
        <w:rPr>
          <w:rStyle w:val="Hyperlink"/>
          <w:rFonts w:eastAsia="Times New Roman"/>
          <w:noProof/>
          <w:lang w:eastAsia="en-GB"/>
        </w:rPr>
        <w:t xml:space="preserve"> (€/MWh)</w:t>
      </w:r>
      <w:r>
        <w:rPr>
          <w:noProof/>
          <w:webHidden/>
        </w:rPr>
        <w:tab/>
        <w:t>86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95. Components of the EU average natural gas price for </w:t>
      </w:r>
      <w:r>
        <w:rPr>
          <w:rStyle w:val="Hyperlink"/>
          <w:noProof/>
          <w:lang w:eastAsia="en-GB"/>
        </w:rPr>
        <w:t>refineries</w:t>
      </w:r>
      <w:r>
        <w:rPr>
          <w:rStyle w:val="Hyperlink"/>
          <w:noProof/>
        </w:rPr>
        <w:t xml:space="preserve"> (%)</w:t>
      </w:r>
      <w:r>
        <w:rPr>
          <w:noProof/>
          <w:webHidden/>
        </w:rPr>
        <w:tab/>
        <w:t>86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96. </w:t>
      </w:r>
      <w:r>
        <w:rPr>
          <w:rStyle w:val="Hyperlink"/>
          <w:rFonts w:eastAsia="Times New Roman"/>
          <w:noProof/>
          <w:lang w:eastAsia="en-GB"/>
        </w:rPr>
        <w:t>Natural gas costs</w:t>
      </w:r>
      <w:r>
        <w:rPr>
          <w:rStyle w:val="Hyperlink"/>
          <w:noProof/>
        </w:rPr>
        <w:t xml:space="preserve"> of </w:t>
      </w:r>
      <w:r>
        <w:rPr>
          <w:rStyle w:val="Hyperlink"/>
          <w:noProof/>
          <w:lang w:eastAsia="en-GB"/>
        </w:rPr>
        <w:t>refineries</w:t>
      </w:r>
      <w:r>
        <w:rPr>
          <w:rStyle w:val="Hyperlink"/>
          <w:rFonts w:eastAsia="Times New Roman"/>
          <w:noProof/>
          <w:lang w:eastAsia="en-GB"/>
        </w:rPr>
        <w:t xml:space="preserve"> (€/tonne)</w:t>
      </w:r>
      <w:r>
        <w:rPr>
          <w:noProof/>
          <w:webHidden/>
        </w:rPr>
        <w:tab/>
        <w:t>87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Figure 97. Total</w:t>
      </w:r>
      <w:r>
        <w:rPr>
          <w:rStyle w:val="Hyperlink"/>
          <w:rFonts w:eastAsia="Times New Roman"/>
          <w:noProof/>
          <w:lang w:eastAsia="en-GB"/>
        </w:rPr>
        <w:t xml:space="preserve"> gas costs</w:t>
      </w:r>
      <w:r>
        <w:rPr>
          <w:rStyle w:val="Hyperlink"/>
          <w:noProof/>
        </w:rPr>
        <w:t xml:space="preserve"> of </w:t>
      </w:r>
      <w:r>
        <w:rPr>
          <w:rStyle w:val="Hyperlink"/>
          <w:noProof/>
          <w:lang w:eastAsia="en-GB"/>
        </w:rPr>
        <w:t>refineries</w:t>
      </w:r>
      <w:r>
        <w:rPr>
          <w:rStyle w:val="Hyperlink"/>
          <w:rFonts w:eastAsia="Times New Roman"/>
          <w:noProof/>
          <w:lang w:eastAsia="en-GB"/>
        </w:rPr>
        <w:t xml:space="preserve"> (€/tonne)</w:t>
      </w:r>
      <w:r>
        <w:rPr>
          <w:noProof/>
          <w:webHidden/>
        </w:rPr>
        <w:tab/>
        <w:t>87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98. </w:t>
      </w:r>
      <w:r>
        <w:rPr>
          <w:rStyle w:val="Hyperlink"/>
          <w:rFonts w:eastAsia="Times New Roman"/>
          <w:noProof/>
        </w:rPr>
        <w:t xml:space="preserve">Natural gas intensity </w:t>
      </w:r>
      <w:r>
        <w:rPr>
          <w:rStyle w:val="Hyperlink"/>
          <w:noProof/>
        </w:rPr>
        <w:t>of refineries</w:t>
      </w:r>
      <w:r>
        <w:rPr>
          <w:rStyle w:val="Hyperlink"/>
          <w:rFonts w:eastAsia="Times New Roman"/>
          <w:noProof/>
        </w:rPr>
        <w:t xml:space="preserve"> (MWh/tonne)</w:t>
      </w:r>
      <w:r>
        <w:rPr>
          <w:noProof/>
          <w:webHidden/>
        </w:rPr>
        <w:tab/>
        <w:t>88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99. Total </w:t>
      </w:r>
      <w:r>
        <w:rPr>
          <w:rStyle w:val="Hyperlink"/>
          <w:rFonts w:eastAsia="Times New Roman"/>
          <w:noProof/>
          <w:lang w:eastAsia="en-GB"/>
        </w:rPr>
        <w:t xml:space="preserve">gas intensity </w:t>
      </w:r>
      <w:r>
        <w:rPr>
          <w:rStyle w:val="Hyperlink"/>
          <w:noProof/>
        </w:rPr>
        <w:t xml:space="preserve">of </w:t>
      </w:r>
      <w:r>
        <w:rPr>
          <w:rStyle w:val="Hyperlink"/>
          <w:noProof/>
          <w:lang w:eastAsia="en-GB"/>
        </w:rPr>
        <w:t>refineries</w:t>
      </w:r>
      <w:r>
        <w:rPr>
          <w:rStyle w:val="Hyperlink"/>
          <w:rFonts w:eastAsia="Times New Roman"/>
          <w:noProof/>
          <w:lang w:eastAsia="en-GB"/>
        </w:rPr>
        <w:t xml:space="preserve"> (MWh/tonne)</w:t>
      </w:r>
      <w:r>
        <w:rPr>
          <w:noProof/>
          <w:webHidden/>
        </w:rPr>
        <w:tab/>
        <w:t>88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Figure 100. </w:t>
      </w:r>
      <w:r>
        <w:rPr>
          <w:rStyle w:val="Hyperlink"/>
          <w:rFonts w:eastAsia="Times New Roman"/>
          <w:noProof/>
        </w:rPr>
        <w:t xml:space="preserve">Energy costs versus EBITDA </w:t>
      </w:r>
      <w:r>
        <w:rPr>
          <w:rStyle w:val="Hyperlink"/>
          <w:noProof/>
        </w:rPr>
        <w:t>of refineries</w:t>
      </w:r>
      <w:r>
        <w:rPr>
          <w:rStyle w:val="Hyperlink"/>
          <w:rFonts w:eastAsia="Times New Roman"/>
          <w:noProof/>
        </w:rPr>
        <w:t xml:space="preserve"> (€/tonne)</w:t>
      </w:r>
      <w:r>
        <w:rPr>
          <w:noProof/>
          <w:webHidden/>
        </w:rPr>
        <w:tab/>
        <w:t>90</w:t>
      </w:r>
    </w:p>
    <w:p>
      <w:pPr>
        <w:spacing w:after="0"/>
        <w:jc w:val="left"/>
        <w:rPr>
          <w:noProof/>
          <w:highlight w:val="lightGray"/>
        </w:rPr>
      </w:pPr>
    </w:p>
    <w:p>
      <w:pPr>
        <w:spacing w:after="0"/>
        <w:jc w:val="left"/>
        <w:rPr>
          <w:noProof/>
          <w:highlight w:val="lightGray"/>
        </w:rPr>
      </w:pPr>
      <w:r>
        <w:rPr>
          <w:noProof/>
          <w:highlight w:val="lightGray"/>
        </w:rPr>
        <w:br w:type="page"/>
      </w:r>
    </w:p>
    <w:p>
      <w:pPr>
        <w:spacing w:after="0"/>
        <w:rPr>
          <w:b/>
          <w:noProof/>
          <w:color w:val="0070C0"/>
          <w:sz w:val="32"/>
          <w:szCs w:val="32"/>
        </w:rPr>
      </w:pPr>
      <w:r>
        <w:rPr>
          <w:b/>
          <w:noProof/>
          <w:color w:val="0070C0"/>
          <w:sz w:val="32"/>
          <w:szCs w:val="32"/>
        </w:rPr>
        <w:t>List of Tables</w:t>
      </w:r>
    </w:p>
    <w:p>
      <w:pPr>
        <w:spacing w:after="0"/>
        <w:jc w:val="left"/>
        <w:rPr>
          <w:b/>
          <w:noProof/>
          <w:color w:val="0070C0"/>
          <w:sz w:val="32"/>
          <w:szCs w:val="32"/>
        </w:rPr>
      </w:pP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 Main indicators</w:t>
      </w:r>
      <w:r>
        <w:rPr>
          <w:noProof/>
          <w:webHidden/>
        </w:rPr>
        <w:tab/>
        <w:t>6</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 Key electricity indicators of BOF steel production</w:t>
      </w:r>
      <w:r>
        <w:rPr>
          <w:rStyle w:val="Hyperlink"/>
          <w:rFonts w:eastAsia="Times New Roman"/>
          <w:noProof/>
          <w:lang w:eastAsia="en-GB"/>
        </w:rPr>
        <w:t xml:space="preserve"> </w:t>
      </w:r>
      <w:r>
        <w:rPr>
          <w:rStyle w:val="Hyperlink"/>
          <w:noProof/>
        </w:rPr>
        <w:t>(EU averages)</w:t>
      </w:r>
      <w:r>
        <w:rPr>
          <w:noProof/>
          <w:webHidden/>
        </w:rPr>
        <w:tab/>
        <w:t>13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3. Key natural gas indicators of BOF steel production</w:t>
      </w:r>
      <w:r>
        <w:rPr>
          <w:rStyle w:val="Hyperlink"/>
          <w:rFonts w:eastAsia="Times New Roman"/>
          <w:noProof/>
          <w:lang w:eastAsia="en-GB"/>
        </w:rPr>
        <w:t xml:space="preserve"> </w:t>
      </w:r>
      <w:r>
        <w:rPr>
          <w:rStyle w:val="Hyperlink"/>
          <w:noProof/>
        </w:rPr>
        <w:t>(EU averages)</w:t>
      </w:r>
      <w:r>
        <w:rPr>
          <w:noProof/>
          <w:webHidden/>
        </w:rPr>
        <w:tab/>
        <w:t>15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4. Key competitiveness indicators of BOF steel production</w:t>
      </w:r>
      <w:r>
        <w:rPr>
          <w:rStyle w:val="Hyperlink"/>
          <w:rFonts w:eastAsia="Times New Roman"/>
          <w:noProof/>
          <w:lang w:eastAsia="en-GB"/>
        </w:rPr>
        <w:t xml:space="preserve"> </w:t>
      </w:r>
      <w:r>
        <w:rPr>
          <w:rStyle w:val="Hyperlink"/>
          <w:noProof/>
        </w:rPr>
        <w:t>(EU averages)</w:t>
      </w:r>
      <w:r>
        <w:rPr>
          <w:noProof/>
          <w:webHidden/>
        </w:rPr>
        <w:tab/>
        <w:t>17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5. Key electricity indicators of EAF steel production</w:t>
      </w:r>
      <w:r>
        <w:rPr>
          <w:rStyle w:val="Hyperlink"/>
          <w:rFonts w:eastAsia="Times New Roman"/>
          <w:noProof/>
          <w:lang w:eastAsia="en-GB"/>
        </w:rPr>
        <w:t xml:space="preserve"> </w:t>
      </w:r>
      <w:r>
        <w:rPr>
          <w:rStyle w:val="Hyperlink"/>
          <w:noProof/>
        </w:rPr>
        <w:t>(EU averages)</w:t>
      </w:r>
      <w:r>
        <w:rPr>
          <w:noProof/>
          <w:webHidden/>
        </w:rPr>
        <w:tab/>
        <w:t>20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6. Key natural gas indicators of EAF steel production</w:t>
      </w:r>
      <w:r>
        <w:rPr>
          <w:rStyle w:val="Hyperlink"/>
          <w:rFonts w:eastAsia="Times New Roman"/>
          <w:noProof/>
          <w:lang w:eastAsia="en-GB"/>
        </w:rPr>
        <w:t xml:space="preserve"> </w:t>
      </w:r>
      <w:r>
        <w:rPr>
          <w:rStyle w:val="Hyperlink"/>
          <w:noProof/>
        </w:rPr>
        <w:t>(EU averages)</w:t>
      </w:r>
      <w:r>
        <w:rPr>
          <w:noProof/>
          <w:webHidden/>
        </w:rPr>
        <w:tab/>
        <w:t>22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7. Key competitiveness indicators of EAF steel production</w:t>
      </w:r>
      <w:r>
        <w:rPr>
          <w:rStyle w:val="Hyperlink"/>
          <w:rFonts w:eastAsia="Times New Roman"/>
          <w:noProof/>
          <w:lang w:eastAsia="en-GB"/>
        </w:rPr>
        <w:t xml:space="preserve"> </w:t>
      </w:r>
      <w:r>
        <w:rPr>
          <w:rStyle w:val="Hyperlink"/>
          <w:noProof/>
        </w:rPr>
        <w:t>(EU averages)</w:t>
      </w:r>
      <w:r>
        <w:rPr>
          <w:noProof/>
          <w:webHidden/>
        </w:rPr>
        <w:tab/>
        <w:t>25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8. Key electricity indicators of primary aluminium production</w:t>
      </w:r>
      <w:r>
        <w:rPr>
          <w:rStyle w:val="Hyperlink"/>
          <w:rFonts w:eastAsia="Times New Roman"/>
          <w:noProof/>
          <w:lang w:eastAsia="en-GB"/>
        </w:rPr>
        <w:t xml:space="preserve"> </w:t>
      </w:r>
      <w:r>
        <w:rPr>
          <w:rStyle w:val="Hyperlink"/>
          <w:noProof/>
        </w:rPr>
        <w:t>(EU averages)</w:t>
      </w:r>
      <w:r>
        <w:rPr>
          <w:noProof/>
          <w:webHidden/>
        </w:rPr>
        <w:tab/>
        <w:t>28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9. Key natural gas indicators of primary aluminium production</w:t>
      </w:r>
      <w:r>
        <w:rPr>
          <w:rStyle w:val="Hyperlink"/>
          <w:rFonts w:eastAsia="Times New Roman"/>
          <w:noProof/>
          <w:lang w:eastAsia="en-GB"/>
        </w:rPr>
        <w:t xml:space="preserve"> </w:t>
      </w:r>
      <w:r>
        <w:rPr>
          <w:rStyle w:val="Hyperlink"/>
          <w:noProof/>
        </w:rPr>
        <w:t>(EU averages)</w:t>
      </w:r>
      <w:r>
        <w:rPr>
          <w:noProof/>
          <w:webHidden/>
        </w:rPr>
        <w:tab/>
        <w:t>30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10. Key competitiveness indicators of primary aluminium production</w:t>
      </w:r>
      <w:r>
        <w:rPr>
          <w:rStyle w:val="Hyperlink"/>
          <w:rFonts w:eastAsia="Times New Roman"/>
          <w:noProof/>
          <w:lang w:eastAsia="en-GB"/>
        </w:rPr>
        <w:t xml:space="preserve"> </w:t>
      </w:r>
      <w:r>
        <w:rPr>
          <w:rStyle w:val="Hyperlink"/>
          <w:noProof/>
        </w:rPr>
        <w:t>(EU averages)</w:t>
      </w:r>
      <w:r>
        <w:rPr>
          <w:noProof/>
          <w:webHidden/>
        </w:rPr>
        <w:tab/>
        <w:t>32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11. Key electricity indicators of secondary aluminium production</w:t>
      </w:r>
      <w:r>
        <w:rPr>
          <w:rStyle w:val="Hyperlink"/>
          <w:rFonts w:eastAsia="Times New Roman"/>
          <w:noProof/>
          <w:lang w:eastAsia="en-GB"/>
        </w:rPr>
        <w:t xml:space="preserve"> </w:t>
      </w:r>
      <w:r>
        <w:rPr>
          <w:rStyle w:val="Hyperlink"/>
          <w:noProof/>
        </w:rPr>
        <w:t>(EU averages)</w:t>
      </w:r>
      <w:r>
        <w:rPr>
          <w:noProof/>
          <w:webHidden/>
        </w:rPr>
        <w:tab/>
        <w:t>34</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12. Key natural gas indicators of secondary aluminium production</w:t>
      </w:r>
      <w:r>
        <w:rPr>
          <w:rStyle w:val="Hyperlink"/>
          <w:rFonts w:eastAsia="Times New Roman"/>
          <w:noProof/>
          <w:lang w:eastAsia="en-GB"/>
        </w:rPr>
        <w:t xml:space="preserve"> </w:t>
      </w:r>
      <w:r>
        <w:rPr>
          <w:rStyle w:val="Hyperlink"/>
          <w:noProof/>
        </w:rPr>
        <w:t>(EU averages)</w:t>
      </w:r>
      <w:r>
        <w:rPr>
          <w:noProof/>
          <w:webHidden/>
        </w:rPr>
        <w:tab/>
        <w:t>35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13. Key competitiveness indicators of secondary aluminium production</w:t>
      </w:r>
      <w:r>
        <w:rPr>
          <w:rStyle w:val="Hyperlink"/>
          <w:rFonts w:eastAsia="Times New Roman"/>
          <w:noProof/>
          <w:lang w:eastAsia="en-GB"/>
        </w:rPr>
        <w:t xml:space="preserve"> </w:t>
      </w:r>
      <w:r>
        <w:rPr>
          <w:rStyle w:val="Hyperlink"/>
          <w:noProof/>
        </w:rPr>
        <w:t>(EU averages)</w:t>
      </w:r>
      <w:r>
        <w:rPr>
          <w:noProof/>
          <w:webHidden/>
        </w:rPr>
        <w:tab/>
        <w:t>37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14. Key electricity indicators of downstream aluminium production</w:t>
      </w:r>
      <w:r>
        <w:rPr>
          <w:rStyle w:val="Hyperlink"/>
          <w:rFonts w:eastAsia="Times New Roman"/>
          <w:noProof/>
          <w:lang w:eastAsia="en-GB"/>
        </w:rPr>
        <w:t xml:space="preserve"> </w:t>
      </w:r>
      <w:r>
        <w:rPr>
          <w:rStyle w:val="Hyperlink"/>
          <w:noProof/>
        </w:rPr>
        <w:t>(EU averages)</w:t>
      </w:r>
      <w:r>
        <w:rPr>
          <w:noProof/>
          <w:webHidden/>
        </w:rPr>
        <w:tab/>
        <w:t>39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15. Key natural gas indicators of downstream aluminium production</w:t>
      </w:r>
      <w:r>
        <w:rPr>
          <w:rStyle w:val="Hyperlink"/>
          <w:rFonts w:eastAsia="Times New Roman"/>
          <w:noProof/>
          <w:lang w:eastAsia="en-GB"/>
        </w:rPr>
        <w:t xml:space="preserve"> </w:t>
      </w:r>
      <w:r>
        <w:rPr>
          <w:rStyle w:val="Hyperlink"/>
          <w:noProof/>
        </w:rPr>
        <w:t>(EU averages)</w:t>
      </w:r>
      <w:r>
        <w:rPr>
          <w:noProof/>
          <w:webHidden/>
        </w:rPr>
        <w:tab/>
        <w:t>40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16. Key competitiveness indicators of downstream aluminium production</w:t>
      </w:r>
      <w:r>
        <w:rPr>
          <w:rStyle w:val="Hyperlink"/>
          <w:rFonts w:eastAsia="Times New Roman"/>
          <w:noProof/>
          <w:lang w:eastAsia="en-GB"/>
        </w:rPr>
        <w:t xml:space="preserve"> </w:t>
      </w:r>
      <w:r>
        <w:rPr>
          <w:rStyle w:val="Hyperlink"/>
          <w:noProof/>
        </w:rPr>
        <w:t>(EU averages)</w:t>
      </w:r>
      <w:r>
        <w:rPr>
          <w:noProof/>
          <w:webHidden/>
        </w:rPr>
        <w:tab/>
        <w:t>42</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17. Key electricity indicators 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45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18. Key natural gas indicators 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47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19. Key competitiveness indicators of </w:t>
      </w:r>
      <w:r>
        <w:rPr>
          <w:rStyle w:val="Hyperlink"/>
          <w:noProof/>
          <w:lang w:eastAsia="en-GB"/>
        </w:rPr>
        <w:t>brick and roof tile</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49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20. Key electricity indicators 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53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21. Key natural gas indicators 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55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22. Key competitiveness indicators of </w:t>
      </w:r>
      <w:r>
        <w:rPr>
          <w:rStyle w:val="Hyperlink"/>
          <w:noProof/>
          <w:lang w:eastAsia="en-GB"/>
        </w:rPr>
        <w:t>wall and floor tile</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57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23. Key electricity indicators of glass tableware production</w:t>
      </w:r>
      <w:r>
        <w:rPr>
          <w:rStyle w:val="Hyperlink"/>
          <w:rFonts w:eastAsia="Times New Roman"/>
          <w:noProof/>
          <w:lang w:eastAsia="en-GB"/>
        </w:rPr>
        <w:t xml:space="preserve"> </w:t>
      </w:r>
      <w:r>
        <w:rPr>
          <w:rStyle w:val="Hyperlink"/>
          <w:noProof/>
        </w:rPr>
        <w:t>(EU averages)</w:t>
      </w:r>
      <w:r>
        <w:rPr>
          <w:noProof/>
          <w:webHidden/>
        </w:rPr>
        <w:tab/>
        <w:t>61</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24. Key natural gas indicators of glass tableware production</w:t>
      </w:r>
      <w:r>
        <w:rPr>
          <w:rStyle w:val="Hyperlink"/>
          <w:rFonts w:eastAsia="Times New Roman"/>
          <w:noProof/>
          <w:lang w:eastAsia="en-GB"/>
        </w:rPr>
        <w:t xml:space="preserve"> </w:t>
      </w:r>
      <w:r>
        <w:rPr>
          <w:rStyle w:val="Hyperlink"/>
          <w:noProof/>
        </w:rPr>
        <w:t>(EU averages)</w:t>
      </w:r>
      <w:r>
        <w:rPr>
          <w:noProof/>
          <w:webHidden/>
        </w:rPr>
        <w:tab/>
        <w:t>63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25. Key competitiveness indicators of glass tableware production</w:t>
      </w:r>
      <w:r>
        <w:rPr>
          <w:rStyle w:val="Hyperlink"/>
          <w:rFonts w:eastAsia="Times New Roman"/>
          <w:noProof/>
          <w:lang w:eastAsia="en-GB"/>
        </w:rPr>
        <w:t xml:space="preserve"> </w:t>
      </w:r>
      <w:r>
        <w:rPr>
          <w:rStyle w:val="Hyperlink"/>
          <w:noProof/>
        </w:rPr>
        <w:t>(EU averages)</w:t>
      </w:r>
      <w:r>
        <w:rPr>
          <w:noProof/>
          <w:webHidden/>
        </w:rPr>
        <w:tab/>
        <w:t>65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26. Key electricity indicators 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68</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27. Key natural gas indicators 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70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28. Key competitiveness indicators of p</w:t>
      </w:r>
      <w:r>
        <w:rPr>
          <w:rStyle w:val="Hyperlink"/>
          <w:noProof/>
          <w:lang w:eastAsia="en-GB"/>
        </w:rPr>
        <w:t>ackaging glass</w:t>
      </w:r>
      <w:r>
        <w:rPr>
          <w:rStyle w:val="Hyperlink"/>
          <w:noProof/>
        </w:rPr>
        <w:t xml:space="preserve"> production</w:t>
      </w:r>
      <w:r>
        <w:rPr>
          <w:rStyle w:val="Hyperlink"/>
          <w:rFonts w:eastAsia="Times New Roman"/>
          <w:noProof/>
          <w:lang w:eastAsia="en-GB"/>
        </w:rPr>
        <w:t xml:space="preserve"> </w:t>
      </w:r>
      <w:r>
        <w:rPr>
          <w:rStyle w:val="Hyperlink"/>
          <w:noProof/>
        </w:rPr>
        <w:t>(EU averages)</w:t>
      </w:r>
      <w:r>
        <w:rPr>
          <w:noProof/>
          <w:webHidden/>
        </w:rPr>
        <w:tab/>
        <w:t>73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29. Key electricity indicators of nitrogen fertiliser production</w:t>
      </w:r>
      <w:r>
        <w:rPr>
          <w:rStyle w:val="Hyperlink"/>
          <w:rFonts w:eastAsia="Times New Roman"/>
          <w:noProof/>
          <w:lang w:eastAsia="en-GB"/>
        </w:rPr>
        <w:t xml:space="preserve"> </w:t>
      </w:r>
      <w:r>
        <w:rPr>
          <w:rStyle w:val="Hyperlink"/>
          <w:noProof/>
        </w:rPr>
        <w:t>(EU averages)</w:t>
      </w:r>
      <w:r>
        <w:rPr>
          <w:noProof/>
          <w:webHidden/>
        </w:rPr>
        <w:tab/>
        <w:t>75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30. Key natural gas indicators of nitrogen fertiliser production</w:t>
      </w:r>
      <w:r>
        <w:rPr>
          <w:rStyle w:val="Hyperlink"/>
          <w:rFonts w:eastAsia="Times New Roman"/>
          <w:noProof/>
          <w:lang w:eastAsia="en-GB"/>
        </w:rPr>
        <w:t xml:space="preserve"> </w:t>
      </w:r>
      <w:r>
        <w:rPr>
          <w:rStyle w:val="Hyperlink"/>
          <w:noProof/>
        </w:rPr>
        <w:t>(EU averages)</w:t>
      </w:r>
      <w:r>
        <w:rPr>
          <w:noProof/>
          <w:webHidden/>
        </w:rPr>
        <w:tab/>
        <w:t>77</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Table 31. Key competitiveness indicators of nitrogen fertiliser production</w:t>
      </w:r>
      <w:r>
        <w:rPr>
          <w:rStyle w:val="Hyperlink"/>
          <w:rFonts w:eastAsia="Times New Roman"/>
          <w:noProof/>
          <w:lang w:eastAsia="en-GB"/>
        </w:rPr>
        <w:t xml:space="preserve"> </w:t>
      </w:r>
      <w:r>
        <w:rPr>
          <w:rStyle w:val="Hyperlink"/>
          <w:noProof/>
        </w:rPr>
        <w:t>(EU averages)</w:t>
      </w:r>
      <w:r>
        <w:rPr>
          <w:noProof/>
          <w:webHidden/>
        </w:rPr>
        <w:tab/>
        <w:t>80</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32. Key electricity indicators of </w:t>
      </w:r>
      <w:r>
        <w:rPr>
          <w:rStyle w:val="Hyperlink"/>
          <w:noProof/>
          <w:lang w:eastAsia="en-GB"/>
        </w:rPr>
        <w:t>refineries</w:t>
      </w:r>
      <w:r>
        <w:rPr>
          <w:rStyle w:val="Hyperlink"/>
          <w:noProof/>
        </w:rPr>
        <w:t xml:space="preserve"> (EU averages)</w:t>
      </w:r>
      <w:r>
        <w:rPr>
          <w:noProof/>
          <w:webHidden/>
        </w:rPr>
        <w:tab/>
        <w:t>83</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33. Key gas indicators of </w:t>
      </w:r>
      <w:r>
        <w:rPr>
          <w:rStyle w:val="Hyperlink"/>
          <w:noProof/>
          <w:lang w:eastAsia="en-GB"/>
        </w:rPr>
        <w:t>refineries</w:t>
      </w:r>
      <w:r>
        <w:rPr>
          <w:rStyle w:val="Hyperlink"/>
          <w:noProof/>
        </w:rPr>
        <w:t xml:space="preserve"> (EU averages)</w:t>
      </w:r>
      <w:r>
        <w:rPr>
          <w:noProof/>
          <w:webHidden/>
        </w:rPr>
        <w:tab/>
        <w:t>85</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34. Key other fuel indicators of </w:t>
      </w:r>
      <w:r>
        <w:rPr>
          <w:rStyle w:val="Hyperlink"/>
          <w:noProof/>
          <w:lang w:eastAsia="en-GB"/>
        </w:rPr>
        <w:t>refineries</w:t>
      </w:r>
      <w:r>
        <w:rPr>
          <w:rStyle w:val="Hyperlink"/>
          <w:noProof/>
        </w:rPr>
        <w:t xml:space="preserve"> (EU averages)</w:t>
      </w:r>
      <w:r>
        <w:rPr>
          <w:noProof/>
          <w:webHidden/>
        </w:rPr>
        <w:tab/>
        <w:t>89</w:t>
      </w:r>
    </w:p>
    <w:p>
      <w:pPr>
        <w:pStyle w:val="TableofFigures"/>
        <w:tabs>
          <w:tab w:val="right" w:leader="dot" w:pos="9060"/>
        </w:tabs>
        <w:rPr>
          <w:rFonts w:asciiTheme="minorHAnsi" w:eastAsiaTheme="minorEastAsia" w:hAnsiTheme="minorHAnsi" w:cstheme="minorBidi"/>
          <w:i w:val="0"/>
          <w:iCs w:val="0"/>
          <w:noProof/>
          <w:szCs w:val="22"/>
          <w:lang w:eastAsia="en-GB"/>
        </w:rPr>
      </w:pPr>
      <w:r>
        <w:rPr>
          <w:rStyle w:val="Hyperlink"/>
          <w:noProof/>
        </w:rPr>
        <w:t xml:space="preserve">Table 35. Key competitiveness indicators of </w:t>
      </w:r>
      <w:r>
        <w:rPr>
          <w:rStyle w:val="Hyperlink"/>
          <w:noProof/>
          <w:lang w:eastAsia="en-GB"/>
        </w:rPr>
        <w:t>refineries</w:t>
      </w:r>
      <w:r>
        <w:rPr>
          <w:rStyle w:val="Hyperlink"/>
          <w:noProof/>
        </w:rPr>
        <w:t xml:space="preserve"> (EU averages)</w:t>
      </w:r>
      <w:r>
        <w:rPr>
          <w:noProof/>
          <w:webHidden/>
        </w:rPr>
        <w:tab/>
        <w:t>89</w:t>
      </w:r>
    </w:p>
    <w:p>
      <w:pPr>
        <w:spacing w:after="0"/>
        <w:jc w:val="left"/>
        <w:rPr>
          <w:rFonts w:eastAsia="Times New Roman"/>
          <w:b/>
          <w:bCs/>
          <w:noProof/>
          <w:color w:val="000000"/>
          <w:sz w:val="32"/>
          <w:szCs w:val="32"/>
          <w:lang w:eastAsia="en-GB"/>
        </w:rPr>
      </w:pPr>
      <w:bookmarkStart w:id="11" w:name="_Toc527544402"/>
      <w:bookmarkStart w:id="12" w:name="_Toc526434035"/>
      <w:bookmarkStart w:id="13" w:name="_Toc526435979"/>
      <w:bookmarkStart w:id="14" w:name="_Toc527051446"/>
      <w:r>
        <w:rPr>
          <w:noProof/>
          <w:lang w:eastAsia="en-GB"/>
        </w:rPr>
        <w:br w:type="page"/>
      </w:r>
    </w:p>
    <w:p>
      <w:pPr>
        <w:pStyle w:val="Heading2"/>
        <w:numPr>
          <w:ilvl w:val="1"/>
          <w:numId w:val="7"/>
        </w:numPr>
        <w:rPr>
          <w:noProof/>
          <w:lang w:eastAsia="en-GB"/>
        </w:rPr>
      </w:pPr>
      <w:bookmarkStart w:id="15" w:name="_Toc530741625"/>
      <w:r>
        <w:rPr>
          <w:noProof/>
          <w:lang w:eastAsia="en-GB"/>
        </w:rPr>
        <w:t>INTRODUCTION</w:t>
      </w:r>
      <w:bookmarkEnd w:id="11"/>
      <w:bookmarkEnd w:id="15"/>
    </w:p>
    <w:p>
      <w:pPr>
        <w:pStyle w:val="Heading3"/>
        <w:rPr>
          <w:noProof/>
        </w:rPr>
      </w:pPr>
      <w:bookmarkStart w:id="16" w:name="_Toc527544403"/>
      <w:bookmarkStart w:id="17" w:name="_Toc530741626"/>
      <w:r>
        <w:rPr>
          <w:noProof/>
        </w:rPr>
        <w:t>Overview</w:t>
      </w:r>
      <w:bookmarkEnd w:id="16"/>
      <w:bookmarkEnd w:id="17"/>
    </w:p>
    <w:p>
      <w:pPr>
        <w:rPr>
          <w:noProof/>
        </w:rPr>
      </w:pPr>
      <w:r>
        <w:rPr>
          <w:noProof/>
        </w:rPr>
        <w:t>This annex presents the main results on energy prices and costs for the following sectors: iron and steel, aluminium, brick and roof tiles, wall and floor tiles, glass tableware, packaging glass, nitrogen fertilisers and refineries. For each sectorial case study, it presents:</w:t>
      </w:r>
    </w:p>
    <w:p>
      <w:pPr>
        <w:pStyle w:val="ListParagraph"/>
        <w:numPr>
          <w:ilvl w:val="0"/>
          <w:numId w:val="2"/>
        </w:numPr>
        <w:rPr>
          <w:noProof/>
        </w:rPr>
      </w:pPr>
      <w:r>
        <w:rPr>
          <w:noProof/>
        </w:rPr>
        <w:t>General information on the main characteristics of the sector, the recent trends, how it performs on international markets and the sample composition;</w:t>
      </w:r>
    </w:p>
    <w:p>
      <w:pPr>
        <w:pStyle w:val="ListParagraph"/>
        <w:numPr>
          <w:ilvl w:val="0"/>
          <w:numId w:val="2"/>
        </w:numPr>
        <w:rPr>
          <w:noProof/>
        </w:rPr>
      </w:pPr>
      <w:r>
        <w:rPr>
          <w:noProof/>
        </w:rPr>
        <w:t xml:space="preserve">Electricity prices, costs and </w:t>
      </w:r>
      <w:r>
        <w:rPr>
          <w:noProof/>
          <w:lang w:eastAsia="en-GB"/>
        </w:rPr>
        <w:t>intensity of the sector;</w:t>
      </w:r>
    </w:p>
    <w:p>
      <w:pPr>
        <w:pStyle w:val="ListParagraph"/>
        <w:numPr>
          <w:ilvl w:val="0"/>
          <w:numId w:val="2"/>
        </w:numPr>
        <w:rPr>
          <w:noProof/>
        </w:rPr>
      </w:pPr>
      <w:r>
        <w:rPr>
          <w:noProof/>
        </w:rPr>
        <w:t xml:space="preserve">Natural gas prices, costs and </w:t>
      </w:r>
      <w:r>
        <w:rPr>
          <w:noProof/>
          <w:lang w:eastAsia="en-GB"/>
        </w:rPr>
        <w:t>intensity of the sector;</w:t>
      </w:r>
    </w:p>
    <w:p>
      <w:pPr>
        <w:pStyle w:val="ListParagraph"/>
        <w:numPr>
          <w:ilvl w:val="0"/>
          <w:numId w:val="2"/>
        </w:numPr>
        <w:rPr>
          <w:noProof/>
        </w:rPr>
      </w:pPr>
      <w:r>
        <w:rPr>
          <w:noProof/>
        </w:rPr>
        <w:t>Wherever relevant</w:t>
      </w:r>
      <w:r>
        <w:rPr>
          <w:noProof/>
          <w:lang w:eastAsia="en-GB"/>
        </w:rPr>
        <w:t xml:space="preserve"> for the sector</w:t>
      </w:r>
      <w:r>
        <w:rPr>
          <w:noProof/>
        </w:rPr>
        <w:t xml:space="preserve">, prices, costs and </w:t>
      </w:r>
      <w:r>
        <w:rPr>
          <w:noProof/>
          <w:lang w:eastAsia="en-GB"/>
        </w:rPr>
        <w:t>intensity</w:t>
      </w:r>
      <w:r>
        <w:rPr>
          <w:noProof/>
        </w:rPr>
        <w:t xml:space="preserve"> of other fuels including feedstocks</w:t>
      </w:r>
      <w:r>
        <w:rPr>
          <w:noProof/>
          <w:lang w:eastAsia="en-GB"/>
        </w:rPr>
        <w:t>;</w:t>
      </w:r>
    </w:p>
    <w:p>
      <w:pPr>
        <w:pStyle w:val="ListParagraph"/>
        <w:numPr>
          <w:ilvl w:val="0"/>
          <w:numId w:val="2"/>
        </w:numPr>
        <w:rPr>
          <w:noProof/>
        </w:rPr>
      </w:pPr>
      <w:r>
        <w:rPr>
          <w:noProof/>
        </w:rPr>
        <w:t>Competitiveness indicators of the sector (share of energy costs in production costs and ratio of energy costs to EBITDA).</w:t>
      </w:r>
    </w:p>
    <w:p>
      <w:pPr>
        <w:rPr>
          <w:noProof/>
        </w:rPr>
      </w:pPr>
      <w:r>
        <w:rPr>
          <w:noProof/>
        </w:rPr>
        <w:fldChar w:fldCharType="begin"/>
      </w:r>
      <w:r>
        <w:rPr>
          <w:noProof/>
        </w:rPr>
        <w:instrText xml:space="preserve"> REF _Ref527539694 \h </w:instrText>
      </w:r>
      <w:r>
        <w:rPr>
          <w:noProof/>
        </w:rPr>
      </w:r>
      <w:r>
        <w:rPr>
          <w:noProof/>
        </w:rPr>
        <w:fldChar w:fldCharType="separate"/>
      </w:r>
      <w:r>
        <w:rPr>
          <w:noProof/>
        </w:rPr>
        <w:t>Table 1</w:t>
      </w:r>
      <w:r>
        <w:rPr>
          <w:noProof/>
        </w:rPr>
        <w:fldChar w:fldCharType="end"/>
      </w:r>
      <w:r>
        <w:rPr>
          <w:noProof/>
        </w:rPr>
        <w:t xml:space="preserve"> defines the main indicators analysed.</w:t>
      </w:r>
    </w:p>
    <w:p>
      <w:pPr>
        <w:pStyle w:val="Caption"/>
      </w:pPr>
      <w:bookmarkStart w:id="18" w:name="_Ref527539694"/>
      <w:bookmarkStart w:id="19" w:name="_Toc527544776"/>
      <w:bookmarkStart w:id="20" w:name="_Toc530741794"/>
      <w:r>
        <w:t xml:space="preserve">Table </w:t>
      </w:r>
      <w:r>
        <w:fldChar w:fldCharType="begin"/>
      </w:r>
      <w:r>
        <w:instrText xml:space="preserve"> SEQ Table \* ARABIC </w:instrText>
      </w:r>
      <w:r>
        <w:fldChar w:fldCharType="separate"/>
      </w:r>
      <w:r>
        <w:t>1</w:t>
      </w:r>
      <w:r>
        <w:fldChar w:fldCharType="end"/>
      </w:r>
      <w:bookmarkEnd w:id="18"/>
      <w:r>
        <w:t>. Main indicators</w:t>
      </w:r>
      <w:bookmarkEnd w:id="19"/>
      <w:bookmarkEnd w:id="20"/>
    </w:p>
    <w:tbl>
      <w:tblPr>
        <w:tblStyle w:val="TableGrid"/>
        <w:tblW w:w="0" w:type="auto"/>
        <w:tblLook w:val="04A0" w:firstRow="1" w:lastRow="0" w:firstColumn="1" w:lastColumn="0" w:noHBand="0" w:noVBand="1"/>
      </w:tblPr>
      <w:tblGrid>
        <w:gridCol w:w="4643"/>
        <w:gridCol w:w="4643"/>
      </w:tblGrid>
      <w:tr>
        <w:tc>
          <w:tcPr>
            <w:tcW w:w="4643" w:type="dxa"/>
            <w:vAlign w:val="center"/>
          </w:tcPr>
          <w:bookmarkEnd w:id="12"/>
          <w:bookmarkEnd w:id="13"/>
          <w:p>
            <w:pPr>
              <w:rPr>
                <w:b/>
                <w:noProof/>
              </w:rPr>
            </w:pPr>
            <w:r>
              <w:rPr>
                <w:b/>
                <w:noProof/>
              </w:rPr>
              <w:t>Indicators</w:t>
            </w:r>
          </w:p>
        </w:tc>
        <w:tc>
          <w:tcPr>
            <w:tcW w:w="4643" w:type="dxa"/>
            <w:vAlign w:val="center"/>
          </w:tcPr>
          <w:p>
            <w:pPr>
              <w:rPr>
                <w:b/>
                <w:noProof/>
              </w:rPr>
            </w:pPr>
            <w:r>
              <w:rPr>
                <w:b/>
                <w:noProof/>
              </w:rPr>
              <w:t>Definition</w:t>
            </w:r>
          </w:p>
        </w:tc>
      </w:tr>
      <w:tr>
        <w:tc>
          <w:tcPr>
            <w:tcW w:w="4643" w:type="dxa"/>
            <w:vAlign w:val="center"/>
          </w:tcPr>
          <w:p>
            <w:pPr>
              <w:rPr>
                <w:b/>
                <w:noProof/>
              </w:rPr>
            </w:pPr>
            <w:r>
              <w:rPr>
                <w:b/>
                <w:noProof/>
              </w:rPr>
              <w:t>Statistics</w:t>
            </w:r>
          </w:p>
        </w:tc>
        <w:tc>
          <w:tcPr>
            <w:tcW w:w="4643" w:type="dxa"/>
            <w:vAlign w:val="center"/>
          </w:tcPr>
          <w:p>
            <w:pPr>
              <w:rPr>
                <w:b/>
                <w:noProof/>
              </w:rPr>
            </w:pPr>
          </w:p>
        </w:tc>
      </w:tr>
      <w:tr>
        <w:tc>
          <w:tcPr>
            <w:tcW w:w="4643" w:type="dxa"/>
            <w:vAlign w:val="center"/>
          </w:tcPr>
          <w:p>
            <w:pPr>
              <w:rPr>
                <w:noProof/>
              </w:rPr>
            </w:pPr>
            <w:r>
              <w:rPr>
                <w:noProof/>
              </w:rPr>
              <w:t>Simple average</w:t>
            </w:r>
          </w:p>
        </w:tc>
        <w:tc>
          <w:tcPr>
            <w:tcW w:w="4643" w:type="dxa"/>
            <w:vAlign w:val="center"/>
          </w:tcPr>
          <w:p>
            <w:pPr>
              <w:rPr>
                <w:noProof/>
              </w:rPr>
            </w:pPr>
            <w:r>
              <w:rPr>
                <w:noProof/>
              </w:rPr>
              <w:t>It is the arithmetic mean of the sample, computed as the sum of the individual observations divided by the number of observations in the sample.</w:t>
            </w:r>
          </w:p>
        </w:tc>
      </w:tr>
      <w:tr>
        <w:tc>
          <w:tcPr>
            <w:tcW w:w="4643" w:type="dxa"/>
            <w:vAlign w:val="center"/>
          </w:tcPr>
          <w:p>
            <w:pPr>
              <w:rPr>
                <w:noProof/>
              </w:rPr>
            </w:pPr>
            <w:r>
              <w:rPr>
                <w:noProof/>
              </w:rPr>
              <w:t>Weighted average</w:t>
            </w:r>
            <w:r>
              <w:rPr>
                <w:rStyle w:val="FootnoteReference"/>
                <w:noProof/>
              </w:rPr>
              <w:footnoteReference w:id="2"/>
            </w:r>
          </w:p>
        </w:tc>
        <w:tc>
          <w:tcPr>
            <w:tcW w:w="4643" w:type="dxa"/>
            <w:vAlign w:val="center"/>
          </w:tcPr>
          <w:p>
            <w:pPr>
              <w:rPr>
                <w:noProof/>
              </w:rPr>
            </w:pPr>
            <w:r>
              <w:rPr>
                <w:noProof/>
              </w:rPr>
              <w:t>It is the weighted arithmetic mean of the sample, computed as the sum of weights times individual observations divided by the sum of the weights. A specific weight is assigned to each individual observation in the sample.</w:t>
            </w:r>
          </w:p>
        </w:tc>
      </w:tr>
      <w:tr>
        <w:tc>
          <w:tcPr>
            <w:tcW w:w="4643" w:type="dxa"/>
            <w:vAlign w:val="center"/>
          </w:tcPr>
          <w:p>
            <w:pPr>
              <w:rPr>
                <w:noProof/>
              </w:rPr>
            </w:pPr>
            <w:r>
              <w:rPr>
                <w:noProof/>
              </w:rPr>
              <w:t>Median</w:t>
            </w:r>
          </w:p>
        </w:tc>
        <w:tc>
          <w:tcPr>
            <w:tcW w:w="4643" w:type="dxa"/>
            <w:vAlign w:val="center"/>
          </w:tcPr>
          <w:p>
            <w:pPr>
              <w:rPr>
                <w:noProof/>
              </w:rPr>
            </w:pPr>
            <w:r>
              <w:rPr>
                <w:noProof/>
              </w:rPr>
              <w:t>It is the middle value of the sample, which separates the lower half from the higher half of the sample, when the observations are arranged in ascending order.</w:t>
            </w:r>
          </w:p>
        </w:tc>
      </w:tr>
      <w:tr>
        <w:tc>
          <w:tcPr>
            <w:tcW w:w="4643" w:type="dxa"/>
            <w:vAlign w:val="center"/>
          </w:tcPr>
          <w:p>
            <w:pPr>
              <w:rPr>
                <w:b/>
                <w:noProof/>
              </w:rPr>
            </w:pPr>
            <w:r>
              <w:rPr>
                <w:b/>
                <w:noProof/>
              </w:rPr>
              <w:t>Electricity indicators</w:t>
            </w:r>
          </w:p>
        </w:tc>
        <w:tc>
          <w:tcPr>
            <w:tcW w:w="4643" w:type="dxa"/>
            <w:vAlign w:val="center"/>
          </w:tcPr>
          <w:p>
            <w:pPr>
              <w:rPr>
                <w:b/>
                <w:noProof/>
              </w:rPr>
            </w:pPr>
          </w:p>
        </w:tc>
      </w:tr>
      <w:tr>
        <w:tc>
          <w:tcPr>
            <w:tcW w:w="4643" w:type="dxa"/>
            <w:vAlign w:val="center"/>
          </w:tcPr>
          <w:p>
            <w:pPr>
              <w:rPr>
                <w:noProof/>
              </w:rPr>
            </w:pPr>
            <w:r>
              <w:rPr>
                <w:noProof/>
              </w:rPr>
              <w:t>Electricity price</w:t>
            </w:r>
          </w:p>
        </w:tc>
        <w:tc>
          <w:tcPr>
            <w:tcW w:w="4643" w:type="dxa"/>
            <w:vAlign w:val="center"/>
          </w:tcPr>
          <w:p>
            <w:pPr>
              <w:rPr>
                <w:noProof/>
              </w:rPr>
            </w:pPr>
            <w:r>
              <w:rPr>
                <w:noProof/>
              </w:rPr>
              <w:t xml:space="preserve">It is the electricity unit price (in EUR/MWh), computed as total price paid to purchase electricity (net of recoverable taxes, such as VAT) divided by total amount of electricity purchased. Therefore, electricity price is net of any </w:t>
            </w:r>
            <w:r>
              <w:rPr>
                <w:i/>
                <w:noProof/>
              </w:rPr>
              <w:t>ex ante</w:t>
            </w:r>
            <w:r>
              <w:rPr>
                <w:noProof/>
              </w:rPr>
              <w:t xml:space="preserve"> exemption, i.e. net of taxes and levies that are not paid by certain categories of energy intensive consumers. For instance, some energy intensive consumers do not pay RES levies or pay reduced rates for RES levies.</w:t>
            </w:r>
          </w:p>
        </w:tc>
      </w:tr>
      <w:tr>
        <w:tc>
          <w:tcPr>
            <w:tcW w:w="4643" w:type="dxa"/>
            <w:vAlign w:val="center"/>
          </w:tcPr>
          <w:p>
            <w:pPr>
              <w:rPr>
                <w:noProof/>
              </w:rPr>
            </w:pPr>
            <w:r>
              <w:rPr>
                <w:noProof/>
              </w:rPr>
              <w:t>Components of the electricity price</w:t>
            </w:r>
          </w:p>
        </w:tc>
        <w:tc>
          <w:tcPr>
            <w:tcW w:w="4643" w:type="dxa"/>
            <w:vAlign w:val="center"/>
          </w:tcPr>
          <w:p>
            <w:pPr>
              <w:rPr>
                <w:noProof/>
              </w:rPr>
            </w:pPr>
            <w:r>
              <w:rPr>
                <w:noProof/>
              </w:rPr>
              <w:t>They are classified in four groups: energy component, network costs (including costs of the capacity market), RES levies and other non-recoverable taxes/levies than RES levies.</w:t>
            </w:r>
          </w:p>
        </w:tc>
      </w:tr>
      <w:tr>
        <w:tc>
          <w:tcPr>
            <w:tcW w:w="4643" w:type="dxa"/>
            <w:vAlign w:val="center"/>
          </w:tcPr>
          <w:p>
            <w:pPr>
              <w:rPr>
                <w:noProof/>
              </w:rPr>
            </w:pPr>
            <w:r>
              <w:rPr>
                <w:noProof/>
              </w:rPr>
              <w:t>Electricity costs</w:t>
            </w:r>
          </w:p>
        </w:tc>
        <w:tc>
          <w:tcPr>
            <w:tcW w:w="4643" w:type="dxa"/>
            <w:vAlign w:val="center"/>
          </w:tcPr>
          <w:p>
            <w:pPr>
              <w:rPr>
                <w:noProof/>
              </w:rPr>
            </w:pPr>
            <w:r>
              <w:rPr>
                <w:noProof/>
              </w:rPr>
              <w:t>They are electricity unit costs measured in both EUR/MWh and EUR/tonne. Electricity costs in EUR/MWh are computed as follows: [Total price paid to purchase electricity – reimbursement – payment for flexibility schemes + total costs for self-generated electricity – revenues from self-generated electricity sold to the grid + taxes on self-generation] / [Total electricity purchased + total self-generated electricity – total self-generated electricity sold to the grid]. Electricity costs in EUR/tonne are computed by relying on the same formula but using as a denominator the total production output in tonnes.</w:t>
            </w:r>
          </w:p>
        </w:tc>
      </w:tr>
      <w:tr>
        <w:tc>
          <w:tcPr>
            <w:tcW w:w="4643" w:type="dxa"/>
            <w:vAlign w:val="center"/>
          </w:tcPr>
          <w:p>
            <w:pPr>
              <w:rPr>
                <w:noProof/>
              </w:rPr>
            </w:pPr>
            <w:r>
              <w:rPr>
                <w:noProof/>
              </w:rPr>
              <w:t>E</w:t>
            </w:r>
            <w:r>
              <w:rPr>
                <w:noProof/>
                <w:lang w:eastAsia="en-GB"/>
              </w:rPr>
              <w:t>lectricity intensity</w:t>
            </w:r>
          </w:p>
        </w:tc>
        <w:tc>
          <w:tcPr>
            <w:tcW w:w="4643" w:type="dxa"/>
            <w:vAlign w:val="center"/>
          </w:tcPr>
          <w:p>
            <w:pPr>
              <w:rPr>
                <w:noProof/>
              </w:rPr>
            </w:pPr>
            <w:r>
              <w:rPr>
                <w:noProof/>
              </w:rPr>
              <w:t>It is the units of electricity used per unit of output produced (in MWh/tonne). E</w:t>
            </w:r>
            <w:r>
              <w:rPr>
                <w:noProof/>
                <w:lang w:eastAsia="en-GB"/>
              </w:rPr>
              <w:t>lectricity intensity</w:t>
            </w:r>
            <w:r>
              <w:rPr>
                <w:noProof/>
              </w:rPr>
              <w:t xml:space="preserve"> is computed as follows: [Total electricity purchased + total self-generated electricity – total self-generated electricity sold to the grid] / [Total production output].</w:t>
            </w:r>
          </w:p>
        </w:tc>
      </w:tr>
      <w:tr>
        <w:tc>
          <w:tcPr>
            <w:tcW w:w="4643" w:type="dxa"/>
            <w:vAlign w:val="center"/>
          </w:tcPr>
          <w:p>
            <w:pPr>
              <w:rPr>
                <w:b/>
                <w:noProof/>
              </w:rPr>
            </w:pPr>
            <w:r>
              <w:rPr>
                <w:b/>
                <w:noProof/>
              </w:rPr>
              <w:t>Natural gas indicators</w:t>
            </w:r>
          </w:p>
        </w:tc>
        <w:tc>
          <w:tcPr>
            <w:tcW w:w="4643" w:type="dxa"/>
            <w:vAlign w:val="center"/>
          </w:tcPr>
          <w:p>
            <w:pPr>
              <w:rPr>
                <w:b/>
                <w:noProof/>
              </w:rPr>
            </w:pPr>
          </w:p>
        </w:tc>
      </w:tr>
      <w:tr>
        <w:tc>
          <w:tcPr>
            <w:tcW w:w="4643" w:type="dxa"/>
            <w:vAlign w:val="center"/>
          </w:tcPr>
          <w:p>
            <w:pPr>
              <w:rPr>
                <w:noProof/>
              </w:rPr>
            </w:pPr>
            <w:r>
              <w:rPr>
                <w:noProof/>
              </w:rPr>
              <w:t>Natural gas price</w:t>
            </w:r>
          </w:p>
        </w:tc>
        <w:tc>
          <w:tcPr>
            <w:tcW w:w="4643" w:type="dxa"/>
            <w:vAlign w:val="center"/>
          </w:tcPr>
          <w:p>
            <w:pPr>
              <w:rPr>
                <w:noProof/>
              </w:rPr>
            </w:pPr>
            <w:r>
              <w:rPr>
                <w:noProof/>
              </w:rPr>
              <w:t xml:space="preserve">It is the natural gas unit price (in EUR/MWh), computed as total price paid to purchase natural gas (net of recoverable taxes, such as VAT) divided by total amount of natural gas purchased. Therefore, in principle, natural gas price is net of any </w:t>
            </w:r>
            <w:r>
              <w:rPr>
                <w:i/>
                <w:noProof/>
              </w:rPr>
              <w:t>ex ante</w:t>
            </w:r>
            <w:r>
              <w:rPr>
                <w:noProof/>
              </w:rPr>
              <w:t xml:space="preserve"> exemption, i.e. net of taxes and levies that are not paid by certain categories of energy intensive consumers. However, based on desk research, </w:t>
            </w:r>
            <w:r>
              <w:rPr>
                <w:i/>
                <w:noProof/>
              </w:rPr>
              <w:t>ex ante</w:t>
            </w:r>
            <w:r>
              <w:rPr>
                <w:noProof/>
              </w:rPr>
              <w:t xml:space="preserve"> exemptions seem to play a marginal role when it comes to natural gas prices.</w:t>
            </w:r>
          </w:p>
        </w:tc>
      </w:tr>
      <w:tr>
        <w:tc>
          <w:tcPr>
            <w:tcW w:w="4643" w:type="dxa"/>
            <w:vAlign w:val="center"/>
          </w:tcPr>
          <w:p>
            <w:pPr>
              <w:rPr>
                <w:noProof/>
              </w:rPr>
            </w:pPr>
            <w:r>
              <w:rPr>
                <w:noProof/>
              </w:rPr>
              <w:t>Components of the natural gas price</w:t>
            </w:r>
          </w:p>
        </w:tc>
        <w:tc>
          <w:tcPr>
            <w:tcW w:w="4643" w:type="dxa"/>
            <w:vAlign w:val="center"/>
          </w:tcPr>
          <w:p>
            <w:pPr>
              <w:rPr>
                <w:noProof/>
              </w:rPr>
            </w:pPr>
            <w:r>
              <w:rPr>
                <w:noProof/>
              </w:rPr>
              <w:t>They are classified in three groups: energy component, network costs and (other) non-recoverable taxes/levies (note that there are no RES levies for natural gas).</w:t>
            </w:r>
          </w:p>
        </w:tc>
      </w:tr>
      <w:tr>
        <w:tc>
          <w:tcPr>
            <w:tcW w:w="4643" w:type="dxa"/>
            <w:vAlign w:val="center"/>
          </w:tcPr>
          <w:p>
            <w:pPr>
              <w:rPr>
                <w:noProof/>
              </w:rPr>
            </w:pPr>
            <w:r>
              <w:rPr>
                <w:noProof/>
              </w:rPr>
              <w:t>Natural gas costs</w:t>
            </w:r>
          </w:p>
        </w:tc>
        <w:tc>
          <w:tcPr>
            <w:tcW w:w="4643" w:type="dxa"/>
            <w:vAlign w:val="center"/>
          </w:tcPr>
          <w:p>
            <w:pPr>
              <w:rPr>
                <w:noProof/>
              </w:rPr>
            </w:pPr>
            <w:r>
              <w:rPr>
                <w:noProof/>
              </w:rPr>
              <w:t>They are natural gas unit costs measured in EUR/tonne. Natural gas costs are computed as follows: [Total price paid to purchase natural gas – payment for flexibility schemes] / [Total production output]. Natural gas costs in EUR/MWh are not shown here, as payment for flexibility schemes are mostly irrelevant for natural gas and no significant difference between natural gas prices in EUR/MWh and natural gas costs in EUR/MWh was detected.</w:t>
            </w:r>
          </w:p>
        </w:tc>
      </w:tr>
      <w:tr>
        <w:tc>
          <w:tcPr>
            <w:tcW w:w="4643" w:type="dxa"/>
            <w:vAlign w:val="center"/>
          </w:tcPr>
          <w:p>
            <w:pPr>
              <w:rPr>
                <w:noProof/>
              </w:rPr>
            </w:pPr>
            <w:r>
              <w:rPr>
                <w:noProof/>
              </w:rPr>
              <w:t>Natural gas</w:t>
            </w:r>
            <w:r>
              <w:rPr>
                <w:noProof/>
                <w:lang w:eastAsia="en-GB"/>
              </w:rPr>
              <w:t xml:space="preserve"> intensity</w:t>
            </w:r>
          </w:p>
        </w:tc>
        <w:tc>
          <w:tcPr>
            <w:tcW w:w="4643" w:type="dxa"/>
            <w:vAlign w:val="center"/>
          </w:tcPr>
          <w:p>
            <w:pPr>
              <w:rPr>
                <w:noProof/>
              </w:rPr>
            </w:pPr>
            <w:r>
              <w:rPr>
                <w:noProof/>
              </w:rPr>
              <w:t xml:space="preserve">It is the units of natural gas used per unit of output produced. Natural gas </w:t>
            </w:r>
            <w:r>
              <w:rPr>
                <w:noProof/>
                <w:lang w:eastAsia="en-GB"/>
              </w:rPr>
              <w:t>intensity</w:t>
            </w:r>
            <w:r>
              <w:rPr>
                <w:noProof/>
              </w:rPr>
              <w:t xml:space="preserve"> is computed as follows: [Total natural gas purchased] / [Total production output].</w:t>
            </w:r>
          </w:p>
        </w:tc>
      </w:tr>
      <w:tr>
        <w:tc>
          <w:tcPr>
            <w:tcW w:w="4643" w:type="dxa"/>
            <w:vAlign w:val="center"/>
          </w:tcPr>
          <w:p>
            <w:pPr>
              <w:rPr>
                <w:b/>
                <w:noProof/>
              </w:rPr>
            </w:pPr>
            <w:r>
              <w:rPr>
                <w:b/>
                <w:noProof/>
              </w:rPr>
              <w:t>Indicators for other fuels including feedstocks</w:t>
            </w:r>
          </w:p>
        </w:tc>
        <w:tc>
          <w:tcPr>
            <w:tcW w:w="4643" w:type="dxa"/>
            <w:vAlign w:val="center"/>
          </w:tcPr>
          <w:p>
            <w:pPr>
              <w:rPr>
                <w:b/>
                <w:noProof/>
              </w:rPr>
            </w:pPr>
          </w:p>
        </w:tc>
      </w:tr>
      <w:tr>
        <w:tc>
          <w:tcPr>
            <w:tcW w:w="4643" w:type="dxa"/>
            <w:vAlign w:val="center"/>
          </w:tcPr>
          <w:p>
            <w:pPr>
              <w:rPr>
                <w:noProof/>
              </w:rPr>
            </w:pPr>
            <w:r>
              <w:rPr>
                <w:noProof/>
              </w:rPr>
              <w:t>Total gas costs</w:t>
            </w:r>
          </w:p>
        </w:tc>
        <w:tc>
          <w:tcPr>
            <w:tcW w:w="4643" w:type="dxa"/>
            <w:vAlign w:val="center"/>
          </w:tcPr>
          <w:p>
            <w:pPr>
              <w:rPr>
                <w:noProof/>
              </w:rPr>
            </w:pPr>
            <w:r>
              <w:rPr>
                <w:noProof/>
              </w:rPr>
              <w:t>They are total gas unit costs measured in EUR/tonne. Total gas costs are computed as follows: [Total price paid to purchase natural gas – payment for flexibility schemes + total costs for self-produced gas – revenues from self-produced gas sold to the grid + taxes on self-generation] / [Total production output].</w:t>
            </w:r>
          </w:p>
        </w:tc>
      </w:tr>
      <w:tr>
        <w:tc>
          <w:tcPr>
            <w:tcW w:w="4643" w:type="dxa"/>
            <w:vAlign w:val="center"/>
          </w:tcPr>
          <w:p>
            <w:pPr>
              <w:rPr>
                <w:noProof/>
              </w:rPr>
            </w:pPr>
            <w:r>
              <w:rPr>
                <w:noProof/>
              </w:rPr>
              <w:t>Total gas intensity</w:t>
            </w:r>
          </w:p>
        </w:tc>
        <w:tc>
          <w:tcPr>
            <w:tcW w:w="4643" w:type="dxa"/>
            <w:vAlign w:val="center"/>
          </w:tcPr>
          <w:p>
            <w:pPr>
              <w:rPr>
                <w:noProof/>
              </w:rPr>
            </w:pPr>
            <w:r>
              <w:rPr>
                <w:noProof/>
              </w:rPr>
              <w:t xml:space="preserve">It is the units of total gas (including natural gas and other gases) used per unit of output produced (in MWh/tonne). Total gas </w:t>
            </w:r>
            <w:r>
              <w:rPr>
                <w:noProof/>
                <w:lang w:eastAsia="en-GB"/>
              </w:rPr>
              <w:t>intensity</w:t>
            </w:r>
            <w:r>
              <w:rPr>
                <w:noProof/>
              </w:rPr>
              <w:t xml:space="preserve"> is computed as follows: [Total natural gas purchased + total self-produced gas – self-produced gas sold to the grid] / [Total production output].</w:t>
            </w:r>
          </w:p>
        </w:tc>
      </w:tr>
      <w:tr>
        <w:tc>
          <w:tcPr>
            <w:tcW w:w="4643" w:type="dxa"/>
            <w:vAlign w:val="center"/>
          </w:tcPr>
          <w:p>
            <w:pPr>
              <w:rPr>
                <w:noProof/>
              </w:rPr>
            </w:pPr>
            <w:r>
              <w:rPr>
                <w:noProof/>
              </w:rPr>
              <w:t xml:space="preserve">Price of other fuels including feedstocks (e.g. crude oil, fuel oil, </w:t>
            </w:r>
            <w:r>
              <w:rPr>
                <w:noProof/>
                <w:lang w:eastAsia="en-GB"/>
              </w:rPr>
              <w:t xml:space="preserve">petroleum </w:t>
            </w:r>
            <w:r>
              <w:rPr>
                <w:noProof/>
              </w:rPr>
              <w:t>coke)</w:t>
            </w:r>
          </w:p>
        </w:tc>
        <w:tc>
          <w:tcPr>
            <w:tcW w:w="4643" w:type="dxa"/>
            <w:vAlign w:val="center"/>
          </w:tcPr>
          <w:p>
            <w:pPr>
              <w:rPr>
                <w:noProof/>
              </w:rPr>
            </w:pPr>
            <w:r>
              <w:rPr>
                <w:noProof/>
              </w:rPr>
              <w:t>It is the unit price of other fuels including feedstocks (in EUR/MWh), computed as total price paid to purchase other fuels including feedstocks divided by total amount of other fuels purchased including feedstocks.</w:t>
            </w:r>
          </w:p>
        </w:tc>
      </w:tr>
      <w:tr>
        <w:tc>
          <w:tcPr>
            <w:tcW w:w="4643" w:type="dxa"/>
            <w:vAlign w:val="center"/>
          </w:tcPr>
          <w:p>
            <w:pPr>
              <w:rPr>
                <w:noProof/>
              </w:rPr>
            </w:pPr>
            <w:r>
              <w:rPr>
                <w:noProof/>
              </w:rPr>
              <w:t xml:space="preserve">Costs of other fuels including feedstocks (e.g. crude oil, fuel oil, </w:t>
            </w:r>
            <w:r>
              <w:rPr>
                <w:noProof/>
                <w:lang w:eastAsia="en-GB"/>
              </w:rPr>
              <w:t xml:space="preserve">petroleum </w:t>
            </w:r>
            <w:r>
              <w:rPr>
                <w:noProof/>
              </w:rPr>
              <w:t>coke)</w:t>
            </w:r>
          </w:p>
        </w:tc>
        <w:tc>
          <w:tcPr>
            <w:tcW w:w="4643" w:type="dxa"/>
            <w:vAlign w:val="center"/>
          </w:tcPr>
          <w:p>
            <w:pPr>
              <w:rPr>
                <w:noProof/>
              </w:rPr>
            </w:pPr>
            <w:r>
              <w:rPr>
                <w:noProof/>
              </w:rPr>
              <w:t>They are the unit costs of other fuels including feedstocks measured in EUR/tonne. The costs of other fuels including feedstocks are computed as follows: [Total price paid to purchase other fuels including feedstocks] / [Total production output].</w:t>
            </w:r>
          </w:p>
        </w:tc>
      </w:tr>
      <w:tr>
        <w:tc>
          <w:tcPr>
            <w:tcW w:w="4643" w:type="dxa"/>
            <w:vAlign w:val="center"/>
          </w:tcPr>
          <w:p>
            <w:pPr>
              <w:rPr>
                <w:noProof/>
              </w:rPr>
            </w:pPr>
            <w:r>
              <w:rPr>
                <w:noProof/>
                <w:lang w:eastAsia="en-GB"/>
              </w:rPr>
              <w:t xml:space="preserve">Intensity of other fuels </w:t>
            </w:r>
            <w:r>
              <w:rPr>
                <w:noProof/>
              </w:rPr>
              <w:t xml:space="preserve">including feedstocks (e.g. crude oil, fuel oil, </w:t>
            </w:r>
            <w:r>
              <w:rPr>
                <w:noProof/>
                <w:lang w:eastAsia="en-GB"/>
              </w:rPr>
              <w:t xml:space="preserve">petroleum </w:t>
            </w:r>
            <w:r>
              <w:rPr>
                <w:noProof/>
              </w:rPr>
              <w:t>coke)</w:t>
            </w:r>
          </w:p>
        </w:tc>
        <w:tc>
          <w:tcPr>
            <w:tcW w:w="4643" w:type="dxa"/>
            <w:vAlign w:val="center"/>
          </w:tcPr>
          <w:p>
            <w:pPr>
              <w:rPr>
                <w:noProof/>
              </w:rPr>
            </w:pPr>
            <w:r>
              <w:rPr>
                <w:noProof/>
              </w:rPr>
              <w:t>It is the units of other fuels including feedstocks used per unit of output produced (in MWh/tonne). The i</w:t>
            </w:r>
            <w:r>
              <w:rPr>
                <w:noProof/>
                <w:lang w:eastAsia="en-GB"/>
              </w:rPr>
              <w:t>ntensity of other fuels</w:t>
            </w:r>
            <w:r>
              <w:rPr>
                <w:noProof/>
              </w:rPr>
              <w:t xml:space="preserve"> including feedstocks is computed as follows: [Total other fuels purchased including feedstocks] / [Total production output].</w:t>
            </w:r>
          </w:p>
        </w:tc>
      </w:tr>
      <w:tr>
        <w:tc>
          <w:tcPr>
            <w:tcW w:w="4643" w:type="dxa"/>
            <w:vAlign w:val="center"/>
          </w:tcPr>
          <w:p>
            <w:pPr>
              <w:rPr>
                <w:b/>
                <w:noProof/>
              </w:rPr>
            </w:pPr>
            <w:r>
              <w:rPr>
                <w:b/>
                <w:noProof/>
              </w:rPr>
              <w:t>Competitiveness indicators</w:t>
            </w:r>
          </w:p>
        </w:tc>
        <w:tc>
          <w:tcPr>
            <w:tcW w:w="4643" w:type="dxa"/>
            <w:vAlign w:val="center"/>
          </w:tcPr>
          <w:p>
            <w:pPr>
              <w:rPr>
                <w:b/>
                <w:noProof/>
              </w:rPr>
            </w:pPr>
          </w:p>
        </w:tc>
      </w:tr>
      <w:tr>
        <w:tc>
          <w:tcPr>
            <w:tcW w:w="4643" w:type="dxa"/>
            <w:vAlign w:val="center"/>
          </w:tcPr>
          <w:p>
            <w:pPr>
              <w:rPr>
                <w:noProof/>
              </w:rPr>
            </w:pPr>
            <w:r>
              <w:rPr>
                <w:noProof/>
              </w:rPr>
              <w:t>Total energy costs</w:t>
            </w:r>
          </w:p>
        </w:tc>
        <w:tc>
          <w:tcPr>
            <w:tcW w:w="4643" w:type="dxa"/>
            <w:vAlign w:val="center"/>
          </w:tcPr>
          <w:p>
            <w:pPr>
              <w:rPr>
                <w:noProof/>
              </w:rPr>
            </w:pPr>
            <w:r>
              <w:rPr>
                <w:noProof/>
              </w:rPr>
              <w:t xml:space="preserve">It is the sum of electricity and natural gas unit costs measured in EUR/tonne. In the case of refineries, the costs of other fuels including feedstocks (crude oil, fuel oil, </w:t>
            </w:r>
            <w:r>
              <w:rPr>
                <w:noProof/>
                <w:lang w:eastAsia="en-GB"/>
              </w:rPr>
              <w:t xml:space="preserve">petroleum coke and refinery gases) </w:t>
            </w:r>
            <w:r>
              <w:rPr>
                <w:noProof/>
              </w:rPr>
              <w:t>are also included in the sum. Note that the costs of coking coal and coke (mainly relevant for iron and steel) are not included in total energy costs.</w:t>
            </w:r>
          </w:p>
        </w:tc>
      </w:tr>
      <w:tr>
        <w:tc>
          <w:tcPr>
            <w:tcW w:w="4643" w:type="dxa"/>
            <w:vAlign w:val="center"/>
          </w:tcPr>
          <w:p>
            <w:pPr>
              <w:rPr>
                <w:noProof/>
              </w:rPr>
            </w:pPr>
            <w:r>
              <w:rPr>
                <w:noProof/>
              </w:rPr>
              <w:t>Share of electricity costs in total production costs</w:t>
            </w:r>
          </w:p>
        </w:tc>
        <w:tc>
          <w:tcPr>
            <w:tcW w:w="4643" w:type="dxa"/>
            <w:vAlign w:val="center"/>
          </w:tcPr>
          <w:p>
            <w:pPr>
              <w:rPr>
                <w:noProof/>
              </w:rPr>
            </w:pPr>
            <w:r>
              <w:rPr>
                <w:noProof/>
              </w:rPr>
              <w:t>It is the ratio of electricity costs over total production costs (in %). Total production costs include all the costs (both OPEX, annual depreciation and amortisation of CAPEX, and other costs) borne by the plant and directly relating to the production process, while non-operating (e.g. interest expenses) and extraordinary cost items are not included.</w:t>
            </w:r>
          </w:p>
        </w:tc>
      </w:tr>
      <w:tr>
        <w:tc>
          <w:tcPr>
            <w:tcW w:w="4643" w:type="dxa"/>
            <w:vAlign w:val="center"/>
          </w:tcPr>
          <w:p>
            <w:pPr>
              <w:rPr>
                <w:noProof/>
              </w:rPr>
            </w:pPr>
            <w:r>
              <w:rPr>
                <w:noProof/>
              </w:rPr>
              <w:t>Share of natural gas costs in total production costs</w:t>
            </w:r>
          </w:p>
        </w:tc>
        <w:tc>
          <w:tcPr>
            <w:tcW w:w="4643" w:type="dxa"/>
            <w:vAlign w:val="center"/>
          </w:tcPr>
          <w:p>
            <w:pPr>
              <w:rPr>
                <w:noProof/>
              </w:rPr>
            </w:pPr>
            <w:r>
              <w:rPr>
                <w:noProof/>
              </w:rPr>
              <w:t>It is the ratio of natural gas costs over total production costs (in %). Total production costs include all the costs (both OPEX, annual depreciation and amortisation of CAPEX, and other costs) borne by the plant and directly relating to the production process, while non-operating (e.g. interest expenses) and extraordinary cost items are not included.</w:t>
            </w:r>
          </w:p>
        </w:tc>
      </w:tr>
      <w:tr>
        <w:tc>
          <w:tcPr>
            <w:tcW w:w="4643" w:type="dxa"/>
            <w:vAlign w:val="center"/>
          </w:tcPr>
          <w:p>
            <w:pPr>
              <w:rPr>
                <w:noProof/>
              </w:rPr>
            </w:pPr>
          </w:p>
          <w:p>
            <w:pPr>
              <w:rPr>
                <w:noProof/>
              </w:rPr>
            </w:pPr>
            <w:r>
              <w:rPr>
                <w:noProof/>
              </w:rPr>
              <w:t xml:space="preserve">Share of costs of other fuels including feedstocks (e.g. crude oil, fuel oil, </w:t>
            </w:r>
            <w:r>
              <w:rPr>
                <w:noProof/>
                <w:lang w:eastAsia="en-GB"/>
              </w:rPr>
              <w:t xml:space="preserve">petroleum </w:t>
            </w:r>
            <w:r>
              <w:rPr>
                <w:noProof/>
              </w:rPr>
              <w:t>coke, refinery gases) in total production costs</w:t>
            </w:r>
          </w:p>
        </w:tc>
        <w:tc>
          <w:tcPr>
            <w:tcW w:w="4643" w:type="dxa"/>
            <w:vAlign w:val="center"/>
          </w:tcPr>
          <w:p>
            <w:pPr>
              <w:rPr>
                <w:noProof/>
              </w:rPr>
            </w:pPr>
            <w:r>
              <w:rPr>
                <w:noProof/>
              </w:rPr>
              <w:t>It is the ratio of the costs of other fuels including feedstocks over total production costs (in %). Total production costs include all the costs (both OPEX, annual depreciation and amortisation of CAPEX, and other costs) borne by the plant and directly relating to the production process, while non-operating (e.g. interest expenses) and extraordinary cost items are not included.</w:t>
            </w:r>
          </w:p>
        </w:tc>
      </w:tr>
      <w:tr>
        <w:tc>
          <w:tcPr>
            <w:tcW w:w="4643" w:type="dxa"/>
            <w:vAlign w:val="center"/>
          </w:tcPr>
          <w:p>
            <w:pPr>
              <w:rPr>
                <w:noProof/>
              </w:rPr>
            </w:pPr>
            <w:r>
              <w:rPr>
                <w:noProof/>
              </w:rPr>
              <w:t>Share of total energy costs in total production costs</w:t>
            </w:r>
          </w:p>
        </w:tc>
        <w:tc>
          <w:tcPr>
            <w:tcW w:w="4643" w:type="dxa"/>
            <w:vAlign w:val="center"/>
          </w:tcPr>
          <w:p>
            <w:pPr>
              <w:rPr>
                <w:noProof/>
              </w:rPr>
            </w:pPr>
            <w:r>
              <w:rPr>
                <w:noProof/>
              </w:rPr>
              <w:t>It is the ratio of total energy costs over total production costs (in %). Total production costs include all the costs (both OPEX, annual depreciation and amortisation of CAPEX, and other costs) borne by the plant and directly relating to the production process, while non-operating (e.g. interest expenses) and extraordinary cost items are not included.</w:t>
            </w:r>
          </w:p>
        </w:tc>
      </w:tr>
      <w:tr>
        <w:tc>
          <w:tcPr>
            <w:tcW w:w="4643" w:type="dxa"/>
            <w:vAlign w:val="center"/>
          </w:tcPr>
          <w:p>
            <w:pPr>
              <w:rPr>
                <w:noProof/>
              </w:rPr>
            </w:pPr>
            <w:r>
              <w:rPr>
                <w:noProof/>
              </w:rPr>
              <w:t>EBITDA (Earnings before interest, taxes, depreciation and amortisation)</w:t>
            </w:r>
          </w:p>
        </w:tc>
        <w:tc>
          <w:tcPr>
            <w:tcW w:w="4643" w:type="dxa"/>
            <w:vAlign w:val="center"/>
          </w:tcPr>
          <w:p>
            <w:pPr>
              <w:rPr>
                <w:noProof/>
              </w:rPr>
            </w:pPr>
            <w:r>
              <w:rPr>
                <w:noProof/>
              </w:rPr>
              <w:t>They represent the earning per unit of output produced after paying costs for production inputs and labour costs.</w:t>
            </w:r>
          </w:p>
        </w:tc>
      </w:tr>
      <w:tr>
        <w:tc>
          <w:tcPr>
            <w:tcW w:w="4643" w:type="dxa"/>
            <w:vAlign w:val="center"/>
          </w:tcPr>
          <w:p>
            <w:pPr>
              <w:rPr>
                <w:noProof/>
              </w:rPr>
            </w:pPr>
            <w:r>
              <w:rPr>
                <w:noProof/>
              </w:rPr>
              <w:t>Ratio of total energy costs to EBITDA</w:t>
            </w:r>
          </w:p>
        </w:tc>
        <w:tc>
          <w:tcPr>
            <w:tcW w:w="4643" w:type="dxa"/>
            <w:vAlign w:val="center"/>
          </w:tcPr>
          <w:p>
            <w:pPr>
              <w:rPr>
                <w:noProof/>
              </w:rPr>
            </w:pPr>
            <w:r>
              <w:rPr>
                <w:noProof/>
              </w:rPr>
              <w:t>It is the ratio of total energy costs over EBITDA. If EBITDA is positive (normal case), the opposite of this ratio can be seen as the "e</w:t>
            </w:r>
            <w:r>
              <w:rPr>
                <w:bCs/>
                <w:noProof/>
                <w:sz w:val="20"/>
                <w:szCs w:val="16"/>
              </w:rPr>
              <w:t>lasticity" of EBITDA to total energy costs, i.e. the potential e</w:t>
            </w:r>
            <w:r>
              <w:rPr>
                <w:bCs/>
                <w:noProof/>
                <w:szCs w:val="16"/>
              </w:rPr>
              <w:t xml:space="preserve">ffect of 1% increase in total energy costs on </w:t>
            </w:r>
            <w:r>
              <w:rPr>
                <w:noProof/>
                <w:lang w:eastAsia="de-DE"/>
              </w:rPr>
              <w:t xml:space="preserve">EBITDA in %, all else being equal (note the potential effect is negative, i.e. a 1% increase in </w:t>
            </w:r>
            <w:r>
              <w:rPr>
                <w:noProof/>
              </w:rPr>
              <w:t>total energy costs leads to a decrease in EBITDA).</w:t>
            </w:r>
          </w:p>
        </w:tc>
      </w:tr>
    </w:tbl>
    <w:p>
      <w:pPr>
        <w:rPr>
          <w:noProof/>
        </w:rPr>
      </w:pPr>
    </w:p>
    <w:p>
      <w:pPr>
        <w:pStyle w:val="Heading3"/>
        <w:rPr>
          <w:noProof/>
        </w:rPr>
      </w:pPr>
      <w:bookmarkStart w:id="21" w:name="_Toc527544404"/>
      <w:bookmarkStart w:id="22" w:name="_Toc530741627"/>
      <w:r>
        <w:rPr>
          <w:noProof/>
        </w:rPr>
        <w:t>Methodology of the analysis</w:t>
      </w:r>
      <w:bookmarkEnd w:id="14"/>
      <w:bookmarkEnd w:id="21"/>
      <w:bookmarkEnd w:id="22"/>
    </w:p>
    <w:p>
      <w:pPr>
        <w:rPr>
          <w:noProof/>
        </w:rPr>
      </w:pPr>
      <w:r>
        <w:rPr>
          <w:noProof/>
        </w:rPr>
        <w:t xml:space="preserve">Each sectorial case study relies on a bottom-up approach with </w:t>
      </w:r>
      <w:r>
        <w:rPr>
          <w:noProof/>
          <w:lang w:eastAsia="ar-SA"/>
        </w:rPr>
        <w:t xml:space="preserve">plant level </w:t>
      </w:r>
      <w:r>
        <w:rPr>
          <w:noProof/>
        </w:rPr>
        <w:t xml:space="preserve">data collected </w:t>
      </w:r>
      <w:r>
        <w:rPr>
          <w:noProof/>
          <w:lang w:eastAsia="ar-SA"/>
        </w:rPr>
        <w:t xml:space="preserve">through a questionnaire </w:t>
      </w:r>
      <w:r>
        <w:rPr>
          <w:noProof/>
        </w:rPr>
        <w:t>on a sample of ‘typical’ plants/companies, which reflect the average features of EU plants operating in the sector under consideration</w:t>
      </w:r>
      <w:r>
        <w:rPr>
          <w:rStyle w:val="FootnoteReference"/>
          <w:noProof/>
        </w:rPr>
        <w:footnoteReference w:id="3"/>
      </w:r>
      <w:r>
        <w:rPr>
          <w:noProof/>
        </w:rPr>
        <w:t>. The samples include plants from as many Member States as possible to ensure broad geographical coverage. In order to respect confidentiality, sectorial data cannot be presented at Member State level but are aggregated at EU and, where possible, regional level with the following regions:</w:t>
      </w:r>
    </w:p>
    <w:p>
      <w:pPr>
        <w:pStyle w:val="ListParagraph"/>
        <w:numPr>
          <w:ilvl w:val="0"/>
          <w:numId w:val="2"/>
        </w:numPr>
        <w:rPr>
          <w:noProof/>
        </w:rPr>
      </w:pPr>
      <w:r>
        <w:rPr>
          <w:noProof/>
        </w:rPr>
        <w:t>North-Western Europe (NWE): Austria, Belgium, Denmark, Finland, France, Germany, Ireland, Luxembourg, the Netherlands, Sweden, the UK;</w:t>
      </w:r>
    </w:p>
    <w:p>
      <w:pPr>
        <w:pStyle w:val="ListParagraph"/>
        <w:numPr>
          <w:ilvl w:val="0"/>
          <w:numId w:val="2"/>
        </w:numPr>
        <w:rPr>
          <w:noProof/>
        </w:rPr>
      </w:pPr>
      <w:r>
        <w:rPr>
          <w:noProof/>
        </w:rPr>
        <w:t>Southern Europe (SE): Cyprus, Greece, Italy, Malta, Portugal, Spain;</w:t>
      </w:r>
    </w:p>
    <w:p>
      <w:pPr>
        <w:pStyle w:val="ListParagraph"/>
        <w:numPr>
          <w:ilvl w:val="0"/>
          <w:numId w:val="2"/>
        </w:numPr>
        <w:rPr>
          <w:noProof/>
        </w:rPr>
      </w:pPr>
      <w:r>
        <w:rPr>
          <w:noProof/>
        </w:rPr>
        <w:t>Central-Eastern Europe (CEE): Bulgaria, Croatia, Czech Republic, Estonia, Hungary, Latvia, Lithuania, Poland, Romania, Slovak Republic, Slovenia.</w:t>
      </w:r>
    </w:p>
    <w:p>
      <w:pPr>
        <w:rPr>
          <w:noProof/>
        </w:rPr>
      </w:pPr>
      <w:r>
        <w:rPr>
          <w:noProof/>
          <w:lang w:eastAsia="de-DE"/>
        </w:rPr>
        <w:t>The time span of the analysis goes from 2008 to 2017</w:t>
      </w:r>
      <w:r>
        <w:rPr>
          <w:rStyle w:val="FootnoteReference"/>
          <w:noProof/>
          <w:lang w:eastAsia="de-DE"/>
        </w:rPr>
        <w:footnoteReference w:id="4"/>
      </w:r>
      <w:r>
        <w:rPr>
          <w:noProof/>
          <w:lang w:eastAsia="de-DE"/>
        </w:rPr>
        <w:t>. A full time series of indicators was collected for the following sectors: fertilisers, glass tableware and packaging glass. For the other sectors (steel, aluminium, bricks and roof tiles, wall and floor tiles and refineries), data were collected for 2016 and 2017 only while time series were completed by data available from the previous edition of the study</w:t>
      </w:r>
      <w:r>
        <w:rPr>
          <w:rStyle w:val="FootnoteReference"/>
          <w:noProof/>
          <w:lang w:eastAsia="de-DE"/>
        </w:rPr>
        <w:footnoteReference w:id="5"/>
      </w:r>
      <w:r>
        <w:rPr>
          <w:noProof/>
          <w:lang w:eastAsia="de-DE"/>
        </w:rPr>
        <w:t>. In the latter case, the composition of the samples may differ for the 2008-2015 period compared to the 2016-2017 period.</w:t>
      </w:r>
    </w:p>
    <w:p>
      <w:pPr>
        <w:rPr>
          <w:noProof/>
        </w:rPr>
      </w:pPr>
      <w:r>
        <w:rPr>
          <w:noProof/>
        </w:rPr>
        <w:t>We should always bear in mind that the sample includes only plants operating in the entire period under observation; results may therefore overestimate profitability indicators and underestimate production costs and energy costs, taking into consideration that between 2008 and 2017, a number of relatively less efficient plants and companies left the market.</w:t>
      </w:r>
    </w:p>
    <w:p>
      <w:pPr>
        <w:rPr>
          <w:noProof/>
        </w:rPr>
      </w:pPr>
      <w:r>
        <w:rPr>
          <w:noProof/>
        </w:rPr>
        <w:t>The analysis presents both ranges and average values. Ranges are displayed via box plots, which show the statistical minimum, first quartile, median, third quartile, statistical maximum and, potentially, any outlier of the data set (</w:t>
      </w:r>
      <w:r>
        <w:rPr>
          <w:noProof/>
        </w:rPr>
        <w:fldChar w:fldCharType="begin"/>
      </w:r>
      <w:r>
        <w:rPr>
          <w:noProof/>
        </w:rPr>
        <w:instrText xml:space="preserve"> REF _Ref515198018 \h </w:instrText>
      </w:r>
      <w:r>
        <w:rPr>
          <w:noProof/>
        </w:rPr>
      </w:r>
      <w:r>
        <w:rPr>
          <w:noProof/>
        </w:rPr>
        <w:fldChar w:fldCharType="separate"/>
      </w:r>
      <w:r>
        <w:rPr>
          <w:noProof/>
        </w:rPr>
        <w:t>Figure 1</w:t>
      </w:r>
      <w:r>
        <w:rPr>
          <w:noProof/>
        </w:rPr>
        <w:fldChar w:fldCharType="end"/>
      </w:r>
      <w:r>
        <w:rPr>
          <w:noProof/>
        </w:rPr>
        <w:t>). The cross in each box represents the simple average (unweighted).</w:t>
      </w:r>
    </w:p>
    <w:p>
      <w:pPr>
        <w:rPr>
          <w:noProof/>
        </w:rPr>
      </w:pPr>
    </w:p>
    <w:p>
      <w:pPr>
        <w:pStyle w:val="Caption"/>
      </w:pPr>
      <w:bookmarkStart w:id="23" w:name="_Ref515198018"/>
      <w:bookmarkStart w:id="24" w:name="_Toc527544670"/>
      <w:bookmarkStart w:id="25" w:name="_Toc530741694"/>
      <w:bookmarkStart w:id="26" w:name="_Toc526433569"/>
      <w:bookmarkStart w:id="27" w:name="_Toc526433847"/>
      <w:bookmarkStart w:id="28" w:name="_Toc526435789"/>
      <w:r>
        <w:t xml:space="preserve">Figure </w:t>
      </w:r>
      <w:r>
        <w:fldChar w:fldCharType="begin"/>
      </w:r>
      <w:r>
        <w:instrText xml:space="preserve"> SEQ Figure \* ARABIC </w:instrText>
      </w:r>
      <w:r>
        <w:fldChar w:fldCharType="separate"/>
      </w:r>
      <w:r>
        <w:t>1</w:t>
      </w:r>
      <w:r>
        <w:fldChar w:fldCharType="end"/>
      </w:r>
      <w:bookmarkEnd w:id="23"/>
      <w:r>
        <w:t>. Example of box plot</w:t>
      </w:r>
      <w:bookmarkEnd w:id="24"/>
      <w:bookmarkEnd w:id="25"/>
    </w:p>
    <w:p>
      <w:pPr>
        <w:jc w:val="left"/>
        <w:rPr>
          <w:noProof/>
        </w:rP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4810257</wp:posOffset>
                </wp:positionH>
                <wp:positionV relativeFrom="paragraph">
                  <wp:posOffset>961917</wp:posOffset>
                </wp:positionV>
                <wp:extent cx="1319841" cy="197485"/>
                <wp:effectExtent l="0" t="0" r="13970" b="1206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41" cy="197485"/>
                        </a:xfrm>
                        <a:prstGeom prst="rect">
                          <a:avLst/>
                        </a:prstGeom>
                        <a:noFill/>
                        <a:ln w="9525">
                          <a:noFill/>
                          <a:miter lim="800000"/>
                          <a:headEnd/>
                          <a:tailEnd/>
                        </a:ln>
                      </wps:spPr>
                      <wps:txbx>
                        <w:txbxContent>
                          <w:p>
                            <w:r>
                              <w:t>Simple average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75pt;margin-top:75.75pt;width:103.9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tbAQIAAOMDAAAOAAAAZHJzL2Uyb0RvYy54bWysU9tu2zAMfR+wfxD0vjjOmi0x4hRduw4D&#10;ugvQ7gMYWY6FSaImKbGzry8lJ2mwvQ3zg0Bb5CHP4fHqejCa7aUPCm3Ny8mUM2kFNspua/7j6f7N&#10;grMQwTag0cqaH2Tg1+vXr1a9q+QMO9SN9IxAbKh6V/MuRlcVRRCdNBAm6KSlyxa9gUivfls0HnpC&#10;N7qYTafvih594zwKGQJ9vRsv+Trjt60U8VvbBhmZrjnNFvPp87lJZ7FeQbX14DoljmPAP0xhQFlq&#10;eoa6gwhs59VfUEYJjwHbOBFoCmxbJWTmQGzK6R9sHjtwMnMhcYI7yxT+H6z4uv/umWpqvqBNWTC0&#10;oyc5RPYBBzZL8vQuVJT16CgvDvSZ1pypBveA4mdgFm87sFt54z32nYSGxitTZXFROuKEBLLpv2BD&#10;bWAXMQMNrTdJO1KDETqt6XBeTRpFpJZvy+XiquRM0F25fH+1mOcWUJ2qnQ/xk0TDUlBzT6vP6LB/&#10;CDFNA9UpJTWzeK+0zuvXlvU1X85n81xwcWNUJHdqZUieaXpGvySSH22TiyMoPcbUQNsj60R0pByH&#10;zUCJSYoNNgfi73F0If01FHTof3PWkwNrHn7twEvO9GdLGia7ngJ/CjanAKyg0ppHzsbwNmZbj9xu&#10;SNtWZdovnY+zkZOyGkfXJ6tevuesl39z/QwAAP//AwBQSwMEFAAGAAgAAAAhAATuClDhAAAACwEA&#10;AA8AAABkcnMvZG93bnJldi54bWxMj0FPwzAMhe9I+w+RJ3Fj6YbabaXpNCE4ISG6cuCYNl5brXFK&#10;k23l32NO42b7PT1/L9tNthcXHH3nSMFyEYFAqp3pqFHwWb4+bED4oMno3hEq+EEPu3x2l+nUuCsV&#10;eDmERnAI+VQraEMYUil93aLVfuEGJNaObrQ68Do20oz6yuG2l6soSqTVHfGHVg/43GJ9Opytgv0X&#10;FS/d93v1URyLriy3Eb0lJ6Xu59P+CUTAKdzM8IfP6JAzU+XOZLzoFazjdcxWFuIlD+zYJvEjiIov&#10;m1UCMs/k/w75LwAAAP//AwBQSwECLQAUAAYACAAAACEAtoM4kv4AAADhAQAAEwAAAAAAAAAAAAAA&#10;AAAAAAAAW0NvbnRlbnRfVHlwZXNdLnhtbFBLAQItABQABgAIAAAAIQA4/SH/1gAAAJQBAAALAAAA&#10;AAAAAAAAAAAAAC8BAABfcmVscy8ucmVsc1BLAQItABQABgAIAAAAIQBgtYtbAQIAAOMDAAAOAAAA&#10;AAAAAAAAAAAAAC4CAABkcnMvZTJvRG9jLnhtbFBLAQItABQABgAIAAAAIQAE7gpQ4QAAAAsBAAAP&#10;AAAAAAAAAAAAAAAAAFsEAABkcnMvZG93bnJldi54bWxQSwUGAAAAAAQABADzAAAAaQUAAAAA&#10;" filled="f" stroked="f">
                <v:textbox inset="0,0,0,0">
                  <w:txbxContent>
                    <w:p>
                      <w:r>
                        <w:t>Simple average</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4803140</wp:posOffset>
                </wp:positionH>
                <wp:positionV relativeFrom="paragraph">
                  <wp:posOffset>789000</wp:posOffset>
                </wp:positionV>
                <wp:extent cx="965200" cy="197485"/>
                <wp:effectExtent l="0" t="0" r="6350" b="1206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97485"/>
                        </a:xfrm>
                        <a:prstGeom prst="rect">
                          <a:avLst/>
                        </a:prstGeom>
                        <a:noFill/>
                        <a:ln w="9525">
                          <a:noFill/>
                          <a:miter lim="800000"/>
                          <a:headEnd/>
                          <a:tailEnd/>
                        </a:ln>
                      </wps:spPr>
                      <wps:txbx>
                        <w:txbxContent>
                          <w:p>
                            <w:r>
                              <w:t>Median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8.2pt;margin-top:62.15pt;width:76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HAgIAAOkDAAAOAAAAZHJzL2Uyb0RvYy54bWysU8tu2zAQvBfoPxC817KNOrUFy0GaNEWB&#10;9AEk/YA1RVlESS5L0pbcr++SshyjuQXVgViR3Nmd2eH6ujeaHaQPCm3FZ5MpZ9IKrJXdVfzn0/27&#10;JWchgq1Bo5UVP8rArzdv36w7V8o5tqhr6RmB2FB2ruJtjK4siiBaaSBM0ElLhw16A5F+/a6oPXSE&#10;bnQxn06vig597TwKGQLt3g2HfJPxm0aK+L1pgoxMV5x6i3n1ed2mtdisodx5cK0SpzbgFV0YUJaK&#10;nqHuIALbe/UCyijhMWATJwJNgU2jhMwciM1s+g+bxxaczFxInODOMoX/Byu+HX54puqKL1ecWTA0&#10;oyfZR/YRezZP8nQulHTr0dG92NM2jTlTDe4Bxa/ALN62YHfyxnvsWgk1tTdLmcVF6oATEsi2+4o1&#10;lYF9xAzUN94k7UgNRug0puN5NKkVQZurqwWNmzNBR7PVh/fLRa4A5ZjsfIifJRqWgop7mnwGh8ND&#10;iKkZKMcrqZbFe6V1nr62rKMCi/kiJ1ycGBXJnFoZUmeavsEuieMnW+fkCEoPMRXQ9kQ68RwYx37b&#10;Z3mzIkmQLdZHUsHj4EV6OxS06P9w1pEPKx5+78FLzvQXS0om046BH4PtGIAVlFrxyNkQ3sZs7oHi&#10;DSncqMz+ufKpRfJTFuXk/WTYy/986/mFbv4CAAD//wMAUEsDBBQABgAIAAAAIQCA3VE84AAAAAsB&#10;AAAPAAAAZHJzL2Rvd25yZXYueG1sTI/BTsMwEETvSPyDtUjcqE1JQhviVBWCExJqGg4cndhNrMbr&#10;ELtt+HuWExx35ml2ptjMbmBnMwXrUcL9QgAz2HptsZPwUb/erYCFqFCrwaOR8G0CbMrrq0Ll2l+w&#10;Mud97BiFYMiVhD7GMec8tL1xKiz8aJC8g5+cinROHdeTulC4G/hSiIw7ZZE+9Go0z71pj/uTk7D9&#10;xOrFfr03u+pQ2bpeC3zLjlLe3szbJ2DRzPEPht/6VB1K6tT4E+rABgmPaZYQSsYyeQBGxFqsSGlI&#10;SdMEeFnw/xvKHwAAAP//AwBQSwECLQAUAAYACAAAACEAtoM4kv4AAADhAQAAEwAAAAAAAAAAAAAA&#10;AAAAAAAAW0NvbnRlbnRfVHlwZXNdLnhtbFBLAQItABQABgAIAAAAIQA4/SH/1gAAAJQBAAALAAAA&#10;AAAAAAAAAAAAAC8BAABfcmVscy8ucmVsc1BLAQItABQABgAIAAAAIQColt/HAgIAAOkDAAAOAAAA&#10;AAAAAAAAAAAAAC4CAABkcnMvZTJvRG9jLnhtbFBLAQItABQABgAIAAAAIQCA3VE84AAAAAsBAAAP&#10;AAAAAAAAAAAAAAAAAFwEAABkcnMvZG93bnJldi54bWxQSwUGAAAAAAQABADzAAAAaQUAAAAA&#10;" filled="f" stroked="f">
                <v:textbox inset="0,0,0,0">
                  <w:txbxContent>
                    <w:p>
                      <w:r>
                        <w:t>Median</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2442210</wp:posOffset>
                </wp:positionH>
                <wp:positionV relativeFrom="paragraph">
                  <wp:posOffset>1046785</wp:posOffset>
                </wp:positionV>
                <wp:extent cx="2259330" cy="0"/>
                <wp:effectExtent l="0" t="76200" r="26670" b="114300"/>
                <wp:wrapNone/>
                <wp:docPr id="126" name="Straight Arrow Connector 126"/>
                <wp:cNvGraphicFramePr/>
                <a:graphic xmlns:a="http://schemas.openxmlformats.org/drawingml/2006/main">
                  <a:graphicData uri="http://schemas.microsoft.com/office/word/2010/wordprocessingShape">
                    <wps:wsp>
                      <wps:cNvCnPr/>
                      <wps:spPr>
                        <a:xfrm>
                          <a:off x="0" y="0"/>
                          <a:ext cx="2259330"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C2E94A" id="_x0000_t32" coordsize="21600,21600" o:spt="32" o:oned="t" path="m,l21600,21600e" filled="f">
                <v:path arrowok="t" fillok="f" o:connecttype="none"/>
                <o:lock v:ext="edit" shapetype="t"/>
              </v:shapetype>
              <v:shape id="Straight Arrow Connector 126" o:spid="_x0000_s1026" type="#_x0000_t32" style="position:absolute;margin-left:192.3pt;margin-top:82.4pt;width:177.9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wK4wEAABcEAAAOAAAAZHJzL2Uyb0RvYy54bWysU9uO0zAQfUfiHyy/06RddVmqpivUAi8I&#10;KhY+wOvYjYXtscamSf+esZNmERcJIV4cOzPnzJwz9vZ+cJadFUYDvuHLRc2Z8hJa408N//L57Ys7&#10;zmISvhUWvGr4RUV+v3v+bNuHjVpBB7ZVyIjEx00fGt6lFDZVFWWnnIgLCMpTUAM6keiIp6pF0RO7&#10;s9Wqrm+rHrANCFLFSH8PY5DvCr/WSqaPWkeVmG049ZbKimV9zGu124rNCUXojJzaEP/QhRPGU9GZ&#10;6iCSYN/Q/ELljESIoNNCgqtAayNV0UBqlvVPah46EVTRQubEMNsU/x+t/HA+IjMtzW51y5kXjob0&#10;kFCYU5fYa0To2R68JyMBWc4hx/oQNwTc+yNOpxiOmOUPGl3+kjA2FJcvs8tqSEzSz9Vq/ermhoYh&#10;r7HqCRgwpncKHMubhsepk7mFZXFZnN/HRKUJeAXkqtaznoSs716uS1qOHUTs2FnQ+FvajfNOwtg3&#10;vmXpEkityCJzgNisp0+WNwoqu3SxamT/pDRZRRLGLsolVXuLE//X5cxCmRmijbUzqC49/RE05WaY&#10;Khf3b4FzdqkIPs1AZzzg76qm4dqqHvOvqketWfYjtJcy3mIH3b7iz/RS8vX+8VzgT+959x0AAP//&#10;AwBQSwMEFAAGAAgAAAAhABXtmibbAAAACwEAAA8AAABkcnMvZG93bnJldi54bWxMj0FLxDAQhe+C&#10;/yGM4M1NXUNdatNFhB4FrQtes83YVJtJt0l36793BME9znsfb94rt4sfxBGn2AfScLvKQCC1wfbU&#10;adi91TcbEDEZsmYIhBq+McK2urwoTWHDiV7x2KROcAjFwmhwKY2FlLF16E1chRGJvY8weZP4nDpp&#10;J3PicD/IdZbl0pue+IMzIz45bL+a2WtYvxz8bPNnrF2/k/X7Yf5UDWp9fbU8PoBIuKR/GH7rc3Wo&#10;uNM+zGSjGDTcbVTOKBu54g1M3KtMgdj/KbIq5fmG6gcAAP//AwBQSwECLQAUAAYACAAAACEAtoM4&#10;kv4AAADhAQAAEwAAAAAAAAAAAAAAAAAAAAAAW0NvbnRlbnRfVHlwZXNdLnhtbFBLAQItABQABgAI&#10;AAAAIQA4/SH/1gAAAJQBAAALAAAAAAAAAAAAAAAAAC8BAABfcmVscy8ucmVsc1BLAQItABQABgAI&#10;AAAAIQCfcEwK4wEAABcEAAAOAAAAAAAAAAAAAAAAAC4CAABkcnMvZTJvRG9jLnhtbFBLAQItABQA&#10;BgAIAAAAIQAV7Zom2wAAAAsBAAAPAAAAAAAAAAAAAAAAAD0EAABkcnMvZG93bnJldi54bWxQSwUG&#10;AAAAAAQABADzAAAARQUAAAAA&#10;" strokecolor="black [3040]" strokeweight="1.25pt">
                <v:stroke dashstyle="dash" endarrow="open"/>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4803191</wp:posOffset>
                </wp:positionH>
                <wp:positionV relativeFrom="paragraph">
                  <wp:posOffset>1223568</wp:posOffset>
                </wp:positionV>
                <wp:extent cx="965200" cy="197485"/>
                <wp:effectExtent l="0" t="0" r="6350" b="1206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97485"/>
                        </a:xfrm>
                        <a:prstGeom prst="rect">
                          <a:avLst/>
                        </a:prstGeom>
                        <a:noFill/>
                        <a:ln w="9525">
                          <a:noFill/>
                          <a:miter lim="800000"/>
                          <a:headEnd/>
                          <a:tailEnd/>
                        </a:ln>
                      </wps:spPr>
                      <wps:txbx>
                        <w:txbxContent>
                          <w:p>
                            <w:r>
                              <w:t>First quartile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8.2pt;margin-top:96.35pt;width:76pt;height:1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ObBAIAAOoDAAAOAAAAZHJzL2Uyb0RvYy54bWysU8tu2zAQvBfoPxC815KdOnUEy0GaNEWB&#10;9AEk/YA1RVlESS5L0pbcr8+Ssh0jvRXVgViR3Nmd2eHyejCa7aQPCm3Np5OSM2kFNspuav7z6f7d&#10;grMQwTag0cqa72Xg16u3b5a9q+QMO9SN9IxAbKh6V/MuRlcVRRCdNBAm6KSlwxa9gUi/flM0HnpC&#10;N7qYleVl0aNvnEchQ6Ddu/GQrzJ+20oRv7dtkJHpmlNvMa8+r+u0FqslVBsPrlPi0Ab8QxcGlKWi&#10;J6g7iMC2Xv0FZZTwGLCNE4GmwLZVQmYOxGZavmLz2IGTmQuJE9xJpvD/YMW33Q/PVFPzi4sZZxYM&#10;DelJDpF9xIHNkj69CxVde3R0MQ60TXPOXIN7QPErMIu3HdiNvPEe+05CQ/1NU2ZxljrihASy7r9i&#10;Q2VgGzEDDa03STySgxE6zWl/mk1qRdDm1eWc5s2ZoKPp1Yf3i3muANUx2fkQP0s0LAU19zT6DA67&#10;hxBTM1Adr6RaFu+V1nn82rKeCsxn85xwdmJUJHdqZWq+KNM3+iVx/GSbnBxB6TGmAtoeSCeeI+M4&#10;rIes70nLNTZ7UsHjaEZ6PBR06P9w1pMRax5+b8FLzvQXS0om1x4DfwzWxwCsoNSaR87G8DZmd48U&#10;b0jhVmX2aRRj5UOLZKgsysH8ybHn//nWyxNdPQMAAP//AwBQSwMEFAAGAAgAAAAhACtm5zfgAAAA&#10;CwEAAA8AAABkcnMvZG93bnJldi54bWxMj8FOwzAMhu9IvENkJG4soUDXlqbThOCEhOjKgWPaZG20&#10;xilNtpW3x5zgaP+ffn8uN4sb2cnMwXqUcLsSwAx2XlvsJXw0LzcZsBAVajV6NBK+TYBNdXlRqkL7&#10;M9bmtIs9oxIMhZIwxDgVnIduME6FlZ8MUrb3s1ORxrnnelZnKncjT4RIuVMW6cKgJvM0mO6wOzoJ&#10;20+sn+3XW/te72vbNLnA1/Qg5fXVsn0EFs0S/2D41Sd1qMip9UfUgY0S1g/pPaEU5MkaGBG5yGjT&#10;SkiSuwx4VfL/P1Q/AAAA//8DAFBLAQItABQABgAIAAAAIQC2gziS/gAAAOEBAAATAAAAAAAAAAAA&#10;AAAAAAAAAABbQ29udGVudF9UeXBlc10ueG1sUEsBAi0AFAAGAAgAAAAhADj9If/WAAAAlAEAAAsA&#10;AAAAAAAAAAAAAAAALwEAAF9yZWxzLy5yZWxzUEsBAi0AFAAGAAgAAAAhAAMaw5sEAgAA6gMAAA4A&#10;AAAAAAAAAAAAAAAALgIAAGRycy9lMm9Eb2MueG1sUEsBAi0AFAAGAAgAAAAhACtm5zfgAAAACwEA&#10;AA8AAAAAAAAAAAAAAAAAXgQAAGRycy9kb3ducmV2LnhtbFBLBQYAAAAABAAEAPMAAABrBQAAAAA=&#10;" filled="f" stroked="f">
                <v:textbox inset="0,0,0,0">
                  <w:txbxContent>
                    <w:p>
                      <w:r>
                        <w:t>First quartile</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4804410</wp:posOffset>
                </wp:positionH>
                <wp:positionV relativeFrom="paragraph">
                  <wp:posOffset>566420</wp:posOffset>
                </wp:positionV>
                <wp:extent cx="965200" cy="197485"/>
                <wp:effectExtent l="0" t="0" r="635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97485"/>
                        </a:xfrm>
                        <a:prstGeom prst="rect">
                          <a:avLst/>
                        </a:prstGeom>
                        <a:noFill/>
                        <a:ln w="9525">
                          <a:noFill/>
                          <a:miter lim="800000"/>
                          <a:headEnd/>
                          <a:tailEnd/>
                        </a:ln>
                      </wps:spPr>
                      <wps:txbx>
                        <w:txbxContent>
                          <w:p>
                            <w:r>
                              <w:t>Third quartile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8.3pt;margin-top:44.6pt;width:76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87BQIAAOoDAAAOAAAAZHJzL2Uyb0RvYy54bWysU8tu2zAQvBfoPxC817LdOHUEy0GaNEWB&#10;9AEk/YA1RVlESS5L0pbcr8+SshwjvRXVgViR3Nmd2eHqujea7aUPCm3FZ5MpZ9IKrJXdVvzn0/27&#10;JWchgq1Bo5UVP8jAr9dv36w6V8o5tqhr6RmB2FB2ruJtjK4siiBaaSBM0ElLhw16A5F+/baoPXSE&#10;bnQxn04viw597TwKGQLt3g2HfJ3xm0aK+L1pgoxMV5x6i3n1ed2ktVivoNx6cK0SxzbgH7owoCwV&#10;PUHdQQS28+ovKKOEx4BNnAg0BTaNEjJzIDaz6Ss2jy04mbmQOMGdZAr/D1Z82//wTNUVv1jMObNg&#10;aEhPso/sI/ZsnvTpXCjp2qOji7GnbZpz5hrcA4pfgVm8bcFu5Y332LUSaupvljKLs9QBJySQTfcV&#10;ayoDu4gZqG+8SeKRHIzQaU6H02xSK4I2ry4XNG/OBB3Nrj5cLBe5ApRjsvMhfpZoWAoq7mn0GRz2&#10;DyGmZqAcr6RaFu+V1nn82rKOCizmi5xwdmJUJHdqZSq+nKZv8Evi+MnWOTmC0kNMBbQ9kk48B8ax&#10;3/RZ3/ejlhusD6SCx8GM9HgoaNH/4awjI1Y8/N6Bl5zpL5aUTK4dAz8GmzEAKyi14pGzIbyN2d0D&#10;xRtSuFGZfRrFUPnYIhkqi3I0f3Ls+X++9fJE188AAAD//wMAUEsDBBQABgAIAAAAIQDSx9Ph3wAA&#10;AAoBAAAPAAAAZHJzL2Rvd25yZXYueG1sTI/BTsMwDIbvSLxDZCRuLFkRpe2aThOCExKiKweOaZO1&#10;0RqnNNlW3h5zgqPtT7+/v9wubmRnMwfrUcJ6JYAZ7Ly22Ev4aF7uMmAhKtRq9GgkfJsA2+r6qlSF&#10;9heszXkfe0YhGAolYYhxKjgP3WCcCis/GaTbwc9ORRrnnutZXSjcjTwRIuVOWaQPg5rM02C64/7k&#10;JOw+sX62X2/te32obdPkAl/To5S3N8tuAyyaJf7B8KtP6lCRU+tPqAMbJTw+pCmhErI8AUZALjJa&#10;tEQm4h54VfL/FaofAAAA//8DAFBLAQItABQABgAIAAAAIQC2gziS/gAAAOEBAAATAAAAAAAAAAAA&#10;AAAAAAAAAABbQ29udGVudF9UeXBlc10ueG1sUEsBAi0AFAAGAAgAAAAhADj9If/WAAAAlAEAAAsA&#10;AAAAAAAAAAAAAAAALwEAAF9yZWxzLy5yZWxzUEsBAi0AFAAGAAgAAAAhAJZ1TzsFAgAA6gMAAA4A&#10;AAAAAAAAAAAAAAAALgIAAGRycy9lMm9Eb2MueG1sUEsBAi0AFAAGAAgAAAAhANLH0+HfAAAACgEA&#10;AA8AAAAAAAAAAAAAAAAAXwQAAGRycy9kb3ducmV2LnhtbFBLBQYAAAAABAAEAPMAAABrBQAAAAA=&#10;" filled="f" stroked="f">
                <v:textbox inset="0,0,0,0">
                  <w:txbxContent>
                    <w:p>
                      <w:r>
                        <w:t>Third quartile</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4803140</wp:posOffset>
                </wp:positionH>
                <wp:positionV relativeFrom="paragraph">
                  <wp:posOffset>2245690</wp:posOffset>
                </wp:positionV>
                <wp:extent cx="965200" cy="197485"/>
                <wp:effectExtent l="0" t="0" r="6350" b="12065"/>
                <wp:wrapNone/>
                <wp:docPr id="1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97485"/>
                        </a:xfrm>
                        <a:prstGeom prst="rect">
                          <a:avLst/>
                        </a:prstGeom>
                        <a:noFill/>
                        <a:ln w="9525">
                          <a:noFill/>
                          <a:miter lim="800000"/>
                          <a:headEnd/>
                          <a:tailEnd/>
                        </a:ln>
                      </wps:spPr>
                      <wps:txbx>
                        <w:txbxContent>
                          <w:p>
                            <w:r>
                              <w:t>Outlier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8.2pt;margin-top:176.85pt;width:76pt;height:1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r/BAIAAOsDAAAOAAAAZHJzL2Uyb0RvYy54bWysU9tu2zAMfR+wfxD0vtgJmi414hRduw4D&#10;ugvQ7gMYWY6FSaImKbGzrx8lx1mwvQ3zg0CL5CHPIbW+HYxmB+mDQlvz+azkTFqBjbK7mn97eXyz&#10;4ixEsA1otLLmRxn47eb1q3XvKrnADnUjPSMQG6re1byL0VVFEUQnDYQZOmnJ2aI3EOnX74rGQ0/o&#10;RheLsrwuevSN8yhkCHT7MDr5JuO3rRTxS9sGGZmuOfUW8+nzuU1nsVlDtfPgOiVObcA/dGFAWSp6&#10;hnqACGzv1V9QRgmPAds4E2gKbFslZOZAbOblH2yeO3AycyFxgjvLFP4frPh8+OqZamh2qxXNyoKh&#10;Kb3IIbJ3OLBFEqh3oaK4Z0eRcaBrCs5kg3tC8T0wi/cd2J288x77TkJDDc5TZnGROuKEBLLtP2FD&#10;ZWAfMQMNrTdJPdKDEToN6ngeTmpF0OXN9ZIGzpkg1/zm7dVqmStANSU7H+IHiYYlo+aeZp/B4fAU&#10;YmoGqikk1bL4qLTO89eW9VRguVjmhAuPUZHWUytT81WZvnFhEsf3tsnJEZQebSqg7Yl04jkyjsN2&#10;yAJfTVpusTmSCh7HbaTXQ0aH/idnPW1izcOPPXjJmf5oScm0tpPhJ2M7GWAFpdY8cjaa9zGv90jx&#10;jhRuVWafRjFWPrVIG5VFOW1/WtnL/xz1+41ufgEAAP//AwBQSwMEFAAGAAgAAAAhADAMQ/DhAAAA&#10;CwEAAA8AAABkcnMvZG93bnJldi54bWxMj8FOwzAMhu9IvENkJG4sgW1d1zWdJgQnJERXDjumTdZG&#10;a5zSZFt5e8wJjv796ffnfDu5nl3MGKxHCY8zAcxg47XFVsJn9fqQAgtRoVa9RyPh2wTYFrc3ucq0&#10;v2JpLvvYMirBkCkJXYxDxnloOuNUmPnBIO2OfnQq0ji2XI/qSuWu509CJNwpi3ShU4N57kxz2p+d&#10;hN0Byxf79V5/lMfSVtVa4FtykvL+btptgEUzxT8YfvVJHQpyqv0ZdWC9hNUyWRAqYb6cr4ARsRYp&#10;JTUl6SIFXuT8/w/FDwAAAP//AwBQSwECLQAUAAYACAAAACEAtoM4kv4AAADhAQAAEwAAAAAAAAAA&#10;AAAAAAAAAAAAW0NvbnRlbnRfVHlwZXNdLnhtbFBLAQItABQABgAIAAAAIQA4/SH/1gAAAJQBAAAL&#10;AAAAAAAAAAAAAAAAAC8BAABfcmVscy8ucmVsc1BLAQItABQABgAIAAAAIQB8X2r/BAIAAOsDAAAO&#10;AAAAAAAAAAAAAAAAAC4CAABkcnMvZTJvRG9jLnhtbFBLAQItABQABgAIAAAAIQAwDEPw4QAAAAsB&#10;AAAPAAAAAAAAAAAAAAAAAF4EAABkcnMvZG93bnJldi54bWxQSwUGAAAAAAQABADzAAAAbAUAAAAA&#10;" filled="f" stroked="f">
                <v:textbox inset="0,0,0,0">
                  <w:txbxContent>
                    <w:p>
                      <w:r>
                        <w:t>Outlier</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4804461</wp:posOffset>
                </wp:positionH>
                <wp:positionV relativeFrom="paragraph">
                  <wp:posOffset>1495628</wp:posOffset>
                </wp:positionV>
                <wp:extent cx="965200" cy="197485"/>
                <wp:effectExtent l="0" t="0" r="6350" b="12065"/>
                <wp:wrapNone/>
                <wp:docPr id="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97485"/>
                        </a:xfrm>
                        <a:prstGeom prst="rect">
                          <a:avLst/>
                        </a:prstGeom>
                        <a:noFill/>
                        <a:ln w="9525">
                          <a:noFill/>
                          <a:miter lim="800000"/>
                          <a:headEnd/>
                          <a:tailEnd/>
                        </a:ln>
                      </wps:spPr>
                      <wps:txbx>
                        <w:txbxContent>
                          <w:p>
                            <w:r>
                              <w:t>Statistical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8.3pt;margin-top:117.75pt;width:76pt;height:1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NLBAIAAOsDAAAOAAAAZHJzL2Uyb0RvYy54bWysU9tu2zAMfR+wfxD0vtjJli4x4hRduw4D&#10;ugvQ7gMYWY6FSaImKbGzry8lJ2mwvQ3zg0CL5CHPIbW6Hoxme+mDQlvz6aTkTFqBjbLbmv94un+z&#10;4CxEsA1otLLmBxn49fr1q1XvKjnDDnUjPSMQG6re1byL0VVFEUQnDYQJOmnJ2aI3EOnXb4vGQ0/o&#10;RhezsrwqevSN8yhkCHR7Nzr5OuO3rRTxW9sGGZmuOfUW8+nzuUlnsV5BtfXgOiWObcA/dGFAWSp6&#10;hrqDCGzn1V9QRgmPAds4EWgKbFslZOZAbKblH2weO3AycyFxgjvLFP4frPi6/+6Zamh2y/ItZxYM&#10;TelJDpF9wIHNkkC9CxXFPTqKjANdU3AmG9wDip+BWbztwG7ljffYdxIaanCaMouL1BEnJJBN/wUb&#10;KgO7iBloaL1J6pEejNBpUIfzcFIrgi6XV3MaOGeCXNPl+3eLea4A1SnZ+RA/STQsGTX3NPsMDvuH&#10;EFMzUJ1CUi2L90rrPH9tWU8F5rN5TrjwGBVpPbUyNV+U6RsXJnH8aJucHEHp0aYC2h5JJ54j4zhs&#10;hixw7jcJssHmQCp4HLeRXg8ZHfrfnPW0iTUPv3bgJWf6syUl09qeDH8yNicDrKDUmkfORvM25vUe&#10;Kd6Qwq3K7F8qH1ukjcqiHLc/rezlf456eaPrZwAAAP//AwBQSwMEFAAGAAgAAAAhAAdMrQTfAAAA&#10;CwEAAA8AAABkcnMvZG93bnJldi54bWxMj8FOwzAQRO9I/IO1SNyoTVFMG+JUFYITEiINB45O7CZW&#10;43WI3Tb8PcuJHnfmaXam2Mx+YCc7RRdQwf1CALPYBuOwU/BZv96tgMWk0eghoFXwYyNsyuurQucm&#10;nLGyp13qGIVgzLWCPqUx5zy2vfU6LsJokbx9mLxOdE4dN5M+U7gf+FIIyb12SB96Pdrn3raH3dEr&#10;2H5h9eK+35uPal+5ul4LfJMHpW5v5u0TsGTn9A/DX32qDiV1asIRTWSDgsdMSkIVLB+yDBgRa7Ei&#10;pSFFksXLgl9uKH8BAAD//wMAUEsBAi0AFAAGAAgAAAAhALaDOJL+AAAA4QEAABMAAAAAAAAAAAAA&#10;AAAAAAAAAFtDb250ZW50X1R5cGVzXS54bWxQSwECLQAUAAYACAAAACEAOP0h/9YAAACUAQAACwAA&#10;AAAAAAAAAAAAAAAvAQAAX3JlbHMvLnJlbHNQSwECLQAUAAYACAAAACEAMsPDSwQCAADrAwAADgAA&#10;AAAAAAAAAAAAAAAuAgAAZHJzL2Uyb0RvYy54bWxQSwECLQAUAAYACAAAACEAB0ytBN8AAAALAQAA&#10;DwAAAAAAAAAAAAAAAABeBAAAZHJzL2Rvd25yZXYueG1sUEsFBgAAAAAEAAQA8wAAAGoFAAAAAA==&#10;" filled="f" stroked="f">
                <v:textbox inset="0,0,0,0">
                  <w:txbxContent>
                    <w:p>
                      <w:r>
                        <w:t>Statistical min</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4805680</wp:posOffset>
                </wp:positionH>
                <wp:positionV relativeFrom="paragraph">
                  <wp:posOffset>312090</wp:posOffset>
                </wp:positionV>
                <wp:extent cx="965200" cy="197485"/>
                <wp:effectExtent l="0" t="0" r="6350" b="1206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97485"/>
                        </a:xfrm>
                        <a:prstGeom prst="rect">
                          <a:avLst/>
                        </a:prstGeom>
                        <a:noFill/>
                        <a:ln w="9525">
                          <a:noFill/>
                          <a:miter lim="800000"/>
                          <a:headEnd/>
                          <a:tailEnd/>
                        </a:ln>
                      </wps:spPr>
                      <wps:txbx>
                        <w:txbxContent>
                          <w:p>
                            <w:r>
                              <w:t>Statistical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8.4pt;margin-top:24.55pt;width:76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cDBAIAAOoDAAAOAAAAZHJzL2Uyb0RvYy54bWysU8tu2zAQvBfoPxC817Ld2nUEy0GaNEWB&#10;9AEk/YA1RVlESS5L0pbcr++SslwjuRXVgViR3Nmd2eH6ujeaHaQPCm3FZ5MpZ9IKrJXdVfzH0/2b&#10;FWchgq1Bo5UVP8rArzevX607V8o5tqhr6RmB2FB2ruJtjK4siiBaaSBM0ElLhw16A5F+/a6oPXSE&#10;bnQxn06XRYe+dh6FDIF274ZDvsn4TSNF/NY0QUamK069xbz6vG7TWmzWUO48uFaJUxvwD10YUJaK&#10;nqHuIALbe/UCyijhMWATJwJNgU2jhMwciM1s+ozNYwtOZi4kTnBnmcL/gxVfD989U3XFF29JHwuG&#10;hvQk+8g+YM/mSZ/OhZKuPTq6GHvapjlnrsE9oPgZmMXbFuxO3niPXSuhpv5mKbO4SB1wQgLZdl+w&#10;pjKwj5iB+sabJB7JwQid+jieZ5NaEbR5tVzQvDkTdDS7ev9utcgVoByTnQ/xk0TDUlBxT6PP4HB4&#10;CDE1A+V4JdWyeK+0zuPXlnVUYDFf5ISLE6MiuVMrU/HVNH2DXxLHj7bOyRGUHmIqoO2JdOI5MI79&#10;ts/6Lkctt1gfSQWPgxnp8VDQov/NWUdGrHj4tQcvOdOfLSmZXDsGfgy2YwBWUGrFI2dDeBuzuweK&#10;N6RwozL7NIqh8qlFMlQW5WT+5NjL/3zr7xPd/AEAAP//AwBQSwMEFAAGAAgAAAAhABi7FFvfAAAA&#10;CQEAAA8AAABkcnMvZG93bnJldi54bWxMj8FOwzAQRO9I/QdrK3GjdisISYhTVQhOSIg0HDg68Tax&#10;Gq9D7Lbh7zEnetzZ0cybYjvbgZ1x8saRhPVKAENqnTbUSfisX+9SYD4o0mpwhBJ+0MO2XNwUKtfu&#10;QhWe96FjMYR8riT0IYw5577t0Sq/ciNS/B3cZFWI59RxPalLDLcD3wiRcKsMxYZejfjcY3vcn6yE&#10;3RdVL+b7vfmoDpWp60zQW3KU8nY5756ABZzDvxn+8CM6lJGpcSfSng0SHh+SiB4k3GdrYNGQiTQK&#10;jYRUbICXBb9eUP4CAAD//wMAUEsBAi0AFAAGAAgAAAAhALaDOJL+AAAA4QEAABMAAAAAAAAAAAAA&#10;AAAAAAAAAFtDb250ZW50X1R5cGVzXS54bWxQSwECLQAUAAYACAAAACEAOP0h/9YAAACUAQAACwAA&#10;AAAAAAAAAAAAAAAvAQAAX3JlbHMvLnJlbHNQSwECLQAUAAYACAAAACEADlW3AwQCAADqAwAADgAA&#10;AAAAAAAAAAAAAAAuAgAAZHJzL2Uyb0RvYy54bWxQSwECLQAUAAYACAAAACEAGLsUW98AAAAJAQAA&#10;DwAAAAAAAAAAAAAAAABeBAAAZHJzL2Rvd25yZXYueG1sUEsFBgAAAAAEAAQA8wAAAGoFAAAAAA==&#10;" filled="f" stroked="f">
                <v:textbox inset="0,0,0,0">
                  <w:txbxContent>
                    <w:p>
                      <w:r>
                        <w:t>Statistical max</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2442845</wp:posOffset>
                </wp:positionH>
                <wp:positionV relativeFrom="paragraph">
                  <wp:posOffset>2344420</wp:posOffset>
                </wp:positionV>
                <wp:extent cx="2259330" cy="0"/>
                <wp:effectExtent l="0" t="76200" r="26670" b="114300"/>
                <wp:wrapNone/>
                <wp:docPr id="535" name="Straight Arrow Connector 535"/>
                <wp:cNvGraphicFramePr/>
                <a:graphic xmlns:a="http://schemas.openxmlformats.org/drawingml/2006/main">
                  <a:graphicData uri="http://schemas.microsoft.com/office/word/2010/wordprocessingShape">
                    <wps:wsp>
                      <wps:cNvCnPr/>
                      <wps:spPr>
                        <a:xfrm>
                          <a:off x="0" y="0"/>
                          <a:ext cx="2259330"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93473D" id="Straight Arrow Connector 535" o:spid="_x0000_s1026" type="#_x0000_t32" style="position:absolute;margin-left:192.35pt;margin-top:184.6pt;width:177.9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iu5AEAABcEAAAOAAAAZHJzL2Uyb0RvYy54bWysU9uO0zAQfUfiHyy/06StAkvUdIVa4AVB&#10;tct+gNexGwvfNDZN8veMnTSLgJUQ4sWxM3POzDlj724Ho8lFQFDONnS9KikRlrtW2XNDH75+eHVD&#10;SYjMtkw7Kxo6ikBv9y9f7Hpfi43rnG4FECSxoe59Q7sYfV0UgXfCsLByXlgMSgeGRTzCuWiB9chu&#10;dLEpy9dF76D14LgIAf8epyDdZ34pBY9fpAwiEt1Q7C3mFfL6mNZiv2P1GZjvFJ/bYP/QhWHKYtGF&#10;6sgiI99B/UZlFAcXnIwr7kzhpFRcZA2oZl3+oua+Y15kLWhO8ItN4f/R8s+XExDVNrTaVpRYZnBI&#10;9xGYOneRvANwPTk4a9FIByTloGO9DzUCD/YE8yn4EyT5gwSTviiMDNnlcXFZDJFw/LnZVG+3WxwG&#10;v8aKJ6CHED8KZ0jaNDTMnSwtrLPL7PIpRCyNwCsgVdWW9HgJq5s3VU5LsSMLHbkwHH+Lu2nekSn9&#10;3rYkjh7VsiQyBZBNW/wkeZOgvIujFhP7nZBoFUqYusiXVBw0zPzf1gsLZiaIVFovoDL39Cxozk0w&#10;kS/u3wKX7FzR2bgAjbIO/lQ1DtdW5ZR/VT1pTbIfXTvm8WY78PZlf+aXkq73z+cMf3rP+x8AAAD/&#10;/wMAUEsDBBQABgAIAAAAIQAzAmRf3AAAAAsBAAAPAAAAZHJzL2Rvd25yZXYueG1sTI9NS8QwEIbv&#10;gv8hjODNTa21u9amiwg9CloXvGabsak2k26T7tZ/7wiC3ubj4Z1nyu3iBnHEKfSeFFyvEhBIrTc9&#10;dQp2r/XVBkSImowePKGCLwywrc7PSl0Yf6IXPDaxExxCodAKbIxjIWVoLTodVn5E4t27n5yO3E6d&#10;NJM+cbgbZJokuXS6J75g9YiPFtvPZnYK0ueDm03+hLXtd7J+O8wfWYNKXV4sD/cgIi7xD4YffVaH&#10;ip32fiYTxKDgZpOtGeUiv0tBMLHOklsQ+9+JrEr5/4fqGwAA//8DAFBLAQItABQABgAIAAAAIQC2&#10;gziS/gAAAOEBAAATAAAAAAAAAAAAAAAAAAAAAABbQ29udGVudF9UeXBlc10ueG1sUEsBAi0AFAAG&#10;AAgAAAAhADj9If/WAAAAlAEAAAsAAAAAAAAAAAAAAAAALwEAAF9yZWxzLy5yZWxzUEsBAi0AFAAG&#10;AAgAAAAhAEZoCK7kAQAAFwQAAA4AAAAAAAAAAAAAAAAALgIAAGRycy9lMm9Eb2MueG1sUEsBAi0A&#10;FAAGAAgAAAAhADMCZF/cAAAACwEAAA8AAAAAAAAAAAAAAAAAPgQAAGRycy9kb3ducmV2LnhtbFBL&#10;BQYAAAAABAAEAPMAAABHBQAAAAA=&#10;" strokecolor="black [3040]" strokeweight="1.25pt">
                <v:stroke dashstyle="dash" endarrow="open"/>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3326486</wp:posOffset>
                </wp:positionH>
                <wp:positionV relativeFrom="paragraph">
                  <wp:posOffset>1319098</wp:posOffset>
                </wp:positionV>
                <wp:extent cx="1374775" cy="0"/>
                <wp:effectExtent l="0" t="76200" r="15875" b="114300"/>
                <wp:wrapNone/>
                <wp:docPr id="538" name="Straight Arrow Connector 538"/>
                <wp:cNvGraphicFramePr/>
                <a:graphic xmlns:a="http://schemas.openxmlformats.org/drawingml/2006/main">
                  <a:graphicData uri="http://schemas.microsoft.com/office/word/2010/wordprocessingShape">
                    <wps:wsp>
                      <wps:cNvCnPr/>
                      <wps:spPr>
                        <a:xfrm>
                          <a:off x="0" y="0"/>
                          <a:ext cx="1374775"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57952F" id="Straight Arrow Connector 538" o:spid="_x0000_s1026" type="#_x0000_t32" style="position:absolute;margin-left:261.95pt;margin-top:103.85pt;width:108.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MP4QEAABcEAAAOAAAAZHJzL2Uyb0RvYy54bWysU8GO0zAQvSPxD5bvNO0upauq6Qq1wAVB&#10;xcIHeB27sbA91tg0yd8zdtIsAoQQ4uLYmXlv5r2xd/e9s+yiMBrwNV8tlpwpL6Ex/lzzL5/fvrjj&#10;LCbhG2HBq5oPKvL7/fNnuy5s1Q20YBuFjEh83Hah5m1KYVtVUbbKibiAoDwFNaATiY54rhoUHbE7&#10;W90sl6+qDrAJCFLFSH+PY5DvC7/WSqaPWkeVmK059ZbKimV9zGu134ntGUVojZzaEP/QhRPGU9GZ&#10;6iiSYN/Q/ELljESIoNNCgqtAayNV0UBqVsuf1Dy0IqiihcyJYbYp/j9a+eFyQmaamq9vaVReOBrS&#10;Q0Jhzm1irxGhYwfwnowEZDmHHOtC3BLw4E84nWI4YZbfa3T5S8JYX1weZpdVn5ikn6vbzcvNZs2Z&#10;vMaqJ2DAmN4pcCxvah6nTuYWVsVlcXkfE5Um4BWQq1rPOuJf3xF7PufYUcSWXQSNv6HdOO8kjH3j&#10;G5aGQGpFFpkDxGY9fbK8UVDZpcGqkf2T0mRVllDoyyVVB4sT/9fVzEKZGaKNtTNo+WfQlJthqlzc&#10;vwXO2aUi+DQDnfGAv6ua+muresy/qh61ZtmP0AxlvMUOun3Fn+ml5Ov947nAn97z/jsAAAD//wMA&#10;UEsDBBQABgAIAAAAIQBHoHwH3AAAAAsBAAAPAAAAZHJzL2Rvd25yZXYueG1sTI/BSsQwEIbvgu8Q&#10;RvDmpta61dp0EaFHQeuC12wzNtVm0m3S3fr2jiCsx5n5+eb7y83iBnHAKfSeFFyvEhBIrTc9dQq2&#10;b/XVHYgQNRk9eEIF3xhgU52flbow/kiveGhiJxhCodAKbIxjIWVoLTodVn5E4tuHn5yOPE6dNJM+&#10;MtwNMk2StXS6J/5g9YhPFtuvZnYK0pe9m836GWvbb2X9vp8/swaVurxYHh9ARFziKQy/+qwOFTvt&#10;/EwmiEHBbXpzz1GGJXkOghN5lmQgdn8bWZXyf4fqBwAA//8DAFBLAQItABQABgAIAAAAIQC2gziS&#10;/gAAAOEBAAATAAAAAAAAAAAAAAAAAAAAAABbQ29udGVudF9UeXBlc10ueG1sUEsBAi0AFAAGAAgA&#10;AAAhADj9If/WAAAAlAEAAAsAAAAAAAAAAAAAAAAALwEAAF9yZWxzLy5yZWxzUEsBAi0AFAAGAAgA&#10;AAAhADFMsw/hAQAAFwQAAA4AAAAAAAAAAAAAAAAALgIAAGRycy9lMm9Eb2MueG1sUEsBAi0AFAAG&#10;AAgAAAAhAEegfAfcAAAACwEAAA8AAAAAAAAAAAAAAAAAOwQAAGRycy9kb3ducmV2LnhtbFBLBQYA&#10;AAAABAAEAPMAAABEBQAAAAA=&#10;" strokecolor="black [3040]" strokeweight="1.25pt">
                <v:stroke dashstyle="dash" endarrow="open"/>
              </v:shap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3326765</wp:posOffset>
                </wp:positionH>
                <wp:positionV relativeFrom="paragraph">
                  <wp:posOffset>916305</wp:posOffset>
                </wp:positionV>
                <wp:extent cx="1374775" cy="0"/>
                <wp:effectExtent l="0" t="76200" r="15875" b="114300"/>
                <wp:wrapNone/>
                <wp:docPr id="608" name="Straight Arrow Connector 608"/>
                <wp:cNvGraphicFramePr/>
                <a:graphic xmlns:a="http://schemas.openxmlformats.org/drawingml/2006/main">
                  <a:graphicData uri="http://schemas.microsoft.com/office/word/2010/wordprocessingShape">
                    <wps:wsp>
                      <wps:cNvCnPr/>
                      <wps:spPr>
                        <a:xfrm>
                          <a:off x="0" y="0"/>
                          <a:ext cx="1374775"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9B2010" id="Straight Arrow Connector 608" o:spid="_x0000_s1026" type="#_x0000_t32" style="position:absolute;margin-left:261.95pt;margin-top:72.15pt;width:10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i4QEAABcEAAAOAAAAZHJzL2Uyb0RvYy54bWysU8GO0zAQvSPxD5bvNOnCbldV0xVqgQuC&#10;imU/wOvYjYXtscamaf6esZNmEaAVQlwcOzPvzbw39ubu7Cw7KYwGfMOXi5oz5SW0xh8b/vD1/atb&#10;zmISvhUWvGr4oCK/2758senDWl1BB7ZVyIjEx3UfGt6lFNZVFWWnnIgLCMpTUAM6keiIx6pF0RO7&#10;s9VVXd9UPWAbEKSKkf7uxyDfFn6tlUyftY4qMdtw6i2VFcv6mNdquxHrI4rQGTm1If6hCyeMp6Iz&#10;1V4kwb6j+Y3KGYkQQaeFBFeB1kaqooHULOtf1Nx3IqiihcyJYbYp/j9a+el0QGbaht/UNCovHA3p&#10;PqEwxy6xt4jQsx14T0YCspxDjvUhrgm48wecTjEcMMs/a3T5S8LYubg8zC6rc2KSfi5fr96sVtec&#10;yUusegIGjOmDAsfypuFx6mRuYVlcFqePMVFpAl4Auar1rCf+61tiz+cc24vYsZOg8be0G+edhLHv&#10;fMvSEEityCJzgNisp0+WNwoquzRYNbJ/UZqsyhIKfbmkamdx4v+2nFkoM0O0sXYG1c+DptwMU+Xi&#10;/i1wzi4VwacZ6IwH/FPVdL60qsf8i+pRa5b9CO1QxlvsoNtX/JleSr7eP58L/Ok9b38AAAD//wMA&#10;UEsDBBQABgAIAAAAIQAhh26C3QAAAAsBAAAPAAAAZHJzL2Rvd25yZXYueG1sTI/BTsMwDIbvSLxD&#10;ZCRuLKUrYytNJ4TUIxKUSVyzxjSFxumadCtvj5GQxtH+P/3+XGxn14sjjqHzpOB2kYBAarzpqFWw&#10;e6tu1iBC1GR07wkVfGOAbXl5Uejc+BO94rGOreASCrlWYGMccilDY9HpsPADEmcffnQ68ji20oz6&#10;xOWul2mSrKTTHfEFqwd8sth81ZNTkL4c3GRWz1jZbier98P0mdWo1PXV/PgAIuIczzD86rM6lOy0&#10;9xOZIHoFd+lywygHWbYEwcR9lmQg9n8bWRby/w/lDwAAAP//AwBQSwECLQAUAAYACAAAACEAtoM4&#10;kv4AAADhAQAAEwAAAAAAAAAAAAAAAAAAAAAAW0NvbnRlbnRfVHlwZXNdLnhtbFBLAQItABQABgAI&#10;AAAAIQA4/SH/1gAAAJQBAAALAAAAAAAAAAAAAAAAAC8BAABfcmVscy8ucmVsc1BLAQItABQABgAI&#10;AAAAIQBby+9i4QEAABcEAAAOAAAAAAAAAAAAAAAAAC4CAABkcnMvZTJvRG9jLnhtbFBLAQItABQA&#10;BgAIAAAAIQAhh26C3QAAAAsBAAAPAAAAAAAAAAAAAAAAADsEAABkcnMvZG93bnJldi54bWxQSwUG&#10;AAAAAAQABADzAAAARQUAAAAA&#10;" strokecolor="black [3040]" strokeweight="1.25pt">
                <v:stroke dashstyle="dash" endarrow="open"/>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2676118</wp:posOffset>
                </wp:positionH>
                <wp:positionV relativeFrom="paragraph">
                  <wp:posOffset>1596923</wp:posOffset>
                </wp:positionV>
                <wp:extent cx="2025650" cy="0"/>
                <wp:effectExtent l="0" t="76200" r="12700" b="114300"/>
                <wp:wrapNone/>
                <wp:docPr id="618" name="Straight Arrow Connector 618"/>
                <wp:cNvGraphicFramePr/>
                <a:graphic xmlns:a="http://schemas.openxmlformats.org/drawingml/2006/main">
                  <a:graphicData uri="http://schemas.microsoft.com/office/word/2010/wordprocessingShape">
                    <wps:wsp>
                      <wps:cNvCnPr/>
                      <wps:spPr>
                        <a:xfrm>
                          <a:off x="0" y="0"/>
                          <a:ext cx="2025650"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30CDC9" id="Straight Arrow Connector 618" o:spid="_x0000_s1026" type="#_x0000_t32" style="position:absolute;margin-left:210.7pt;margin-top:125.75pt;width:15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qW4wEAABcEAAAOAAAAZHJzL2Uyb0RvYy54bWysU9uO0zAQfUfiHyy/06SVWlZV0xVqgRcE&#10;Fbt8gNexGwvbY41Nk/49YyfNIi4SQrw4dmbOmTln7N394Cy7KIwGfMOXi5oz5SW0xp8b/uXx3as7&#10;zmISvhUWvGr4VUV+v3/5YteHrVpBB7ZVyIjEx20fGt6lFLZVFWWnnIgLCMpTUAM6keiI56pF0RO7&#10;s9WqrjdVD9gGBKlipL/HMcj3hV9rJdMnraNKzDacektlxbI+5bXa78T2jCJ0Rk5tiH/owgnjqehM&#10;dRRJsG9ofqFyRiJE0GkhwVWgtZGqaCA1y/onNQ+dCKpoIXNimG2K/49WfryckJm24ZsljcoLR0N6&#10;SCjMuUvsDSL07ADek5GALOeQY32IWwIe/AmnUwwnzPIHjS5/SRgbisvX2WU1JCbp56perTdrGoa8&#10;xapnYMCY3itwLG8aHqdO5haWxWVx+RATlSbgDZCrWs96uoTru9frkpZjRxE7dhE0/pZ247yTMPat&#10;b1m6BlIrssgcIDbr6ZPljYLKLl2tGtk/K01WkYSxi3JJ1cHixP91ObNQZoZoY+0MqktPfwRNuRmm&#10;ysX9W+CcXSqCTzPQGQ/4u6ppuLWqx/yb6lFrlv0E7bWMt9hBt6/4M72UfL1/PBf483vefwcAAP//&#10;AwBQSwMEFAAGAAgAAAAhAOatz9rcAAAACwEAAA8AAABkcnMvZG93bnJldi54bWxMj8FKw0AQhu+C&#10;77CM4M1uEtIqMZsiQo6CxoLXbXbMps3OptlNG9/eEQQ9zj8/33xTbhc3iDNOofekIF0lIJBab3rq&#10;FOze67sHECFqMnrwhAq+MMC2ur4qdWH8hd7w3MROMIRCoRXYGMdCytBadDqs/IjEu08/OR15nDpp&#10;Jn1huBtkliQb6XRPfMHqEZ8ttsdmdgqy15ObzeYFa9vvZP1xmg95g0rd3ixPjyAiLvGvDD/6rA4V&#10;O+39TCaIQUGepTlXGbZO1yC4cZ8nnOx/E1mV8v8P1TcAAAD//wMAUEsBAi0AFAAGAAgAAAAhALaD&#10;OJL+AAAA4QEAABMAAAAAAAAAAAAAAAAAAAAAAFtDb250ZW50X1R5cGVzXS54bWxQSwECLQAUAAYA&#10;CAAAACEAOP0h/9YAAACUAQAACwAAAAAAAAAAAAAAAAAvAQAAX3JlbHMvLnJlbHNQSwECLQAUAAYA&#10;CAAAACEA+r4qluMBAAAXBAAADgAAAAAAAAAAAAAAAAAuAgAAZHJzL2Uyb0RvYy54bWxQSwECLQAU&#10;AAYACAAAACEA5q3P2twAAAALAQAADwAAAAAAAAAAAAAAAAA9BAAAZHJzL2Rvd25yZXYueG1sUEsF&#10;BgAAAAAEAAQA8wAAAEYFAAAAAA==&#10;" strokecolor="black [3040]" strokeweight="1.25pt">
                <v:stroke dashstyle="dash" endarrow="open"/>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3328391</wp:posOffset>
                </wp:positionH>
                <wp:positionV relativeFrom="paragraph">
                  <wp:posOffset>669798</wp:posOffset>
                </wp:positionV>
                <wp:extent cx="1374775" cy="0"/>
                <wp:effectExtent l="0" t="76200" r="15875" b="114300"/>
                <wp:wrapNone/>
                <wp:docPr id="629" name="Straight Arrow Connector 629"/>
                <wp:cNvGraphicFramePr/>
                <a:graphic xmlns:a="http://schemas.openxmlformats.org/drawingml/2006/main">
                  <a:graphicData uri="http://schemas.microsoft.com/office/word/2010/wordprocessingShape">
                    <wps:wsp>
                      <wps:cNvCnPr/>
                      <wps:spPr>
                        <a:xfrm>
                          <a:off x="0" y="0"/>
                          <a:ext cx="1374775"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3E3753" id="Straight Arrow Connector 629" o:spid="_x0000_s1026" type="#_x0000_t32" style="position:absolute;margin-left:262.1pt;margin-top:52.75pt;width:10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pG4QEAABcEAAAOAAAAZHJzL2Uyb0RvYy54bWysU9uO0zAQfUfiHyy/0ySF3e5GTVeoBV4Q&#10;VLvLB3gdu7HwTWPTJH/P2EmzCBBCiBffZs6ZOcf29m4wmpwFBOVsQ6tVSYmw3LXKnhr65fH9qxtK&#10;QmS2ZdpZ0dBRBHq3e/li2/tarF3ndCuAIIkNde8b2sXo66IIvBOGhZXzwmJQOjAs4hZORQusR3aj&#10;i3VZXhe9g9aD4yIEPD1MQbrL/FIKHj9LGUQkuqHYW8wj5PEpjcVuy+oTMN8pPrfB/qELw5TFogvV&#10;gUVGvoH6hcooDi44GVfcmcJJqbjIGlBNVf6k5qFjXmQtaE7wi03h/9HyT+cjENU29Hp9S4llBi/p&#10;IQJTpy6StwCuJ3tnLRrpgKQcdKz3oUbg3h5h3gV/hCR/kGDSjMLIkF0eF5fFEAnHw+r15s1mc0UJ&#10;v8SKZ6CHED8IZ0haNDTMnSwtVNlldv4YIpZG4AWQqmpLeuS/ukH2tE+xAwsdOTO8/hZX031HpvQ7&#10;25I4elTLksgUQDZtcUryJkF5FUctJvZ7IdGqJCHT50cq9hpm/q/VwoKZCSKV1guo/DNozk0wkR/u&#10;3wKX7FzR2bgAjbIOflc1DpdW5ZR/UT1pTbKfXDvm68124OvL/sw/JT3vH/cZ/vyfd98BAAD//wMA&#10;UEsDBBQABgAIAAAAIQD6VQe/3AAAAAsBAAAPAAAAZHJzL2Rvd25yZXYueG1sTI/BSsNAEIbvgu+w&#10;jODN7hqSVtJsigg5ChoLXrfZMUnNzqbZTRvf3hEEPc78H/98U+wWN4gzTqH3pOF+pUAgNd721GrY&#10;v1V3DyBCNGTN4Ak1fGGAXXl9VZjc+gu94rmOreASCrnR0MU45lKGpkNnwsqPSJx9+MmZyOPUSjuZ&#10;C5e7QSZKraUzPfGFzoz41GHzWc9OQ/JycrNdP2PV9XtZvZ/mY1qj1rc3y+MWRMQl/sHwo8/qULLT&#10;wc9kgxg0ZEmaMMqByjIQTGxStQFx+N3IspD/fyi/AQAA//8DAFBLAQItABQABgAIAAAAIQC2gziS&#10;/gAAAOEBAAATAAAAAAAAAAAAAAAAAAAAAABbQ29udGVudF9UeXBlc10ueG1sUEsBAi0AFAAGAAgA&#10;AAAhADj9If/WAAAAlAEAAAsAAAAAAAAAAAAAAAAALwEAAF9yZWxzLy5yZWxzUEsBAi0AFAAGAAgA&#10;AAAhAAJ9ykbhAQAAFwQAAA4AAAAAAAAAAAAAAAAALgIAAGRycy9lMm9Eb2MueG1sUEsBAi0AFAAG&#10;AAgAAAAhAPpVB7/cAAAACwEAAA8AAAAAAAAAAAAAAAAAOwQAAGRycy9kb3ducmV2LnhtbFBLBQYA&#10;AAAABAAEAPMAAABEBQAAAAA=&#10;" strokecolor="black [3040]" strokeweight="1.25pt">
                <v:stroke dashstyle="dash" endarrow="open"/>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2677160</wp:posOffset>
                </wp:positionH>
                <wp:positionV relativeFrom="paragraph">
                  <wp:posOffset>427990</wp:posOffset>
                </wp:positionV>
                <wp:extent cx="2025650" cy="0"/>
                <wp:effectExtent l="0" t="76200" r="12700" b="114300"/>
                <wp:wrapNone/>
                <wp:docPr id="639" name="Straight Arrow Connector 639"/>
                <wp:cNvGraphicFramePr/>
                <a:graphic xmlns:a="http://schemas.openxmlformats.org/drawingml/2006/main">
                  <a:graphicData uri="http://schemas.microsoft.com/office/word/2010/wordprocessingShape">
                    <wps:wsp>
                      <wps:cNvCnPr/>
                      <wps:spPr>
                        <a:xfrm>
                          <a:off x="0" y="0"/>
                          <a:ext cx="2025650" cy="0"/>
                        </a:xfrm>
                        <a:prstGeom prst="straightConnector1">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80AFD8" id="Straight Arrow Connector 639" o:spid="_x0000_s1026" type="#_x0000_t32" style="position:absolute;margin-left:210.8pt;margin-top:33.7pt;width:159.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y5AEAABcEAAAOAAAAZHJzL2Uyb0RvYy54bWysU8GO0zAQvSPxD5bvNGlRy1I1XaEWuCCo&#10;dtkP8Dp2Y2F7rLFp2r9n7KRZBKyEEBfHzsx7M++Nvbk9O8tOCqMB3/D5rOZMeQmt8ceGP3z98OqG&#10;s5iEb4UFrxp+UZHfbl++2PRhrRbQgW0VMiLxcd2HhncphXVVRdkpJ+IMgvIU1IBOJDrisWpR9MTu&#10;bLWo61XVA7YBQaoY6e9+CPJt4ddayfRF66gSsw2n3lJZsayPea22G7E+ogidkWMb4h+6cMJ4KjpR&#10;7UUS7Dua36ickQgRdJpJcBVobaQqGkjNvP5FzX0ngipayJwYJpvi/6OVn08HZKZt+Or1W868cDSk&#10;+4TCHLvE3iFCz3bgPRkJyHIOOdaHuCbgzh9wPMVwwCz/rNHlLwlj5+LyZXJZnROT9HNRL5arJQ1D&#10;XmPVEzBgTB8VOJY3DY9jJ1ML8+KyOH2KiUoT8ArIVa1nPV3C5c2bZUnLsb2IHTsJGn9Lu2HeSRj7&#10;3rcsXQKpFVlkDhCb9fTJ8gZBZZcuVg3sd0qTVSRh6KJcUrWzOPJ/m08slJkh2lg7gerS07OgMTfD&#10;VLm4fwucsktF8GkCOuMB/1Q1na+t6iH/qnrQmmU/Qnsp4y120O0r/owvJV/vn88F/vSetz8AAAD/&#10;/wMAUEsDBBQABgAIAAAAIQDQdXWc2wAAAAkBAAAPAAAAZHJzL2Rvd25yZXYueG1sTI/BTsMwDIbv&#10;SLxDZCRuLF1Vdag0nRBSj0isTNo1a0xTaJyuSbfu7THiAEf//vT7c7ld3CDOOIXek4L1KgGB1HrT&#10;U6dg/14/PIIIUZPRgydUcMUA2+r2ptSF8Rfa4bmJneASCoVWYGMcCylDa9HpsPIjEu8+/OR05HHq&#10;pJn0hcvdINMkyaXTPfEFq0d8sdh+NbNTkL6d3GzyV6xtv5f14TR/Zg0qdX+3PD+BiLjEPxh+9Fkd&#10;KnY6+plMEIOCLF3njCrINxkIBjZZwsHxN5BVKf9/UH0DAAD//wMAUEsBAi0AFAAGAAgAAAAhALaD&#10;OJL+AAAA4QEAABMAAAAAAAAAAAAAAAAAAAAAAFtDb250ZW50X1R5cGVzXS54bWxQSwECLQAUAAYA&#10;CAAAACEAOP0h/9YAAACUAQAACwAAAAAAAAAAAAAAAAAvAQAAX3JlbHMvLnJlbHNQSwECLQAUAAYA&#10;CAAAACEAowgPsuQBAAAXBAAADgAAAAAAAAAAAAAAAAAuAgAAZHJzL2Uyb0RvYy54bWxQSwECLQAU&#10;AAYACAAAACEA0HV1nNsAAAAJAQAADwAAAAAAAAAAAAAAAAA+BAAAZHJzL2Rvd25yZXYueG1sUEsF&#10;BgAAAAAEAAQA8wAAAEYFAAAAAA==&#10;" strokecolor="black [3040]" strokeweight="1.25pt">
                <v:stroke dashstyle="dash" endarrow="open"/>
              </v:shape>
            </w:pict>
          </mc:Fallback>
        </mc:AlternateContent>
      </w:r>
      <w:r>
        <w:rPr>
          <w:noProof/>
          <w:lang w:eastAsia="en-GB"/>
        </w:rPr>
        <w:drawing>
          <wp:inline distT="0" distB="0" distL="0" distR="0">
            <wp:extent cx="4323080" cy="2523490"/>
            <wp:effectExtent l="0" t="0" r="1270" b="0"/>
            <wp:docPr id="649" name="Picture 64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
                    <pic:cNvPicPr>
                      <a:picLocks noGrp="1" noRot="1" noChangeAspect="1" noMove="1" noResize="1" noEditPoints="1" noAdjustHandles="1"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3080" cy="2523490"/>
                    </a:xfrm>
                    <a:prstGeom prst="rect">
                      <a:avLst/>
                    </a:prstGeom>
                    <a:noFill/>
                    <a:ln>
                      <a:noFill/>
                    </a:ln>
                  </pic:spPr>
                </pic:pic>
              </a:graphicData>
            </a:graphic>
          </wp:inline>
        </w:drawing>
      </w:r>
    </w:p>
    <w:p>
      <w:pPr>
        <w:rPr>
          <w:noProof/>
        </w:rPr>
      </w:pPr>
      <w:r>
        <w:rPr>
          <w:noProof/>
        </w:rPr>
        <w:t>T</w:t>
      </w:r>
      <w:r>
        <w:rPr>
          <w:bCs/>
          <w:noProof/>
        </w:rPr>
        <w:t>o preserve confidentiality, averages are presented only when based on observations from at least three independent companies. Box plots are shown only when data are available from at least six plants belonging to three independent companies.</w:t>
      </w:r>
    </w:p>
    <w:p>
      <w:pPr>
        <w:rPr>
          <w:noProof/>
        </w:rPr>
      </w:pPr>
      <w:r>
        <w:rPr>
          <w:noProof/>
        </w:rPr>
        <w:t>In addition to simple averages, weighted averages were also estimated but are not presented here. Unless specified, average values always refer to simple averages in the text, tables and figures below.</w:t>
      </w:r>
    </w:p>
    <w:bookmarkEnd w:id="26"/>
    <w:bookmarkEnd w:id="27"/>
    <w:bookmarkEnd w:id="28"/>
    <w:p>
      <w:pPr>
        <w:rPr>
          <w:noProof/>
        </w:rPr>
      </w:pPr>
      <w:r>
        <w:rPr>
          <w:noProof/>
          <w:lang w:eastAsia="ar-SA"/>
        </w:rPr>
        <w:t xml:space="preserve">For full details on the methodology applied, including the composition of the samples, data collection and validation process, or the estimates of the </w:t>
      </w:r>
      <w:r>
        <w:rPr>
          <w:noProof/>
        </w:rPr>
        <w:t>weighted averages</w:t>
      </w:r>
      <w:r>
        <w:rPr>
          <w:noProof/>
          <w:lang w:eastAsia="ar-SA"/>
        </w:rPr>
        <w:t>, we refer the reader to the report prepared by CEPS and Ecofys</w:t>
      </w:r>
      <w:r>
        <w:rPr>
          <w:rStyle w:val="FootnoteReference"/>
          <w:noProof/>
        </w:rPr>
        <w:footnoteReference w:id="6"/>
      </w:r>
      <w:r>
        <w:rPr>
          <w:noProof/>
          <w:lang w:eastAsia="ar-SA"/>
        </w:rPr>
        <w:t>.</w:t>
      </w:r>
    </w:p>
    <w:p>
      <w:pPr>
        <w:rPr>
          <w:noProof/>
        </w:rPr>
      </w:pP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29" w:name="_Toc526434036"/>
      <w:bookmarkStart w:id="30" w:name="_Toc526435980"/>
      <w:bookmarkStart w:id="31" w:name="_Toc527544405"/>
      <w:bookmarkStart w:id="32" w:name="_Toc530741628"/>
      <w:r>
        <w:rPr>
          <w:noProof/>
          <w:lang w:eastAsia="en-GB"/>
        </w:rPr>
        <w:t>IRON AND STEEL</w:t>
      </w:r>
      <w:bookmarkEnd w:id="29"/>
      <w:bookmarkEnd w:id="30"/>
      <w:bookmarkEnd w:id="31"/>
      <w:bookmarkEnd w:id="32"/>
    </w:p>
    <w:p>
      <w:pPr>
        <w:pStyle w:val="Heading3"/>
        <w:rPr>
          <w:noProof/>
        </w:rPr>
      </w:pPr>
      <w:bookmarkStart w:id="33" w:name="_Toc527051448"/>
      <w:bookmarkStart w:id="34" w:name="_Toc530741629"/>
      <w:r>
        <w:rPr>
          <w:noProof/>
        </w:rPr>
        <w:t>General information and sample composition</w:t>
      </w:r>
      <w:bookmarkEnd w:id="33"/>
      <w:bookmarkEnd w:id="34"/>
    </w:p>
    <w:p>
      <w:pPr>
        <w:rPr>
          <w:noProof/>
          <w:lang w:eastAsia="en-GB"/>
        </w:rPr>
      </w:pPr>
      <w:r>
        <w:rPr>
          <w:noProof/>
          <w:lang w:eastAsia="en-GB"/>
        </w:rPr>
        <w:t xml:space="preserve">Steelmaking covers </w:t>
      </w:r>
      <w:r>
        <w:rPr>
          <w:rFonts w:eastAsiaTheme="minorHAnsi"/>
          <w:noProof/>
        </w:rPr>
        <w:t>all the processes required to transform raw materials into finished steel products and includes the activities from c</w:t>
      </w:r>
      <w:r>
        <w:rPr>
          <w:noProof/>
          <w:lang w:eastAsia="en-GB"/>
        </w:rPr>
        <w:t xml:space="preserve">oke ovens, sinter and pellet plants, blast furnaces, steel furnaces and rolling and finishing mills. In terms of </w:t>
      </w:r>
      <w:r>
        <w:rPr>
          <w:noProof/>
        </w:rPr>
        <w:t xml:space="preserve">NACE Rev.2 classification, it includes sectors </w:t>
      </w:r>
      <w:r>
        <w:rPr>
          <w:noProof/>
          <w:lang w:eastAsia="en-GB"/>
        </w:rPr>
        <w:t>24.1, 24.2, 24.31, 24.32, 24.51 and 24.52.</w:t>
      </w:r>
    </w:p>
    <w:p>
      <w:pPr>
        <w:rPr>
          <w:noProof/>
          <w:lang w:eastAsia="en-GB"/>
        </w:rPr>
      </w:pPr>
      <w:r>
        <w:rPr>
          <w:noProof/>
          <w:lang w:eastAsia="en-GB"/>
        </w:rPr>
        <w:t>Steelmaking plants are usually classified into different groups:</w:t>
      </w:r>
    </w:p>
    <w:p>
      <w:pPr>
        <w:pStyle w:val="ListParagraph"/>
        <w:numPr>
          <w:ilvl w:val="0"/>
          <w:numId w:val="2"/>
        </w:numPr>
        <w:rPr>
          <w:noProof/>
        </w:rPr>
      </w:pPr>
      <w:r>
        <w:rPr>
          <w:noProof/>
        </w:rPr>
        <w:t>Integrated mills</w:t>
      </w:r>
      <w:r>
        <w:rPr>
          <w:noProof/>
          <w:lang w:eastAsia="en-GB"/>
        </w:rPr>
        <w:t>: these plants transform iron ore into sinter (sinter plant) or pellets (pellet plant) and coking coal into coke (coke ovens); sinter/pellets, coke and scrap are then transformed into steel through a blast furnace and basic oxygen furnace (BOF) and casted into s</w:t>
      </w:r>
      <w:r>
        <w:rPr>
          <w:noProof/>
        </w:rPr>
        <w:t xml:space="preserve">emi-finished products, which are further processed in </w:t>
      </w:r>
      <w:r>
        <w:rPr>
          <w:noProof/>
          <w:lang w:eastAsia="en-GB"/>
        </w:rPr>
        <w:t xml:space="preserve">rolling and finishing facilities. All the production stages are generally performed on the same site. In the following, these </w:t>
      </w:r>
      <w:r>
        <w:rPr>
          <w:noProof/>
        </w:rPr>
        <w:t>plants are referred to as BOF plants</w:t>
      </w:r>
      <w:r>
        <w:rPr>
          <w:noProof/>
          <w:lang w:eastAsia="en-GB"/>
        </w:rPr>
        <w:t>.</w:t>
      </w:r>
    </w:p>
    <w:p>
      <w:pPr>
        <w:pStyle w:val="ListParagraph"/>
        <w:numPr>
          <w:ilvl w:val="0"/>
          <w:numId w:val="2"/>
        </w:numPr>
        <w:rPr>
          <w:noProof/>
        </w:rPr>
      </w:pPr>
      <w:r>
        <w:rPr>
          <w:noProof/>
        </w:rPr>
        <w:t xml:space="preserve">Minimills: these plants, much smaller than the integrated ones, recycle steel scrap in </w:t>
      </w:r>
      <w:r>
        <w:rPr>
          <w:noProof/>
          <w:lang w:eastAsia="en-GB"/>
        </w:rPr>
        <w:t>electric arc furnaces (</w:t>
      </w:r>
      <w:r>
        <w:rPr>
          <w:noProof/>
        </w:rPr>
        <w:t xml:space="preserve">EAF) to make steel. </w:t>
      </w:r>
      <w:r>
        <w:rPr>
          <w:noProof/>
          <w:lang w:eastAsia="en-GB"/>
        </w:rPr>
        <w:t>S</w:t>
      </w:r>
      <w:r>
        <w:rPr>
          <w:noProof/>
        </w:rPr>
        <w:t xml:space="preserve">emi-finished casting products are further processed in </w:t>
      </w:r>
      <w:r>
        <w:rPr>
          <w:noProof/>
          <w:lang w:eastAsia="en-GB"/>
        </w:rPr>
        <w:t>rolling and finishing facilities</w:t>
      </w:r>
      <w:r>
        <w:rPr>
          <w:noProof/>
        </w:rPr>
        <w:t xml:space="preserve">. </w:t>
      </w:r>
      <w:r>
        <w:rPr>
          <w:noProof/>
          <w:lang w:eastAsia="en-GB"/>
        </w:rPr>
        <w:t xml:space="preserve">In the following, these </w:t>
      </w:r>
      <w:r>
        <w:rPr>
          <w:noProof/>
        </w:rPr>
        <w:t>plants are referred to as EAF plants.</w:t>
      </w:r>
    </w:p>
    <w:p>
      <w:pPr>
        <w:pStyle w:val="ListParagraph"/>
        <w:numPr>
          <w:ilvl w:val="0"/>
          <w:numId w:val="2"/>
        </w:numPr>
        <w:rPr>
          <w:noProof/>
        </w:rPr>
      </w:pPr>
      <w:r>
        <w:rPr>
          <w:noProof/>
        </w:rPr>
        <w:t xml:space="preserve">Other steelworks: these steelmaking plants are based on other production route, such as smelting reduction (which avoids the coke making process of the integrated mills) or direct reduced iron (which is used as </w:t>
      </w:r>
      <w:r>
        <w:rPr>
          <w:noProof/>
          <w:lang w:eastAsia="en-GB"/>
        </w:rPr>
        <w:t xml:space="preserve">feedstock in </w:t>
      </w:r>
      <w:r>
        <w:rPr>
          <w:noProof/>
        </w:rPr>
        <w:t>EAF). These plants are, however, still marginal in Europe.</w:t>
      </w:r>
    </w:p>
    <w:p>
      <w:pPr>
        <w:pStyle w:val="ListParagraph"/>
        <w:numPr>
          <w:ilvl w:val="0"/>
          <w:numId w:val="2"/>
        </w:numPr>
        <w:rPr>
          <w:noProof/>
        </w:rPr>
      </w:pPr>
      <w:r>
        <w:rPr>
          <w:noProof/>
        </w:rPr>
        <w:t xml:space="preserve">Rolling and finishing mills: these plants only process casting products (ingots, slabs, billets or blooms) to transform them </w:t>
      </w:r>
      <w:r>
        <w:rPr>
          <w:rFonts w:eastAsiaTheme="minorHAnsi"/>
          <w:noProof/>
        </w:rPr>
        <w:t>into finished steel products</w:t>
      </w:r>
      <w:r>
        <w:rPr>
          <w:noProof/>
        </w:rPr>
        <w:t>.</w:t>
      </w:r>
    </w:p>
    <w:p>
      <w:pPr>
        <w:rPr>
          <w:noProof/>
          <w:lang w:eastAsia="en-GB"/>
        </w:rPr>
      </w:pPr>
      <w:r>
        <w:rPr>
          <w:noProof/>
        </w:rPr>
        <w:t xml:space="preserve">The analysis here focusses on EAF and BOF plants (other steelworks are marginal, while rolling and finishing plants are much less energy intensive). </w:t>
      </w:r>
      <w:r>
        <w:rPr>
          <w:noProof/>
          <w:lang w:eastAsia="en-GB"/>
        </w:rPr>
        <w:t>Electricity is the main energy source for EAF plants (</w:t>
      </w:r>
      <w:r>
        <w:rPr>
          <w:noProof/>
        </w:rPr>
        <w:t>around 10% of total production costs)</w:t>
      </w:r>
      <w:r>
        <w:rPr>
          <w:noProof/>
          <w:lang w:eastAsia="en-GB"/>
        </w:rPr>
        <w:t>. In the case of BOF plants, main energy source is coking coal (or coke), but no reliable information could be gathered on this fuel. Electricity and natural gas are secondary fuels for BOF plants (their costs altogether represent on average less than 5% of total production costs).</w:t>
      </w:r>
    </w:p>
    <w:p>
      <w:pPr>
        <w:rPr>
          <w:bCs/>
          <w:noProof/>
        </w:rPr>
      </w:pPr>
      <w:r>
        <w:rPr>
          <w:noProof/>
          <w:lang w:eastAsia="it-IT"/>
        </w:rPr>
        <w:t xml:space="preserve">The steel sector went through consolidation in the EU, where relatively few companies account for a large share of steel production. The sector is particularly characterised by high capital investments, high economies of scale and excess capacities (high entry and exit barriers). EU steel </w:t>
      </w:r>
      <w:r>
        <w:rPr>
          <w:noProof/>
        </w:rPr>
        <w:t>production has remained fairly stable</w:t>
      </w:r>
      <w:r>
        <w:rPr>
          <w:noProof/>
          <w:lang w:eastAsia="it-IT"/>
        </w:rPr>
        <w:t xml:space="preserve"> s</w:t>
      </w:r>
      <w:r>
        <w:rPr>
          <w:noProof/>
        </w:rPr>
        <w:t xml:space="preserve">ince 2012 </w:t>
      </w:r>
      <w:r>
        <w:rPr>
          <w:noProof/>
          <w:lang w:eastAsia="it-IT"/>
        </w:rPr>
        <w:t xml:space="preserve">but </w:t>
      </w:r>
      <w:r>
        <w:rPr>
          <w:noProof/>
        </w:rPr>
        <w:t>is still far from the pre-crisis level. On average,</w:t>
      </w:r>
      <w:r>
        <w:rPr>
          <w:bCs/>
          <w:noProof/>
        </w:rPr>
        <w:t xml:space="preserve"> BOF plants</w:t>
      </w:r>
      <w:r>
        <w:rPr>
          <w:noProof/>
        </w:rPr>
        <w:t xml:space="preserve"> </w:t>
      </w:r>
      <w:r>
        <w:rPr>
          <w:bCs/>
          <w:noProof/>
        </w:rPr>
        <w:t xml:space="preserve">account for 60% of EU steel production whereas EAF plants account for 40%. </w:t>
      </w:r>
      <w:r>
        <w:rPr>
          <w:noProof/>
        </w:rPr>
        <w:t>Main EU producing countries (based on 2016 production value) include Germany (26%), Italy (14%), France (9%), Spain (8%), Poland (6%) and Belgium (5%).</w:t>
      </w:r>
    </w:p>
    <w:p>
      <w:pPr>
        <w:rPr>
          <w:noProof/>
        </w:rPr>
      </w:pPr>
      <w:r>
        <w:rPr>
          <w:noProof/>
        </w:rPr>
        <w:t xml:space="preserve">Overall, the EU is a net importer of steel, importing in particular from Russia and China. Major </w:t>
      </w:r>
      <w:r>
        <w:rPr>
          <w:bCs/>
          <w:noProof/>
        </w:rPr>
        <w:t xml:space="preserve">EU export destinations include </w:t>
      </w:r>
      <w:r>
        <w:rPr>
          <w:noProof/>
        </w:rPr>
        <w:t>Turkey, closely followed by the United States.</w:t>
      </w:r>
    </w:p>
    <w:p>
      <w:pPr>
        <w:rPr>
          <w:noProof/>
        </w:rPr>
      </w:pPr>
      <w:r>
        <w:rPr>
          <w:noProof/>
          <w:lang w:eastAsia="it-IT"/>
        </w:rPr>
        <w:t xml:space="preserve">In the EU there are 32 BOF plants and 170 EAF plants. A typical BOF plant has a </w:t>
      </w:r>
      <w:r>
        <w:rPr>
          <w:bCs/>
          <w:noProof/>
          <w:lang w:eastAsia="it-IT"/>
        </w:rPr>
        <w:t xml:space="preserve">capacity of 3.75 million tonnes/year whereas EAF plant capacity is around 0.5 million tonnes/year. </w:t>
      </w:r>
      <w:r>
        <w:rPr>
          <w:noProof/>
        </w:rPr>
        <w:t xml:space="preserve">The BOF sample includes 7 plants across Europe (three in CEE region and four in NWE region), representing around 26% </w:t>
      </w:r>
      <w:r>
        <w:rPr>
          <w:noProof/>
          <w:lang w:eastAsia="de-DE"/>
        </w:rPr>
        <w:t>of total EU BOF crude steel capacity</w:t>
      </w:r>
      <w:r>
        <w:rPr>
          <w:noProof/>
        </w:rPr>
        <w:t xml:space="preserve"> (2016). The EAF sample includes 18 plants across Europe (three in CEE region, 13 in NWE region and two in SE region), representing around 14% </w:t>
      </w:r>
      <w:r>
        <w:rPr>
          <w:noProof/>
          <w:lang w:eastAsia="de-DE"/>
        </w:rPr>
        <w:t>of total EU EAF crude steel capacity</w:t>
      </w:r>
      <w:r>
        <w:rPr>
          <w:noProof/>
        </w:rPr>
        <w:t xml:space="preserve"> (2016). The SE region is under-represented in both samples (no SE plant in the BOF sample).</w:t>
      </w:r>
    </w:p>
    <w:p>
      <w:pPr>
        <w:rPr>
          <w:noProof/>
        </w:rPr>
      </w:pPr>
      <w:r>
        <w:rPr>
          <w:noProof/>
        </w:rPr>
        <w:t>BOF and EAF steelmaking plants differ greatly in terms of production technologies, regional distribution, capacities and energy consumption profiles and are therefore analysed separately in the following sections.</w:t>
      </w:r>
    </w:p>
    <w:p>
      <w:pPr>
        <w:rPr>
          <w:noProof/>
          <w:lang w:eastAsia="en-GB"/>
        </w:rPr>
      </w:pPr>
    </w:p>
    <w:p>
      <w:pPr>
        <w:pStyle w:val="Heading3"/>
        <w:rPr>
          <w:noProof/>
        </w:rPr>
      </w:pPr>
      <w:bookmarkStart w:id="35" w:name="_Toc527051449"/>
      <w:bookmarkStart w:id="36" w:name="_Toc530741630"/>
      <w:r>
        <w:rPr>
          <w:noProof/>
        </w:rPr>
        <w:t>BOF plants</w:t>
      </w:r>
      <w:bookmarkEnd w:id="35"/>
      <w:bookmarkEnd w:id="36"/>
    </w:p>
    <w:p>
      <w:pPr>
        <w:pStyle w:val="Heading4"/>
        <w:rPr>
          <w:noProof/>
        </w:rPr>
      </w:pPr>
      <w:bookmarkStart w:id="37" w:name="_Toc530741631"/>
      <w:r>
        <w:rPr>
          <w:noProof/>
        </w:rPr>
        <w:t>Electricity prices, costs and intensity</w:t>
      </w:r>
      <w:bookmarkEnd w:id="37"/>
    </w:p>
    <w:p>
      <w:pPr>
        <w:rPr>
          <w:noProof/>
          <w:lang w:eastAsia="en-GB"/>
        </w:rPr>
      </w:pPr>
      <w:r>
        <w:rPr>
          <w:noProof/>
        </w:rPr>
        <w:t xml:space="preserve">Key electricity indicators for BOF plants are presented in </w:t>
      </w:r>
      <w:r>
        <w:rPr>
          <w:noProof/>
        </w:rPr>
        <w:fldChar w:fldCharType="begin"/>
      </w:r>
      <w:r>
        <w:rPr>
          <w:noProof/>
        </w:rPr>
        <w:instrText xml:space="preserve"> REF _Ref526525119 \h </w:instrText>
      </w:r>
      <w:r>
        <w:rPr>
          <w:noProof/>
        </w:rPr>
      </w:r>
      <w:r>
        <w:rPr>
          <w:noProof/>
        </w:rPr>
        <w:fldChar w:fldCharType="separate"/>
      </w:r>
      <w:r>
        <w:rPr>
          <w:noProof/>
        </w:rPr>
        <w:t>Table 2</w:t>
      </w:r>
      <w:r>
        <w:rPr>
          <w:noProof/>
        </w:rPr>
        <w:fldChar w:fldCharType="end"/>
      </w:r>
      <w:r>
        <w:rPr>
          <w:noProof/>
        </w:rPr>
        <w:t>.</w:t>
      </w:r>
    </w:p>
    <w:p>
      <w:pPr>
        <w:rPr>
          <w:noProof/>
          <w:lang w:eastAsia="en-GB"/>
        </w:rPr>
      </w:pPr>
      <w:r>
        <w:rPr>
          <w:noProof/>
          <w:lang w:eastAsia="en-GB"/>
        </w:rPr>
        <w:t>EU average e</w:t>
      </w:r>
      <w:r>
        <w:rPr>
          <w:noProof/>
        </w:rPr>
        <w:t xml:space="preserve">lectricity prices </w:t>
      </w:r>
      <w:r>
        <w:rPr>
          <w:noProof/>
          <w:lang w:eastAsia="en-GB"/>
        </w:rPr>
        <w:t>fluctuated in the range of 58-71 EUR/MWh between 2010 and 2017 (62 EUR/MWh in 2017). When looking at the EU average electricity price components (</w:t>
      </w:r>
      <w:r>
        <w:rPr>
          <w:noProof/>
          <w:lang w:eastAsia="en-GB"/>
        </w:rPr>
        <w:fldChar w:fldCharType="begin"/>
      </w:r>
      <w:r>
        <w:rPr>
          <w:noProof/>
          <w:lang w:eastAsia="en-GB"/>
        </w:rPr>
        <w:instrText xml:space="preserve"> REF _Ref529272672 \h </w:instrText>
      </w:r>
      <w:r>
        <w:rPr>
          <w:noProof/>
          <w:lang w:eastAsia="en-GB"/>
        </w:rPr>
      </w:r>
      <w:r>
        <w:rPr>
          <w:noProof/>
          <w:lang w:eastAsia="en-GB"/>
        </w:rPr>
        <w:fldChar w:fldCharType="separate"/>
      </w:r>
      <w:r>
        <w:rPr>
          <w:noProof/>
        </w:rPr>
        <w:t>Figure 2</w:t>
      </w:r>
      <w:r>
        <w:rPr>
          <w:noProof/>
          <w:lang w:eastAsia="en-GB"/>
        </w:rPr>
        <w:fldChar w:fldCharType="end"/>
      </w:r>
      <w:r>
        <w:rPr>
          <w:noProof/>
          <w:lang w:eastAsia="en-GB"/>
        </w:rPr>
        <w:t xml:space="preserve">), the energy component represented by far the highest share of the price, though this share decreased over time (85% in 2010 vs. 72% in 2017). Large consumers </w:t>
      </w:r>
      <w:r>
        <w:rPr>
          <w:noProof/>
        </w:rPr>
        <w:t xml:space="preserve">faced </w:t>
      </w:r>
      <w:r>
        <w:rPr>
          <w:noProof/>
          <w:lang w:eastAsia="en-GB"/>
        </w:rPr>
        <w:t>lower electricity prices (weighted average by purchased electricity is significantly below simple average) and actually paid less for all the price components, including energy but also network costs, RES levies and other non-recoverable taxes/levies.</w:t>
      </w:r>
    </w:p>
    <w:p>
      <w:pPr>
        <w:rPr>
          <w:noProof/>
          <w:lang w:eastAsia="en-GB"/>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_Ref526526171 \h </w:instrText>
      </w:r>
      <w:r>
        <w:rPr>
          <w:noProof/>
          <w:lang w:eastAsia="en-GB"/>
        </w:rPr>
      </w:r>
      <w:r>
        <w:rPr>
          <w:noProof/>
          <w:lang w:eastAsia="en-GB"/>
        </w:rPr>
        <w:fldChar w:fldCharType="separate"/>
      </w:r>
      <w:r>
        <w:rPr>
          <w:noProof/>
        </w:rPr>
        <w:t>Figure 3</w:t>
      </w:r>
      <w:r>
        <w:rPr>
          <w:noProof/>
          <w:lang w:eastAsia="en-GB"/>
        </w:rPr>
        <w:fldChar w:fldCharType="end"/>
      </w:r>
      <w:r>
        <w:rPr>
          <w:noProof/>
          <w:lang w:eastAsia="en-GB"/>
        </w:rPr>
        <w:t xml:space="preserve">) went down by 13% from 2010 (67 EUR/MWh) to 2017 (54 EUR/MWh). The difference between electricity price and electricity costs in EUR/MWh is mostly caused by plants producing self-generated electricity on site. </w:t>
      </w:r>
      <w:r>
        <w:rPr>
          <w:bCs/>
          <w:noProof/>
        </w:rPr>
        <w:t>EU average electricity costs in EUR/tonne</w:t>
      </w:r>
      <w:r>
        <w:rPr>
          <w:noProof/>
          <w:lang w:eastAsia="en-GB"/>
        </w:rPr>
        <w:t xml:space="preserve"> (</w:t>
      </w:r>
      <w:r>
        <w:rPr>
          <w:noProof/>
          <w:lang w:eastAsia="en-GB"/>
        </w:rPr>
        <w:fldChar w:fldCharType="begin"/>
      </w:r>
      <w:r>
        <w:rPr>
          <w:noProof/>
          <w:lang w:eastAsia="en-GB"/>
        </w:rPr>
        <w:instrText xml:space="preserve"> REF _Ref526526314 \h </w:instrText>
      </w:r>
      <w:r>
        <w:rPr>
          <w:noProof/>
          <w:lang w:eastAsia="en-GB"/>
        </w:rPr>
      </w:r>
      <w:r>
        <w:rPr>
          <w:noProof/>
          <w:lang w:eastAsia="en-GB"/>
        </w:rPr>
        <w:fldChar w:fldCharType="separate"/>
      </w:r>
      <w:r>
        <w:rPr>
          <w:noProof/>
        </w:rPr>
        <w:t>Figure 4</w:t>
      </w:r>
      <w:r>
        <w:rPr>
          <w:noProof/>
          <w:lang w:eastAsia="en-GB"/>
        </w:rPr>
        <w:fldChar w:fldCharType="end"/>
      </w:r>
      <w:r>
        <w:rPr>
          <w:noProof/>
          <w:lang w:eastAsia="en-GB"/>
        </w:rPr>
        <w:t xml:space="preserve">) followed the same trend passing from 22 EUR/tonne in 2012 to 16 EUR/tonne in 2017. Better price conditions and economies of scale occurred for larger plants (weighted average – by production output – </w:t>
      </w:r>
      <w:r>
        <w:rPr>
          <w:noProof/>
          <w:lang w:eastAsia="de-DE"/>
        </w:rPr>
        <w:t>electricity costs are</w:t>
      </w:r>
      <w:r>
        <w:rPr>
          <w:noProof/>
          <w:lang w:eastAsia="en-GB"/>
        </w:rPr>
        <w:t xml:space="preserve"> below simple average ones).</w:t>
      </w:r>
    </w:p>
    <w:p>
      <w:pPr>
        <w:rPr>
          <w:noProof/>
          <w:lang w:eastAsia="en-GB"/>
        </w:rPr>
      </w:pPr>
      <w:r>
        <w:rPr>
          <w:noProof/>
          <w:lang w:eastAsia="en-GB"/>
        </w:rPr>
        <w:t xml:space="preserve">Electricity intensity </w:t>
      </w:r>
      <w:r>
        <w:rPr>
          <w:noProof/>
          <w:lang w:eastAsia="de-DE"/>
        </w:rPr>
        <w:t>of BOF plants (</w:t>
      </w:r>
      <w:r>
        <w:rPr>
          <w:noProof/>
          <w:lang w:eastAsia="de-DE"/>
        </w:rPr>
        <w:fldChar w:fldCharType="begin"/>
      </w:r>
      <w:r>
        <w:rPr>
          <w:noProof/>
          <w:lang w:eastAsia="de-DE"/>
        </w:rPr>
        <w:instrText xml:space="preserve"> REF _Ref526528589 \h </w:instrText>
      </w:r>
      <w:r>
        <w:rPr>
          <w:noProof/>
          <w:lang w:eastAsia="de-DE"/>
        </w:rPr>
      </w:r>
      <w:r>
        <w:rPr>
          <w:noProof/>
          <w:lang w:eastAsia="de-DE"/>
        </w:rPr>
        <w:fldChar w:fldCharType="separate"/>
      </w:r>
      <w:r>
        <w:rPr>
          <w:noProof/>
        </w:rPr>
        <w:t>Figure 5</w:t>
      </w:r>
      <w:r>
        <w:rPr>
          <w:noProof/>
          <w:lang w:eastAsia="de-DE"/>
        </w:rPr>
        <w:fldChar w:fldCharType="end"/>
      </w:r>
      <w:r>
        <w:rPr>
          <w:noProof/>
          <w:lang w:eastAsia="de-DE"/>
        </w:rPr>
        <w:t xml:space="preserve">) </w:t>
      </w:r>
      <w:r>
        <w:rPr>
          <w:noProof/>
          <w:lang w:eastAsia="en-GB"/>
        </w:rPr>
        <w:t xml:space="preserve">remained fairly stable between 2012 and 2017, </w:t>
      </w:r>
      <w:r>
        <w:rPr>
          <w:noProof/>
          <w:lang w:eastAsia="de-DE"/>
        </w:rPr>
        <w:t>around 0.35 MWh/tonne</w:t>
      </w:r>
      <w:r>
        <w:rPr>
          <w:noProof/>
          <w:lang w:eastAsia="en-GB"/>
        </w:rPr>
        <w:t xml:space="preserve"> (the slight increase of the EU average is in fact mainly driven by a change in the sample). Larger plants were more electricity efficient than smaller ones (weighted average – by production output – electricity intensity is constantly below simple average one).</w:t>
      </w:r>
    </w:p>
    <w:p>
      <w:pPr>
        <w:rPr>
          <w:noProof/>
          <w:lang w:eastAsia="en-GB"/>
        </w:rPr>
      </w:pPr>
    </w:p>
    <w:p>
      <w:pPr>
        <w:pStyle w:val="Heading4"/>
        <w:rPr>
          <w:noProof/>
        </w:rPr>
      </w:pPr>
      <w:bookmarkStart w:id="38" w:name="_Toc530741632"/>
      <w:r>
        <w:rPr>
          <w:noProof/>
        </w:rPr>
        <w:t>Natural gas and total gas prices, costs and intensity</w:t>
      </w:r>
      <w:bookmarkEnd w:id="38"/>
    </w:p>
    <w:p>
      <w:pPr>
        <w:rPr>
          <w:noProof/>
          <w:lang w:eastAsia="en-GB"/>
        </w:rPr>
      </w:pPr>
      <w:r>
        <w:rPr>
          <w:noProof/>
        </w:rPr>
        <w:t xml:space="preserve">Key natural gas indicators for BOF plants are presented in </w:t>
      </w:r>
      <w:r>
        <w:rPr>
          <w:noProof/>
        </w:rPr>
        <w:fldChar w:fldCharType="begin"/>
      </w:r>
      <w:r>
        <w:rPr>
          <w:noProof/>
        </w:rPr>
        <w:instrText xml:space="preserve"> REF _Ref526525134 \h </w:instrText>
      </w:r>
      <w:r>
        <w:rPr>
          <w:noProof/>
        </w:rPr>
      </w:r>
      <w:r>
        <w:rPr>
          <w:noProof/>
        </w:rPr>
        <w:fldChar w:fldCharType="separate"/>
      </w:r>
      <w:r>
        <w:rPr>
          <w:noProof/>
        </w:rPr>
        <w:t>Table 3</w:t>
      </w:r>
      <w:r>
        <w:rPr>
          <w:noProof/>
        </w:rPr>
        <w:fldChar w:fldCharType="end"/>
      </w:r>
      <w:r>
        <w:rPr>
          <w:noProof/>
        </w:rPr>
        <w:t>.</w:t>
      </w:r>
    </w:p>
    <w:p>
      <w:pPr>
        <w:rPr>
          <w:noProof/>
          <w:lang w:eastAsia="en-GB"/>
        </w:rPr>
      </w:pPr>
      <w:r>
        <w:rPr>
          <w:noProof/>
          <w:lang w:eastAsia="en-GB"/>
        </w:rPr>
        <w:t>EU average natural gas prices (</w:t>
      </w:r>
      <w:r>
        <w:rPr>
          <w:noProof/>
          <w:lang w:eastAsia="en-GB"/>
        </w:rPr>
        <w:fldChar w:fldCharType="begin"/>
      </w:r>
      <w:r>
        <w:rPr>
          <w:noProof/>
          <w:lang w:eastAsia="en-GB"/>
        </w:rPr>
        <w:instrText xml:space="preserve"> REF _Ref526939238 \h </w:instrText>
      </w:r>
      <w:r>
        <w:rPr>
          <w:noProof/>
          <w:lang w:eastAsia="en-GB"/>
        </w:rPr>
      </w:r>
      <w:r>
        <w:rPr>
          <w:noProof/>
          <w:lang w:eastAsia="en-GB"/>
        </w:rPr>
        <w:fldChar w:fldCharType="separate"/>
      </w:r>
      <w:r>
        <w:rPr>
          <w:noProof/>
        </w:rPr>
        <w:t>Figure 6</w:t>
      </w:r>
      <w:r>
        <w:rPr>
          <w:noProof/>
          <w:lang w:eastAsia="en-GB"/>
        </w:rPr>
        <w:fldChar w:fldCharType="end"/>
      </w:r>
      <w:r>
        <w:rPr>
          <w:noProof/>
          <w:lang w:eastAsia="en-GB"/>
        </w:rPr>
        <w:t xml:space="preserve">) show a clearly descending trend, which is quite visible from 2013 to 2016, when prices dropped by 37% from 30 to 17 EUR/MWh. In 2017, the average price was at 19 EUR/MWh. As shown in </w:t>
      </w:r>
      <w:r>
        <w:rPr>
          <w:noProof/>
          <w:lang w:eastAsia="en-GB"/>
        </w:rPr>
        <w:fldChar w:fldCharType="begin"/>
      </w:r>
      <w:r>
        <w:rPr>
          <w:noProof/>
          <w:lang w:eastAsia="en-GB"/>
        </w:rPr>
        <w:instrText xml:space="preserve"> REF _Ref529283462 \h </w:instrText>
      </w:r>
      <w:r>
        <w:rPr>
          <w:noProof/>
          <w:lang w:eastAsia="en-GB"/>
        </w:rPr>
      </w:r>
      <w:r>
        <w:rPr>
          <w:noProof/>
          <w:lang w:eastAsia="en-GB"/>
        </w:rPr>
        <w:fldChar w:fldCharType="separate"/>
      </w:r>
      <w:r>
        <w:rPr>
          <w:noProof/>
        </w:rPr>
        <w:t>Figure 7</w:t>
      </w:r>
      <w:r>
        <w:rPr>
          <w:noProof/>
          <w:lang w:eastAsia="en-GB"/>
        </w:rPr>
        <w:fldChar w:fldCharType="end"/>
      </w:r>
      <w:r>
        <w:rPr>
          <w:noProof/>
          <w:lang w:eastAsia="en-GB"/>
        </w:rPr>
        <w:t>, the natural gas price is made up mostly by the energy component (93% in 2017), the remaining coming from the network component (</w:t>
      </w:r>
      <w:r>
        <w:rPr>
          <w:noProof/>
        </w:rPr>
        <w:t>non-recoverable</w:t>
      </w:r>
      <w:r>
        <w:rPr>
          <w:noProof/>
          <w:lang w:eastAsia="en-GB"/>
        </w:rPr>
        <w:t xml:space="preserve"> taxes/levies play here a very minor role). Overall, large consumers faced lower natural gas prices (weighted average by purchased natural gas is below simple average), though the differential compared to small consumers tends to be marginal in the most recent years. In fact, large consumers seem to pay less for the network component but not for the energy component.</w:t>
      </w:r>
    </w:p>
    <w:p>
      <w:pPr>
        <w:rPr>
          <w:noProof/>
          <w:lang w:eastAsia="en-GB"/>
        </w:rPr>
      </w:pPr>
      <w:r>
        <w:rPr>
          <w:noProof/>
          <w:lang w:eastAsia="en-GB"/>
        </w:rPr>
        <w:t>EU average natural gas costs (in EUR/tonne) decreased by 27% from 2010 to 2017 (</w:t>
      </w:r>
      <w:r>
        <w:rPr>
          <w:noProof/>
          <w:lang w:eastAsia="en-GB"/>
        </w:rPr>
        <w:fldChar w:fldCharType="begin"/>
      </w:r>
      <w:r>
        <w:rPr>
          <w:noProof/>
          <w:lang w:eastAsia="en-GB"/>
        </w:rPr>
        <w:instrText xml:space="preserve"> REF _Ref526939213 \h </w:instrText>
      </w:r>
      <w:r>
        <w:rPr>
          <w:noProof/>
          <w:lang w:eastAsia="en-GB"/>
        </w:rPr>
      </w:r>
      <w:r>
        <w:rPr>
          <w:noProof/>
          <w:lang w:eastAsia="en-GB"/>
        </w:rPr>
        <w:fldChar w:fldCharType="separate"/>
      </w:r>
      <w:r>
        <w:rPr>
          <w:noProof/>
        </w:rPr>
        <w:t>Figure 8</w:t>
      </w:r>
      <w:r>
        <w:rPr>
          <w:noProof/>
          <w:lang w:eastAsia="en-GB"/>
        </w:rPr>
        <w:fldChar w:fldCharType="end"/>
      </w:r>
      <w:r>
        <w:rPr>
          <w:noProof/>
          <w:lang w:eastAsia="en-GB"/>
        </w:rPr>
        <w:t>). In 2017, the costs were at 6 EUR/tonne. Larger plants tend to bear lower unit costs (weighted average by production output is generally below simple average) due to lower natural gas prices and economies of scale.</w:t>
      </w:r>
    </w:p>
    <w:p>
      <w:pPr>
        <w:rPr>
          <w:noProof/>
          <w:lang w:eastAsia="en-GB"/>
        </w:rPr>
      </w:pPr>
      <w:r>
        <w:rPr>
          <w:noProof/>
          <w:lang w:eastAsia="en-GB"/>
        </w:rPr>
        <w:t>EU average natural gas intensity (</w:t>
      </w:r>
      <w:r>
        <w:rPr>
          <w:noProof/>
          <w:lang w:eastAsia="en-GB"/>
        </w:rPr>
        <w:fldChar w:fldCharType="begin"/>
      </w:r>
      <w:r>
        <w:rPr>
          <w:noProof/>
          <w:lang w:eastAsia="en-GB"/>
        </w:rPr>
        <w:instrText xml:space="preserve"> REF _Ref526939249 \h </w:instrText>
      </w:r>
      <w:r>
        <w:rPr>
          <w:noProof/>
          <w:lang w:eastAsia="en-GB"/>
        </w:rPr>
      </w:r>
      <w:r>
        <w:rPr>
          <w:noProof/>
          <w:lang w:eastAsia="en-GB"/>
        </w:rPr>
        <w:fldChar w:fldCharType="separate"/>
      </w:r>
      <w:r>
        <w:rPr>
          <w:noProof/>
        </w:rPr>
        <w:t>Figure 9</w:t>
      </w:r>
      <w:r>
        <w:rPr>
          <w:noProof/>
          <w:lang w:eastAsia="en-GB"/>
        </w:rPr>
        <w:fldChar w:fldCharType="end"/>
      </w:r>
      <w:r>
        <w:rPr>
          <w:noProof/>
          <w:lang w:eastAsia="en-GB"/>
        </w:rPr>
        <w:t xml:space="preserve">) decreased from 2008 to 2012 but increased afterwards. Over the period, the average intensity decreased from 0.36 MWh/tonne in 2008 to </w:t>
      </w:r>
      <w:r>
        <w:rPr>
          <w:bCs/>
          <w:noProof/>
        </w:rPr>
        <w:t>0.31 MWh/tonne in 2017</w:t>
      </w:r>
      <w:r>
        <w:rPr>
          <w:noProof/>
          <w:lang w:eastAsia="en-GB"/>
        </w:rPr>
        <w:t>. When including waste gas consumption, the EU average total gas intensity (</w:t>
      </w:r>
      <w:r>
        <w:rPr>
          <w:noProof/>
          <w:lang w:eastAsia="en-GB"/>
        </w:rPr>
        <w:fldChar w:fldCharType="begin"/>
      </w:r>
      <w:r>
        <w:rPr>
          <w:noProof/>
          <w:lang w:eastAsia="en-GB"/>
        </w:rPr>
        <w:instrText xml:space="preserve"> REF _Ref526940366 \h </w:instrText>
      </w:r>
      <w:r>
        <w:rPr>
          <w:noProof/>
          <w:lang w:eastAsia="en-GB"/>
        </w:rPr>
      </w:r>
      <w:r>
        <w:rPr>
          <w:noProof/>
          <w:lang w:eastAsia="en-GB"/>
        </w:rPr>
        <w:fldChar w:fldCharType="separate"/>
      </w:r>
      <w:r>
        <w:rPr>
          <w:noProof/>
        </w:rPr>
        <w:t>Figure 10</w:t>
      </w:r>
      <w:r>
        <w:rPr>
          <w:noProof/>
          <w:lang w:eastAsia="en-GB"/>
        </w:rPr>
        <w:fldChar w:fldCharType="end"/>
      </w:r>
      <w:r>
        <w:rPr>
          <w:noProof/>
          <w:lang w:eastAsia="en-GB"/>
        </w:rPr>
        <w:t>) also went down from 1.63 </w:t>
      </w:r>
      <w:r>
        <w:rPr>
          <w:noProof/>
          <w:lang w:eastAsia="de-DE"/>
        </w:rPr>
        <w:t>MWh/tonne</w:t>
      </w:r>
      <w:r>
        <w:rPr>
          <w:noProof/>
          <w:lang w:eastAsia="en-GB"/>
        </w:rPr>
        <w:t xml:space="preserve"> in 2008 to 1.46 MWh/tonne in 2017. Unlike for electricity, it appears that larger plants do not seem to be more gas efficient than smaller ones.</w:t>
      </w:r>
    </w:p>
    <w:p>
      <w:pPr>
        <w:rPr>
          <w:noProof/>
          <w:lang w:eastAsia="en-GB"/>
        </w:rPr>
      </w:pPr>
    </w:p>
    <w:p>
      <w:pPr>
        <w:pStyle w:val="Heading4"/>
        <w:rPr>
          <w:noProof/>
        </w:rPr>
      </w:pPr>
      <w:bookmarkStart w:id="39" w:name="_Toc530741633"/>
      <w:r>
        <w:rPr>
          <w:noProof/>
        </w:rPr>
        <w:t>Competitiveness</w:t>
      </w:r>
      <w:bookmarkEnd w:id="39"/>
    </w:p>
    <w:p>
      <w:pPr>
        <w:rPr>
          <w:noProof/>
          <w:lang w:eastAsia="en-GB"/>
        </w:rPr>
      </w:pPr>
      <w:r>
        <w:rPr>
          <w:noProof/>
          <w:lang w:eastAsia="en-GB"/>
        </w:rPr>
        <w:t>Between 2008 and 2017, electricity and natural gas costs in BOF plants represented on average 3-4% and 1-2% of total production costs, respectively (</w:t>
      </w:r>
      <w:r>
        <w:rPr>
          <w:noProof/>
          <w:lang w:eastAsia="en-GB"/>
        </w:rPr>
        <w:fldChar w:fldCharType="begin"/>
      </w:r>
      <w:r>
        <w:rPr>
          <w:noProof/>
          <w:lang w:eastAsia="en-GB"/>
        </w:rPr>
        <w:instrText xml:space="preserve"> REF _Ref526525150 \h </w:instrText>
      </w:r>
      <w:r>
        <w:rPr>
          <w:noProof/>
          <w:lang w:eastAsia="en-GB"/>
        </w:rPr>
      </w:r>
      <w:r>
        <w:rPr>
          <w:noProof/>
          <w:lang w:eastAsia="en-GB"/>
        </w:rPr>
        <w:fldChar w:fldCharType="separate"/>
      </w:r>
      <w:r>
        <w:rPr>
          <w:noProof/>
        </w:rPr>
        <w:t>Table 4</w:t>
      </w:r>
      <w:r>
        <w:rPr>
          <w:noProof/>
          <w:lang w:eastAsia="en-GB"/>
        </w:rPr>
        <w:fldChar w:fldCharType="end"/>
      </w:r>
      <w:r>
        <w:rPr>
          <w:noProof/>
          <w:lang w:eastAsia="en-GB"/>
        </w:rPr>
        <w:t>). The share of electricity and natural gas costs altogether in production costs decreased from 5% in 2012 to 4% in 2017. However, it should be underlined that this energy share in production costs does not account for coking coal/coke which is the main energy source in BOF plants.</w:t>
      </w:r>
    </w:p>
    <w:p>
      <w:pPr>
        <w:rPr>
          <w:noProof/>
          <w:lang w:eastAsia="de-DE"/>
        </w:rPr>
      </w:pPr>
      <w:r>
        <w:rPr>
          <w:noProof/>
          <w:lang w:eastAsia="en-GB"/>
        </w:rPr>
        <w:t xml:space="preserve">Between 2012 and 2017, </w:t>
      </w:r>
      <w:r>
        <w:rPr>
          <w:noProof/>
        </w:rPr>
        <w:t>EU average</w:t>
      </w:r>
      <w:r>
        <w:rPr>
          <w:noProof/>
          <w:lang w:eastAsia="en-GB"/>
        </w:rPr>
        <w:t xml:space="preserve"> EBITDA per tonne (</w:t>
      </w:r>
      <w:r>
        <w:rPr>
          <w:noProof/>
          <w:lang w:eastAsia="en-GB"/>
        </w:rPr>
        <w:fldChar w:fldCharType="begin"/>
      </w:r>
      <w:r>
        <w:rPr>
          <w:noProof/>
          <w:lang w:eastAsia="en-GB"/>
        </w:rPr>
        <w:instrText xml:space="preserve"> REF _Ref526952969 \h </w:instrText>
      </w:r>
      <w:r>
        <w:rPr>
          <w:noProof/>
          <w:lang w:eastAsia="en-GB"/>
        </w:rPr>
      </w:r>
      <w:r>
        <w:rPr>
          <w:noProof/>
          <w:lang w:eastAsia="en-GB"/>
        </w:rPr>
        <w:fldChar w:fldCharType="separate"/>
      </w:r>
      <w:r>
        <w:rPr>
          <w:noProof/>
        </w:rPr>
        <w:t>Figure 11</w:t>
      </w:r>
      <w:r>
        <w:rPr>
          <w:noProof/>
          <w:lang w:eastAsia="en-GB"/>
        </w:rPr>
        <w:fldChar w:fldCharType="end"/>
      </w:r>
      <w:r>
        <w:rPr>
          <w:noProof/>
          <w:lang w:eastAsia="en-GB"/>
        </w:rPr>
        <w:t xml:space="preserve">) significantly increased from 1 to 34 EUR/tonne, while the costs of electricity and natural gas together went down from 28 to 23 EUR/tonne. It is not possible to draw firm conclusions on the impact of energy costs on profitability given the fact that coking coal/coke purchases are missing in these figures. Nevertheless, the </w:t>
      </w:r>
      <w:r>
        <w:rPr>
          <w:noProof/>
          <w:lang w:eastAsia="de-DE"/>
        </w:rPr>
        <w:t xml:space="preserve">opposite pattern of </w:t>
      </w:r>
      <w:r>
        <w:rPr>
          <w:noProof/>
          <w:lang w:eastAsia="en-GB"/>
        </w:rPr>
        <w:t xml:space="preserve">electricity and natural gas </w:t>
      </w:r>
      <w:r>
        <w:rPr>
          <w:noProof/>
          <w:lang w:eastAsia="de-DE"/>
        </w:rPr>
        <w:t>costs compared to EBITDA</w:t>
      </w:r>
      <w:r>
        <w:rPr>
          <w:noProof/>
          <w:lang w:eastAsia="en-GB"/>
        </w:rPr>
        <w:t xml:space="preserve"> and the fact that these costs </w:t>
      </w:r>
      <w:r>
        <w:rPr>
          <w:noProof/>
          <w:lang w:eastAsia="de-DE"/>
        </w:rPr>
        <w:t xml:space="preserve">are higher than or in the same order of magnitude as, EBITDA shows the importance of electricity, natural gas and more generally energy costs and the potential direct impact they can have on margins of </w:t>
      </w:r>
      <w:r>
        <w:rPr>
          <w:bCs/>
          <w:noProof/>
        </w:rPr>
        <w:t>BOF steel production</w:t>
      </w:r>
      <w:r>
        <w:rPr>
          <w:noProof/>
          <w:lang w:eastAsia="de-DE"/>
        </w:rPr>
        <w:t>. The r</w:t>
      </w:r>
      <w:r>
        <w:rPr>
          <w:noProof/>
        </w:rPr>
        <w:t>atio of energy costs to EBITDA</w:t>
      </w:r>
      <w:r>
        <w:rPr>
          <w:noProof/>
          <w:lang w:eastAsia="de-DE"/>
        </w:rPr>
        <w:t xml:space="preserve"> indicates that a </w:t>
      </w:r>
      <w:r>
        <w:rPr>
          <w:bCs/>
          <w:noProof/>
        </w:rPr>
        <w:t xml:space="preserve">1 % reduction in </w:t>
      </w:r>
      <w:r>
        <w:rPr>
          <w:noProof/>
          <w:lang w:eastAsia="en-GB"/>
        </w:rPr>
        <w:t xml:space="preserve">electricity and natural gas </w:t>
      </w:r>
      <w:r>
        <w:rPr>
          <w:noProof/>
          <w:lang w:eastAsia="de-DE"/>
        </w:rPr>
        <w:t>costs w</w:t>
      </w:r>
      <w:r>
        <w:rPr>
          <w:noProof/>
          <w:lang w:eastAsia="en-GB"/>
        </w:rPr>
        <w:t xml:space="preserve">ould potentially lead, depending on the observation year (2012 excluded, as it is an atypical year), </w:t>
      </w:r>
      <w:r>
        <w:rPr>
          <w:bCs/>
          <w:noProof/>
        </w:rPr>
        <w:t xml:space="preserve">to around 0.7-3.3% increase in </w:t>
      </w:r>
      <w:r>
        <w:rPr>
          <w:noProof/>
          <w:lang w:eastAsia="de-DE"/>
        </w:rPr>
        <w:t>EBITDA.</w:t>
      </w:r>
    </w:p>
    <w:p>
      <w:pPr>
        <w:rPr>
          <w:noProof/>
          <w:lang w:eastAsia="en-GB"/>
        </w:rPr>
      </w:pPr>
    </w:p>
    <w:p>
      <w:pPr>
        <w:pStyle w:val="Heading4"/>
        <w:rPr>
          <w:noProof/>
        </w:rPr>
      </w:pPr>
      <w:bookmarkStart w:id="40" w:name="_Toc530741634"/>
      <w:r>
        <w:rPr>
          <w:noProof/>
        </w:rPr>
        <w:t>Tables and graphs</w:t>
      </w:r>
      <w:bookmarkEnd w:id="40"/>
    </w:p>
    <w:p>
      <w:pPr>
        <w:rPr>
          <w:b/>
          <w:i/>
          <w:noProof/>
          <w:lang w:eastAsia="en-GB"/>
        </w:rPr>
      </w:pPr>
      <w:r>
        <w:rPr>
          <w:b/>
          <w:i/>
          <w:noProof/>
          <w:lang w:eastAsia="en-GB"/>
        </w:rPr>
        <w:t>Electricity</w:t>
      </w:r>
    </w:p>
    <w:p>
      <w:pPr>
        <w:pStyle w:val="Caption"/>
      </w:pPr>
      <w:bookmarkStart w:id="41" w:name="_Ref526525119"/>
      <w:bookmarkStart w:id="42" w:name="_Toc526436334"/>
      <w:bookmarkStart w:id="43" w:name="_Toc530741795"/>
      <w:r>
        <w:t xml:space="preserve">Table </w:t>
      </w:r>
      <w:r>
        <w:fldChar w:fldCharType="begin"/>
      </w:r>
      <w:r>
        <w:instrText xml:space="preserve"> SEQ Table \* ARABIC </w:instrText>
      </w:r>
      <w:r>
        <w:fldChar w:fldCharType="separate"/>
      </w:r>
      <w:r>
        <w:t>2</w:t>
      </w:r>
      <w:r>
        <w:fldChar w:fldCharType="end"/>
      </w:r>
      <w:bookmarkEnd w:id="41"/>
      <w:r>
        <w:t>. Key electricity indicators of BOF steel production</w:t>
      </w:r>
      <w:r>
        <w:rPr>
          <w:rFonts w:eastAsia="Times New Roman"/>
          <w:color w:val="000000"/>
          <w:lang w:eastAsia="en-GB"/>
        </w:rPr>
        <w:t xml:space="preserve"> </w:t>
      </w:r>
      <w:r>
        <w:t>(EU averages)</w:t>
      </w:r>
      <w:bookmarkEnd w:id="42"/>
      <w:bookmarkEnd w:id="43"/>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4"/>
        <w:gridCol w:w="770"/>
        <w:gridCol w:w="774"/>
        <w:gridCol w:w="770"/>
        <w:gridCol w:w="769"/>
        <w:gridCol w:w="764"/>
        <w:gridCol w:w="764"/>
        <w:gridCol w:w="764"/>
      </w:tblGrid>
      <w:tr>
        <w:trPr>
          <w:trHeight w:val="185"/>
          <w:tblHeader/>
          <w:jc w:val="center"/>
        </w:trPr>
        <w:tc>
          <w:tcPr>
            <w:tcW w:w="180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5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59"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5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5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5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5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5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807"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457"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64.0</w:t>
            </w:r>
          </w:p>
        </w:tc>
        <w:tc>
          <w:tcPr>
            <w:tcW w:w="459"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57.5</w:t>
            </w:r>
          </w:p>
        </w:tc>
        <w:tc>
          <w:tcPr>
            <w:tcW w:w="457"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70.6</w:t>
            </w:r>
          </w:p>
        </w:tc>
        <w:tc>
          <w:tcPr>
            <w:tcW w:w="457"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62.7</w:t>
            </w:r>
          </w:p>
        </w:tc>
        <w:tc>
          <w:tcPr>
            <w:tcW w:w="45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59.5</w:t>
            </w:r>
          </w:p>
        </w:tc>
        <w:tc>
          <w:tcPr>
            <w:tcW w:w="45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57.6</w:t>
            </w:r>
          </w:p>
        </w:tc>
        <w:tc>
          <w:tcPr>
            <w:tcW w:w="45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62.4</w:t>
            </w:r>
          </w:p>
        </w:tc>
      </w:tr>
      <w:tr>
        <w:trPr>
          <w:trHeight w:val="243"/>
          <w:jc w:val="center"/>
        </w:trPr>
        <w:tc>
          <w:tcPr>
            <w:tcW w:w="1807"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457" w:type="pct"/>
            <w:shd w:val="clear" w:color="auto" w:fill="auto"/>
            <w:noWrap/>
            <w:vAlign w:val="center"/>
            <w:hideMark/>
          </w:tcPr>
          <w:p>
            <w:pPr>
              <w:spacing w:before="60" w:after="60"/>
              <w:jc w:val="center"/>
              <w:rPr>
                <w:noProof/>
                <w:sz w:val="20"/>
                <w:szCs w:val="16"/>
                <w:lang w:eastAsia="it-IT"/>
              </w:rPr>
            </w:pPr>
            <w:r>
              <w:rPr>
                <w:noProof/>
                <w:sz w:val="20"/>
                <w:szCs w:val="16"/>
              </w:rPr>
              <w:t>62.6</w:t>
            </w:r>
          </w:p>
        </w:tc>
        <w:tc>
          <w:tcPr>
            <w:tcW w:w="459" w:type="pct"/>
            <w:shd w:val="clear" w:color="auto" w:fill="auto"/>
            <w:noWrap/>
            <w:vAlign w:val="center"/>
            <w:hideMark/>
          </w:tcPr>
          <w:p>
            <w:pPr>
              <w:spacing w:before="60" w:after="60"/>
              <w:jc w:val="center"/>
              <w:rPr>
                <w:noProof/>
                <w:sz w:val="20"/>
                <w:szCs w:val="16"/>
                <w:lang w:eastAsia="it-IT"/>
              </w:rPr>
            </w:pPr>
            <w:r>
              <w:rPr>
                <w:noProof/>
                <w:sz w:val="20"/>
                <w:szCs w:val="16"/>
              </w:rPr>
              <w:t>92.2</w:t>
            </w:r>
          </w:p>
        </w:tc>
        <w:tc>
          <w:tcPr>
            <w:tcW w:w="457" w:type="pct"/>
            <w:shd w:val="clear" w:color="auto" w:fill="auto"/>
            <w:noWrap/>
            <w:vAlign w:val="center"/>
            <w:hideMark/>
          </w:tcPr>
          <w:p>
            <w:pPr>
              <w:spacing w:before="60" w:after="60"/>
              <w:jc w:val="center"/>
              <w:rPr>
                <w:noProof/>
                <w:sz w:val="20"/>
                <w:szCs w:val="16"/>
                <w:lang w:eastAsia="it-IT"/>
              </w:rPr>
            </w:pPr>
            <w:r>
              <w:rPr>
                <w:noProof/>
                <w:sz w:val="20"/>
                <w:szCs w:val="16"/>
              </w:rPr>
              <w:t>73.7</w:t>
            </w:r>
          </w:p>
        </w:tc>
        <w:tc>
          <w:tcPr>
            <w:tcW w:w="457" w:type="pct"/>
            <w:shd w:val="clear" w:color="auto" w:fill="auto"/>
            <w:noWrap/>
            <w:vAlign w:val="center"/>
            <w:hideMark/>
          </w:tcPr>
          <w:p>
            <w:pPr>
              <w:spacing w:before="60" w:after="60"/>
              <w:jc w:val="center"/>
              <w:rPr>
                <w:noProof/>
                <w:sz w:val="20"/>
                <w:szCs w:val="16"/>
                <w:lang w:eastAsia="it-IT"/>
              </w:rPr>
            </w:pPr>
            <w:r>
              <w:rPr>
                <w:noProof/>
                <w:sz w:val="20"/>
                <w:szCs w:val="16"/>
              </w:rPr>
              <w:t>64.8</w:t>
            </w:r>
          </w:p>
        </w:tc>
        <w:tc>
          <w:tcPr>
            <w:tcW w:w="454" w:type="pct"/>
            <w:shd w:val="clear" w:color="auto" w:fill="auto"/>
            <w:noWrap/>
            <w:vAlign w:val="center"/>
            <w:hideMark/>
          </w:tcPr>
          <w:p>
            <w:pPr>
              <w:spacing w:before="60" w:after="60"/>
              <w:jc w:val="center"/>
              <w:rPr>
                <w:noProof/>
                <w:sz w:val="20"/>
                <w:szCs w:val="16"/>
                <w:lang w:eastAsia="it-IT"/>
              </w:rPr>
            </w:pPr>
            <w:r>
              <w:rPr>
                <w:noProof/>
                <w:sz w:val="20"/>
                <w:szCs w:val="16"/>
              </w:rPr>
              <w:t>64.0</w:t>
            </w:r>
          </w:p>
        </w:tc>
        <w:tc>
          <w:tcPr>
            <w:tcW w:w="454" w:type="pct"/>
            <w:shd w:val="clear" w:color="auto" w:fill="auto"/>
            <w:noWrap/>
            <w:vAlign w:val="center"/>
            <w:hideMark/>
          </w:tcPr>
          <w:p>
            <w:pPr>
              <w:spacing w:before="60" w:after="60"/>
              <w:jc w:val="center"/>
              <w:rPr>
                <w:noProof/>
                <w:sz w:val="20"/>
                <w:szCs w:val="16"/>
                <w:lang w:eastAsia="it-IT"/>
              </w:rPr>
            </w:pPr>
            <w:r>
              <w:rPr>
                <w:noProof/>
                <w:sz w:val="20"/>
                <w:szCs w:val="16"/>
              </w:rPr>
              <w:t>52.1</w:t>
            </w:r>
          </w:p>
        </w:tc>
        <w:tc>
          <w:tcPr>
            <w:tcW w:w="454" w:type="pct"/>
            <w:shd w:val="clear" w:color="auto" w:fill="auto"/>
            <w:noWrap/>
            <w:vAlign w:val="center"/>
            <w:hideMark/>
          </w:tcPr>
          <w:p>
            <w:pPr>
              <w:spacing w:before="60" w:after="60"/>
              <w:jc w:val="center"/>
              <w:rPr>
                <w:noProof/>
                <w:sz w:val="20"/>
                <w:szCs w:val="16"/>
                <w:lang w:eastAsia="it-IT"/>
              </w:rPr>
            </w:pPr>
            <w:r>
              <w:rPr>
                <w:noProof/>
                <w:sz w:val="20"/>
                <w:szCs w:val="16"/>
              </w:rPr>
              <w:t>54.3</w:t>
            </w:r>
          </w:p>
        </w:tc>
      </w:tr>
      <w:tr>
        <w:trPr>
          <w:trHeight w:val="185"/>
          <w:jc w:val="center"/>
        </w:trPr>
        <w:tc>
          <w:tcPr>
            <w:tcW w:w="1807"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457" w:type="pct"/>
            <w:shd w:val="clear" w:color="auto" w:fill="CEEBE6"/>
            <w:noWrap/>
            <w:vAlign w:val="center"/>
            <w:hideMark/>
          </w:tcPr>
          <w:p>
            <w:pPr>
              <w:spacing w:before="60" w:after="60"/>
              <w:jc w:val="center"/>
              <w:rPr>
                <w:noProof/>
                <w:sz w:val="20"/>
                <w:szCs w:val="16"/>
                <w:lang w:eastAsia="it-IT"/>
              </w:rPr>
            </w:pPr>
            <w:r>
              <w:rPr>
                <w:noProof/>
                <w:sz w:val="20"/>
                <w:szCs w:val="16"/>
              </w:rPr>
              <w:t>n.a.</w:t>
            </w:r>
          </w:p>
        </w:tc>
        <w:tc>
          <w:tcPr>
            <w:tcW w:w="459" w:type="pct"/>
            <w:shd w:val="clear" w:color="auto" w:fill="CEEBE6"/>
            <w:noWrap/>
            <w:vAlign w:val="center"/>
            <w:hideMark/>
          </w:tcPr>
          <w:p>
            <w:pPr>
              <w:spacing w:before="60" w:after="60"/>
              <w:jc w:val="center"/>
              <w:rPr>
                <w:noProof/>
                <w:sz w:val="20"/>
                <w:szCs w:val="16"/>
                <w:lang w:eastAsia="it-IT"/>
              </w:rPr>
            </w:pPr>
            <w:r>
              <w:rPr>
                <w:noProof/>
                <w:sz w:val="20"/>
                <w:szCs w:val="16"/>
              </w:rPr>
              <w:t>20.9</w:t>
            </w:r>
          </w:p>
        </w:tc>
        <w:tc>
          <w:tcPr>
            <w:tcW w:w="457" w:type="pct"/>
            <w:shd w:val="clear" w:color="auto" w:fill="CEEBE6"/>
            <w:noWrap/>
            <w:vAlign w:val="center"/>
            <w:hideMark/>
          </w:tcPr>
          <w:p>
            <w:pPr>
              <w:spacing w:before="60" w:after="60"/>
              <w:jc w:val="center"/>
              <w:rPr>
                <w:noProof/>
                <w:sz w:val="20"/>
                <w:szCs w:val="16"/>
                <w:lang w:eastAsia="it-IT"/>
              </w:rPr>
            </w:pPr>
            <w:r>
              <w:rPr>
                <w:noProof/>
                <w:sz w:val="20"/>
                <w:szCs w:val="16"/>
              </w:rPr>
              <w:t>22.0</w:t>
            </w:r>
          </w:p>
        </w:tc>
        <w:tc>
          <w:tcPr>
            <w:tcW w:w="457" w:type="pct"/>
            <w:shd w:val="clear" w:color="auto" w:fill="CEEBE6"/>
            <w:noWrap/>
            <w:vAlign w:val="center"/>
            <w:hideMark/>
          </w:tcPr>
          <w:p>
            <w:pPr>
              <w:spacing w:before="60" w:after="60"/>
              <w:jc w:val="center"/>
              <w:rPr>
                <w:noProof/>
                <w:sz w:val="20"/>
                <w:szCs w:val="16"/>
                <w:lang w:eastAsia="it-IT"/>
              </w:rPr>
            </w:pPr>
            <w:r>
              <w:rPr>
                <w:noProof/>
                <w:sz w:val="20"/>
                <w:szCs w:val="16"/>
              </w:rPr>
              <w:t>20.6</w:t>
            </w:r>
          </w:p>
        </w:tc>
        <w:tc>
          <w:tcPr>
            <w:tcW w:w="454" w:type="pct"/>
            <w:shd w:val="clear" w:color="auto" w:fill="CEEBE6"/>
            <w:noWrap/>
            <w:vAlign w:val="center"/>
            <w:hideMark/>
          </w:tcPr>
          <w:p>
            <w:pPr>
              <w:spacing w:before="60" w:after="60"/>
              <w:jc w:val="center"/>
              <w:rPr>
                <w:noProof/>
                <w:sz w:val="20"/>
                <w:szCs w:val="16"/>
                <w:lang w:eastAsia="it-IT"/>
              </w:rPr>
            </w:pPr>
            <w:r>
              <w:rPr>
                <w:noProof/>
                <w:sz w:val="20"/>
                <w:szCs w:val="16"/>
              </w:rPr>
              <w:t>18.9</w:t>
            </w:r>
          </w:p>
        </w:tc>
        <w:tc>
          <w:tcPr>
            <w:tcW w:w="454" w:type="pct"/>
            <w:shd w:val="clear" w:color="auto" w:fill="CEEBE6"/>
            <w:noWrap/>
            <w:vAlign w:val="center"/>
            <w:hideMark/>
          </w:tcPr>
          <w:p>
            <w:pPr>
              <w:spacing w:before="60" w:after="60"/>
              <w:jc w:val="center"/>
              <w:rPr>
                <w:noProof/>
                <w:sz w:val="20"/>
                <w:szCs w:val="16"/>
                <w:lang w:eastAsia="it-IT"/>
              </w:rPr>
            </w:pPr>
            <w:r>
              <w:rPr>
                <w:noProof/>
                <w:sz w:val="20"/>
                <w:szCs w:val="16"/>
              </w:rPr>
              <w:t>15.2</w:t>
            </w:r>
          </w:p>
        </w:tc>
        <w:tc>
          <w:tcPr>
            <w:tcW w:w="454" w:type="pct"/>
            <w:shd w:val="clear" w:color="auto" w:fill="CEEBE6"/>
            <w:noWrap/>
            <w:vAlign w:val="center"/>
            <w:hideMark/>
          </w:tcPr>
          <w:p>
            <w:pPr>
              <w:spacing w:before="60" w:after="60"/>
              <w:jc w:val="center"/>
              <w:rPr>
                <w:noProof/>
                <w:sz w:val="20"/>
                <w:szCs w:val="16"/>
                <w:lang w:eastAsia="it-IT"/>
              </w:rPr>
            </w:pPr>
            <w:r>
              <w:rPr>
                <w:noProof/>
                <w:sz w:val="20"/>
                <w:szCs w:val="16"/>
              </w:rPr>
              <w:t>16.4</w:t>
            </w:r>
          </w:p>
        </w:tc>
      </w:tr>
      <w:tr>
        <w:trPr>
          <w:trHeight w:val="185"/>
          <w:jc w:val="center"/>
        </w:trPr>
        <w:tc>
          <w:tcPr>
            <w:tcW w:w="1807"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457" w:type="pct"/>
            <w:shd w:val="clear" w:color="auto" w:fill="auto"/>
            <w:noWrap/>
            <w:vAlign w:val="center"/>
          </w:tcPr>
          <w:p>
            <w:pPr>
              <w:spacing w:before="60" w:after="60"/>
              <w:jc w:val="center"/>
              <w:rPr>
                <w:noProof/>
                <w:sz w:val="20"/>
                <w:szCs w:val="16"/>
                <w:lang w:eastAsia="it-IT"/>
              </w:rPr>
            </w:pPr>
            <w:r>
              <w:rPr>
                <w:noProof/>
                <w:sz w:val="20"/>
                <w:szCs w:val="16"/>
              </w:rPr>
              <w:t>n.a.</w:t>
            </w:r>
          </w:p>
        </w:tc>
        <w:tc>
          <w:tcPr>
            <w:tcW w:w="459" w:type="pct"/>
            <w:shd w:val="clear" w:color="auto" w:fill="auto"/>
            <w:noWrap/>
            <w:vAlign w:val="center"/>
          </w:tcPr>
          <w:p>
            <w:pPr>
              <w:spacing w:before="60" w:after="60"/>
              <w:jc w:val="center"/>
              <w:rPr>
                <w:noProof/>
                <w:sz w:val="20"/>
                <w:szCs w:val="16"/>
                <w:lang w:eastAsia="it-IT"/>
              </w:rPr>
            </w:pPr>
            <w:r>
              <w:rPr>
                <w:noProof/>
                <w:sz w:val="20"/>
                <w:szCs w:val="16"/>
              </w:rPr>
              <w:t>0.29</w:t>
            </w:r>
          </w:p>
        </w:tc>
        <w:tc>
          <w:tcPr>
            <w:tcW w:w="457" w:type="pct"/>
            <w:shd w:val="clear" w:color="auto" w:fill="auto"/>
            <w:noWrap/>
            <w:vAlign w:val="center"/>
          </w:tcPr>
          <w:p>
            <w:pPr>
              <w:spacing w:before="60" w:after="60"/>
              <w:jc w:val="center"/>
              <w:rPr>
                <w:noProof/>
                <w:sz w:val="20"/>
                <w:szCs w:val="16"/>
                <w:lang w:eastAsia="it-IT"/>
              </w:rPr>
            </w:pPr>
            <w:r>
              <w:rPr>
                <w:noProof/>
                <w:sz w:val="20"/>
                <w:szCs w:val="16"/>
              </w:rPr>
              <w:t>0.35</w:t>
            </w:r>
          </w:p>
        </w:tc>
        <w:tc>
          <w:tcPr>
            <w:tcW w:w="457" w:type="pct"/>
            <w:shd w:val="clear" w:color="auto" w:fill="auto"/>
            <w:noWrap/>
            <w:vAlign w:val="center"/>
          </w:tcPr>
          <w:p>
            <w:pPr>
              <w:spacing w:before="60" w:after="60"/>
              <w:jc w:val="center"/>
              <w:rPr>
                <w:noProof/>
                <w:sz w:val="20"/>
                <w:szCs w:val="16"/>
                <w:lang w:eastAsia="it-IT"/>
              </w:rPr>
            </w:pPr>
            <w:r>
              <w:rPr>
                <w:noProof/>
                <w:sz w:val="20"/>
                <w:szCs w:val="16"/>
              </w:rPr>
              <w:t>0.36</w:t>
            </w:r>
          </w:p>
        </w:tc>
        <w:tc>
          <w:tcPr>
            <w:tcW w:w="454" w:type="pct"/>
            <w:shd w:val="clear" w:color="auto" w:fill="auto"/>
            <w:noWrap/>
            <w:vAlign w:val="center"/>
          </w:tcPr>
          <w:p>
            <w:pPr>
              <w:spacing w:before="60" w:after="60"/>
              <w:jc w:val="center"/>
              <w:rPr>
                <w:noProof/>
                <w:sz w:val="20"/>
                <w:szCs w:val="16"/>
                <w:lang w:eastAsia="it-IT"/>
              </w:rPr>
            </w:pPr>
            <w:r>
              <w:rPr>
                <w:noProof/>
                <w:sz w:val="20"/>
                <w:szCs w:val="16"/>
              </w:rPr>
              <w:t>0.35</w:t>
            </w:r>
          </w:p>
        </w:tc>
        <w:tc>
          <w:tcPr>
            <w:tcW w:w="454" w:type="pct"/>
            <w:shd w:val="clear" w:color="auto" w:fill="auto"/>
            <w:noWrap/>
            <w:vAlign w:val="center"/>
          </w:tcPr>
          <w:p>
            <w:pPr>
              <w:spacing w:before="60" w:after="60"/>
              <w:jc w:val="center"/>
              <w:rPr>
                <w:noProof/>
                <w:sz w:val="20"/>
                <w:szCs w:val="16"/>
                <w:lang w:eastAsia="it-IT"/>
              </w:rPr>
            </w:pPr>
            <w:r>
              <w:rPr>
                <w:noProof/>
                <w:sz w:val="20"/>
                <w:szCs w:val="16"/>
              </w:rPr>
              <w:t>0.34</w:t>
            </w:r>
          </w:p>
        </w:tc>
        <w:tc>
          <w:tcPr>
            <w:tcW w:w="454" w:type="pct"/>
            <w:shd w:val="clear" w:color="auto" w:fill="auto"/>
            <w:noWrap/>
            <w:vAlign w:val="center"/>
          </w:tcPr>
          <w:p>
            <w:pPr>
              <w:spacing w:before="60" w:after="60"/>
              <w:jc w:val="center"/>
              <w:rPr>
                <w:noProof/>
                <w:sz w:val="20"/>
                <w:szCs w:val="16"/>
                <w:lang w:eastAsia="it-IT"/>
              </w:rPr>
            </w:pPr>
            <w:r>
              <w:rPr>
                <w:noProof/>
                <w:sz w:val="20"/>
                <w:szCs w:val="16"/>
              </w:rPr>
              <w:t>0.37</w:t>
            </w:r>
          </w:p>
        </w:tc>
      </w:tr>
    </w:tbl>
    <w:p>
      <w:pPr>
        <w:pStyle w:val="Sources"/>
        <w:tabs>
          <w:tab w:val="left" w:pos="426"/>
        </w:tabs>
        <w:rPr>
          <w:noProof/>
        </w:rPr>
      </w:pPr>
      <w:r>
        <w:rPr>
          <w:noProof/>
        </w:rPr>
        <w:tab/>
        <w:t>Source: CEPS/Ecofys.</w:t>
      </w:r>
    </w:p>
    <w:p>
      <w:pPr>
        <w:rPr>
          <w:noProof/>
        </w:rPr>
      </w:pPr>
    </w:p>
    <w:p>
      <w:pPr>
        <w:pStyle w:val="Caption"/>
      </w:pPr>
      <w:bookmarkStart w:id="44" w:name="_Ref529272672"/>
      <w:bookmarkStart w:id="45" w:name="_Toc530741695"/>
      <w:r>
        <w:t xml:space="preserve">Figure </w:t>
      </w:r>
      <w:r>
        <w:fldChar w:fldCharType="begin"/>
      </w:r>
      <w:r>
        <w:instrText xml:space="preserve"> SEQ Figure \* ARABIC </w:instrText>
      </w:r>
      <w:r>
        <w:fldChar w:fldCharType="separate"/>
      </w:r>
      <w:r>
        <w:t>2</w:t>
      </w:r>
      <w:r>
        <w:fldChar w:fldCharType="end"/>
      </w:r>
      <w:bookmarkEnd w:id="44"/>
      <w:r>
        <w:t>. Components of the EU average electricity price for BOF steel production (%)</w:t>
      </w:r>
      <w:bookmarkEnd w:id="45"/>
    </w:p>
    <w:p>
      <w:pPr>
        <w:keepNext/>
        <w:rPr>
          <w:noProof/>
        </w:rPr>
      </w:pPr>
      <w:r>
        <w:rPr>
          <w:noProof/>
          <w:lang w:eastAsia="en-GB"/>
        </w:rPr>
        <w:drawing>
          <wp:inline distT="0" distB="0" distL="0" distR="0">
            <wp:extent cx="5753735" cy="2519045"/>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46" w:name="_Ref526526171"/>
      <w:bookmarkStart w:id="47" w:name="_Toc526436579"/>
      <w:bookmarkStart w:id="48" w:name="_Ref526526162"/>
      <w:bookmarkStart w:id="49" w:name="_Toc530741696"/>
      <w:r>
        <w:t xml:space="preserve">Figure </w:t>
      </w:r>
      <w:r>
        <w:fldChar w:fldCharType="begin"/>
      </w:r>
      <w:r>
        <w:instrText xml:space="preserve"> SEQ Figure \* ARABIC </w:instrText>
      </w:r>
      <w:r>
        <w:fldChar w:fldCharType="separate"/>
      </w:r>
      <w:r>
        <w:t>3</w:t>
      </w:r>
      <w:r>
        <w:fldChar w:fldCharType="end"/>
      </w:r>
      <w:bookmarkEnd w:id="46"/>
      <w:r>
        <w:t xml:space="preserve">. </w:t>
      </w:r>
      <w:r>
        <w:rPr>
          <w:rFonts w:eastAsia="Times New Roman"/>
          <w:color w:val="000000"/>
          <w:lang w:eastAsia="en-GB"/>
        </w:rPr>
        <w:t xml:space="preserve">Electricity costs </w:t>
      </w:r>
      <w:r>
        <w:t>of BOF steel production</w:t>
      </w:r>
      <w:r>
        <w:rPr>
          <w:rFonts w:eastAsia="Times New Roman"/>
          <w:color w:val="000000"/>
          <w:lang w:eastAsia="en-GB"/>
        </w:rPr>
        <w:t xml:space="preserve"> (€/MWh)</w:t>
      </w:r>
      <w:bookmarkEnd w:id="47"/>
      <w:bookmarkEnd w:id="48"/>
      <w:bookmarkEnd w:id="49"/>
    </w:p>
    <w:p>
      <w:pPr>
        <w:keepNext/>
        <w:rPr>
          <w:noProof/>
        </w:rPr>
      </w:pPr>
      <w:r>
        <w:rPr>
          <w:noProof/>
          <w:lang w:eastAsia="en-GB"/>
        </w:rPr>
        <w:drawing>
          <wp:inline distT="0" distB="0" distL="0" distR="0">
            <wp:extent cx="5732780" cy="2456815"/>
            <wp:effectExtent l="0" t="0" r="1270" b="635"/>
            <wp:docPr id="22" name="Picture 2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45"/>
                    <pic:cNvPicPr>
                      <a:picLocks noGrp="1" noRot="1" noChangeAspect="1" noMove="1" noResize="1" noEditPoints="1" noAdjustHandles="1" noChangeArrowheads="1" noChangeShapeType="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780" cy="245681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0" w:name="_Ref526526314"/>
      <w:bookmarkStart w:id="51" w:name="_Toc526436580"/>
      <w:bookmarkStart w:id="52" w:name="_Toc530741697"/>
      <w:r>
        <w:t xml:space="preserve">Figure </w:t>
      </w:r>
      <w:r>
        <w:fldChar w:fldCharType="begin"/>
      </w:r>
      <w:r>
        <w:instrText xml:space="preserve"> SEQ Figure \* ARABIC </w:instrText>
      </w:r>
      <w:r>
        <w:fldChar w:fldCharType="separate"/>
      </w:r>
      <w:r>
        <w:t>4</w:t>
      </w:r>
      <w:r>
        <w:fldChar w:fldCharType="end"/>
      </w:r>
      <w:bookmarkEnd w:id="50"/>
      <w:r>
        <w:t xml:space="preserve">. </w:t>
      </w:r>
      <w:r>
        <w:rPr>
          <w:rFonts w:eastAsia="Times New Roman"/>
          <w:color w:val="000000"/>
          <w:lang w:eastAsia="en-GB"/>
        </w:rPr>
        <w:t>Electricity costs</w:t>
      </w:r>
      <w:r>
        <w:t xml:space="preserve"> of BOF steel production</w:t>
      </w:r>
      <w:r>
        <w:rPr>
          <w:rFonts w:eastAsia="Times New Roman"/>
          <w:color w:val="000000"/>
          <w:lang w:eastAsia="en-GB"/>
        </w:rPr>
        <w:t xml:space="preserve"> (€/tonne)</w:t>
      </w:r>
      <w:bookmarkEnd w:id="51"/>
      <w:bookmarkEnd w:id="52"/>
    </w:p>
    <w:p>
      <w:pPr>
        <w:keepNext/>
        <w:rPr>
          <w:b/>
          <w:noProof/>
        </w:rPr>
      </w:pPr>
      <w:r>
        <w:rPr>
          <w:noProof/>
          <w:lang w:eastAsia="en-GB"/>
        </w:rPr>
        <w:drawing>
          <wp:inline distT="0" distB="0" distL="0" distR="0">
            <wp:extent cx="5732780" cy="2456815"/>
            <wp:effectExtent l="0" t="0" r="1270" b="635"/>
            <wp:docPr id="23" name="Picture 2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47"/>
                    <pic:cNvPicPr>
                      <a:picLocks noGrp="1" noRot="1" noChangeAspect="1" noMove="1" noResize="1" noEditPoints="1" noAdjustHandles="1" noChangeArrowheads="1" noChangeShapeType="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245681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3" w:name="_Ref526528589"/>
      <w:bookmarkStart w:id="54" w:name="_Toc526436581"/>
      <w:bookmarkStart w:id="55" w:name="_Toc530741698"/>
      <w:r>
        <w:t xml:space="preserve">Figure </w:t>
      </w:r>
      <w:r>
        <w:fldChar w:fldCharType="begin"/>
      </w:r>
      <w:r>
        <w:instrText xml:space="preserve"> SEQ Figure \* ARABIC </w:instrText>
      </w:r>
      <w:r>
        <w:fldChar w:fldCharType="separate"/>
      </w:r>
      <w:r>
        <w:t>5</w:t>
      </w:r>
      <w:r>
        <w:fldChar w:fldCharType="end"/>
      </w:r>
      <w:bookmarkEnd w:id="53"/>
      <w:r>
        <w:t xml:space="preserve">. </w:t>
      </w:r>
      <w:r>
        <w:rPr>
          <w:rFonts w:eastAsia="Times New Roman"/>
          <w:color w:val="000000"/>
          <w:lang w:eastAsia="en-GB"/>
        </w:rPr>
        <w:t xml:space="preserve">Electricity intensity </w:t>
      </w:r>
      <w:r>
        <w:t>of BOF steel production</w:t>
      </w:r>
      <w:r>
        <w:rPr>
          <w:rFonts w:eastAsia="Times New Roman"/>
          <w:color w:val="000000"/>
          <w:lang w:eastAsia="en-GB"/>
        </w:rPr>
        <w:t xml:space="preserve"> (MWh/tonne)</w:t>
      </w:r>
      <w:bookmarkEnd w:id="54"/>
      <w:bookmarkEnd w:id="55"/>
    </w:p>
    <w:p>
      <w:pPr>
        <w:keepNext/>
        <w:rPr>
          <w:noProof/>
          <w:lang w:eastAsia="de-DE"/>
        </w:rPr>
      </w:pPr>
      <w:r>
        <w:rPr>
          <w:noProof/>
          <w:lang w:eastAsia="en-GB"/>
        </w:rPr>
        <w:drawing>
          <wp:inline distT="0" distB="0" distL="0" distR="0">
            <wp:extent cx="5732780" cy="2504440"/>
            <wp:effectExtent l="0" t="0" r="1270" b="0"/>
            <wp:docPr id="24" name="Picture 24"/>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49"/>
                    <pic:cNvPicPr>
                      <a:picLocks noGrp="1" noRot="1" noChangeAspect="1" noMove="1" noResize="1" noEditPoints="1" noAdjustHandles="1" noChangeArrowheads="1" noChangeShapeType="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250444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56" w:name="_Ref526525134"/>
      <w:bookmarkStart w:id="57" w:name="_Toc526436335"/>
      <w:bookmarkStart w:id="58" w:name="_Toc530741796"/>
      <w:r>
        <w:t xml:space="preserve">Table </w:t>
      </w:r>
      <w:r>
        <w:fldChar w:fldCharType="begin"/>
      </w:r>
      <w:r>
        <w:instrText xml:space="preserve"> SEQ Table \* ARABIC </w:instrText>
      </w:r>
      <w:r>
        <w:fldChar w:fldCharType="separate"/>
      </w:r>
      <w:r>
        <w:t>3</w:t>
      </w:r>
      <w:r>
        <w:fldChar w:fldCharType="end"/>
      </w:r>
      <w:bookmarkEnd w:id="56"/>
      <w:r>
        <w:t>. Key natural gas indicators of BOF steel production</w:t>
      </w:r>
      <w:r>
        <w:rPr>
          <w:rFonts w:eastAsia="Times New Roman"/>
          <w:color w:val="000000"/>
          <w:lang w:eastAsia="en-GB"/>
        </w:rPr>
        <w:t xml:space="preserve"> </w:t>
      </w:r>
      <w:r>
        <w:t>(EU averages)</w:t>
      </w:r>
      <w:bookmarkEnd w:id="57"/>
      <w:bookmarkEnd w:id="58"/>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769"/>
        <w:gridCol w:w="770"/>
        <w:gridCol w:w="770"/>
        <w:gridCol w:w="768"/>
        <w:gridCol w:w="768"/>
        <w:gridCol w:w="768"/>
        <w:gridCol w:w="768"/>
        <w:gridCol w:w="722"/>
      </w:tblGrid>
      <w:tr>
        <w:trPr>
          <w:trHeight w:val="244"/>
          <w:jc w:val="center"/>
        </w:trPr>
        <w:tc>
          <w:tcPr>
            <w:tcW w:w="1686"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39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86"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31.1</w:t>
            </w:r>
          </w:p>
        </w:tc>
        <w:tc>
          <w:tcPr>
            <w:tcW w:w="418" w:type="pct"/>
            <w:shd w:val="clear" w:color="auto" w:fill="CEEBE6"/>
            <w:noWrap/>
            <w:vAlign w:val="center"/>
          </w:tcPr>
          <w:p>
            <w:pPr>
              <w:spacing w:before="60" w:after="60"/>
              <w:jc w:val="center"/>
              <w:rPr>
                <w:noProof/>
                <w:sz w:val="20"/>
                <w:szCs w:val="16"/>
              </w:rPr>
            </w:pPr>
            <w:r>
              <w:rPr>
                <w:noProof/>
                <w:sz w:val="20"/>
                <w:szCs w:val="16"/>
              </w:rPr>
              <w:t>28.9</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30.3</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30.4</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29.3</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23.6</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17.2</w:t>
            </w:r>
          </w:p>
        </w:tc>
        <w:tc>
          <w:tcPr>
            <w:tcW w:w="392" w:type="pct"/>
            <w:shd w:val="clear" w:color="auto" w:fill="CEEBE6"/>
            <w:noWrap/>
            <w:vAlign w:val="center"/>
          </w:tcPr>
          <w:p>
            <w:pPr>
              <w:spacing w:before="60" w:after="60"/>
              <w:jc w:val="center"/>
              <w:rPr>
                <w:noProof/>
                <w:sz w:val="20"/>
                <w:szCs w:val="16"/>
                <w:lang w:eastAsia="it-IT"/>
              </w:rPr>
            </w:pPr>
            <w:r>
              <w:rPr>
                <w:noProof/>
                <w:sz w:val="20"/>
                <w:szCs w:val="16"/>
              </w:rPr>
              <w:t>19.3</w:t>
            </w:r>
          </w:p>
        </w:tc>
      </w:tr>
      <w:tr>
        <w:trPr>
          <w:trHeight w:val="243"/>
          <w:jc w:val="center"/>
        </w:trPr>
        <w:tc>
          <w:tcPr>
            <w:tcW w:w="1686"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n.a.</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8.8</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6.4</w:t>
            </w:r>
          </w:p>
        </w:tc>
        <w:tc>
          <w:tcPr>
            <w:tcW w:w="417" w:type="pct"/>
            <w:shd w:val="clear" w:color="auto" w:fill="auto"/>
            <w:noWrap/>
            <w:vAlign w:val="center"/>
            <w:hideMark/>
          </w:tcPr>
          <w:p>
            <w:pPr>
              <w:spacing w:before="60" w:after="60"/>
              <w:jc w:val="center"/>
              <w:rPr>
                <w:noProof/>
                <w:sz w:val="20"/>
                <w:szCs w:val="16"/>
                <w:lang w:eastAsia="it-IT"/>
              </w:rPr>
            </w:pPr>
            <w:r>
              <w:rPr>
                <w:noProof/>
                <w:sz w:val="20"/>
                <w:szCs w:val="16"/>
              </w:rPr>
              <w:t>7.5</w:t>
            </w:r>
          </w:p>
        </w:tc>
        <w:tc>
          <w:tcPr>
            <w:tcW w:w="417" w:type="pct"/>
            <w:shd w:val="clear" w:color="auto" w:fill="auto"/>
            <w:noWrap/>
            <w:vAlign w:val="center"/>
            <w:hideMark/>
          </w:tcPr>
          <w:p>
            <w:pPr>
              <w:spacing w:before="60" w:after="60"/>
              <w:jc w:val="center"/>
              <w:rPr>
                <w:noProof/>
                <w:sz w:val="20"/>
                <w:szCs w:val="16"/>
                <w:lang w:eastAsia="it-IT"/>
              </w:rPr>
            </w:pPr>
            <w:r>
              <w:rPr>
                <w:noProof/>
                <w:sz w:val="20"/>
                <w:szCs w:val="16"/>
              </w:rPr>
              <w:t>7.0</w:t>
            </w:r>
          </w:p>
        </w:tc>
        <w:tc>
          <w:tcPr>
            <w:tcW w:w="417" w:type="pct"/>
            <w:shd w:val="clear" w:color="auto" w:fill="auto"/>
            <w:noWrap/>
            <w:vAlign w:val="center"/>
            <w:hideMark/>
          </w:tcPr>
          <w:p>
            <w:pPr>
              <w:spacing w:before="60" w:after="60"/>
              <w:jc w:val="center"/>
              <w:rPr>
                <w:noProof/>
                <w:sz w:val="20"/>
                <w:szCs w:val="16"/>
                <w:lang w:eastAsia="it-IT"/>
              </w:rPr>
            </w:pPr>
            <w:r>
              <w:rPr>
                <w:noProof/>
                <w:sz w:val="20"/>
                <w:szCs w:val="16"/>
              </w:rPr>
              <w:t>6.7</w:t>
            </w:r>
          </w:p>
        </w:tc>
        <w:tc>
          <w:tcPr>
            <w:tcW w:w="417" w:type="pct"/>
            <w:shd w:val="clear" w:color="auto" w:fill="auto"/>
            <w:noWrap/>
            <w:vAlign w:val="center"/>
            <w:hideMark/>
          </w:tcPr>
          <w:p>
            <w:pPr>
              <w:spacing w:before="60" w:after="60"/>
              <w:jc w:val="center"/>
              <w:rPr>
                <w:noProof/>
                <w:sz w:val="20"/>
                <w:szCs w:val="16"/>
                <w:lang w:eastAsia="it-IT"/>
              </w:rPr>
            </w:pPr>
            <w:r>
              <w:rPr>
                <w:noProof/>
                <w:sz w:val="20"/>
                <w:szCs w:val="16"/>
              </w:rPr>
              <w:t>5.1</w:t>
            </w:r>
          </w:p>
        </w:tc>
        <w:tc>
          <w:tcPr>
            <w:tcW w:w="392" w:type="pct"/>
            <w:shd w:val="clear" w:color="auto" w:fill="auto"/>
            <w:noWrap/>
            <w:vAlign w:val="center"/>
            <w:hideMark/>
          </w:tcPr>
          <w:p>
            <w:pPr>
              <w:spacing w:before="60" w:after="60"/>
              <w:jc w:val="center"/>
              <w:rPr>
                <w:noProof/>
                <w:sz w:val="20"/>
                <w:szCs w:val="16"/>
                <w:lang w:eastAsia="it-IT"/>
              </w:rPr>
            </w:pPr>
            <w:r>
              <w:rPr>
                <w:noProof/>
                <w:sz w:val="20"/>
                <w:szCs w:val="16"/>
              </w:rPr>
              <w:t>6.4</w:t>
            </w:r>
          </w:p>
        </w:tc>
      </w:tr>
      <w:tr>
        <w:trPr>
          <w:trHeight w:val="244"/>
          <w:jc w:val="center"/>
        </w:trPr>
        <w:tc>
          <w:tcPr>
            <w:tcW w:w="1686" w:type="pct"/>
            <w:shd w:val="clear" w:color="auto" w:fill="CEEBE6"/>
            <w:noWrap/>
            <w:vAlign w:val="center"/>
          </w:tcPr>
          <w:p>
            <w:pPr>
              <w:spacing w:before="60" w:after="60"/>
              <w:jc w:val="left"/>
              <w:rPr>
                <w:b/>
                <w:bCs/>
                <w:noProof/>
                <w:sz w:val="20"/>
                <w:szCs w:val="16"/>
              </w:rPr>
            </w:pPr>
            <w:r>
              <w:rPr>
                <w:bCs/>
                <w:noProof/>
                <w:sz w:val="20"/>
                <w:szCs w:val="16"/>
              </w:rPr>
              <w:t>Natural gas intensity (MWh/tonne)</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0.36</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0.32</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0.22</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0.25</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0.25</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0.29</w:t>
            </w:r>
          </w:p>
        </w:tc>
        <w:tc>
          <w:tcPr>
            <w:tcW w:w="417" w:type="pct"/>
            <w:shd w:val="clear" w:color="auto" w:fill="CEEBE6"/>
            <w:noWrap/>
            <w:vAlign w:val="center"/>
          </w:tcPr>
          <w:p>
            <w:pPr>
              <w:spacing w:before="60" w:after="60"/>
              <w:jc w:val="center"/>
              <w:rPr>
                <w:noProof/>
                <w:sz w:val="20"/>
                <w:szCs w:val="16"/>
                <w:lang w:eastAsia="it-IT"/>
              </w:rPr>
            </w:pPr>
            <w:r>
              <w:rPr>
                <w:noProof/>
                <w:sz w:val="20"/>
                <w:szCs w:val="16"/>
              </w:rPr>
              <w:t>0.27</w:t>
            </w:r>
          </w:p>
        </w:tc>
        <w:tc>
          <w:tcPr>
            <w:tcW w:w="392" w:type="pct"/>
            <w:shd w:val="clear" w:color="auto" w:fill="CEEBE6"/>
            <w:noWrap/>
            <w:vAlign w:val="center"/>
          </w:tcPr>
          <w:p>
            <w:pPr>
              <w:spacing w:before="60" w:after="60"/>
              <w:jc w:val="center"/>
              <w:rPr>
                <w:noProof/>
                <w:sz w:val="20"/>
                <w:szCs w:val="16"/>
                <w:lang w:eastAsia="it-IT"/>
              </w:rPr>
            </w:pPr>
            <w:r>
              <w:rPr>
                <w:noProof/>
                <w:sz w:val="20"/>
                <w:szCs w:val="16"/>
              </w:rPr>
              <w:t>0.31</w:t>
            </w:r>
          </w:p>
        </w:tc>
      </w:tr>
      <w:tr>
        <w:trPr>
          <w:trHeight w:val="243"/>
          <w:jc w:val="center"/>
        </w:trPr>
        <w:tc>
          <w:tcPr>
            <w:tcW w:w="1686" w:type="pct"/>
            <w:shd w:val="clear" w:color="auto" w:fill="auto"/>
            <w:noWrap/>
            <w:vAlign w:val="center"/>
            <w:hideMark/>
          </w:tcPr>
          <w:p>
            <w:pPr>
              <w:keepNext/>
              <w:spacing w:before="60" w:after="60"/>
              <w:jc w:val="left"/>
              <w:rPr>
                <w:b/>
                <w:bCs/>
                <w:noProof/>
                <w:sz w:val="20"/>
                <w:szCs w:val="16"/>
              </w:rPr>
            </w:pPr>
            <w:r>
              <w:rPr>
                <w:bCs/>
                <w:noProof/>
                <w:sz w:val="20"/>
                <w:szCs w:val="16"/>
              </w:rPr>
              <w:t>Total gas intensity (MWh/tonne)</w:t>
            </w:r>
          </w:p>
        </w:tc>
        <w:tc>
          <w:tcPr>
            <w:tcW w:w="418" w:type="pct"/>
            <w:shd w:val="clear" w:color="auto" w:fill="auto"/>
            <w:noWrap/>
            <w:vAlign w:val="center"/>
            <w:hideMark/>
          </w:tcPr>
          <w:p>
            <w:pPr>
              <w:keepNext/>
              <w:spacing w:before="60" w:after="60"/>
              <w:jc w:val="center"/>
              <w:rPr>
                <w:noProof/>
                <w:sz w:val="20"/>
                <w:szCs w:val="16"/>
              </w:rPr>
            </w:pPr>
            <w:r>
              <w:rPr>
                <w:noProof/>
                <w:sz w:val="20"/>
                <w:szCs w:val="16"/>
              </w:rPr>
              <w:t>1.63</w:t>
            </w:r>
          </w:p>
        </w:tc>
        <w:tc>
          <w:tcPr>
            <w:tcW w:w="418" w:type="pct"/>
            <w:shd w:val="clear" w:color="auto" w:fill="auto"/>
            <w:noWrap/>
            <w:vAlign w:val="center"/>
            <w:hideMark/>
          </w:tcPr>
          <w:p>
            <w:pPr>
              <w:keepNext/>
              <w:spacing w:before="60" w:after="60"/>
              <w:jc w:val="center"/>
              <w:rPr>
                <w:noProof/>
                <w:sz w:val="20"/>
                <w:szCs w:val="16"/>
              </w:rPr>
            </w:pPr>
            <w:r>
              <w:rPr>
                <w:noProof/>
                <w:sz w:val="20"/>
                <w:szCs w:val="16"/>
              </w:rPr>
              <w:t>1.35</w:t>
            </w:r>
          </w:p>
        </w:tc>
        <w:tc>
          <w:tcPr>
            <w:tcW w:w="418" w:type="pct"/>
            <w:shd w:val="clear" w:color="auto" w:fill="auto"/>
            <w:noWrap/>
            <w:vAlign w:val="center"/>
            <w:hideMark/>
          </w:tcPr>
          <w:p>
            <w:pPr>
              <w:keepNext/>
              <w:spacing w:before="60" w:after="60"/>
              <w:jc w:val="center"/>
              <w:rPr>
                <w:noProof/>
                <w:sz w:val="20"/>
                <w:szCs w:val="16"/>
              </w:rPr>
            </w:pPr>
            <w:r>
              <w:rPr>
                <w:noProof/>
                <w:sz w:val="20"/>
                <w:szCs w:val="16"/>
              </w:rPr>
              <w:t>1.07</w:t>
            </w:r>
          </w:p>
        </w:tc>
        <w:tc>
          <w:tcPr>
            <w:tcW w:w="417" w:type="pct"/>
            <w:shd w:val="clear" w:color="auto" w:fill="auto"/>
            <w:noWrap/>
            <w:vAlign w:val="center"/>
            <w:hideMark/>
          </w:tcPr>
          <w:p>
            <w:pPr>
              <w:keepNext/>
              <w:spacing w:before="60" w:after="60"/>
              <w:jc w:val="center"/>
              <w:rPr>
                <w:noProof/>
                <w:sz w:val="20"/>
                <w:szCs w:val="16"/>
              </w:rPr>
            </w:pPr>
            <w:r>
              <w:rPr>
                <w:noProof/>
                <w:sz w:val="20"/>
                <w:szCs w:val="16"/>
              </w:rPr>
              <w:t>1.27</w:t>
            </w:r>
          </w:p>
        </w:tc>
        <w:tc>
          <w:tcPr>
            <w:tcW w:w="417" w:type="pct"/>
            <w:shd w:val="clear" w:color="auto" w:fill="auto"/>
            <w:noWrap/>
            <w:vAlign w:val="center"/>
            <w:hideMark/>
          </w:tcPr>
          <w:p>
            <w:pPr>
              <w:keepNext/>
              <w:spacing w:before="60" w:after="60"/>
              <w:jc w:val="center"/>
              <w:rPr>
                <w:noProof/>
                <w:sz w:val="20"/>
                <w:szCs w:val="16"/>
              </w:rPr>
            </w:pPr>
            <w:r>
              <w:rPr>
                <w:noProof/>
                <w:sz w:val="20"/>
                <w:szCs w:val="16"/>
              </w:rPr>
              <w:t>1.05</w:t>
            </w:r>
          </w:p>
        </w:tc>
        <w:tc>
          <w:tcPr>
            <w:tcW w:w="417" w:type="pct"/>
            <w:shd w:val="clear" w:color="auto" w:fill="auto"/>
            <w:noWrap/>
            <w:vAlign w:val="center"/>
            <w:hideMark/>
          </w:tcPr>
          <w:p>
            <w:pPr>
              <w:keepNext/>
              <w:spacing w:before="60" w:after="60"/>
              <w:jc w:val="center"/>
              <w:rPr>
                <w:noProof/>
                <w:sz w:val="20"/>
                <w:szCs w:val="16"/>
              </w:rPr>
            </w:pPr>
            <w:r>
              <w:rPr>
                <w:noProof/>
                <w:sz w:val="20"/>
                <w:szCs w:val="16"/>
              </w:rPr>
              <w:t>1.04</w:t>
            </w:r>
          </w:p>
        </w:tc>
        <w:tc>
          <w:tcPr>
            <w:tcW w:w="417" w:type="pct"/>
            <w:shd w:val="clear" w:color="auto" w:fill="auto"/>
            <w:noWrap/>
            <w:vAlign w:val="center"/>
            <w:hideMark/>
          </w:tcPr>
          <w:p>
            <w:pPr>
              <w:keepNext/>
              <w:spacing w:before="60" w:after="60"/>
              <w:jc w:val="center"/>
              <w:rPr>
                <w:noProof/>
                <w:sz w:val="20"/>
                <w:szCs w:val="16"/>
              </w:rPr>
            </w:pPr>
            <w:r>
              <w:rPr>
                <w:noProof/>
                <w:sz w:val="20"/>
                <w:szCs w:val="16"/>
              </w:rPr>
              <w:t>1.38</w:t>
            </w:r>
          </w:p>
        </w:tc>
        <w:tc>
          <w:tcPr>
            <w:tcW w:w="392" w:type="pct"/>
            <w:shd w:val="clear" w:color="auto" w:fill="auto"/>
            <w:noWrap/>
            <w:vAlign w:val="center"/>
            <w:hideMark/>
          </w:tcPr>
          <w:p>
            <w:pPr>
              <w:keepNext/>
              <w:spacing w:before="60" w:after="60"/>
              <w:jc w:val="center"/>
              <w:rPr>
                <w:noProof/>
                <w:sz w:val="20"/>
                <w:szCs w:val="16"/>
              </w:rPr>
            </w:pPr>
            <w:r>
              <w:rPr>
                <w:noProof/>
                <w:sz w:val="20"/>
                <w:szCs w:val="16"/>
              </w:rPr>
              <w:t>1.46</w:t>
            </w:r>
          </w:p>
        </w:tc>
      </w:tr>
    </w:tbl>
    <w:p>
      <w:pPr>
        <w:pStyle w:val="Sources"/>
        <w:tabs>
          <w:tab w:val="left" w:pos="42"/>
        </w:tabs>
        <w:rPr>
          <w:noProof/>
        </w:rPr>
      </w:pPr>
      <w:r>
        <w:rPr>
          <w:noProof/>
        </w:rPr>
        <w:tab/>
        <w:t>Source: CEPS/Ecofys.</w:t>
      </w:r>
    </w:p>
    <w:p>
      <w:pPr>
        <w:rPr>
          <w:noProof/>
        </w:rPr>
      </w:pPr>
    </w:p>
    <w:p>
      <w:pPr>
        <w:pStyle w:val="Caption"/>
        <w:rPr>
          <w:rFonts w:eastAsia="Times New Roman"/>
          <w:color w:val="000000"/>
          <w:lang w:eastAsia="en-GB"/>
        </w:rPr>
      </w:pPr>
      <w:bookmarkStart w:id="59" w:name="_Ref526939238"/>
      <w:bookmarkStart w:id="60" w:name="_Toc526436582"/>
      <w:bookmarkStart w:id="61" w:name="_Toc530741699"/>
      <w:r>
        <w:t xml:space="preserve">Figure </w:t>
      </w:r>
      <w:r>
        <w:fldChar w:fldCharType="begin"/>
      </w:r>
      <w:r>
        <w:instrText xml:space="preserve"> SEQ Figure \* ARABIC </w:instrText>
      </w:r>
      <w:r>
        <w:fldChar w:fldCharType="separate"/>
      </w:r>
      <w:r>
        <w:t>6</w:t>
      </w:r>
      <w:r>
        <w:fldChar w:fldCharType="end"/>
      </w:r>
      <w:bookmarkEnd w:id="59"/>
      <w:r>
        <w:t xml:space="preserve">. </w:t>
      </w:r>
      <w:r>
        <w:rPr>
          <w:rFonts w:eastAsia="Times New Roman"/>
          <w:color w:val="000000"/>
          <w:lang w:eastAsia="en-GB"/>
        </w:rPr>
        <w:t>Natural gas prices</w:t>
      </w:r>
      <w:r>
        <w:t xml:space="preserve"> of BOF steel production</w:t>
      </w:r>
      <w:r>
        <w:rPr>
          <w:rFonts w:eastAsia="Times New Roman"/>
          <w:color w:val="000000"/>
          <w:lang w:eastAsia="en-GB"/>
        </w:rPr>
        <w:t xml:space="preserve"> (€/MWh)</w:t>
      </w:r>
      <w:bookmarkEnd w:id="60"/>
      <w:bookmarkEnd w:id="61"/>
    </w:p>
    <w:p>
      <w:pPr>
        <w:keepNext/>
        <w:rPr>
          <w:noProof/>
        </w:rPr>
      </w:pPr>
      <w:r>
        <w:rPr>
          <w:noProof/>
          <w:lang w:eastAsia="en-GB"/>
        </w:rPr>
        <w:drawing>
          <wp:inline distT="0" distB="0" distL="0" distR="0">
            <wp:extent cx="5732780" cy="2456815"/>
            <wp:effectExtent l="0" t="0" r="1270" b="635"/>
            <wp:docPr id="25" name="Picture 2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51"/>
                    <pic:cNvPicPr>
                      <a:picLocks noGrp="1" noRot="1" noChangeAspect="1" noMove="1" noResize="1" noEditPoints="1" noAdjustHandles="1" noChangeArrowheads="1" noChangeShapeType="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245681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pStyle w:val="Caption"/>
      </w:pPr>
      <w:bookmarkStart w:id="62" w:name="_Ref529283462"/>
      <w:bookmarkStart w:id="63" w:name="_Toc530741700"/>
      <w:r>
        <w:t xml:space="preserve">Figure </w:t>
      </w:r>
      <w:r>
        <w:fldChar w:fldCharType="begin"/>
      </w:r>
      <w:r>
        <w:instrText xml:space="preserve"> SEQ Figure \* ARABIC </w:instrText>
      </w:r>
      <w:r>
        <w:fldChar w:fldCharType="separate"/>
      </w:r>
      <w:r>
        <w:t>7</w:t>
      </w:r>
      <w:r>
        <w:fldChar w:fldCharType="end"/>
      </w:r>
      <w:bookmarkEnd w:id="62"/>
      <w:r>
        <w:t>. Components of the EU average natural gas price for BOF steel production (%)</w:t>
      </w:r>
      <w:bookmarkEnd w:id="63"/>
    </w:p>
    <w:p>
      <w:pPr>
        <w:keepNext/>
        <w:rPr>
          <w:noProof/>
        </w:rPr>
      </w:pPr>
      <w:r>
        <w:rPr>
          <w:noProof/>
          <w:lang w:eastAsia="en-GB"/>
        </w:rPr>
        <w:drawing>
          <wp:inline distT="0" distB="0" distL="0" distR="0">
            <wp:extent cx="5719445" cy="2863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9445" cy="286385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64" w:name="_Ref526939213"/>
      <w:bookmarkStart w:id="65" w:name="_Toc526436583"/>
      <w:bookmarkStart w:id="66" w:name="_Toc530741701"/>
      <w:r>
        <w:t xml:space="preserve">Figure </w:t>
      </w:r>
      <w:r>
        <w:fldChar w:fldCharType="begin"/>
      </w:r>
      <w:r>
        <w:instrText xml:space="preserve"> SEQ Figure \* ARABIC </w:instrText>
      </w:r>
      <w:r>
        <w:fldChar w:fldCharType="separate"/>
      </w:r>
      <w:r>
        <w:t>8</w:t>
      </w:r>
      <w:r>
        <w:fldChar w:fldCharType="end"/>
      </w:r>
      <w:bookmarkEnd w:id="64"/>
      <w:r>
        <w:t xml:space="preserve">. </w:t>
      </w:r>
      <w:r>
        <w:rPr>
          <w:rFonts w:eastAsia="Times New Roman"/>
          <w:color w:val="000000"/>
          <w:lang w:eastAsia="en-GB"/>
        </w:rPr>
        <w:t>Natural gas costs</w:t>
      </w:r>
      <w:r>
        <w:t xml:space="preserve"> of BOF steel production</w:t>
      </w:r>
      <w:r>
        <w:rPr>
          <w:rFonts w:eastAsia="Times New Roman"/>
          <w:color w:val="000000"/>
          <w:lang w:eastAsia="en-GB"/>
        </w:rPr>
        <w:t xml:space="preserve"> (€/tonne)</w:t>
      </w:r>
      <w:bookmarkEnd w:id="65"/>
      <w:bookmarkEnd w:id="66"/>
    </w:p>
    <w:p>
      <w:pPr>
        <w:keepNext/>
        <w:rPr>
          <w:noProof/>
          <w:lang w:eastAsia="de-DE"/>
        </w:rPr>
      </w:pPr>
      <w:r>
        <w:rPr>
          <w:noProof/>
          <w:lang w:eastAsia="en-GB"/>
        </w:rPr>
        <w:drawing>
          <wp:inline distT="0" distB="0" distL="0" distR="0">
            <wp:extent cx="5732780" cy="2504440"/>
            <wp:effectExtent l="0" t="0" r="1270" b="0"/>
            <wp:docPr id="26" name="Picture 2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89"/>
                    <pic:cNvPicPr>
                      <a:picLocks noGrp="1" noRot="1" noChangeAspect="1" noMove="1" noResize="1" noEditPoints="1" noAdjustHandles="1"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250444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67" w:name="_Ref526939249"/>
      <w:bookmarkStart w:id="68" w:name="_Toc526436584"/>
      <w:bookmarkStart w:id="69" w:name="_Toc530741702"/>
      <w:r>
        <w:t xml:space="preserve">Figure </w:t>
      </w:r>
      <w:r>
        <w:fldChar w:fldCharType="begin"/>
      </w:r>
      <w:r>
        <w:instrText xml:space="preserve"> SEQ Figure \* ARABIC </w:instrText>
      </w:r>
      <w:r>
        <w:fldChar w:fldCharType="separate"/>
      </w:r>
      <w:r>
        <w:t>9</w:t>
      </w:r>
      <w:r>
        <w:fldChar w:fldCharType="end"/>
      </w:r>
      <w:bookmarkEnd w:id="67"/>
      <w:r>
        <w:t xml:space="preserve">. </w:t>
      </w:r>
      <w:r>
        <w:rPr>
          <w:rFonts w:eastAsia="Times New Roman"/>
          <w:color w:val="000000"/>
          <w:lang w:eastAsia="en-GB"/>
        </w:rPr>
        <w:t xml:space="preserve">Natural gas intensity </w:t>
      </w:r>
      <w:r>
        <w:t>of BOF steel production</w:t>
      </w:r>
      <w:r>
        <w:rPr>
          <w:rFonts w:eastAsia="Times New Roman"/>
          <w:color w:val="000000"/>
          <w:lang w:eastAsia="en-GB"/>
        </w:rPr>
        <w:t xml:space="preserve"> (MWh/tonne)</w:t>
      </w:r>
      <w:bookmarkEnd w:id="68"/>
      <w:bookmarkEnd w:id="69"/>
    </w:p>
    <w:p>
      <w:pPr>
        <w:keepNext/>
        <w:rPr>
          <w:noProof/>
          <w:lang w:eastAsia="de-DE"/>
        </w:rPr>
      </w:pPr>
      <w:r>
        <w:rPr>
          <w:noProof/>
          <w:lang w:eastAsia="en-GB"/>
        </w:rPr>
        <w:drawing>
          <wp:inline distT="0" distB="0" distL="0" distR="0">
            <wp:extent cx="5723890" cy="2505710"/>
            <wp:effectExtent l="0" t="0" r="0" b="8890"/>
            <wp:docPr id="27" name="Picture 2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91"/>
                    <pic:cNvPicPr>
                      <a:picLocks noGrp="1" noRot="1" noChangeAspect="1" noMove="1" noResize="1" noEditPoints="1" noAdjustHandles="1" noChangeArrowheads="1" noChangeShapeType="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890" cy="250571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70" w:name="_Ref526940366"/>
      <w:bookmarkStart w:id="71" w:name="_Toc526436585"/>
      <w:bookmarkStart w:id="72" w:name="_Toc530741703"/>
      <w:r>
        <w:t xml:space="preserve">Figure </w:t>
      </w:r>
      <w:r>
        <w:fldChar w:fldCharType="begin"/>
      </w:r>
      <w:r>
        <w:instrText xml:space="preserve"> SEQ Figure \* ARABIC </w:instrText>
      </w:r>
      <w:r>
        <w:fldChar w:fldCharType="separate"/>
      </w:r>
      <w:r>
        <w:t>10</w:t>
      </w:r>
      <w:r>
        <w:fldChar w:fldCharType="end"/>
      </w:r>
      <w:bookmarkEnd w:id="70"/>
      <w:r>
        <w:t xml:space="preserve">. </w:t>
      </w:r>
      <w:r>
        <w:rPr>
          <w:rFonts w:eastAsia="Times New Roman"/>
          <w:color w:val="000000"/>
          <w:lang w:eastAsia="en-GB"/>
        </w:rPr>
        <w:t xml:space="preserve">Total gas intensity </w:t>
      </w:r>
      <w:r>
        <w:t>of BOF steel production</w:t>
      </w:r>
      <w:r>
        <w:rPr>
          <w:rFonts w:eastAsia="Times New Roman"/>
          <w:color w:val="000000"/>
          <w:lang w:eastAsia="en-GB"/>
        </w:rPr>
        <w:t xml:space="preserve"> (MWh/tonne)</w:t>
      </w:r>
      <w:bookmarkEnd w:id="71"/>
      <w:bookmarkEnd w:id="72"/>
    </w:p>
    <w:p>
      <w:pPr>
        <w:pStyle w:val="Sources"/>
        <w:keepNext/>
        <w:rPr>
          <w:noProof/>
        </w:rPr>
      </w:pPr>
      <w:r>
        <w:rPr>
          <w:b/>
          <w:noProof/>
          <w:color w:val="FFFFFF"/>
          <w:lang w:eastAsia="en-GB"/>
        </w:rPr>
        <w:drawing>
          <wp:inline distT="0" distB="0" distL="0" distR="0">
            <wp:extent cx="5565775" cy="2504440"/>
            <wp:effectExtent l="0" t="0" r="0" b="0"/>
            <wp:docPr id="28" name="Picture 2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92"/>
                    <pic:cNvPicPr>
                      <a:picLocks noGrp="1" noRot="1" noChangeAspect="1" noMove="1" noResize="1" noEditPoints="1" noAdjustHandles="1"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5775" cy="250444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73" w:name="_Ref526525150"/>
      <w:bookmarkStart w:id="74" w:name="_Toc526436336"/>
      <w:bookmarkStart w:id="75" w:name="_Toc530741797"/>
      <w:r>
        <w:t xml:space="preserve">Table </w:t>
      </w:r>
      <w:r>
        <w:fldChar w:fldCharType="begin"/>
      </w:r>
      <w:r>
        <w:instrText xml:space="preserve"> SEQ Table \* ARABIC </w:instrText>
      </w:r>
      <w:r>
        <w:fldChar w:fldCharType="separate"/>
      </w:r>
      <w:r>
        <w:t>4</w:t>
      </w:r>
      <w:r>
        <w:fldChar w:fldCharType="end"/>
      </w:r>
      <w:bookmarkEnd w:id="73"/>
      <w:r>
        <w:t>. Key competitiveness indicators of BOF steel production</w:t>
      </w:r>
      <w:r>
        <w:rPr>
          <w:rFonts w:eastAsia="Times New Roman"/>
          <w:color w:val="000000"/>
          <w:lang w:eastAsia="en-GB"/>
        </w:rPr>
        <w:t xml:space="preserve"> </w:t>
      </w:r>
      <w:r>
        <w:t>(EU averages)</w:t>
      </w:r>
      <w:bookmarkEnd w:id="74"/>
      <w:bookmarkEnd w:id="75"/>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3"/>
        <w:gridCol w:w="753"/>
        <w:gridCol w:w="755"/>
        <w:gridCol w:w="755"/>
        <w:gridCol w:w="753"/>
        <w:gridCol w:w="753"/>
        <w:gridCol w:w="740"/>
      </w:tblGrid>
      <w:tr>
        <w:trPr>
          <w:trHeight w:val="185"/>
          <w:tblHeader/>
          <w:jc w:val="center"/>
        </w:trPr>
        <w:tc>
          <w:tcPr>
            <w:tcW w:w="2478"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2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2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2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2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2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185"/>
          <w:jc w:val="center"/>
        </w:trPr>
        <w:tc>
          <w:tcPr>
            <w:tcW w:w="2478"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21" w:type="pct"/>
            <w:shd w:val="clear" w:color="auto" w:fill="CEEBE6"/>
            <w:noWrap/>
            <w:vAlign w:val="center"/>
          </w:tcPr>
          <w:p>
            <w:pPr>
              <w:spacing w:before="60" w:after="60"/>
              <w:jc w:val="center"/>
              <w:rPr>
                <w:i/>
                <w:noProof/>
                <w:sz w:val="20"/>
                <w:szCs w:val="16"/>
                <w:lang w:eastAsia="it-IT"/>
              </w:rPr>
            </w:pPr>
            <w:r>
              <w:rPr>
                <w:noProof/>
                <w:sz w:val="20"/>
                <w:szCs w:val="16"/>
              </w:rPr>
              <w:t>4.3</w:t>
            </w:r>
          </w:p>
        </w:tc>
        <w:tc>
          <w:tcPr>
            <w:tcW w:w="422" w:type="pct"/>
            <w:shd w:val="clear" w:color="auto" w:fill="CEEBE6"/>
            <w:noWrap/>
            <w:vAlign w:val="center"/>
          </w:tcPr>
          <w:p>
            <w:pPr>
              <w:spacing w:before="60" w:after="60"/>
              <w:jc w:val="center"/>
              <w:rPr>
                <w:i/>
                <w:noProof/>
                <w:sz w:val="20"/>
                <w:szCs w:val="16"/>
                <w:lang w:eastAsia="it-IT"/>
              </w:rPr>
            </w:pPr>
            <w:r>
              <w:rPr>
                <w:noProof/>
                <w:sz w:val="20"/>
                <w:szCs w:val="16"/>
              </w:rPr>
              <w:t>4.3</w:t>
            </w:r>
          </w:p>
        </w:tc>
        <w:tc>
          <w:tcPr>
            <w:tcW w:w="422" w:type="pct"/>
            <w:shd w:val="clear" w:color="auto" w:fill="CEEBE6"/>
            <w:noWrap/>
            <w:vAlign w:val="center"/>
          </w:tcPr>
          <w:p>
            <w:pPr>
              <w:spacing w:before="60" w:after="60"/>
              <w:jc w:val="center"/>
              <w:rPr>
                <w:i/>
                <w:noProof/>
                <w:sz w:val="20"/>
                <w:szCs w:val="16"/>
                <w:lang w:eastAsia="it-IT"/>
              </w:rPr>
            </w:pPr>
            <w:r>
              <w:rPr>
                <w:noProof/>
                <w:sz w:val="20"/>
                <w:szCs w:val="16"/>
              </w:rPr>
              <w:t>4.5</w:t>
            </w:r>
          </w:p>
        </w:tc>
        <w:tc>
          <w:tcPr>
            <w:tcW w:w="421" w:type="pct"/>
            <w:shd w:val="clear" w:color="auto" w:fill="CEEBE6"/>
            <w:noWrap/>
            <w:vAlign w:val="center"/>
          </w:tcPr>
          <w:p>
            <w:pPr>
              <w:spacing w:before="60" w:after="60"/>
              <w:jc w:val="center"/>
              <w:rPr>
                <w:i/>
                <w:noProof/>
                <w:sz w:val="20"/>
                <w:szCs w:val="16"/>
                <w:lang w:eastAsia="it-IT"/>
              </w:rPr>
            </w:pPr>
            <w:r>
              <w:rPr>
                <w:noProof/>
                <w:sz w:val="20"/>
                <w:szCs w:val="16"/>
              </w:rPr>
              <w:t>4.2</w:t>
            </w:r>
          </w:p>
        </w:tc>
        <w:tc>
          <w:tcPr>
            <w:tcW w:w="421" w:type="pct"/>
            <w:shd w:val="clear" w:color="auto" w:fill="CEEBE6"/>
            <w:noWrap/>
            <w:vAlign w:val="center"/>
          </w:tcPr>
          <w:p>
            <w:pPr>
              <w:spacing w:before="60" w:after="60"/>
              <w:jc w:val="center"/>
              <w:rPr>
                <w:i/>
                <w:noProof/>
                <w:sz w:val="20"/>
                <w:szCs w:val="16"/>
                <w:lang w:eastAsia="it-IT"/>
              </w:rPr>
            </w:pPr>
            <w:r>
              <w:rPr>
                <w:noProof/>
                <w:sz w:val="20"/>
                <w:szCs w:val="16"/>
              </w:rPr>
              <w:t>3.3</w:t>
            </w:r>
          </w:p>
        </w:tc>
        <w:tc>
          <w:tcPr>
            <w:tcW w:w="414" w:type="pct"/>
            <w:shd w:val="clear" w:color="auto" w:fill="CEEBE6"/>
            <w:noWrap/>
            <w:vAlign w:val="center"/>
          </w:tcPr>
          <w:p>
            <w:pPr>
              <w:spacing w:before="60" w:after="60"/>
              <w:jc w:val="center"/>
              <w:rPr>
                <w:i/>
                <w:noProof/>
                <w:sz w:val="20"/>
                <w:szCs w:val="16"/>
                <w:lang w:eastAsia="it-IT"/>
              </w:rPr>
            </w:pPr>
            <w:r>
              <w:rPr>
                <w:noProof/>
                <w:sz w:val="20"/>
                <w:szCs w:val="16"/>
              </w:rPr>
              <w:t>3.1</w:t>
            </w:r>
          </w:p>
        </w:tc>
      </w:tr>
      <w:tr>
        <w:trPr>
          <w:trHeight w:val="185"/>
          <w:jc w:val="center"/>
        </w:trPr>
        <w:tc>
          <w:tcPr>
            <w:tcW w:w="2478"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21" w:type="pct"/>
            <w:shd w:val="clear" w:color="auto" w:fill="auto"/>
            <w:noWrap/>
            <w:vAlign w:val="center"/>
          </w:tcPr>
          <w:p>
            <w:pPr>
              <w:spacing w:before="60" w:after="60"/>
              <w:jc w:val="center"/>
              <w:rPr>
                <w:noProof/>
                <w:sz w:val="20"/>
                <w:szCs w:val="16"/>
              </w:rPr>
            </w:pPr>
            <w:r>
              <w:rPr>
                <w:noProof/>
                <w:sz w:val="20"/>
                <w:szCs w:val="16"/>
              </w:rPr>
              <w:t>1.2</w:t>
            </w:r>
          </w:p>
        </w:tc>
        <w:tc>
          <w:tcPr>
            <w:tcW w:w="422" w:type="pct"/>
            <w:shd w:val="clear" w:color="auto" w:fill="auto"/>
            <w:noWrap/>
            <w:vAlign w:val="center"/>
          </w:tcPr>
          <w:p>
            <w:pPr>
              <w:spacing w:before="60" w:after="60"/>
              <w:jc w:val="center"/>
              <w:rPr>
                <w:noProof/>
                <w:sz w:val="20"/>
                <w:szCs w:val="16"/>
              </w:rPr>
            </w:pPr>
            <w:r>
              <w:rPr>
                <w:noProof/>
                <w:sz w:val="20"/>
                <w:szCs w:val="16"/>
              </w:rPr>
              <w:t>1.6</w:t>
            </w:r>
          </w:p>
        </w:tc>
        <w:tc>
          <w:tcPr>
            <w:tcW w:w="422" w:type="pct"/>
            <w:shd w:val="clear" w:color="auto" w:fill="auto"/>
            <w:noWrap/>
            <w:vAlign w:val="center"/>
          </w:tcPr>
          <w:p>
            <w:pPr>
              <w:spacing w:before="60" w:after="60"/>
              <w:jc w:val="center"/>
              <w:rPr>
                <w:noProof/>
                <w:sz w:val="20"/>
                <w:szCs w:val="16"/>
              </w:rPr>
            </w:pPr>
            <w:r>
              <w:rPr>
                <w:noProof/>
                <w:sz w:val="20"/>
                <w:szCs w:val="16"/>
              </w:rPr>
              <w:t>1.7</w:t>
            </w:r>
          </w:p>
        </w:tc>
        <w:tc>
          <w:tcPr>
            <w:tcW w:w="421" w:type="pct"/>
            <w:shd w:val="clear" w:color="auto" w:fill="auto"/>
            <w:noWrap/>
            <w:vAlign w:val="center"/>
          </w:tcPr>
          <w:p>
            <w:pPr>
              <w:spacing w:before="60" w:after="60"/>
              <w:jc w:val="center"/>
              <w:rPr>
                <w:noProof/>
                <w:sz w:val="20"/>
                <w:szCs w:val="16"/>
              </w:rPr>
            </w:pPr>
            <w:r>
              <w:rPr>
                <w:noProof/>
                <w:sz w:val="20"/>
                <w:szCs w:val="16"/>
              </w:rPr>
              <w:t>1.4</w:t>
            </w:r>
          </w:p>
        </w:tc>
        <w:tc>
          <w:tcPr>
            <w:tcW w:w="421" w:type="pct"/>
            <w:shd w:val="clear" w:color="auto" w:fill="auto"/>
            <w:noWrap/>
            <w:vAlign w:val="center"/>
          </w:tcPr>
          <w:p>
            <w:pPr>
              <w:spacing w:before="60" w:after="60"/>
              <w:jc w:val="center"/>
              <w:rPr>
                <w:noProof/>
                <w:sz w:val="20"/>
                <w:szCs w:val="16"/>
              </w:rPr>
            </w:pPr>
            <w:r>
              <w:rPr>
                <w:noProof/>
                <w:sz w:val="20"/>
                <w:szCs w:val="16"/>
              </w:rPr>
              <w:t>1.1</w:t>
            </w:r>
          </w:p>
        </w:tc>
        <w:tc>
          <w:tcPr>
            <w:tcW w:w="414" w:type="pct"/>
            <w:shd w:val="clear" w:color="auto" w:fill="auto"/>
            <w:noWrap/>
            <w:vAlign w:val="center"/>
          </w:tcPr>
          <w:p>
            <w:pPr>
              <w:spacing w:before="60" w:after="60"/>
              <w:jc w:val="center"/>
              <w:rPr>
                <w:noProof/>
                <w:sz w:val="20"/>
                <w:szCs w:val="16"/>
              </w:rPr>
            </w:pPr>
            <w:r>
              <w:rPr>
                <w:noProof/>
                <w:sz w:val="20"/>
                <w:szCs w:val="16"/>
              </w:rPr>
              <w:t>1.2</w:t>
            </w:r>
          </w:p>
        </w:tc>
      </w:tr>
      <w:tr>
        <w:trPr>
          <w:trHeight w:val="185"/>
          <w:jc w:val="center"/>
        </w:trPr>
        <w:tc>
          <w:tcPr>
            <w:tcW w:w="2478" w:type="pct"/>
            <w:shd w:val="clear" w:color="auto" w:fill="CEEBE6"/>
            <w:noWrap/>
            <w:vAlign w:val="center"/>
          </w:tcPr>
          <w:p>
            <w:pPr>
              <w:spacing w:before="60" w:after="60"/>
              <w:jc w:val="left"/>
              <w:rPr>
                <w:bCs/>
                <w:noProof/>
                <w:sz w:val="20"/>
                <w:szCs w:val="16"/>
              </w:rPr>
            </w:pPr>
            <w:r>
              <w:rPr>
                <w:bCs/>
                <w:noProof/>
                <w:sz w:val="20"/>
                <w:szCs w:val="16"/>
              </w:rPr>
              <w:t>Share of energy costs* in total production costs (%)</w:t>
            </w:r>
          </w:p>
        </w:tc>
        <w:tc>
          <w:tcPr>
            <w:tcW w:w="421" w:type="pct"/>
            <w:shd w:val="clear" w:color="auto" w:fill="CEEBE6"/>
            <w:noWrap/>
            <w:vAlign w:val="center"/>
          </w:tcPr>
          <w:p>
            <w:pPr>
              <w:spacing w:before="60" w:after="60"/>
              <w:jc w:val="center"/>
              <w:rPr>
                <w:noProof/>
                <w:sz w:val="20"/>
                <w:szCs w:val="16"/>
              </w:rPr>
            </w:pPr>
            <w:r>
              <w:rPr>
                <w:noProof/>
                <w:sz w:val="20"/>
                <w:szCs w:val="16"/>
              </w:rPr>
              <w:t>5.5</w:t>
            </w:r>
          </w:p>
        </w:tc>
        <w:tc>
          <w:tcPr>
            <w:tcW w:w="422" w:type="pct"/>
            <w:shd w:val="clear" w:color="auto" w:fill="CEEBE6"/>
            <w:noWrap/>
            <w:vAlign w:val="center"/>
          </w:tcPr>
          <w:p>
            <w:pPr>
              <w:spacing w:before="60" w:after="60"/>
              <w:jc w:val="center"/>
              <w:rPr>
                <w:noProof/>
                <w:sz w:val="20"/>
                <w:szCs w:val="16"/>
              </w:rPr>
            </w:pPr>
            <w:r>
              <w:rPr>
                <w:noProof/>
                <w:sz w:val="20"/>
                <w:szCs w:val="16"/>
              </w:rPr>
              <w:t>5.9</w:t>
            </w:r>
          </w:p>
        </w:tc>
        <w:tc>
          <w:tcPr>
            <w:tcW w:w="422" w:type="pct"/>
            <w:shd w:val="clear" w:color="auto" w:fill="CEEBE6"/>
            <w:noWrap/>
            <w:vAlign w:val="center"/>
          </w:tcPr>
          <w:p>
            <w:pPr>
              <w:spacing w:before="60" w:after="60"/>
              <w:jc w:val="center"/>
              <w:rPr>
                <w:noProof/>
                <w:sz w:val="20"/>
                <w:szCs w:val="16"/>
              </w:rPr>
            </w:pPr>
            <w:r>
              <w:rPr>
                <w:noProof/>
                <w:sz w:val="20"/>
                <w:szCs w:val="16"/>
              </w:rPr>
              <w:t>6.2</w:t>
            </w:r>
          </w:p>
        </w:tc>
        <w:tc>
          <w:tcPr>
            <w:tcW w:w="421" w:type="pct"/>
            <w:shd w:val="clear" w:color="auto" w:fill="CEEBE6"/>
            <w:noWrap/>
            <w:vAlign w:val="center"/>
          </w:tcPr>
          <w:p>
            <w:pPr>
              <w:spacing w:before="60" w:after="60"/>
              <w:jc w:val="center"/>
              <w:rPr>
                <w:noProof/>
                <w:sz w:val="20"/>
                <w:szCs w:val="16"/>
              </w:rPr>
            </w:pPr>
            <w:r>
              <w:rPr>
                <w:noProof/>
                <w:sz w:val="20"/>
                <w:szCs w:val="16"/>
              </w:rPr>
              <w:t> 5.6</w:t>
            </w:r>
          </w:p>
        </w:tc>
        <w:tc>
          <w:tcPr>
            <w:tcW w:w="421" w:type="pct"/>
            <w:shd w:val="clear" w:color="auto" w:fill="CEEBE6"/>
            <w:noWrap/>
            <w:vAlign w:val="center"/>
          </w:tcPr>
          <w:p>
            <w:pPr>
              <w:spacing w:before="60" w:after="60"/>
              <w:jc w:val="center"/>
              <w:rPr>
                <w:noProof/>
                <w:sz w:val="20"/>
                <w:szCs w:val="16"/>
              </w:rPr>
            </w:pPr>
            <w:r>
              <w:rPr>
                <w:noProof/>
                <w:sz w:val="20"/>
                <w:szCs w:val="16"/>
              </w:rPr>
              <w:t>4.4</w:t>
            </w:r>
          </w:p>
        </w:tc>
        <w:tc>
          <w:tcPr>
            <w:tcW w:w="414" w:type="pct"/>
            <w:shd w:val="clear" w:color="auto" w:fill="CEEBE6"/>
            <w:noWrap/>
            <w:vAlign w:val="center"/>
          </w:tcPr>
          <w:p>
            <w:pPr>
              <w:spacing w:before="60" w:after="60"/>
              <w:jc w:val="center"/>
              <w:rPr>
                <w:noProof/>
                <w:sz w:val="20"/>
                <w:szCs w:val="16"/>
              </w:rPr>
            </w:pPr>
            <w:r>
              <w:rPr>
                <w:noProof/>
                <w:sz w:val="20"/>
                <w:szCs w:val="16"/>
              </w:rPr>
              <w:t>4.3</w:t>
            </w:r>
          </w:p>
        </w:tc>
      </w:tr>
      <w:tr>
        <w:trPr>
          <w:trHeight w:val="185"/>
          <w:jc w:val="center"/>
        </w:trPr>
        <w:tc>
          <w:tcPr>
            <w:tcW w:w="2478" w:type="pct"/>
            <w:shd w:val="clear" w:color="auto" w:fill="auto"/>
            <w:noWrap/>
            <w:vAlign w:val="center"/>
          </w:tcPr>
          <w:p>
            <w:pPr>
              <w:spacing w:before="60" w:after="60"/>
              <w:jc w:val="left"/>
              <w:rPr>
                <w:bCs/>
                <w:noProof/>
                <w:sz w:val="20"/>
                <w:szCs w:val="16"/>
              </w:rPr>
            </w:pPr>
            <w:r>
              <w:rPr>
                <w:bCs/>
                <w:noProof/>
                <w:sz w:val="20"/>
                <w:szCs w:val="16"/>
              </w:rPr>
              <w:t>Energy costs* (€/tonne)</w:t>
            </w:r>
          </w:p>
        </w:tc>
        <w:tc>
          <w:tcPr>
            <w:tcW w:w="421" w:type="pct"/>
            <w:shd w:val="clear" w:color="auto" w:fill="auto"/>
            <w:noWrap/>
            <w:vAlign w:val="center"/>
          </w:tcPr>
          <w:p>
            <w:pPr>
              <w:spacing w:before="60" w:after="60"/>
              <w:jc w:val="center"/>
              <w:rPr>
                <w:noProof/>
                <w:sz w:val="20"/>
                <w:szCs w:val="16"/>
              </w:rPr>
            </w:pPr>
            <w:r>
              <w:rPr>
                <w:noProof/>
                <w:sz w:val="20"/>
                <w:szCs w:val="16"/>
              </w:rPr>
              <w:t>28.4</w:t>
            </w:r>
          </w:p>
        </w:tc>
        <w:tc>
          <w:tcPr>
            <w:tcW w:w="422" w:type="pct"/>
            <w:shd w:val="clear" w:color="auto" w:fill="auto"/>
            <w:noWrap/>
            <w:vAlign w:val="center"/>
          </w:tcPr>
          <w:p>
            <w:pPr>
              <w:spacing w:before="60" w:after="60"/>
              <w:jc w:val="center"/>
              <w:rPr>
                <w:noProof/>
                <w:sz w:val="20"/>
                <w:szCs w:val="16"/>
              </w:rPr>
            </w:pPr>
            <w:r>
              <w:rPr>
                <w:noProof/>
                <w:sz w:val="20"/>
                <w:szCs w:val="16"/>
              </w:rPr>
              <w:t>28.1</w:t>
            </w:r>
          </w:p>
        </w:tc>
        <w:tc>
          <w:tcPr>
            <w:tcW w:w="422" w:type="pct"/>
            <w:shd w:val="clear" w:color="auto" w:fill="auto"/>
            <w:noWrap/>
            <w:vAlign w:val="center"/>
          </w:tcPr>
          <w:p>
            <w:pPr>
              <w:spacing w:before="60" w:after="60"/>
              <w:jc w:val="center"/>
              <w:rPr>
                <w:noProof/>
                <w:sz w:val="20"/>
                <w:szCs w:val="16"/>
              </w:rPr>
            </w:pPr>
            <w:r>
              <w:rPr>
                <w:noProof/>
                <w:sz w:val="20"/>
                <w:szCs w:val="16"/>
              </w:rPr>
              <w:t>25.9</w:t>
            </w:r>
          </w:p>
        </w:tc>
        <w:tc>
          <w:tcPr>
            <w:tcW w:w="421" w:type="pct"/>
            <w:shd w:val="clear" w:color="auto" w:fill="auto"/>
            <w:noWrap/>
            <w:vAlign w:val="center"/>
          </w:tcPr>
          <w:p>
            <w:pPr>
              <w:spacing w:before="60" w:after="60"/>
              <w:jc w:val="center"/>
              <w:rPr>
                <w:noProof/>
                <w:sz w:val="20"/>
                <w:szCs w:val="16"/>
              </w:rPr>
            </w:pPr>
            <w:r>
              <w:rPr>
                <w:noProof/>
                <w:sz w:val="20"/>
                <w:szCs w:val="16"/>
              </w:rPr>
              <w:t>26.3</w:t>
            </w:r>
          </w:p>
        </w:tc>
        <w:tc>
          <w:tcPr>
            <w:tcW w:w="421" w:type="pct"/>
            <w:shd w:val="clear" w:color="auto" w:fill="auto"/>
            <w:noWrap/>
            <w:vAlign w:val="center"/>
          </w:tcPr>
          <w:p>
            <w:pPr>
              <w:spacing w:before="60" w:after="60"/>
              <w:jc w:val="center"/>
              <w:rPr>
                <w:noProof/>
                <w:sz w:val="20"/>
                <w:szCs w:val="16"/>
              </w:rPr>
            </w:pPr>
            <w:r>
              <w:rPr>
                <w:noProof/>
                <w:sz w:val="20"/>
                <w:szCs w:val="16"/>
              </w:rPr>
              <w:t>20.3</w:t>
            </w:r>
          </w:p>
        </w:tc>
        <w:tc>
          <w:tcPr>
            <w:tcW w:w="414" w:type="pct"/>
            <w:shd w:val="clear" w:color="auto" w:fill="auto"/>
            <w:noWrap/>
            <w:vAlign w:val="center"/>
          </w:tcPr>
          <w:p>
            <w:pPr>
              <w:spacing w:before="60" w:after="60"/>
              <w:jc w:val="center"/>
              <w:rPr>
                <w:noProof/>
                <w:sz w:val="20"/>
                <w:szCs w:val="16"/>
              </w:rPr>
            </w:pPr>
            <w:r>
              <w:rPr>
                <w:noProof/>
                <w:sz w:val="20"/>
                <w:szCs w:val="16"/>
              </w:rPr>
              <w:t>22.8</w:t>
            </w:r>
          </w:p>
        </w:tc>
      </w:tr>
      <w:tr>
        <w:trPr>
          <w:trHeight w:val="185"/>
          <w:jc w:val="center"/>
        </w:trPr>
        <w:tc>
          <w:tcPr>
            <w:tcW w:w="2478" w:type="pct"/>
            <w:shd w:val="clear" w:color="auto" w:fill="CEEBE6"/>
            <w:noWrap/>
            <w:vAlign w:val="center"/>
          </w:tcPr>
          <w:p>
            <w:pPr>
              <w:spacing w:before="60" w:after="60"/>
              <w:jc w:val="left"/>
              <w:rPr>
                <w:b/>
                <w:bCs/>
                <w:noProof/>
                <w:sz w:val="20"/>
                <w:szCs w:val="16"/>
              </w:rPr>
            </w:pPr>
            <w:r>
              <w:rPr>
                <w:bCs/>
                <w:noProof/>
                <w:sz w:val="20"/>
                <w:szCs w:val="16"/>
              </w:rPr>
              <w:t>EBITDA (€/tonne)</w:t>
            </w:r>
          </w:p>
        </w:tc>
        <w:tc>
          <w:tcPr>
            <w:tcW w:w="421" w:type="pct"/>
            <w:shd w:val="clear" w:color="auto" w:fill="CEEBE6"/>
            <w:noWrap/>
            <w:vAlign w:val="center"/>
          </w:tcPr>
          <w:p>
            <w:pPr>
              <w:spacing w:before="60" w:after="60"/>
              <w:jc w:val="center"/>
              <w:rPr>
                <w:noProof/>
                <w:sz w:val="20"/>
                <w:szCs w:val="16"/>
              </w:rPr>
            </w:pPr>
            <w:r>
              <w:rPr>
                <w:noProof/>
                <w:sz w:val="20"/>
                <w:szCs w:val="16"/>
              </w:rPr>
              <w:t>0.8</w:t>
            </w:r>
          </w:p>
        </w:tc>
        <w:tc>
          <w:tcPr>
            <w:tcW w:w="422" w:type="pct"/>
            <w:shd w:val="clear" w:color="auto" w:fill="CEEBE6"/>
            <w:noWrap/>
            <w:vAlign w:val="center"/>
          </w:tcPr>
          <w:p>
            <w:pPr>
              <w:spacing w:before="60" w:after="60"/>
              <w:jc w:val="center"/>
              <w:rPr>
                <w:noProof/>
                <w:sz w:val="20"/>
                <w:szCs w:val="16"/>
              </w:rPr>
            </w:pPr>
            <w:r>
              <w:rPr>
                <w:noProof/>
                <w:sz w:val="20"/>
                <w:szCs w:val="16"/>
              </w:rPr>
              <w:t>8.6</w:t>
            </w:r>
          </w:p>
        </w:tc>
        <w:tc>
          <w:tcPr>
            <w:tcW w:w="422" w:type="pct"/>
            <w:shd w:val="clear" w:color="auto" w:fill="CEEBE6"/>
            <w:noWrap/>
            <w:vAlign w:val="center"/>
          </w:tcPr>
          <w:p>
            <w:pPr>
              <w:spacing w:before="60" w:after="60"/>
              <w:jc w:val="center"/>
              <w:rPr>
                <w:noProof/>
                <w:sz w:val="20"/>
                <w:szCs w:val="16"/>
              </w:rPr>
            </w:pPr>
            <w:r>
              <w:rPr>
                <w:noProof/>
                <w:sz w:val="20"/>
                <w:szCs w:val="16"/>
              </w:rPr>
              <w:t>18.9</w:t>
            </w:r>
          </w:p>
        </w:tc>
        <w:tc>
          <w:tcPr>
            <w:tcW w:w="421" w:type="pct"/>
            <w:shd w:val="clear" w:color="auto" w:fill="CEEBE6"/>
            <w:noWrap/>
            <w:vAlign w:val="center"/>
          </w:tcPr>
          <w:p>
            <w:pPr>
              <w:spacing w:before="60" w:after="60"/>
              <w:jc w:val="center"/>
              <w:rPr>
                <w:noProof/>
                <w:sz w:val="20"/>
                <w:szCs w:val="16"/>
              </w:rPr>
            </w:pPr>
            <w:r>
              <w:rPr>
                <w:noProof/>
                <w:sz w:val="20"/>
                <w:szCs w:val="16"/>
              </w:rPr>
              <w:t>16.1</w:t>
            </w:r>
          </w:p>
        </w:tc>
        <w:tc>
          <w:tcPr>
            <w:tcW w:w="421" w:type="pct"/>
            <w:shd w:val="clear" w:color="auto" w:fill="CEEBE6"/>
            <w:noWrap/>
            <w:vAlign w:val="center"/>
          </w:tcPr>
          <w:p>
            <w:pPr>
              <w:spacing w:before="60" w:after="60"/>
              <w:jc w:val="center"/>
              <w:rPr>
                <w:noProof/>
                <w:sz w:val="20"/>
                <w:szCs w:val="16"/>
              </w:rPr>
            </w:pPr>
            <w:r>
              <w:rPr>
                <w:noProof/>
                <w:sz w:val="20"/>
                <w:szCs w:val="16"/>
              </w:rPr>
              <w:t>23.3</w:t>
            </w:r>
          </w:p>
        </w:tc>
        <w:tc>
          <w:tcPr>
            <w:tcW w:w="414" w:type="pct"/>
            <w:shd w:val="clear" w:color="auto" w:fill="CEEBE6"/>
            <w:noWrap/>
            <w:vAlign w:val="center"/>
          </w:tcPr>
          <w:p>
            <w:pPr>
              <w:spacing w:before="60" w:after="60"/>
              <w:jc w:val="center"/>
              <w:rPr>
                <w:noProof/>
                <w:sz w:val="20"/>
                <w:szCs w:val="16"/>
              </w:rPr>
            </w:pPr>
            <w:r>
              <w:rPr>
                <w:noProof/>
                <w:sz w:val="20"/>
                <w:szCs w:val="16"/>
              </w:rPr>
              <w:t>33.7</w:t>
            </w:r>
          </w:p>
        </w:tc>
      </w:tr>
      <w:tr>
        <w:trPr>
          <w:trHeight w:val="185"/>
          <w:jc w:val="center"/>
        </w:trPr>
        <w:tc>
          <w:tcPr>
            <w:tcW w:w="2478" w:type="pct"/>
            <w:shd w:val="clear" w:color="auto" w:fill="auto"/>
            <w:noWrap/>
            <w:vAlign w:val="center"/>
          </w:tcPr>
          <w:p>
            <w:pPr>
              <w:keepNext/>
              <w:spacing w:before="60" w:after="60"/>
              <w:jc w:val="left"/>
              <w:rPr>
                <w:bCs/>
                <w:noProof/>
                <w:sz w:val="20"/>
                <w:szCs w:val="16"/>
              </w:rPr>
            </w:pPr>
            <w:r>
              <w:rPr>
                <w:noProof/>
                <w:sz w:val="20"/>
              </w:rPr>
              <w:t>Ratio of energy costs* to EBITDA</w:t>
            </w:r>
          </w:p>
        </w:tc>
        <w:tc>
          <w:tcPr>
            <w:tcW w:w="421" w:type="pct"/>
            <w:shd w:val="clear" w:color="auto" w:fill="auto"/>
            <w:noWrap/>
            <w:vAlign w:val="center"/>
          </w:tcPr>
          <w:p>
            <w:pPr>
              <w:spacing w:before="60" w:after="60"/>
              <w:jc w:val="center"/>
              <w:rPr>
                <w:noProof/>
                <w:sz w:val="20"/>
                <w:szCs w:val="16"/>
              </w:rPr>
            </w:pPr>
            <w:r>
              <w:rPr>
                <w:noProof/>
                <w:sz w:val="20"/>
                <w:szCs w:val="16"/>
              </w:rPr>
              <w:t>35.5</w:t>
            </w:r>
          </w:p>
        </w:tc>
        <w:tc>
          <w:tcPr>
            <w:tcW w:w="422" w:type="pct"/>
            <w:shd w:val="clear" w:color="auto" w:fill="auto"/>
            <w:noWrap/>
            <w:vAlign w:val="center"/>
          </w:tcPr>
          <w:p>
            <w:pPr>
              <w:spacing w:before="60" w:after="60"/>
              <w:jc w:val="center"/>
              <w:rPr>
                <w:noProof/>
                <w:sz w:val="20"/>
                <w:szCs w:val="16"/>
              </w:rPr>
            </w:pPr>
            <w:r>
              <w:rPr>
                <w:noProof/>
                <w:sz w:val="20"/>
                <w:szCs w:val="16"/>
              </w:rPr>
              <w:t>3.3</w:t>
            </w:r>
          </w:p>
        </w:tc>
        <w:tc>
          <w:tcPr>
            <w:tcW w:w="422" w:type="pct"/>
            <w:shd w:val="clear" w:color="auto" w:fill="auto"/>
            <w:noWrap/>
            <w:vAlign w:val="center"/>
          </w:tcPr>
          <w:p>
            <w:pPr>
              <w:spacing w:before="60" w:after="60"/>
              <w:jc w:val="center"/>
              <w:rPr>
                <w:noProof/>
                <w:sz w:val="20"/>
                <w:szCs w:val="16"/>
              </w:rPr>
            </w:pPr>
            <w:r>
              <w:rPr>
                <w:noProof/>
                <w:sz w:val="20"/>
                <w:szCs w:val="16"/>
              </w:rPr>
              <w:t>1.4</w:t>
            </w:r>
          </w:p>
        </w:tc>
        <w:tc>
          <w:tcPr>
            <w:tcW w:w="421" w:type="pct"/>
            <w:shd w:val="clear" w:color="auto" w:fill="auto"/>
            <w:noWrap/>
            <w:vAlign w:val="center"/>
          </w:tcPr>
          <w:p>
            <w:pPr>
              <w:spacing w:before="60" w:after="60"/>
              <w:jc w:val="center"/>
              <w:rPr>
                <w:noProof/>
                <w:sz w:val="20"/>
                <w:szCs w:val="16"/>
              </w:rPr>
            </w:pPr>
            <w:r>
              <w:rPr>
                <w:noProof/>
                <w:sz w:val="20"/>
                <w:szCs w:val="16"/>
              </w:rPr>
              <w:t>1.6</w:t>
            </w:r>
          </w:p>
        </w:tc>
        <w:tc>
          <w:tcPr>
            <w:tcW w:w="421" w:type="pct"/>
            <w:shd w:val="clear" w:color="auto" w:fill="auto"/>
            <w:noWrap/>
            <w:vAlign w:val="center"/>
          </w:tcPr>
          <w:p>
            <w:pPr>
              <w:spacing w:before="60" w:after="60"/>
              <w:jc w:val="center"/>
              <w:rPr>
                <w:noProof/>
                <w:sz w:val="20"/>
                <w:szCs w:val="16"/>
              </w:rPr>
            </w:pPr>
            <w:r>
              <w:rPr>
                <w:noProof/>
                <w:sz w:val="20"/>
                <w:szCs w:val="16"/>
              </w:rPr>
              <w:t>0.9</w:t>
            </w:r>
          </w:p>
        </w:tc>
        <w:tc>
          <w:tcPr>
            <w:tcW w:w="414" w:type="pct"/>
            <w:shd w:val="clear" w:color="auto" w:fill="auto"/>
            <w:noWrap/>
            <w:vAlign w:val="center"/>
          </w:tcPr>
          <w:p>
            <w:pPr>
              <w:spacing w:before="60" w:after="60"/>
              <w:jc w:val="center"/>
              <w:rPr>
                <w:noProof/>
                <w:sz w:val="20"/>
                <w:szCs w:val="16"/>
              </w:rPr>
            </w:pPr>
            <w:r>
              <w:rPr>
                <w:noProof/>
                <w:sz w:val="20"/>
                <w:szCs w:val="16"/>
              </w:rPr>
              <w:t>0.7</w:t>
            </w:r>
          </w:p>
        </w:tc>
      </w:tr>
    </w:tbl>
    <w:p>
      <w:pPr>
        <w:pStyle w:val="Sources"/>
        <w:tabs>
          <w:tab w:val="left" w:pos="142"/>
        </w:tabs>
        <w:rPr>
          <w:noProof/>
        </w:rPr>
      </w:pPr>
      <w:r>
        <w:rPr>
          <w:bCs/>
          <w:noProof/>
          <w:szCs w:val="16"/>
        </w:rPr>
        <w:tab/>
        <w:t>* Energy costs include the costs of electricity and natural gas but not the costs of coking coal and coke</w:t>
      </w:r>
      <w:r>
        <w:rPr>
          <w:noProof/>
          <w:lang w:eastAsia="de-DE"/>
        </w:rPr>
        <w:t>.</w:t>
      </w:r>
    </w:p>
    <w:p>
      <w:pPr>
        <w:pStyle w:val="Sources"/>
        <w:tabs>
          <w:tab w:val="left" w:pos="142"/>
        </w:tabs>
        <w:rPr>
          <w:noProof/>
        </w:rPr>
      </w:pPr>
      <w:r>
        <w:rPr>
          <w:noProof/>
        </w:rPr>
        <w:tab/>
        <w:t>Source: CEPS/Ecofys.</w:t>
      </w:r>
    </w:p>
    <w:p>
      <w:pPr>
        <w:pStyle w:val="Caption"/>
        <w:rPr>
          <w:rFonts w:eastAsia="Times New Roman"/>
          <w:color w:val="000000"/>
          <w:lang w:eastAsia="en-GB"/>
        </w:rPr>
      </w:pPr>
      <w:bookmarkStart w:id="76" w:name="_Ref526952969"/>
      <w:bookmarkStart w:id="77" w:name="_Toc526436586"/>
      <w:bookmarkStart w:id="78" w:name="_Toc530741704"/>
      <w:r>
        <w:t xml:space="preserve">Figure </w:t>
      </w:r>
      <w:r>
        <w:fldChar w:fldCharType="begin"/>
      </w:r>
      <w:r>
        <w:instrText xml:space="preserve"> SEQ Figure \* ARABIC </w:instrText>
      </w:r>
      <w:r>
        <w:fldChar w:fldCharType="separate"/>
      </w:r>
      <w:r>
        <w:t>11</w:t>
      </w:r>
      <w:r>
        <w:fldChar w:fldCharType="end"/>
      </w:r>
      <w:bookmarkEnd w:id="76"/>
      <w:r>
        <w:t xml:space="preserve">. </w:t>
      </w:r>
      <w:r>
        <w:rPr>
          <w:rFonts w:eastAsia="Times New Roman"/>
          <w:color w:val="000000"/>
          <w:lang w:eastAsia="en-GB"/>
        </w:rPr>
        <w:t xml:space="preserve">Energy costs versus EBITDA </w:t>
      </w:r>
      <w:r>
        <w:t>of BOF steel production</w:t>
      </w:r>
      <w:r>
        <w:rPr>
          <w:rFonts w:eastAsia="Times New Roman"/>
          <w:color w:val="000000"/>
          <w:lang w:eastAsia="en-GB"/>
        </w:rPr>
        <w:t xml:space="preserve"> (€/tonne)</w:t>
      </w:r>
      <w:bookmarkEnd w:id="77"/>
      <w:bookmarkEnd w:id="78"/>
    </w:p>
    <w:p>
      <w:pPr>
        <w:pStyle w:val="Sources"/>
        <w:keepNext/>
        <w:rPr>
          <w:noProof/>
        </w:rPr>
      </w:pPr>
      <w:r>
        <w:rPr>
          <w:noProof/>
          <w:lang w:eastAsia="en-GB"/>
        </w:rPr>
        <w:drawing>
          <wp:inline distT="0" distB="0" distL="0" distR="0">
            <wp:extent cx="5760720" cy="354140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541402"/>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lang w:eastAsia="en-GB"/>
        </w:rPr>
      </w:pPr>
    </w:p>
    <w:p>
      <w:pPr>
        <w:spacing w:after="0"/>
        <w:jc w:val="left"/>
        <w:rPr>
          <w:rFonts w:eastAsia="Times New Roman"/>
          <w:b/>
          <w:bCs/>
          <w:noProof/>
          <w:color w:val="000000"/>
          <w:sz w:val="32"/>
          <w:szCs w:val="32"/>
          <w:lang w:eastAsia="en-GB"/>
        </w:rPr>
      </w:pPr>
      <w:bookmarkStart w:id="79" w:name="_Toc527051450"/>
      <w:r>
        <w:rPr>
          <w:noProof/>
          <w:lang w:eastAsia="en-GB"/>
        </w:rPr>
        <w:br w:type="page"/>
      </w:r>
    </w:p>
    <w:p>
      <w:pPr>
        <w:pStyle w:val="Heading3"/>
        <w:rPr>
          <w:noProof/>
        </w:rPr>
      </w:pPr>
      <w:bookmarkStart w:id="80" w:name="_Toc530741635"/>
      <w:r>
        <w:rPr>
          <w:noProof/>
        </w:rPr>
        <w:t>EAF plants</w:t>
      </w:r>
      <w:bookmarkEnd w:id="79"/>
      <w:bookmarkEnd w:id="80"/>
    </w:p>
    <w:p>
      <w:pPr>
        <w:pStyle w:val="Heading4"/>
        <w:rPr>
          <w:noProof/>
        </w:rPr>
      </w:pPr>
      <w:bookmarkStart w:id="81" w:name="_Toc530741636"/>
      <w:r>
        <w:rPr>
          <w:noProof/>
        </w:rPr>
        <w:t>Electricity prices, costs and intensity</w:t>
      </w:r>
      <w:bookmarkEnd w:id="81"/>
    </w:p>
    <w:p>
      <w:pPr>
        <w:rPr>
          <w:noProof/>
          <w:lang w:eastAsia="en-GB"/>
        </w:rPr>
      </w:pPr>
      <w:r>
        <w:rPr>
          <w:noProof/>
        </w:rPr>
        <w:t xml:space="preserve">Key electricity indicators for EAF plants are presented in </w:t>
      </w:r>
      <w:r>
        <w:rPr>
          <w:noProof/>
        </w:rPr>
        <w:fldChar w:fldCharType="begin"/>
      </w:r>
      <w:r>
        <w:rPr>
          <w:noProof/>
        </w:rPr>
        <w:instrText xml:space="preserve"> REF _Ref527022080 \h </w:instrText>
      </w:r>
      <w:r>
        <w:rPr>
          <w:noProof/>
        </w:rPr>
      </w:r>
      <w:r>
        <w:rPr>
          <w:noProof/>
        </w:rPr>
        <w:fldChar w:fldCharType="separate"/>
      </w:r>
      <w:r>
        <w:rPr>
          <w:noProof/>
        </w:rPr>
        <w:t>Table 5</w:t>
      </w:r>
      <w:r>
        <w:rPr>
          <w:noProof/>
        </w:rPr>
        <w:fldChar w:fldCharType="end"/>
      </w:r>
      <w:r>
        <w:rPr>
          <w:noProof/>
        </w:rPr>
        <w:t>.</w:t>
      </w:r>
    </w:p>
    <w:p>
      <w:pPr>
        <w:rPr>
          <w:noProof/>
          <w:lang w:eastAsia="en-GB"/>
        </w:rPr>
      </w:pPr>
      <w:r>
        <w:rPr>
          <w:noProof/>
          <w:lang w:eastAsia="en-GB"/>
        </w:rPr>
        <w:t>The e</w:t>
      </w:r>
      <w:r>
        <w:rPr>
          <w:noProof/>
        </w:rPr>
        <w:t>lectricity prices</w:t>
      </w:r>
      <w:r>
        <w:rPr>
          <w:noProof/>
          <w:lang w:eastAsia="de-DE"/>
        </w:rPr>
        <w:t xml:space="preserve"> and costs </w:t>
      </w:r>
      <w:r>
        <w:rPr>
          <w:noProof/>
          <w:lang w:eastAsia="en-GB"/>
        </w:rPr>
        <w:t>in EUR/MWh</w:t>
      </w:r>
      <w:r>
        <w:rPr>
          <w:noProof/>
        </w:rPr>
        <w:t xml:space="preserve"> </w:t>
      </w:r>
      <w:r>
        <w:rPr>
          <w:noProof/>
          <w:lang w:eastAsia="en-GB"/>
        </w:rPr>
        <w:t>remained fairly stable between 2008 and 2013 but dropped afterwards.</w:t>
      </w:r>
    </w:p>
    <w:p>
      <w:pPr>
        <w:rPr>
          <w:noProof/>
          <w:lang w:eastAsia="en-GB"/>
        </w:rPr>
      </w:pPr>
      <w:r>
        <w:rPr>
          <w:noProof/>
          <w:lang w:eastAsia="en-GB"/>
        </w:rPr>
        <w:t>EU average electricity prices decreased overall by around 13% over the period (61 EUR/MWh in 2008 vs. 53 EUR/MWh in 2017). When looking at the EU average electricity price components (</w:t>
      </w:r>
      <w:r>
        <w:rPr>
          <w:noProof/>
          <w:lang w:eastAsia="en-GB"/>
        </w:rPr>
        <w:fldChar w:fldCharType="begin"/>
      </w:r>
      <w:r>
        <w:rPr>
          <w:noProof/>
          <w:lang w:eastAsia="en-GB"/>
        </w:rPr>
        <w:instrText xml:space="preserve"> REF _Ref529282809 \h </w:instrText>
      </w:r>
      <w:r>
        <w:rPr>
          <w:noProof/>
          <w:lang w:eastAsia="en-GB"/>
        </w:rPr>
      </w:r>
      <w:r>
        <w:rPr>
          <w:noProof/>
          <w:lang w:eastAsia="en-GB"/>
        </w:rPr>
        <w:fldChar w:fldCharType="separate"/>
      </w:r>
      <w:r>
        <w:rPr>
          <w:noProof/>
        </w:rPr>
        <w:t>Figure 12</w:t>
      </w:r>
      <w:r>
        <w:rPr>
          <w:noProof/>
          <w:lang w:eastAsia="en-GB"/>
        </w:rPr>
        <w:fldChar w:fldCharType="end"/>
      </w:r>
      <w:r>
        <w:rPr>
          <w:noProof/>
          <w:lang w:eastAsia="en-GB"/>
        </w:rPr>
        <w:t>), the energy component still represents the main price component but has declined over time (from 86% in 2008 to 76% in 2017). In contrast, RES levies and other non-recoverable taxes/levies significantly increased over the period, both in relative and absolute terms. They represented altogether nearly 10% of the electricity price in 2016-2017 (compared to 2% in 2008). Larger consumers faced lower electricity prices (weighted average by purchased electricity is below simple average) and actually paid less for all the price components, including energy but also network costs, RES levies and other non-recoverable taxes/levies.</w:t>
      </w:r>
    </w:p>
    <w:p>
      <w:pPr>
        <w:rPr>
          <w:noProof/>
          <w:lang w:eastAsia="en-GB"/>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_Ref527024243 \h </w:instrText>
      </w:r>
      <w:r>
        <w:rPr>
          <w:noProof/>
          <w:lang w:eastAsia="en-GB"/>
        </w:rPr>
      </w:r>
      <w:r>
        <w:rPr>
          <w:noProof/>
          <w:lang w:eastAsia="en-GB"/>
        </w:rPr>
        <w:fldChar w:fldCharType="separate"/>
      </w:r>
      <w:r>
        <w:rPr>
          <w:noProof/>
        </w:rPr>
        <w:t>Figure 13</w:t>
      </w:r>
      <w:r>
        <w:rPr>
          <w:noProof/>
          <w:lang w:eastAsia="en-GB"/>
        </w:rPr>
        <w:fldChar w:fldCharType="end"/>
      </w:r>
      <w:r>
        <w:rPr>
          <w:noProof/>
          <w:lang w:eastAsia="en-GB"/>
        </w:rPr>
        <w:t>) went down from 61 EUR/MWh in 2008 to 50 EUR/MWh in 2017. The slight difference between electricity price and costs in EUR/MWh is caused by plants that received ex post reimbursements and compensations from an interruptibility scheme. It is interesting to note that on average EAF plants show slightly lower electricity costs (better deals) than BOF plants (e.g. 50 vs. 54 EUR/MWh in 2017, respectively), while in absolute terms their electricity consumption is less than half (around 330 GWh for an EAF compared to 820 GWh for a BOF plant based on 2016 median figures).</w:t>
      </w:r>
    </w:p>
    <w:p>
      <w:pPr>
        <w:rPr>
          <w:noProof/>
          <w:lang w:eastAsia="en-GB"/>
        </w:rPr>
      </w:pPr>
      <w:r>
        <w:rPr>
          <w:bCs/>
          <w:noProof/>
        </w:rPr>
        <w:t>EU average electricity costs in EUR/tonne</w:t>
      </w:r>
      <w:r>
        <w:rPr>
          <w:noProof/>
          <w:lang w:eastAsia="en-GB"/>
        </w:rPr>
        <w:t xml:space="preserve"> (</w:t>
      </w:r>
      <w:r>
        <w:rPr>
          <w:noProof/>
          <w:lang w:eastAsia="en-GB"/>
        </w:rPr>
        <w:fldChar w:fldCharType="begin"/>
      </w:r>
      <w:r>
        <w:rPr>
          <w:noProof/>
          <w:lang w:eastAsia="en-GB"/>
        </w:rPr>
        <w:instrText xml:space="preserve"> REF _Ref527024708 \h </w:instrText>
      </w:r>
      <w:r>
        <w:rPr>
          <w:noProof/>
          <w:lang w:eastAsia="en-GB"/>
        </w:rPr>
      </w:r>
      <w:r>
        <w:rPr>
          <w:noProof/>
          <w:lang w:eastAsia="en-GB"/>
        </w:rPr>
        <w:fldChar w:fldCharType="separate"/>
      </w:r>
      <w:r>
        <w:rPr>
          <w:noProof/>
        </w:rPr>
        <w:t>Figure 14</w:t>
      </w:r>
      <w:r>
        <w:rPr>
          <w:noProof/>
          <w:lang w:eastAsia="en-GB"/>
        </w:rPr>
        <w:fldChar w:fldCharType="end"/>
      </w:r>
      <w:r>
        <w:rPr>
          <w:noProof/>
          <w:lang w:eastAsia="en-GB"/>
        </w:rPr>
        <w:t>) followed the same trend</w:t>
      </w:r>
      <w:r>
        <w:rPr>
          <w:noProof/>
          <w:lang w:eastAsia="de-DE"/>
        </w:rPr>
        <w:t xml:space="preserve"> as electricity costs </w:t>
      </w:r>
      <w:r>
        <w:rPr>
          <w:noProof/>
          <w:lang w:eastAsia="en-GB"/>
        </w:rPr>
        <w:t xml:space="preserve">in EUR/MWh and went downwards from 34 EUR/tonne in 2008 to 26 EUR/tonne in 2017 in EAF plants. Larger plants benefitted from better price conditions and economies of scale (weighted average – by production output – </w:t>
      </w:r>
      <w:r>
        <w:rPr>
          <w:bCs/>
          <w:noProof/>
        </w:rPr>
        <w:t>electricity costs are</w:t>
      </w:r>
      <w:r>
        <w:rPr>
          <w:noProof/>
          <w:lang w:eastAsia="en-GB"/>
        </w:rPr>
        <w:t xml:space="preserve"> below simple average ones).</w:t>
      </w:r>
    </w:p>
    <w:p>
      <w:pPr>
        <w:rPr>
          <w:noProof/>
          <w:lang w:eastAsia="en-GB"/>
        </w:rPr>
      </w:pPr>
      <w:r>
        <w:rPr>
          <w:noProof/>
          <w:lang w:eastAsia="en-GB"/>
        </w:rPr>
        <w:t>EU average electricity intensity of EAF plants (</w:t>
      </w:r>
      <w:r>
        <w:rPr>
          <w:noProof/>
          <w:lang w:eastAsia="en-GB"/>
        </w:rPr>
        <w:fldChar w:fldCharType="begin"/>
      </w:r>
      <w:r>
        <w:rPr>
          <w:noProof/>
          <w:lang w:eastAsia="en-GB"/>
        </w:rPr>
        <w:instrText xml:space="preserve"> REF _Ref527052716 \h </w:instrText>
      </w:r>
      <w:r>
        <w:rPr>
          <w:noProof/>
          <w:lang w:eastAsia="en-GB"/>
        </w:rPr>
      </w:r>
      <w:r>
        <w:rPr>
          <w:noProof/>
          <w:lang w:eastAsia="en-GB"/>
        </w:rPr>
        <w:fldChar w:fldCharType="separate"/>
      </w:r>
      <w:r>
        <w:rPr>
          <w:noProof/>
        </w:rPr>
        <w:t>Figure 15</w:t>
      </w:r>
      <w:r>
        <w:rPr>
          <w:noProof/>
          <w:lang w:eastAsia="en-GB"/>
        </w:rPr>
        <w:fldChar w:fldCharType="end"/>
      </w:r>
      <w:r>
        <w:rPr>
          <w:noProof/>
          <w:lang w:eastAsia="en-GB"/>
        </w:rPr>
        <w:t>) was around 0.55 MWh/tonne over the period (we can see a slight decrease over time from 0.56 MWh/tonne in 2008 to 0.53 MWh/tonne in 2017). Larger plants were more electricity efficient than smaller ones (weighted average – by production output – electricity efficiency is constantly below simple average one).</w:t>
      </w:r>
    </w:p>
    <w:p>
      <w:pPr>
        <w:rPr>
          <w:noProof/>
          <w:lang w:eastAsia="en-GB"/>
        </w:rPr>
      </w:pPr>
    </w:p>
    <w:p>
      <w:pPr>
        <w:pStyle w:val="Heading4"/>
        <w:rPr>
          <w:noProof/>
        </w:rPr>
      </w:pPr>
      <w:bookmarkStart w:id="82" w:name="_Toc530741637"/>
      <w:r>
        <w:rPr>
          <w:noProof/>
        </w:rPr>
        <w:t>Natural gas prices, costs and intensity</w:t>
      </w:r>
      <w:bookmarkEnd w:id="82"/>
    </w:p>
    <w:p>
      <w:pPr>
        <w:rPr>
          <w:noProof/>
          <w:lang w:eastAsia="en-GB"/>
        </w:rPr>
      </w:pPr>
      <w:r>
        <w:rPr>
          <w:noProof/>
        </w:rPr>
        <w:t xml:space="preserve">Key natural gas indicators for EAF plants are presented in </w:t>
      </w:r>
      <w:r>
        <w:rPr>
          <w:noProof/>
        </w:rPr>
        <w:fldChar w:fldCharType="begin"/>
      </w:r>
      <w:r>
        <w:rPr>
          <w:noProof/>
        </w:rPr>
        <w:instrText xml:space="preserve"> REF _Ref527022101 \h </w:instrText>
      </w:r>
      <w:r>
        <w:rPr>
          <w:noProof/>
        </w:rPr>
      </w:r>
      <w:r>
        <w:rPr>
          <w:noProof/>
        </w:rPr>
        <w:fldChar w:fldCharType="separate"/>
      </w:r>
      <w:r>
        <w:rPr>
          <w:noProof/>
        </w:rPr>
        <w:t>Table 6</w:t>
      </w:r>
      <w:r>
        <w:rPr>
          <w:noProof/>
        </w:rPr>
        <w:fldChar w:fldCharType="end"/>
      </w:r>
      <w:r>
        <w:rPr>
          <w:noProof/>
        </w:rPr>
        <w:t>.</w:t>
      </w:r>
    </w:p>
    <w:p>
      <w:pPr>
        <w:rPr>
          <w:noProof/>
          <w:lang w:eastAsia="en-GB"/>
        </w:rPr>
      </w:pPr>
      <w:r>
        <w:rPr>
          <w:noProof/>
          <w:lang w:eastAsia="en-GB"/>
        </w:rPr>
        <w:t>EU average natural gas prices (</w:t>
      </w:r>
      <w:r>
        <w:rPr>
          <w:noProof/>
          <w:lang w:eastAsia="en-GB"/>
        </w:rPr>
        <w:fldChar w:fldCharType="begin"/>
      </w:r>
      <w:r>
        <w:rPr>
          <w:noProof/>
          <w:lang w:eastAsia="en-GB"/>
        </w:rPr>
        <w:instrText xml:space="preserve"> REF _Ref527032515 \h </w:instrText>
      </w:r>
      <w:r>
        <w:rPr>
          <w:noProof/>
          <w:lang w:eastAsia="en-GB"/>
        </w:rPr>
      </w:r>
      <w:r>
        <w:rPr>
          <w:noProof/>
          <w:lang w:eastAsia="en-GB"/>
        </w:rPr>
        <w:fldChar w:fldCharType="separate"/>
      </w:r>
      <w:r>
        <w:rPr>
          <w:noProof/>
        </w:rPr>
        <w:t>Figure 16</w:t>
      </w:r>
      <w:r>
        <w:rPr>
          <w:noProof/>
          <w:lang w:eastAsia="en-GB"/>
        </w:rPr>
        <w:fldChar w:fldCharType="end"/>
      </w:r>
      <w:r>
        <w:rPr>
          <w:noProof/>
          <w:lang w:eastAsia="en-GB"/>
        </w:rPr>
        <w:t xml:space="preserve">) dropped from 2008 to 2010, increased from 2010 to 2012 and then significantly decreased from 2012 to 2017. This is in line with international natural gas market price developments. The prices were at 26 EUR/MWh in 2008 and 20 EUR/MWh in 2017. As shown in </w:t>
      </w:r>
      <w:r>
        <w:rPr>
          <w:noProof/>
          <w:lang w:eastAsia="en-GB"/>
        </w:rPr>
        <w:fldChar w:fldCharType="begin"/>
      </w:r>
      <w:r>
        <w:rPr>
          <w:noProof/>
          <w:lang w:eastAsia="en-GB"/>
        </w:rPr>
        <w:instrText xml:space="preserve"> REF _Ref529283734 \h </w:instrText>
      </w:r>
      <w:r>
        <w:rPr>
          <w:noProof/>
          <w:lang w:eastAsia="en-GB"/>
        </w:rPr>
      </w:r>
      <w:r>
        <w:rPr>
          <w:noProof/>
          <w:lang w:eastAsia="en-GB"/>
        </w:rPr>
        <w:fldChar w:fldCharType="separate"/>
      </w:r>
      <w:r>
        <w:rPr>
          <w:noProof/>
        </w:rPr>
        <w:t>Figure 17</w:t>
      </w:r>
      <w:r>
        <w:rPr>
          <w:noProof/>
          <w:lang w:eastAsia="en-GB"/>
        </w:rPr>
        <w:fldChar w:fldCharType="end"/>
      </w:r>
      <w:r>
        <w:rPr>
          <w:noProof/>
          <w:lang w:eastAsia="en-GB"/>
        </w:rPr>
        <w:t>, the natural gas price is made up mostly by the energy component (86% in 2017), the remaining coming from the network component (</w:t>
      </w:r>
      <w:r>
        <w:rPr>
          <w:noProof/>
        </w:rPr>
        <w:t>non-recoverable</w:t>
      </w:r>
      <w:r>
        <w:rPr>
          <w:noProof/>
          <w:lang w:eastAsia="en-GB"/>
        </w:rPr>
        <w:t xml:space="preserve"> taxes/levies play here a very minor role). Overall, large consumers faced lower natural gas prices (weighted average by purchased natural gas is generally below simple average). In fact, large consumers do not necessarily pay less for the energy component but do pay relatively less for the network costs and </w:t>
      </w:r>
      <w:r>
        <w:rPr>
          <w:noProof/>
        </w:rPr>
        <w:t>non-recoverable</w:t>
      </w:r>
      <w:r>
        <w:rPr>
          <w:noProof/>
          <w:lang w:eastAsia="en-GB"/>
        </w:rPr>
        <w:t xml:space="preserve"> taxes/levies. Unlike for electricity, on average EAF plants faced since 2012 slightly higher gas prices than BOF plants (e.g. 20 vs. 19 EUR/MWh in 2017, respectively).</w:t>
      </w:r>
    </w:p>
    <w:p>
      <w:pPr>
        <w:rPr>
          <w:noProof/>
          <w:lang w:eastAsia="en-GB"/>
        </w:rPr>
      </w:pPr>
      <w:r>
        <w:rPr>
          <w:noProof/>
          <w:lang w:eastAsia="en-GB"/>
        </w:rPr>
        <w:t>EU average natural gas costs (in EUR/tonne) were volatile throughout the 2008-2017 period (</w:t>
      </w:r>
      <w:r>
        <w:rPr>
          <w:noProof/>
          <w:lang w:eastAsia="en-GB"/>
        </w:rPr>
        <w:fldChar w:fldCharType="begin"/>
      </w:r>
      <w:r>
        <w:rPr>
          <w:noProof/>
          <w:lang w:eastAsia="en-GB"/>
        </w:rPr>
        <w:instrText xml:space="preserve"> REF _Ref527033852 \h </w:instrText>
      </w:r>
      <w:r>
        <w:rPr>
          <w:noProof/>
          <w:lang w:eastAsia="en-GB"/>
        </w:rPr>
      </w:r>
      <w:r>
        <w:rPr>
          <w:noProof/>
          <w:lang w:eastAsia="en-GB"/>
        </w:rPr>
        <w:fldChar w:fldCharType="separate"/>
      </w:r>
      <w:r>
        <w:rPr>
          <w:noProof/>
        </w:rPr>
        <w:t>Figure 18</w:t>
      </w:r>
      <w:r>
        <w:rPr>
          <w:noProof/>
          <w:lang w:eastAsia="en-GB"/>
        </w:rPr>
        <w:fldChar w:fldCharType="end"/>
      </w:r>
      <w:r>
        <w:rPr>
          <w:noProof/>
          <w:lang w:eastAsia="en-GB"/>
        </w:rPr>
        <w:t>). Overall, they still decreased by around 15% (9 EUR/tonne in 2008 vs. 8 EUR/tonne in 2017). Larger plants tend to bear lower unit costs due to lower natural gas prices and economies of scale (weighted average – by production output – natural gas costs are generally below simple average ones).</w:t>
      </w:r>
    </w:p>
    <w:p>
      <w:pPr>
        <w:rPr>
          <w:noProof/>
          <w:lang w:eastAsia="en-GB"/>
        </w:rPr>
      </w:pPr>
      <w:r>
        <w:rPr>
          <w:noProof/>
          <w:lang w:eastAsia="en-GB"/>
        </w:rPr>
        <w:t>EU average natural gas intensity (</w:t>
      </w:r>
      <w:r>
        <w:rPr>
          <w:noProof/>
          <w:lang w:eastAsia="en-GB"/>
        </w:rPr>
        <w:fldChar w:fldCharType="begin"/>
      </w:r>
      <w:r>
        <w:rPr>
          <w:noProof/>
          <w:lang w:eastAsia="en-GB"/>
        </w:rPr>
        <w:instrText xml:space="preserve"> REF _Ref527034232 \h </w:instrText>
      </w:r>
      <w:r>
        <w:rPr>
          <w:noProof/>
          <w:lang w:eastAsia="en-GB"/>
        </w:rPr>
      </w:r>
      <w:r>
        <w:rPr>
          <w:noProof/>
          <w:lang w:eastAsia="en-GB"/>
        </w:rPr>
        <w:fldChar w:fldCharType="separate"/>
      </w:r>
      <w:r>
        <w:rPr>
          <w:noProof/>
        </w:rPr>
        <w:t>Figure 19</w:t>
      </w:r>
      <w:r>
        <w:rPr>
          <w:noProof/>
          <w:lang w:eastAsia="en-GB"/>
        </w:rPr>
        <w:fldChar w:fldCharType="end"/>
      </w:r>
      <w:r>
        <w:rPr>
          <w:noProof/>
          <w:lang w:eastAsia="en-GB"/>
        </w:rPr>
        <w:t>) remained fairly stable throughout the period, with a 2–3% overall decrease between 2008 (0.39 </w:t>
      </w:r>
      <w:r>
        <w:rPr>
          <w:noProof/>
          <w:lang w:eastAsia="de-DE"/>
        </w:rPr>
        <w:t>MWh/tonne</w:t>
      </w:r>
      <w:r>
        <w:rPr>
          <w:noProof/>
          <w:lang w:eastAsia="en-GB"/>
        </w:rPr>
        <w:t>) and 2017 (0.38 </w:t>
      </w:r>
      <w:r>
        <w:rPr>
          <w:noProof/>
          <w:lang w:eastAsia="de-DE"/>
        </w:rPr>
        <w:t>MWh/tonne</w:t>
      </w:r>
      <w:r>
        <w:rPr>
          <w:noProof/>
          <w:lang w:eastAsia="en-GB"/>
        </w:rPr>
        <w:t>). Larger plants are more natural gas efficient than smaller ones (weighted average by production output is below simple average).</w:t>
      </w:r>
    </w:p>
    <w:p>
      <w:pPr>
        <w:rPr>
          <w:noProof/>
          <w:lang w:eastAsia="en-GB"/>
        </w:rPr>
      </w:pPr>
    </w:p>
    <w:p>
      <w:pPr>
        <w:pStyle w:val="Heading4"/>
        <w:rPr>
          <w:noProof/>
        </w:rPr>
      </w:pPr>
      <w:bookmarkStart w:id="83" w:name="_Toc530741638"/>
      <w:r>
        <w:rPr>
          <w:noProof/>
        </w:rPr>
        <w:t>Competitiveness</w:t>
      </w:r>
      <w:bookmarkEnd w:id="83"/>
    </w:p>
    <w:p>
      <w:pPr>
        <w:rPr>
          <w:noProof/>
          <w:lang w:eastAsia="en-GB"/>
        </w:rPr>
      </w:pPr>
      <w:r>
        <w:rPr>
          <w:noProof/>
          <w:lang w:eastAsia="en-GB"/>
        </w:rPr>
        <w:t xml:space="preserve">As shown in </w:t>
      </w:r>
      <w:r>
        <w:rPr>
          <w:noProof/>
          <w:lang w:eastAsia="en-GB"/>
        </w:rPr>
        <w:fldChar w:fldCharType="begin"/>
      </w:r>
      <w:r>
        <w:rPr>
          <w:noProof/>
          <w:lang w:eastAsia="en-GB"/>
        </w:rPr>
        <w:instrText xml:space="preserve"> REF _Ref527022124 \h </w:instrText>
      </w:r>
      <w:r>
        <w:rPr>
          <w:noProof/>
          <w:lang w:eastAsia="en-GB"/>
        </w:rPr>
      </w:r>
      <w:r>
        <w:rPr>
          <w:noProof/>
          <w:lang w:eastAsia="en-GB"/>
        </w:rPr>
        <w:fldChar w:fldCharType="separate"/>
      </w:r>
      <w:r>
        <w:rPr>
          <w:noProof/>
        </w:rPr>
        <w:t>Table 7</w:t>
      </w:r>
      <w:r>
        <w:rPr>
          <w:noProof/>
          <w:lang w:eastAsia="en-GB"/>
        </w:rPr>
        <w:fldChar w:fldCharType="end"/>
      </w:r>
      <w:r>
        <w:rPr>
          <w:noProof/>
          <w:lang w:eastAsia="en-GB"/>
        </w:rPr>
        <w:t>, over the period, electricity and natural gas costs per tonne made up around 10% and 3% of total production costs per tonne, respectively. Overall, the share of total energy (electricity + natural gas) costs in production costs ranged around 12-13%.</w:t>
      </w:r>
    </w:p>
    <w:p>
      <w:pPr>
        <w:rPr>
          <w:noProof/>
          <w:lang w:eastAsia="en-GB"/>
        </w:rPr>
      </w:pPr>
      <w:r>
        <w:rPr>
          <w:noProof/>
        </w:rPr>
        <w:t>EU average</w:t>
      </w:r>
      <w:r>
        <w:rPr>
          <w:noProof/>
          <w:lang w:eastAsia="en-GB"/>
        </w:rPr>
        <w:t xml:space="preserve"> EBITDA per tonne (</w:t>
      </w:r>
      <w:r>
        <w:rPr>
          <w:noProof/>
          <w:lang w:eastAsia="en-GB"/>
        </w:rPr>
        <w:fldChar w:fldCharType="begin"/>
      </w:r>
      <w:r>
        <w:rPr>
          <w:noProof/>
          <w:lang w:eastAsia="en-GB"/>
        </w:rPr>
        <w:instrText xml:space="preserve"> REF _Ref527036597 \h </w:instrText>
      </w:r>
      <w:r>
        <w:rPr>
          <w:noProof/>
          <w:lang w:eastAsia="en-GB"/>
        </w:rPr>
      </w:r>
      <w:r>
        <w:rPr>
          <w:noProof/>
          <w:lang w:eastAsia="en-GB"/>
        </w:rPr>
        <w:fldChar w:fldCharType="separate"/>
      </w:r>
      <w:r>
        <w:rPr>
          <w:noProof/>
        </w:rPr>
        <w:t>Figure 20</w:t>
      </w:r>
      <w:r>
        <w:rPr>
          <w:noProof/>
          <w:lang w:eastAsia="en-GB"/>
        </w:rPr>
        <w:fldChar w:fldCharType="end"/>
      </w:r>
      <w:r>
        <w:rPr>
          <w:noProof/>
          <w:lang w:eastAsia="en-GB"/>
        </w:rPr>
        <w:t xml:space="preserve">) underwent a 63% decrease from 2008 to 2010. Since then, it has remained fairly stable at around 13-17 EUR/tonne. Larger plants showed higher margins (weighted average by production output is generally higher than simple average). The fact that total energy costs </w:t>
      </w:r>
      <w:r>
        <w:rPr>
          <w:noProof/>
          <w:lang w:eastAsia="de-DE"/>
        </w:rPr>
        <w:t xml:space="preserve">are higher than EBITDA shows the importance of electricity and natural gas costs and the potential direct impact they can have on margins of EAF </w:t>
      </w:r>
      <w:r>
        <w:rPr>
          <w:bCs/>
          <w:noProof/>
        </w:rPr>
        <w:t>steel production</w:t>
      </w:r>
      <w:r>
        <w:rPr>
          <w:noProof/>
          <w:lang w:eastAsia="de-DE"/>
        </w:rPr>
        <w:t>. The r</w:t>
      </w:r>
      <w:r>
        <w:rPr>
          <w:noProof/>
        </w:rPr>
        <w:t>atio of total energy costs to EBITDA</w:t>
      </w:r>
      <w:r>
        <w:rPr>
          <w:noProof/>
          <w:lang w:eastAsia="de-DE"/>
        </w:rPr>
        <w:t xml:space="preserve"> indicates that a </w:t>
      </w:r>
      <w:r>
        <w:rPr>
          <w:bCs/>
          <w:noProof/>
        </w:rPr>
        <w:t xml:space="preserve">1 % reduction in total energy </w:t>
      </w:r>
      <w:r>
        <w:rPr>
          <w:noProof/>
          <w:lang w:eastAsia="de-DE"/>
        </w:rPr>
        <w:t>costs w</w:t>
      </w:r>
      <w:r>
        <w:rPr>
          <w:noProof/>
          <w:lang w:eastAsia="en-GB"/>
        </w:rPr>
        <w:t xml:space="preserve">ould potentially lead, depending on the observation year (2008 excluded, as it is an atypical year), </w:t>
      </w:r>
      <w:r>
        <w:rPr>
          <w:bCs/>
          <w:noProof/>
        </w:rPr>
        <w:t xml:space="preserve">to around 2.4-2.9% increase in </w:t>
      </w:r>
      <w:r>
        <w:rPr>
          <w:noProof/>
          <w:lang w:eastAsia="de-DE"/>
        </w:rPr>
        <w:t>EBITDA. Nevertheless, w</w:t>
      </w:r>
      <w:r>
        <w:rPr>
          <w:noProof/>
          <w:lang w:eastAsia="en-GB"/>
        </w:rPr>
        <w:t>e can also observe that despite lower total energy costs over time, EBITDA did not improve, which means</w:t>
      </w:r>
      <w:r>
        <w:rPr>
          <w:noProof/>
        </w:rPr>
        <w:t xml:space="preserve"> that other major divers than electricity and natural gas costs play a role in EAF profitability as well.</w:t>
      </w:r>
    </w:p>
    <w:p>
      <w:pPr>
        <w:rPr>
          <w:noProof/>
          <w:lang w:eastAsia="en-GB"/>
        </w:rPr>
      </w:pPr>
    </w:p>
    <w:p>
      <w:pPr>
        <w:pStyle w:val="Heading4"/>
        <w:rPr>
          <w:noProof/>
        </w:rPr>
      </w:pPr>
      <w:bookmarkStart w:id="84" w:name="_Toc530741639"/>
      <w:r>
        <w:rPr>
          <w:noProof/>
        </w:rPr>
        <w:t>Tables and graphs</w:t>
      </w:r>
      <w:bookmarkEnd w:id="84"/>
    </w:p>
    <w:p>
      <w:pPr>
        <w:rPr>
          <w:b/>
          <w:i/>
          <w:noProof/>
          <w:lang w:eastAsia="en-GB"/>
        </w:rPr>
      </w:pPr>
      <w:r>
        <w:rPr>
          <w:b/>
          <w:i/>
          <w:noProof/>
          <w:lang w:eastAsia="en-GB"/>
        </w:rPr>
        <w:t>Electricity</w:t>
      </w:r>
    </w:p>
    <w:p>
      <w:pPr>
        <w:pStyle w:val="Caption"/>
      </w:pPr>
      <w:bookmarkStart w:id="85" w:name="_Ref527022080"/>
      <w:bookmarkStart w:id="86" w:name="_Toc526436331"/>
      <w:bookmarkStart w:id="87" w:name="_Ref527022077"/>
      <w:bookmarkStart w:id="88" w:name="_Toc530741798"/>
      <w:r>
        <w:t xml:space="preserve">Table </w:t>
      </w:r>
      <w:r>
        <w:fldChar w:fldCharType="begin"/>
      </w:r>
      <w:r>
        <w:instrText xml:space="preserve"> SEQ Table \* ARABIC </w:instrText>
      </w:r>
      <w:r>
        <w:fldChar w:fldCharType="separate"/>
      </w:r>
      <w:r>
        <w:t>5</w:t>
      </w:r>
      <w:r>
        <w:fldChar w:fldCharType="end"/>
      </w:r>
      <w:bookmarkEnd w:id="85"/>
      <w:r>
        <w:t>. Key electricity indicators of EAF steel production</w:t>
      </w:r>
      <w:r>
        <w:rPr>
          <w:rFonts w:eastAsia="Times New Roman"/>
          <w:color w:val="000000"/>
          <w:lang w:eastAsia="en-GB"/>
        </w:rPr>
        <w:t xml:space="preserve"> </w:t>
      </w:r>
      <w:r>
        <w:t>(EU averages)</w:t>
      </w:r>
      <w:bookmarkEnd w:id="86"/>
      <w:bookmarkEnd w:id="87"/>
      <w:bookmarkEnd w:id="88"/>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729"/>
        <w:gridCol w:w="769"/>
        <w:gridCol w:w="770"/>
        <w:gridCol w:w="770"/>
        <w:gridCol w:w="770"/>
        <w:gridCol w:w="770"/>
        <w:gridCol w:w="770"/>
        <w:gridCol w:w="758"/>
      </w:tblGrid>
      <w:tr>
        <w:trPr>
          <w:trHeight w:val="244"/>
          <w:tblHeader/>
          <w:jc w:val="center"/>
        </w:trPr>
        <w:tc>
          <w:tcPr>
            <w:tcW w:w="165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9"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2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55"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399"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61.4</w:t>
            </w:r>
          </w:p>
        </w:tc>
        <w:tc>
          <w:tcPr>
            <w:tcW w:w="421"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58.7</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61.5</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63.8</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58.7</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57.9</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53.7</w:t>
            </w:r>
          </w:p>
        </w:tc>
        <w:tc>
          <w:tcPr>
            <w:tcW w:w="417"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53.2</w:t>
            </w:r>
          </w:p>
        </w:tc>
      </w:tr>
      <w:tr>
        <w:trPr>
          <w:trHeight w:val="243"/>
          <w:jc w:val="center"/>
        </w:trPr>
        <w:tc>
          <w:tcPr>
            <w:tcW w:w="1655"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399" w:type="pct"/>
            <w:shd w:val="clear" w:color="auto" w:fill="auto"/>
            <w:noWrap/>
            <w:vAlign w:val="center"/>
            <w:hideMark/>
          </w:tcPr>
          <w:p>
            <w:pPr>
              <w:spacing w:before="60" w:after="60"/>
              <w:jc w:val="center"/>
              <w:rPr>
                <w:noProof/>
                <w:sz w:val="20"/>
                <w:szCs w:val="16"/>
                <w:lang w:eastAsia="it-IT"/>
              </w:rPr>
            </w:pPr>
            <w:r>
              <w:rPr>
                <w:noProof/>
                <w:sz w:val="20"/>
                <w:szCs w:val="16"/>
              </w:rPr>
              <w:t>61.3</w:t>
            </w:r>
          </w:p>
        </w:tc>
        <w:tc>
          <w:tcPr>
            <w:tcW w:w="421" w:type="pct"/>
            <w:shd w:val="clear" w:color="auto" w:fill="auto"/>
            <w:noWrap/>
            <w:vAlign w:val="center"/>
            <w:hideMark/>
          </w:tcPr>
          <w:p>
            <w:pPr>
              <w:spacing w:before="60" w:after="60"/>
              <w:jc w:val="center"/>
              <w:rPr>
                <w:noProof/>
                <w:sz w:val="20"/>
                <w:szCs w:val="16"/>
                <w:lang w:eastAsia="it-IT"/>
              </w:rPr>
            </w:pPr>
            <w:r>
              <w:rPr>
                <w:noProof/>
                <w:sz w:val="20"/>
                <w:szCs w:val="16"/>
              </w:rPr>
              <w:t>58.4</w:t>
            </w:r>
          </w:p>
        </w:tc>
        <w:tc>
          <w:tcPr>
            <w:tcW w:w="422" w:type="pct"/>
            <w:shd w:val="clear" w:color="auto" w:fill="auto"/>
            <w:noWrap/>
            <w:vAlign w:val="center"/>
            <w:hideMark/>
          </w:tcPr>
          <w:p>
            <w:pPr>
              <w:spacing w:before="60" w:after="60"/>
              <w:jc w:val="center"/>
              <w:rPr>
                <w:noProof/>
                <w:sz w:val="20"/>
                <w:szCs w:val="16"/>
                <w:lang w:eastAsia="it-IT"/>
              </w:rPr>
            </w:pPr>
            <w:r>
              <w:rPr>
                <w:noProof/>
                <w:sz w:val="20"/>
                <w:szCs w:val="16"/>
              </w:rPr>
              <w:t>61.1</w:t>
            </w:r>
          </w:p>
        </w:tc>
        <w:tc>
          <w:tcPr>
            <w:tcW w:w="422" w:type="pct"/>
            <w:shd w:val="clear" w:color="auto" w:fill="auto"/>
            <w:noWrap/>
            <w:vAlign w:val="center"/>
            <w:hideMark/>
          </w:tcPr>
          <w:p>
            <w:pPr>
              <w:spacing w:before="60" w:after="60"/>
              <w:jc w:val="center"/>
              <w:rPr>
                <w:noProof/>
                <w:sz w:val="20"/>
                <w:szCs w:val="16"/>
                <w:lang w:eastAsia="it-IT"/>
              </w:rPr>
            </w:pPr>
            <w:r>
              <w:rPr>
                <w:noProof/>
                <w:sz w:val="20"/>
                <w:szCs w:val="16"/>
              </w:rPr>
              <w:t>63.5</w:t>
            </w:r>
          </w:p>
        </w:tc>
        <w:tc>
          <w:tcPr>
            <w:tcW w:w="422" w:type="pct"/>
            <w:shd w:val="clear" w:color="auto" w:fill="auto"/>
            <w:noWrap/>
            <w:vAlign w:val="center"/>
            <w:hideMark/>
          </w:tcPr>
          <w:p>
            <w:pPr>
              <w:spacing w:before="60" w:after="60"/>
              <w:jc w:val="center"/>
              <w:rPr>
                <w:noProof/>
                <w:sz w:val="20"/>
                <w:szCs w:val="16"/>
                <w:lang w:eastAsia="it-IT"/>
              </w:rPr>
            </w:pPr>
            <w:r>
              <w:rPr>
                <w:noProof/>
                <w:sz w:val="20"/>
                <w:szCs w:val="16"/>
              </w:rPr>
              <w:t>58.4</w:t>
            </w:r>
          </w:p>
        </w:tc>
        <w:tc>
          <w:tcPr>
            <w:tcW w:w="422" w:type="pct"/>
            <w:shd w:val="clear" w:color="auto" w:fill="auto"/>
            <w:noWrap/>
            <w:vAlign w:val="center"/>
            <w:hideMark/>
          </w:tcPr>
          <w:p>
            <w:pPr>
              <w:spacing w:before="60" w:after="60"/>
              <w:jc w:val="center"/>
              <w:rPr>
                <w:noProof/>
                <w:sz w:val="20"/>
                <w:szCs w:val="16"/>
                <w:lang w:eastAsia="it-IT"/>
              </w:rPr>
            </w:pPr>
            <w:r>
              <w:rPr>
                <w:noProof/>
                <w:sz w:val="20"/>
                <w:szCs w:val="16"/>
              </w:rPr>
              <w:t>56.1</w:t>
            </w:r>
          </w:p>
        </w:tc>
        <w:tc>
          <w:tcPr>
            <w:tcW w:w="422" w:type="pct"/>
            <w:shd w:val="clear" w:color="auto" w:fill="auto"/>
            <w:noWrap/>
            <w:vAlign w:val="center"/>
            <w:hideMark/>
          </w:tcPr>
          <w:p>
            <w:pPr>
              <w:spacing w:before="60" w:after="60"/>
              <w:jc w:val="center"/>
              <w:rPr>
                <w:noProof/>
                <w:sz w:val="20"/>
                <w:szCs w:val="16"/>
                <w:lang w:eastAsia="it-IT"/>
              </w:rPr>
            </w:pPr>
            <w:r>
              <w:rPr>
                <w:noProof/>
                <w:sz w:val="20"/>
                <w:szCs w:val="16"/>
              </w:rPr>
              <w:t>50.6</w:t>
            </w:r>
          </w:p>
        </w:tc>
        <w:tc>
          <w:tcPr>
            <w:tcW w:w="417" w:type="pct"/>
            <w:shd w:val="clear" w:color="auto" w:fill="auto"/>
            <w:noWrap/>
            <w:vAlign w:val="center"/>
            <w:hideMark/>
          </w:tcPr>
          <w:p>
            <w:pPr>
              <w:spacing w:before="60" w:after="60"/>
              <w:jc w:val="center"/>
              <w:rPr>
                <w:noProof/>
                <w:sz w:val="20"/>
                <w:szCs w:val="16"/>
                <w:lang w:eastAsia="it-IT"/>
              </w:rPr>
            </w:pPr>
            <w:r>
              <w:rPr>
                <w:noProof/>
                <w:sz w:val="20"/>
                <w:szCs w:val="16"/>
              </w:rPr>
              <w:t>50.1</w:t>
            </w:r>
          </w:p>
        </w:tc>
      </w:tr>
      <w:tr>
        <w:trPr>
          <w:trHeight w:val="244"/>
          <w:jc w:val="center"/>
        </w:trPr>
        <w:tc>
          <w:tcPr>
            <w:tcW w:w="1655"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399" w:type="pct"/>
            <w:shd w:val="clear" w:color="auto" w:fill="CEEBE6"/>
            <w:noWrap/>
            <w:vAlign w:val="center"/>
            <w:hideMark/>
          </w:tcPr>
          <w:p>
            <w:pPr>
              <w:spacing w:before="60" w:after="60"/>
              <w:jc w:val="center"/>
              <w:rPr>
                <w:noProof/>
                <w:sz w:val="20"/>
                <w:szCs w:val="16"/>
                <w:lang w:eastAsia="it-IT"/>
              </w:rPr>
            </w:pPr>
            <w:r>
              <w:rPr>
                <w:noProof/>
                <w:sz w:val="20"/>
                <w:szCs w:val="16"/>
              </w:rPr>
              <w:t>34.1</w:t>
            </w:r>
          </w:p>
        </w:tc>
        <w:tc>
          <w:tcPr>
            <w:tcW w:w="421" w:type="pct"/>
            <w:shd w:val="clear" w:color="auto" w:fill="CEEBE6"/>
            <w:noWrap/>
            <w:vAlign w:val="center"/>
            <w:hideMark/>
          </w:tcPr>
          <w:p>
            <w:pPr>
              <w:spacing w:before="60" w:after="60"/>
              <w:jc w:val="center"/>
              <w:rPr>
                <w:noProof/>
                <w:sz w:val="20"/>
                <w:szCs w:val="16"/>
                <w:lang w:eastAsia="it-IT"/>
              </w:rPr>
            </w:pPr>
            <w:r>
              <w:rPr>
                <w:noProof/>
                <w:sz w:val="20"/>
                <w:szCs w:val="16"/>
              </w:rPr>
              <w:t>32.4</w:t>
            </w:r>
          </w:p>
        </w:tc>
        <w:tc>
          <w:tcPr>
            <w:tcW w:w="422" w:type="pct"/>
            <w:shd w:val="clear" w:color="auto" w:fill="CEEBE6"/>
            <w:noWrap/>
            <w:vAlign w:val="center"/>
            <w:hideMark/>
          </w:tcPr>
          <w:p>
            <w:pPr>
              <w:spacing w:before="60" w:after="60"/>
              <w:jc w:val="center"/>
              <w:rPr>
                <w:noProof/>
                <w:sz w:val="20"/>
                <w:szCs w:val="16"/>
                <w:lang w:eastAsia="it-IT"/>
              </w:rPr>
            </w:pPr>
            <w:r>
              <w:rPr>
                <w:noProof/>
                <w:sz w:val="20"/>
                <w:szCs w:val="16"/>
              </w:rPr>
              <w:t>33.8</w:t>
            </w:r>
          </w:p>
        </w:tc>
        <w:tc>
          <w:tcPr>
            <w:tcW w:w="422" w:type="pct"/>
            <w:shd w:val="clear" w:color="auto" w:fill="CEEBE6"/>
            <w:noWrap/>
            <w:vAlign w:val="center"/>
            <w:hideMark/>
          </w:tcPr>
          <w:p>
            <w:pPr>
              <w:spacing w:before="60" w:after="60"/>
              <w:jc w:val="center"/>
              <w:rPr>
                <w:noProof/>
                <w:sz w:val="20"/>
                <w:szCs w:val="16"/>
                <w:lang w:eastAsia="it-IT"/>
              </w:rPr>
            </w:pPr>
            <w:r>
              <w:rPr>
                <w:noProof/>
                <w:sz w:val="20"/>
                <w:szCs w:val="16"/>
              </w:rPr>
              <w:t>34.3</w:t>
            </w:r>
          </w:p>
        </w:tc>
        <w:tc>
          <w:tcPr>
            <w:tcW w:w="422" w:type="pct"/>
            <w:shd w:val="clear" w:color="auto" w:fill="CEEBE6"/>
            <w:noWrap/>
            <w:vAlign w:val="center"/>
            <w:hideMark/>
          </w:tcPr>
          <w:p>
            <w:pPr>
              <w:spacing w:before="60" w:after="60"/>
              <w:jc w:val="center"/>
              <w:rPr>
                <w:noProof/>
                <w:sz w:val="20"/>
                <w:szCs w:val="16"/>
                <w:lang w:eastAsia="it-IT"/>
              </w:rPr>
            </w:pPr>
            <w:r>
              <w:rPr>
                <w:noProof/>
                <w:sz w:val="20"/>
                <w:szCs w:val="16"/>
              </w:rPr>
              <w:t>29.8</w:t>
            </w:r>
          </w:p>
        </w:tc>
        <w:tc>
          <w:tcPr>
            <w:tcW w:w="422" w:type="pct"/>
            <w:shd w:val="clear" w:color="auto" w:fill="CEEBE6"/>
            <w:noWrap/>
            <w:vAlign w:val="center"/>
            <w:hideMark/>
          </w:tcPr>
          <w:p>
            <w:pPr>
              <w:spacing w:before="60" w:after="60"/>
              <w:jc w:val="center"/>
              <w:rPr>
                <w:noProof/>
                <w:sz w:val="20"/>
                <w:szCs w:val="16"/>
                <w:lang w:eastAsia="it-IT"/>
              </w:rPr>
            </w:pPr>
            <w:r>
              <w:rPr>
                <w:noProof/>
                <w:sz w:val="20"/>
                <w:szCs w:val="16"/>
              </w:rPr>
              <w:t>30.9</w:t>
            </w:r>
          </w:p>
        </w:tc>
        <w:tc>
          <w:tcPr>
            <w:tcW w:w="422" w:type="pct"/>
            <w:shd w:val="clear" w:color="auto" w:fill="CEEBE6"/>
            <w:noWrap/>
            <w:vAlign w:val="center"/>
            <w:hideMark/>
          </w:tcPr>
          <w:p>
            <w:pPr>
              <w:spacing w:before="60" w:after="60"/>
              <w:jc w:val="center"/>
              <w:rPr>
                <w:noProof/>
                <w:sz w:val="20"/>
                <w:szCs w:val="16"/>
                <w:lang w:eastAsia="it-IT"/>
              </w:rPr>
            </w:pPr>
            <w:r>
              <w:rPr>
                <w:noProof/>
                <w:sz w:val="20"/>
                <w:szCs w:val="16"/>
              </w:rPr>
              <w:t>25.8</w:t>
            </w:r>
          </w:p>
        </w:tc>
        <w:tc>
          <w:tcPr>
            <w:tcW w:w="417" w:type="pct"/>
            <w:shd w:val="clear" w:color="auto" w:fill="CEEBE6"/>
            <w:noWrap/>
            <w:vAlign w:val="center"/>
            <w:hideMark/>
          </w:tcPr>
          <w:p>
            <w:pPr>
              <w:spacing w:before="60" w:after="60"/>
              <w:jc w:val="center"/>
              <w:rPr>
                <w:noProof/>
                <w:sz w:val="20"/>
                <w:szCs w:val="16"/>
                <w:lang w:eastAsia="it-IT"/>
              </w:rPr>
            </w:pPr>
            <w:r>
              <w:rPr>
                <w:noProof/>
                <w:sz w:val="20"/>
                <w:szCs w:val="16"/>
              </w:rPr>
              <w:t>25.9</w:t>
            </w:r>
          </w:p>
        </w:tc>
      </w:tr>
      <w:tr>
        <w:trPr>
          <w:trHeight w:val="244"/>
          <w:jc w:val="center"/>
        </w:trPr>
        <w:tc>
          <w:tcPr>
            <w:tcW w:w="1655"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399" w:type="pct"/>
            <w:shd w:val="clear" w:color="auto" w:fill="auto"/>
            <w:noWrap/>
            <w:vAlign w:val="center"/>
          </w:tcPr>
          <w:p>
            <w:pPr>
              <w:spacing w:before="60" w:after="60"/>
              <w:jc w:val="center"/>
              <w:rPr>
                <w:noProof/>
                <w:sz w:val="20"/>
                <w:szCs w:val="16"/>
                <w:lang w:eastAsia="it-IT"/>
              </w:rPr>
            </w:pPr>
            <w:r>
              <w:rPr>
                <w:noProof/>
                <w:sz w:val="20"/>
                <w:szCs w:val="16"/>
              </w:rPr>
              <w:t>0.56</w:t>
            </w:r>
          </w:p>
        </w:tc>
        <w:tc>
          <w:tcPr>
            <w:tcW w:w="421" w:type="pct"/>
            <w:shd w:val="clear" w:color="auto" w:fill="auto"/>
            <w:noWrap/>
            <w:vAlign w:val="center"/>
          </w:tcPr>
          <w:p>
            <w:pPr>
              <w:spacing w:before="60" w:after="60"/>
              <w:jc w:val="center"/>
              <w:rPr>
                <w:noProof/>
                <w:sz w:val="20"/>
                <w:szCs w:val="16"/>
                <w:lang w:eastAsia="it-IT"/>
              </w:rPr>
            </w:pPr>
            <w:r>
              <w:rPr>
                <w:noProof/>
                <w:sz w:val="20"/>
                <w:szCs w:val="16"/>
              </w:rPr>
              <w:t>0.55</w:t>
            </w:r>
          </w:p>
        </w:tc>
        <w:tc>
          <w:tcPr>
            <w:tcW w:w="422" w:type="pct"/>
            <w:shd w:val="clear" w:color="auto" w:fill="auto"/>
            <w:noWrap/>
            <w:vAlign w:val="center"/>
          </w:tcPr>
          <w:p>
            <w:pPr>
              <w:spacing w:before="60" w:after="60"/>
              <w:jc w:val="center"/>
              <w:rPr>
                <w:noProof/>
                <w:sz w:val="20"/>
                <w:szCs w:val="16"/>
                <w:lang w:eastAsia="it-IT"/>
              </w:rPr>
            </w:pPr>
            <w:r>
              <w:rPr>
                <w:noProof/>
                <w:sz w:val="20"/>
                <w:szCs w:val="16"/>
              </w:rPr>
              <w:t>0.57</w:t>
            </w:r>
          </w:p>
        </w:tc>
        <w:tc>
          <w:tcPr>
            <w:tcW w:w="422" w:type="pct"/>
            <w:shd w:val="clear" w:color="auto" w:fill="auto"/>
            <w:noWrap/>
            <w:vAlign w:val="center"/>
          </w:tcPr>
          <w:p>
            <w:pPr>
              <w:spacing w:before="60" w:after="60"/>
              <w:jc w:val="center"/>
              <w:rPr>
                <w:noProof/>
                <w:sz w:val="20"/>
                <w:szCs w:val="16"/>
                <w:lang w:eastAsia="it-IT"/>
              </w:rPr>
            </w:pPr>
            <w:r>
              <w:rPr>
                <w:noProof/>
                <w:sz w:val="20"/>
                <w:szCs w:val="16"/>
              </w:rPr>
              <w:t>0.55</w:t>
            </w:r>
          </w:p>
        </w:tc>
        <w:tc>
          <w:tcPr>
            <w:tcW w:w="422" w:type="pct"/>
            <w:shd w:val="clear" w:color="auto" w:fill="auto"/>
            <w:noWrap/>
            <w:vAlign w:val="center"/>
          </w:tcPr>
          <w:p>
            <w:pPr>
              <w:spacing w:before="60" w:after="60"/>
              <w:jc w:val="center"/>
              <w:rPr>
                <w:noProof/>
                <w:sz w:val="20"/>
                <w:szCs w:val="16"/>
                <w:lang w:eastAsia="it-IT"/>
              </w:rPr>
            </w:pPr>
            <w:r>
              <w:rPr>
                <w:noProof/>
                <w:sz w:val="20"/>
                <w:szCs w:val="16"/>
              </w:rPr>
              <w:t>0.53</w:t>
            </w:r>
          </w:p>
        </w:tc>
        <w:tc>
          <w:tcPr>
            <w:tcW w:w="422" w:type="pct"/>
            <w:shd w:val="clear" w:color="auto" w:fill="auto"/>
            <w:noWrap/>
            <w:vAlign w:val="center"/>
          </w:tcPr>
          <w:p>
            <w:pPr>
              <w:spacing w:before="60" w:after="60"/>
              <w:jc w:val="center"/>
              <w:rPr>
                <w:noProof/>
                <w:sz w:val="20"/>
                <w:szCs w:val="16"/>
                <w:lang w:eastAsia="it-IT"/>
              </w:rPr>
            </w:pPr>
            <w:r>
              <w:rPr>
                <w:noProof/>
                <w:sz w:val="20"/>
                <w:szCs w:val="16"/>
              </w:rPr>
              <w:t>0.56</w:t>
            </w:r>
          </w:p>
        </w:tc>
        <w:tc>
          <w:tcPr>
            <w:tcW w:w="422" w:type="pct"/>
            <w:shd w:val="clear" w:color="auto" w:fill="auto"/>
            <w:noWrap/>
            <w:vAlign w:val="center"/>
          </w:tcPr>
          <w:p>
            <w:pPr>
              <w:spacing w:before="60" w:after="60"/>
              <w:jc w:val="center"/>
              <w:rPr>
                <w:noProof/>
                <w:sz w:val="20"/>
                <w:szCs w:val="16"/>
                <w:lang w:eastAsia="it-IT"/>
              </w:rPr>
            </w:pPr>
            <w:r>
              <w:rPr>
                <w:noProof/>
                <w:sz w:val="20"/>
                <w:szCs w:val="16"/>
              </w:rPr>
              <w:t>0.51</w:t>
            </w:r>
          </w:p>
        </w:tc>
        <w:tc>
          <w:tcPr>
            <w:tcW w:w="417" w:type="pct"/>
            <w:shd w:val="clear" w:color="auto" w:fill="auto"/>
            <w:noWrap/>
            <w:vAlign w:val="center"/>
          </w:tcPr>
          <w:p>
            <w:pPr>
              <w:spacing w:before="60" w:after="60"/>
              <w:jc w:val="center"/>
              <w:rPr>
                <w:noProof/>
                <w:sz w:val="20"/>
                <w:szCs w:val="16"/>
                <w:lang w:eastAsia="it-IT"/>
              </w:rPr>
            </w:pPr>
            <w:r>
              <w:rPr>
                <w:noProof/>
                <w:sz w:val="20"/>
                <w:szCs w:val="16"/>
              </w:rPr>
              <w:t>0.53</w:t>
            </w:r>
          </w:p>
        </w:tc>
      </w:tr>
    </w:tbl>
    <w:p>
      <w:pPr>
        <w:pStyle w:val="Sources"/>
        <w:tabs>
          <w:tab w:val="left" w:pos="70"/>
        </w:tabs>
        <w:rPr>
          <w:noProof/>
        </w:rPr>
      </w:pPr>
      <w:r>
        <w:rPr>
          <w:noProof/>
        </w:rPr>
        <w:tab/>
        <w:t>Source: CEPS/Ecofys.</w:t>
      </w:r>
    </w:p>
    <w:p>
      <w:pPr>
        <w:rPr>
          <w:noProof/>
        </w:rPr>
      </w:pPr>
    </w:p>
    <w:p>
      <w:pPr>
        <w:pStyle w:val="Caption"/>
        <w:rPr>
          <w:rFonts w:eastAsia="Times New Roman"/>
          <w:color w:val="000000"/>
          <w:lang w:eastAsia="en-GB"/>
        </w:rPr>
      </w:pPr>
      <w:bookmarkStart w:id="89" w:name="_Ref529282809"/>
      <w:bookmarkStart w:id="90" w:name="_Toc530741705"/>
      <w:r>
        <w:t xml:space="preserve">Figure </w:t>
      </w:r>
      <w:r>
        <w:fldChar w:fldCharType="begin"/>
      </w:r>
      <w:r>
        <w:instrText xml:space="preserve"> SEQ Figure \* ARABIC </w:instrText>
      </w:r>
      <w:r>
        <w:fldChar w:fldCharType="separate"/>
      </w:r>
      <w:r>
        <w:t>12</w:t>
      </w:r>
      <w:r>
        <w:fldChar w:fldCharType="end"/>
      </w:r>
      <w:bookmarkEnd w:id="89"/>
      <w:r>
        <w:t>. Components of the EU average electricity price for EAF steel production (%)</w:t>
      </w:r>
      <w:bookmarkEnd w:id="90"/>
    </w:p>
    <w:p>
      <w:pPr>
        <w:keepNext/>
        <w:rPr>
          <w:noProof/>
        </w:rPr>
      </w:pPr>
      <w:r>
        <w:rPr>
          <w:noProof/>
          <w:lang w:eastAsia="en-GB"/>
        </w:rPr>
        <w:drawing>
          <wp:inline distT="0" distB="0" distL="0" distR="0">
            <wp:extent cx="5753735" cy="2519045"/>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91" w:name="_Ref527024243"/>
      <w:bookmarkStart w:id="92" w:name="_Toc526436572"/>
      <w:bookmarkStart w:id="93" w:name="_Toc530741706"/>
      <w:r>
        <w:t xml:space="preserve">Figure </w:t>
      </w:r>
      <w:r>
        <w:fldChar w:fldCharType="begin"/>
      </w:r>
      <w:r>
        <w:instrText xml:space="preserve"> SEQ Figure \* ARABIC </w:instrText>
      </w:r>
      <w:r>
        <w:fldChar w:fldCharType="separate"/>
      </w:r>
      <w:r>
        <w:t>13</w:t>
      </w:r>
      <w:r>
        <w:fldChar w:fldCharType="end"/>
      </w:r>
      <w:bookmarkEnd w:id="91"/>
      <w:r>
        <w:t xml:space="preserve">. </w:t>
      </w:r>
      <w:r>
        <w:rPr>
          <w:rFonts w:eastAsia="Times New Roman"/>
          <w:color w:val="000000"/>
          <w:lang w:eastAsia="en-GB"/>
        </w:rPr>
        <w:t xml:space="preserve">Electricity costs </w:t>
      </w:r>
      <w:r>
        <w:t>of EAF steel production</w:t>
      </w:r>
      <w:r>
        <w:rPr>
          <w:rFonts w:eastAsia="Times New Roman"/>
          <w:color w:val="000000"/>
          <w:lang w:eastAsia="en-GB"/>
        </w:rPr>
        <w:t xml:space="preserve"> (€/MWh)</w:t>
      </w:r>
      <w:bookmarkEnd w:id="92"/>
      <w:bookmarkEnd w:id="93"/>
    </w:p>
    <w:p>
      <w:pPr>
        <w:keepNext/>
        <w:rPr>
          <w:noProof/>
        </w:rPr>
      </w:pPr>
      <w:r>
        <w:rPr>
          <w:noProof/>
          <w:lang w:eastAsia="en-GB"/>
        </w:rPr>
        <w:drawing>
          <wp:inline distT="0" distB="0" distL="0" distR="0">
            <wp:extent cx="5732780" cy="2456815"/>
            <wp:effectExtent l="0" t="0" r="1270" b="635"/>
            <wp:docPr id="30" name="Picture 3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43"/>
                    <pic:cNvPicPr>
                      <a:picLocks noGrp="1" noRot="1" noChangeAspect="1" noMove="1" noResize="1" noEditPoints="1" noAdjustHandles="1" noChangeArrowheads="1" noChangeShapeType="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780" cy="245681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94" w:name="_Ref527024708"/>
      <w:bookmarkStart w:id="95" w:name="_Toc526436573"/>
      <w:bookmarkStart w:id="96" w:name="_Toc530741707"/>
      <w:r>
        <w:t xml:space="preserve">Figure </w:t>
      </w:r>
      <w:r>
        <w:fldChar w:fldCharType="begin"/>
      </w:r>
      <w:r>
        <w:instrText xml:space="preserve"> SEQ Figure \* ARABIC </w:instrText>
      </w:r>
      <w:r>
        <w:fldChar w:fldCharType="separate"/>
      </w:r>
      <w:r>
        <w:t>14</w:t>
      </w:r>
      <w:r>
        <w:fldChar w:fldCharType="end"/>
      </w:r>
      <w:bookmarkEnd w:id="94"/>
      <w:r>
        <w:t xml:space="preserve">. </w:t>
      </w:r>
      <w:r>
        <w:rPr>
          <w:rFonts w:eastAsia="Times New Roman"/>
          <w:color w:val="000000"/>
          <w:lang w:eastAsia="en-GB"/>
        </w:rPr>
        <w:t>Electricity costs</w:t>
      </w:r>
      <w:r>
        <w:t xml:space="preserve"> of EAF steel production</w:t>
      </w:r>
      <w:r>
        <w:rPr>
          <w:rFonts w:eastAsia="Times New Roman"/>
          <w:color w:val="000000"/>
          <w:lang w:eastAsia="en-GB"/>
        </w:rPr>
        <w:t xml:space="preserve"> (€/tonne)</w:t>
      </w:r>
      <w:bookmarkEnd w:id="95"/>
      <w:bookmarkEnd w:id="96"/>
    </w:p>
    <w:p>
      <w:pPr>
        <w:keepNext/>
        <w:rPr>
          <w:noProof/>
          <w:lang w:eastAsia="de-DE"/>
        </w:rPr>
      </w:pPr>
      <w:r>
        <w:rPr>
          <w:noProof/>
          <w:lang w:eastAsia="en-GB"/>
        </w:rPr>
        <w:drawing>
          <wp:inline distT="0" distB="0" distL="0" distR="0">
            <wp:extent cx="5732780" cy="2456815"/>
            <wp:effectExtent l="0" t="0" r="1270" b="635"/>
            <wp:docPr id="31" name="Picture 3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46"/>
                    <pic:cNvPicPr>
                      <a:picLocks noGrp="1" noRot="1" noChangeAspect="1" noMove="1" noResize="1" noEditPoints="1" noAdjustHandles="1" noChangeArrowheads="1" noChangeShapeType="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245681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97" w:name="_Ref527052716"/>
      <w:bookmarkStart w:id="98" w:name="_Toc526436574"/>
      <w:bookmarkStart w:id="99" w:name="_Toc530741708"/>
      <w:r>
        <w:t xml:space="preserve">Figure </w:t>
      </w:r>
      <w:r>
        <w:fldChar w:fldCharType="begin"/>
      </w:r>
      <w:r>
        <w:instrText xml:space="preserve"> SEQ Figure \* ARABIC </w:instrText>
      </w:r>
      <w:r>
        <w:fldChar w:fldCharType="separate"/>
      </w:r>
      <w:r>
        <w:t>15</w:t>
      </w:r>
      <w:r>
        <w:fldChar w:fldCharType="end"/>
      </w:r>
      <w:bookmarkEnd w:id="97"/>
      <w:r>
        <w:t xml:space="preserve">. </w:t>
      </w:r>
      <w:r>
        <w:rPr>
          <w:rFonts w:eastAsia="Times New Roman"/>
          <w:color w:val="000000"/>
          <w:lang w:eastAsia="en-GB"/>
        </w:rPr>
        <w:t xml:space="preserve">Electricity intensity </w:t>
      </w:r>
      <w:r>
        <w:t>of EAF steel production</w:t>
      </w:r>
      <w:r>
        <w:rPr>
          <w:rFonts w:eastAsia="Times New Roman"/>
          <w:color w:val="000000"/>
          <w:lang w:eastAsia="en-GB"/>
        </w:rPr>
        <w:t xml:space="preserve"> (MWh/tonne)</w:t>
      </w:r>
      <w:bookmarkEnd w:id="98"/>
      <w:bookmarkEnd w:id="99"/>
    </w:p>
    <w:p>
      <w:pPr>
        <w:keepNext/>
        <w:rPr>
          <w:noProof/>
          <w:lang w:eastAsia="de-DE"/>
        </w:rPr>
      </w:pPr>
      <w:r>
        <w:rPr>
          <w:noProof/>
          <w:lang w:eastAsia="en-GB"/>
        </w:rPr>
        <w:drawing>
          <wp:inline distT="0" distB="0" distL="0" distR="0">
            <wp:extent cx="5732780" cy="2536190"/>
            <wp:effectExtent l="0" t="0" r="1270" b="0"/>
            <wp:docPr id="1449026528" name="Picture 144902652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48"/>
                    <pic:cNvPicPr>
                      <a:picLocks noGrp="1" noRot="1" noChangeAspect="1" noMove="1" noResize="1" noEditPoints="1" noAdjustHandles="1" noChangeArrowheads="1" noChangeShapeType="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780" cy="25361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100" w:name="_Ref527022101"/>
      <w:bookmarkStart w:id="101" w:name="_Toc526436332"/>
      <w:bookmarkStart w:id="102" w:name="_Toc530741799"/>
      <w:r>
        <w:t xml:space="preserve">Table </w:t>
      </w:r>
      <w:r>
        <w:fldChar w:fldCharType="begin"/>
      </w:r>
      <w:r>
        <w:instrText xml:space="preserve"> SEQ Table \* ARABIC </w:instrText>
      </w:r>
      <w:r>
        <w:fldChar w:fldCharType="separate"/>
      </w:r>
      <w:r>
        <w:t>6</w:t>
      </w:r>
      <w:r>
        <w:fldChar w:fldCharType="end"/>
      </w:r>
      <w:bookmarkEnd w:id="100"/>
      <w:r>
        <w:t>. Key natural gas indicators of EAF steel production</w:t>
      </w:r>
      <w:r>
        <w:rPr>
          <w:rFonts w:eastAsia="Times New Roman"/>
          <w:color w:val="000000"/>
          <w:lang w:eastAsia="en-GB"/>
        </w:rPr>
        <w:t xml:space="preserve"> </w:t>
      </w:r>
      <w:r>
        <w:t>(EU averages)</w:t>
      </w:r>
      <w:bookmarkEnd w:id="101"/>
      <w:bookmarkEnd w:id="102"/>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731"/>
        <w:gridCol w:w="768"/>
        <w:gridCol w:w="768"/>
        <w:gridCol w:w="767"/>
        <w:gridCol w:w="767"/>
        <w:gridCol w:w="767"/>
        <w:gridCol w:w="767"/>
        <w:gridCol w:w="766"/>
      </w:tblGrid>
      <w:tr>
        <w:trPr>
          <w:trHeight w:val="244"/>
          <w:jc w:val="center"/>
        </w:trPr>
        <w:tc>
          <w:tcPr>
            <w:tcW w:w="169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92"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6" w:type="pct"/>
            <w:shd w:val="clear" w:color="auto" w:fill="CEEBE6"/>
            <w:noWrap/>
            <w:vAlign w:val="center"/>
          </w:tcPr>
          <w:p>
            <w:pPr>
              <w:spacing w:before="60" w:after="60"/>
              <w:jc w:val="center"/>
              <w:rPr>
                <w:noProof/>
                <w:sz w:val="20"/>
                <w:szCs w:val="16"/>
                <w:lang w:eastAsia="it-IT"/>
              </w:rPr>
            </w:pPr>
            <w:r>
              <w:rPr>
                <w:noProof/>
                <w:sz w:val="20"/>
                <w:szCs w:val="16"/>
              </w:rPr>
              <w:t>26.3</w:t>
            </w:r>
          </w:p>
        </w:tc>
        <w:tc>
          <w:tcPr>
            <w:tcW w:w="416" w:type="pct"/>
            <w:shd w:val="clear" w:color="auto" w:fill="CEEBE6"/>
            <w:noWrap/>
            <w:vAlign w:val="center"/>
          </w:tcPr>
          <w:p>
            <w:pPr>
              <w:spacing w:before="60" w:after="60"/>
              <w:jc w:val="center"/>
              <w:rPr>
                <w:noProof/>
                <w:sz w:val="20"/>
                <w:szCs w:val="16"/>
              </w:rPr>
            </w:pPr>
            <w:r>
              <w:rPr>
                <w:noProof/>
                <w:sz w:val="20"/>
                <w:szCs w:val="16"/>
              </w:rPr>
              <w:t>23.9</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31.8</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30.4</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29.6</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26.3</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19.2</w:t>
            </w:r>
          </w:p>
        </w:tc>
        <w:tc>
          <w:tcPr>
            <w:tcW w:w="415" w:type="pct"/>
            <w:shd w:val="clear" w:color="auto" w:fill="CEEBE6"/>
            <w:noWrap/>
            <w:vAlign w:val="center"/>
          </w:tcPr>
          <w:p>
            <w:pPr>
              <w:spacing w:before="60" w:after="60"/>
              <w:jc w:val="center"/>
              <w:rPr>
                <w:noProof/>
                <w:sz w:val="20"/>
                <w:szCs w:val="16"/>
                <w:lang w:eastAsia="it-IT"/>
              </w:rPr>
            </w:pPr>
            <w:r>
              <w:rPr>
                <w:noProof/>
                <w:sz w:val="20"/>
                <w:szCs w:val="16"/>
              </w:rPr>
              <w:t>20.2</w:t>
            </w:r>
          </w:p>
        </w:tc>
      </w:tr>
      <w:tr>
        <w:trPr>
          <w:trHeight w:val="243"/>
          <w:jc w:val="center"/>
        </w:trPr>
        <w:tc>
          <w:tcPr>
            <w:tcW w:w="1692"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6" w:type="pct"/>
            <w:shd w:val="clear" w:color="auto" w:fill="auto"/>
            <w:noWrap/>
            <w:vAlign w:val="center"/>
            <w:hideMark/>
          </w:tcPr>
          <w:p>
            <w:pPr>
              <w:spacing w:before="60" w:after="60"/>
              <w:jc w:val="center"/>
              <w:rPr>
                <w:noProof/>
                <w:sz w:val="20"/>
                <w:szCs w:val="16"/>
                <w:lang w:eastAsia="it-IT"/>
              </w:rPr>
            </w:pPr>
            <w:r>
              <w:rPr>
                <w:noProof/>
                <w:sz w:val="20"/>
                <w:szCs w:val="16"/>
              </w:rPr>
              <w:t>8.9</w:t>
            </w:r>
          </w:p>
        </w:tc>
        <w:tc>
          <w:tcPr>
            <w:tcW w:w="416" w:type="pct"/>
            <w:shd w:val="clear" w:color="auto" w:fill="auto"/>
            <w:noWrap/>
            <w:vAlign w:val="center"/>
            <w:hideMark/>
          </w:tcPr>
          <w:p>
            <w:pPr>
              <w:spacing w:before="60" w:after="60"/>
              <w:jc w:val="center"/>
              <w:rPr>
                <w:noProof/>
                <w:sz w:val="20"/>
                <w:szCs w:val="16"/>
                <w:lang w:eastAsia="it-IT"/>
              </w:rPr>
            </w:pPr>
            <w:r>
              <w:rPr>
                <w:noProof/>
                <w:sz w:val="20"/>
                <w:szCs w:val="16"/>
              </w:rPr>
              <w:t>8.7</w:t>
            </w:r>
          </w:p>
        </w:tc>
        <w:tc>
          <w:tcPr>
            <w:tcW w:w="416" w:type="pct"/>
            <w:shd w:val="clear" w:color="auto" w:fill="auto"/>
            <w:noWrap/>
            <w:vAlign w:val="center"/>
            <w:hideMark/>
          </w:tcPr>
          <w:p>
            <w:pPr>
              <w:spacing w:before="60" w:after="60"/>
              <w:jc w:val="center"/>
              <w:rPr>
                <w:noProof/>
                <w:sz w:val="20"/>
                <w:szCs w:val="16"/>
                <w:lang w:eastAsia="it-IT"/>
              </w:rPr>
            </w:pPr>
            <w:r>
              <w:rPr>
                <w:noProof/>
                <w:sz w:val="20"/>
                <w:szCs w:val="16"/>
              </w:rPr>
              <w:t>10.8</w:t>
            </w:r>
          </w:p>
        </w:tc>
        <w:tc>
          <w:tcPr>
            <w:tcW w:w="416" w:type="pct"/>
            <w:shd w:val="clear" w:color="auto" w:fill="auto"/>
            <w:noWrap/>
            <w:vAlign w:val="center"/>
            <w:hideMark/>
          </w:tcPr>
          <w:p>
            <w:pPr>
              <w:spacing w:before="60" w:after="60"/>
              <w:jc w:val="center"/>
              <w:rPr>
                <w:noProof/>
                <w:sz w:val="20"/>
                <w:szCs w:val="16"/>
                <w:lang w:eastAsia="it-IT"/>
              </w:rPr>
            </w:pPr>
            <w:r>
              <w:rPr>
                <w:noProof/>
                <w:sz w:val="20"/>
                <w:szCs w:val="16"/>
              </w:rPr>
              <w:t>9.3</w:t>
            </w:r>
          </w:p>
        </w:tc>
        <w:tc>
          <w:tcPr>
            <w:tcW w:w="416" w:type="pct"/>
            <w:shd w:val="clear" w:color="auto" w:fill="auto"/>
            <w:noWrap/>
            <w:vAlign w:val="center"/>
            <w:hideMark/>
          </w:tcPr>
          <w:p>
            <w:pPr>
              <w:spacing w:before="60" w:after="60"/>
              <w:jc w:val="center"/>
              <w:rPr>
                <w:noProof/>
                <w:sz w:val="20"/>
                <w:szCs w:val="16"/>
                <w:lang w:eastAsia="it-IT"/>
              </w:rPr>
            </w:pPr>
            <w:r>
              <w:rPr>
                <w:noProof/>
                <w:sz w:val="20"/>
                <w:szCs w:val="16"/>
              </w:rPr>
              <w:t>8.8</w:t>
            </w:r>
          </w:p>
        </w:tc>
        <w:tc>
          <w:tcPr>
            <w:tcW w:w="416" w:type="pct"/>
            <w:shd w:val="clear" w:color="auto" w:fill="auto"/>
            <w:noWrap/>
            <w:vAlign w:val="center"/>
            <w:hideMark/>
          </w:tcPr>
          <w:p>
            <w:pPr>
              <w:spacing w:before="60" w:after="60"/>
              <w:jc w:val="center"/>
              <w:rPr>
                <w:noProof/>
                <w:sz w:val="20"/>
                <w:szCs w:val="16"/>
                <w:lang w:eastAsia="it-IT"/>
              </w:rPr>
            </w:pPr>
            <w:r>
              <w:rPr>
                <w:noProof/>
                <w:sz w:val="20"/>
                <w:szCs w:val="16"/>
              </w:rPr>
              <w:t>9.3</w:t>
            </w:r>
          </w:p>
        </w:tc>
        <w:tc>
          <w:tcPr>
            <w:tcW w:w="416" w:type="pct"/>
            <w:shd w:val="clear" w:color="auto" w:fill="auto"/>
            <w:noWrap/>
            <w:vAlign w:val="center"/>
            <w:hideMark/>
          </w:tcPr>
          <w:p>
            <w:pPr>
              <w:spacing w:before="60" w:after="60"/>
              <w:jc w:val="center"/>
              <w:rPr>
                <w:noProof/>
                <w:sz w:val="20"/>
                <w:szCs w:val="16"/>
                <w:lang w:eastAsia="it-IT"/>
              </w:rPr>
            </w:pPr>
            <w:r>
              <w:rPr>
                <w:noProof/>
                <w:sz w:val="20"/>
                <w:szCs w:val="16"/>
              </w:rPr>
              <w:t>6.6</w:t>
            </w:r>
          </w:p>
        </w:tc>
        <w:tc>
          <w:tcPr>
            <w:tcW w:w="415" w:type="pct"/>
            <w:shd w:val="clear" w:color="auto" w:fill="auto"/>
            <w:noWrap/>
            <w:vAlign w:val="center"/>
            <w:hideMark/>
          </w:tcPr>
          <w:p>
            <w:pPr>
              <w:spacing w:before="60" w:after="60"/>
              <w:jc w:val="center"/>
              <w:rPr>
                <w:noProof/>
                <w:sz w:val="20"/>
                <w:szCs w:val="16"/>
                <w:lang w:eastAsia="it-IT"/>
              </w:rPr>
            </w:pPr>
            <w:r>
              <w:rPr>
                <w:noProof/>
                <w:sz w:val="20"/>
                <w:szCs w:val="16"/>
              </w:rPr>
              <w:t>7.6</w:t>
            </w:r>
          </w:p>
        </w:tc>
      </w:tr>
      <w:tr>
        <w:trPr>
          <w:trHeight w:val="244"/>
          <w:jc w:val="center"/>
        </w:trPr>
        <w:tc>
          <w:tcPr>
            <w:tcW w:w="1692" w:type="pct"/>
            <w:shd w:val="clear" w:color="auto" w:fill="CEEBE6"/>
            <w:noWrap/>
            <w:vAlign w:val="center"/>
          </w:tcPr>
          <w:p>
            <w:pPr>
              <w:keepNext/>
              <w:spacing w:before="60" w:after="60"/>
              <w:jc w:val="left"/>
              <w:rPr>
                <w:b/>
                <w:bCs/>
                <w:noProof/>
                <w:sz w:val="20"/>
                <w:szCs w:val="16"/>
              </w:rPr>
            </w:pPr>
            <w:r>
              <w:rPr>
                <w:bCs/>
                <w:noProof/>
                <w:sz w:val="20"/>
                <w:szCs w:val="16"/>
              </w:rPr>
              <w:t>Natural gas intensity (MWh/tonne)</w:t>
            </w:r>
          </w:p>
        </w:tc>
        <w:tc>
          <w:tcPr>
            <w:tcW w:w="396" w:type="pct"/>
            <w:shd w:val="clear" w:color="auto" w:fill="CEEBE6"/>
            <w:noWrap/>
            <w:vAlign w:val="center"/>
          </w:tcPr>
          <w:p>
            <w:pPr>
              <w:spacing w:before="60" w:after="60"/>
              <w:jc w:val="center"/>
              <w:rPr>
                <w:noProof/>
                <w:sz w:val="20"/>
                <w:szCs w:val="16"/>
                <w:lang w:eastAsia="it-IT"/>
              </w:rPr>
            </w:pPr>
            <w:r>
              <w:rPr>
                <w:noProof/>
                <w:sz w:val="20"/>
                <w:szCs w:val="16"/>
              </w:rPr>
              <w:t>0.39</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0.36</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0.34</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0.32</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0.31</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0.37</w:t>
            </w:r>
          </w:p>
        </w:tc>
        <w:tc>
          <w:tcPr>
            <w:tcW w:w="416" w:type="pct"/>
            <w:shd w:val="clear" w:color="auto" w:fill="CEEBE6"/>
            <w:noWrap/>
            <w:vAlign w:val="center"/>
          </w:tcPr>
          <w:p>
            <w:pPr>
              <w:spacing w:before="60" w:after="60"/>
              <w:jc w:val="center"/>
              <w:rPr>
                <w:noProof/>
                <w:sz w:val="20"/>
                <w:szCs w:val="16"/>
                <w:lang w:eastAsia="it-IT"/>
              </w:rPr>
            </w:pPr>
            <w:r>
              <w:rPr>
                <w:noProof/>
                <w:sz w:val="20"/>
                <w:szCs w:val="16"/>
              </w:rPr>
              <w:t>0.35</w:t>
            </w:r>
          </w:p>
        </w:tc>
        <w:tc>
          <w:tcPr>
            <w:tcW w:w="415" w:type="pct"/>
            <w:shd w:val="clear" w:color="auto" w:fill="CEEBE6"/>
            <w:noWrap/>
            <w:vAlign w:val="center"/>
          </w:tcPr>
          <w:p>
            <w:pPr>
              <w:spacing w:before="60" w:after="60"/>
              <w:jc w:val="center"/>
              <w:rPr>
                <w:noProof/>
                <w:sz w:val="20"/>
                <w:szCs w:val="16"/>
                <w:lang w:eastAsia="it-IT"/>
              </w:rPr>
            </w:pPr>
            <w:r>
              <w:rPr>
                <w:noProof/>
                <w:sz w:val="20"/>
                <w:szCs w:val="16"/>
              </w:rPr>
              <w:t>0.38</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103" w:name="_Ref527032515"/>
      <w:bookmarkStart w:id="104" w:name="_Toc526436575"/>
      <w:bookmarkStart w:id="105" w:name="_Toc530741709"/>
      <w:r>
        <w:t xml:space="preserve">Figure </w:t>
      </w:r>
      <w:r>
        <w:fldChar w:fldCharType="begin"/>
      </w:r>
      <w:r>
        <w:instrText xml:space="preserve"> SEQ Figure \* ARABIC </w:instrText>
      </w:r>
      <w:r>
        <w:fldChar w:fldCharType="separate"/>
      </w:r>
      <w:r>
        <w:t>16</w:t>
      </w:r>
      <w:r>
        <w:fldChar w:fldCharType="end"/>
      </w:r>
      <w:bookmarkEnd w:id="103"/>
      <w:r>
        <w:t xml:space="preserve">. </w:t>
      </w:r>
      <w:r>
        <w:rPr>
          <w:rFonts w:eastAsia="Times New Roman"/>
          <w:color w:val="000000"/>
          <w:lang w:eastAsia="en-GB"/>
        </w:rPr>
        <w:t>Natural gas prices</w:t>
      </w:r>
      <w:r>
        <w:t xml:space="preserve"> of EAF steel production</w:t>
      </w:r>
      <w:r>
        <w:rPr>
          <w:rFonts w:eastAsia="Times New Roman"/>
          <w:color w:val="000000"/>
          <w:lang w:eastAsia="en-GB"/>
        </w:rPr>
        <w:t xml:space="preserve"> (€/MWh)</w:t>
      </w:r>
      <w:bookmarkEnd w:id="104"/>
      <w:bookmarkEnd w:id="105"/>
    </w:p>
    <w:p>
      <w:pPr>
        <w:keepNext/>
        <w:rPr>
          <w:noProof/>
        </w:rPr>
      </w:pPr>
      <w:r>
        <w:rPr>
          <w:noProof/>
          <w:lang w:eastAsia="en-GB"/>
        </w:rPr>
        <w:drawing>
          <wp:inline distT="0" distB="0" distL="0" distR="0">
            <wp:extent cx="5732780" cy="2536190"/>
            <wp:effectExtent l="0" t="0" r="1270" b="0"/>
            <wp:docPr id="1449026531" name="Picture 144902653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50"/>
                    <pic:cNvPicPr>
                      <a:picLocks noGrp="1" noRot="1" noChangeAspect="1" noMove="1" noResize="1" noEditPoints="1" noAdjustHandles="1" noChangeArrowheads="1" noChangeShapeType="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780" cy="25361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06" w:name="_Ref529283734"/>
      <w:bookmarkStart w:id="107" w:name="_Toc530741710"/>
      <w:r>
        <w:t xml:space="preserve">Figure </w:t>
      </w:r>
      <w:r>
        <w:fldChar w:fldCharType="begin"/>
      </w:r>
      <w:r>
        <w:instrText xml:space="preserve"> SEQ Figure \* ARABIC </w:instrText>
      </w:r>
      <w:r>
        <w:fldChar w:fldCharType="separate"/>
      </w:r>
      <w:r>
        <w:t>17</w:t>
      </w:r>
      <w:r>
        <w:fldChar w:fldCharType="end"/>
      </w:r>
      <w:bookmarkEnd w:id="106"/>
      <w:r>
        <w:t>. Components of the EU average natural gas price for EAF steel</w:t>
      </w:r>
      <w:r>
        <w:rPr>
          <w:lang w:eastAsia="en-GB"/>
        </w:rPr>
        <w:t xml:space="preserve"> </w:t>
      </w:r>
      <w:r>
        <w:t>production (%)</w:t>
      </w:r>
      <w:bookmarkEnd w:id="107"/>
    </w:p>
    <w:p>
      <w:pPr>
        <w:rPr>
          <w:noProof/>
        </w:rPr>
      </w:pPr>
      <w:r>
        <w:rPr>
          <w:noProof/>
          <w:lang w:eastAsia="en-GB"/>
        </w:rPr>
        <w:drawing>
          <wp:inline distT="0" distB="0" distL="0" distR="0">
            <wp:extent cx="5719445" cy="2863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9445" cy="286385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108" w:name="_Ref527033852"/>
      <w:bookmarkStart w:id="109" w:name="_Toc526436576"/>
      <w:bookmarkStart w:id="110" w:name="_Toc530741711"/>
      <w:r>
        <w:t xml:space="preserve">Figure </w:t>
      </w:r>
      <w:r>
        <w:fldChar w:fldCharType="begin"/>
      </w:r>
      <w:r>
        <w:instrText xml:space="preserve"> SEQ Figure \* ARABIC </w:instrText>
      </w:r>
      <w:r>
        <w:fldChar w:fldCharType="separate"/>
      </w:r>
      <w:r>
        <w:t>18</w:t>
      </w:r>
      <w:r>
        <w:fldChar w:fldCharType="end"/>
      </w:r>
      <w:bookmarkEnd w:id="108"/>
      <w:r>
        <w:t xml:space="preserve">. </w:t>
      </w:r>
      <w:r>
        <w:rPr>
          <w:rFonts w:eastAsia="Times New Roman"/>
          <w:color w:val="000000"/>
          <w:lang w:eastAsia="en-GB"/>
        </w:rPr>
        <w:t>Natural gas costs</w:t>
      </w:r>
      <w:r>
        <w:t xml:space="preserve"> of EAF steel production</w:t>
      </w:r>
      <w:r>
        <w:rPr>
          <w:rFonts w:eastAsia="Times New Roman"/>
          <w:color w:val="000000"/>
          <w:lang w:eastAsia="en-GB"/>
        </w:rPr>
        <w:t xml:space="preserve"> (€/tonne)</w:t>
      </w:r>
      <w:bookmarkEnd w:id="109"/>
      <w:bookmarkEnd w:id="110"/>
    </w:p>
    <w:p>
      <w:pPr>
        <w:keepNext/>
        <w:rPr>
          <w:b/>
          <w:bCs/>
          <w:noProof/>
          <w:lang w:eastAsia="it-IT"/>
        </w:rPr>
      </w:pPr>
      <w:r>
        <w:rPr>
          <w:noProof/>
          <w:lang w:eastAsia="en-GB"/>
        </w:rPr>
        <w:drawing>
          <wp:inline distT="0" distB="0" distL="0" distR="0">
            <wp:extent cx="5732780" cy="2536190"/>
            <wp:effectExtent l="0" t="0" r="1270" b="0"/>
            <wp:docPr id="1449026532" name="Picture 144902653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88"/>
                    <pic:cNvPicPr>
                      <a:picLocks noGrp="1" noRot="1" noChangeAspect="1" noMove="1" noResize="1" noEditPoints="1" noAdjustHandles="1" noChangeArrowheads="1" noChangeShapeType="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780" cy="25361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11" w:name="_Ref527034232"/>
      <w:bookmarkStart w:id="112" w:name="_Toc526436577"/>
      <w:bookmarkStart w:id="113" w:name="_Toc530741712"/>
      <w:r>
        <w:t xml:space="preserve">Figure </w:t>
      </w:r>
      <w:r>
        <w:fldChar w:fldCharType="begin"/>
      </w:r>
      <w:r>
        <w:instrText xml:space="preserve"> SEQ Figure \* ARABIC </w:instrText>
      </w:r>
      <w:r>
        <w:fldChar w:fldCharType="separate"/>
      </w:r>
      <w:r>
        <w:t>19</w:t>
      </w:r>
      <w:r>
        <w:fldChar w:fldCharType="end"/>
      </w:r>
      <w:bookmarkEnd w:id="111"/>
      <w:r>
        <w:t xml:space="preserve">. </w:t>
      </w:r>
      <w:r>
        <w:rPr>
          <w:rFonts w:eastAsia="Times New Roman"/>
          <w:color w:val="000000"/>
          <w:lang w:eastAsia="en-GB"/>
        </w:rPr>
        <w:t xml:space="preserve">Natural gas intensity </w:t>
      </w:r>
      <w:r>
        <w:t>of EAF steel production</w:t>
      </w:r>
      <w:r>
        <w:rPr>
          <w:rFonts w:eastAsia="Times New Roman"/>
          <w:color w:val="000000"/>
          <w:lang w:eastAsia="en-GB"/>
        </w:rPr>
        <w:t xml:space="preserve"> (MWh/tonne)</w:t>
      </w:r>
      <w:bookmarkEnd w:id="112"/>
      <w:bookmarkEnd w:id="113"/>
    </w:p>
    <w:p>
      <w:pPr>
        <w:pStyle w:val="Sources"/>
        <w:keepNext/>
        <w:rPr>
          <w:noProof/>
        </w:rPr>
      </w:pPr>
      <w:r>
        <w:rPr>
          <w:noProof/>
          <w:lang w:eastAsia="en-GB"/>
        </w:rPr>
        <w:drawing>
          <wp:inline distT="0" distB="0" distL="0" distR="0">
            <wp:extent cx="5732780" cy="2465070"/>
            <wp:effectExtent l="0" t="0" r="1270" b="0"/>
            <wp:docPr id="1449026533" name="Picture 144902653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90"/>
                    <pic:cNvPicPr>
                      <a:picLocks noGrp="1" noRot="1" noChangeAspect="1" noMove="1" noResize="1" noEditPoints="1" noAdjustHandles="1" noChangeArrowheads="1" noChangeShapeType="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780" cy="246507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rFonts w:eastAsia="Times New Roman"/>
          <w:bCs/>
          <w:noProof/>
          <w:color w:val="000000"/>
          <w:szCs w:val="24"/>
          <w:lang w:eastAsia="en-GB"/>
        </w:rPr>
      </w:pPr>
    </w:p>
    <w:p>
      <w:pPr>
        <w:spacing w:after="0"/>
        <w:jc w:val="left"/>
        <w:rPr>
          <w:rFonts w:eastAsia="Times New Roman"/>
          <w:b/>
          <w:bCs/>
          <w:i/>
          <w:noProof/>
          <w:color w:val="000000"/>
          <w:szCs w:val="24"/>
          <w:lang w:eastAsia="en-GB"/>
        </w:rPr>
      </w:pPr>
      <w:r>
        <w:rPr>
          <w:rFonts w:eastAsia="Times New Roman"/>
          <w:b/>
          <w:bCs/>
          <w:i/>
          <w:noProof/>
          <w:color w:val="000000"/>
          <w:szCs w:val="24"/>
          <w:lang w:eastAsia="en-GB"/>
        </w:rPr>
        <w:br w:type="page"/>
      </w: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114" w:name="_Ref527022124"/>
      <w:bookmarkStart w:id="115" w:name="_Toc526436333"/>
      <w:bookmarkStart w:id="116" w:name="_Toc530741800"/>
      <w:r>
        <w:t xml:space="preserve">Table </w:t>
      </w:r>
      <w:r>
        <w:fldChar w:fldCharType="begin"/>
      </w:r>
      <w:r>
        <w:instrText xml:space="preserve"> SEQ Table \* ARABIC </w:instrText>
      </w:r>
      <w:r>
        <w:fldChar w:fldCharType="separate"/>
      </w:r>
      <w:r>
        <w:t>7</w:t>
      </w:r>
      <w:r>
        <w:fldChar w:fldCharType="end"/>
      </w:r>
      <w:bookmarkEnd w:id="114"/>
      <w:r>
        <w:t>. Key competitiveness indicators of EAF steel production</w:t>
      </w:r>
      <w:r>
        <w:rPr>
          <w:rFonts w:eastAsia="Times New Roman"/>
          <w:color w:val="000000"/>
          <w:lang w:eastAsia="en-GB"/>
        </w:rPr>
        <w:t xml:space="preserve"> </w:t>
      </w:r>
      <w:r>
        <w:t>(EU averages)</w:t>
      </w:r>
      <w:bookmarkEnd w:id="115"/>
      <w:bookmarkEnd w:id="116"/>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7"/>
        <w:gridCol w:w="730"/>
        <w:gridCol w:w="732"/>
        <w:gridCol w:w="731"/>
        <w:gridCol w:w="731"/>
        <w:gridCol w:w="731"/>
        <w:gridCol w:w="731"/>
        <w:gridCol w:w="731"/>
        <w:gridCol w:w="714"/>
      </w:tblGrid>
      <w:tr>
        <w:trPr>
          <w:trHeight w:val="244"/>
          <w:tblHeader/>
          <w:jc w:val="center"/>
        </w:trPr>
        <w:tc>
          <w:tcPr>
            <w:tcW w:w="1824"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39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3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3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3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3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3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39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824"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398" w:type="pct"/>
            <w:shd w:val="clear" w:color="auto" w:fill="CEEBE6"/>
            <w:noWrap/>
            <w:vAlign w:val="center"/>
          </w:tcPr>
          <w:p>
            <w:pPr>
              <w:spacing w:before="60" w:after="60"/>
              <w:jc w:val="center"/>
              <w:rPr>
                <w:noProof/>
                <w:sz w:val="20"/>
                <w:szCs w:val="16"/>
              </w:rPr>
            </w:pPr>
            <w:r>
              <w:rPr>
                <w:noProof/>
                <w:sz w:val="20"/>
                <w:szCs w:val="16"/>
              </w:rPr>
              <w:t>9.0</w:t>
            </w:r>
          </w:p>
        </w:tc>
        <w:tc>
          <w:tcPr>
            <w:tcW w:w="399" w:type="pct"/>
            <w:shd w:val="clear" w:color="auto" w:fill="CEEBE6"/>
            <w:noWrap/>
            <w:vAlign w:val="center"/>
          </w:tcPr>
          <w:p>
            <w:pPr>
              <w:spacing w:before="60" w:after="60"/>
              <w:jc w:val="center"/>
              <w:rPr>
                <w:noProof/>
                <w:sz w:val="20"/>
                <w:szCs w:val="16"/>
              </w:rPr>
            </w:pPr>
            <w:r>
              <w:rPr>
                <w:noProof/>
                <w:sz w:val="20"/>
                <w:szCs w:val="16"/>
              </w:rPr>
              <w:t>9.8</w:t>
            </w:r>
          </w:p>
        </w:tc>
        <w:tc>
          <w:tcPr>
            <w:tcW w:w="398" w:type="pct"/>
            <w:shd w:val="clear" w:color="auto" w:fill="CEEBE6"/>
            <w:noWrap/>
            <w:vAlign w:val="center"/>
          </w:tcPr>
          <w:p>
            <w:pPr>
              <w:spacing w:before="60" w:after="60"/>
              <w:jc w:val="center"/>
              <w:rPr>
                <w:noProof/>
                <w:sz w:val="20"/>
                <w:szCs w:val="16"/>
              </w:rPr>
            </w:pPr>
            <w:r>
              <w:rPr>
                <w:noProof/>
                <w:sz w:val="20"/>
                <w:szCs w:val="16"/>
              </w:rPr>
              <w:t>9.8</w:t>
            </w:r>
          </w:p>
        </w:tc>
        <w:tc>
          <w:tcPr>
            <w:tcW w:w="398" w:type="pct"/>
            <w:shd w:val="clear" w:color="auto" w:fill="CEEBE6"/>
            <w:noWrap/>
            <w:vAlign w:val="center"/>
          </w:tcPr>
          <w:p>
            <w:pPr>
              <w:spacing w:before="60" w:after="60"/>
              <w:jc w:val="center"/>
              <w:rPr>
                <w:noProof/>
                <w:sz w:val="20"/>
                <w:szCs w:val="16"/>
              </w:rPr>
            </w:pPr>
            <w:r>
              <w:rPr>
                <w:noProof/>
                <w:sz w:val="20"/>
                <w:szCs w:val="16"/>
              </w:rPr>
              <w:t>10.7</w:t>
            </w:r>
          </w:p>
        </w:tc>
        <w:tc>
          <w:tcPr>
            <w:tcW w:w="398" w:type="pct"/>
            <w:shd w:val="clear" w:color="auto" w:fill="CEEBE6"/>
            <w:noWrap/>
            <w:vAlign w:val="center"/>
          </w:tcPr>
          <w:p>
            <w:pPr>
              <w:spacing w:before="60" w:after="60"/>
              <w:jc w:val="center"/>
              <w:rPr>
                <w:noProof/>
                <w:sz w:val="20"/>
                <w:szCs w:val="16"/>
              </w:rPr>
            </w:pPr>
            <w:r>
              <w:rPr>
                <w:noProof/>
                <w:sz w:val="20"/>
                <w:szCs w:val="16"/>
              </w:rPr>
              <w:t>10.2</w:t>
            </w:r>
          </w:p>
        </w:tc>
        <w:tc>
          <w:tcPr>
            <w:tcW w:w="398" w:type="pct"/>
            <w:shd w:val="clear" w:color="auto" w:fill="CEEBE6"/>
            <w:noWrap/>
            <w:vAlign w:val="center"/>
          </w:tcPr>
          <w:p>
            <w:pPr>
              <w:spacing w:before="60" w:after="60"/>
              <w:jc w:val="center"/>
              <w:rPr>
                <w:noProof/>
                <w:sz w:val="20"/>
                <w:szCs w:val="16"/>
              </w:rPr>
            </w:pPr>
            <w:r>
              <w:rPr>
                <w:noProof/>
                <w:sz w:val="20"/>
                <w:szCs w:val="16"/>
              </w:rPr>
              <w:t>11.8</w:t>
            </w:r>
          </w:p>
        </w:tc>
        <w:tc>
          <w:tcPr>
            <w:tcW w:w="398" w:type="pct"/>
            <w:shd w:val="clear" w:color="auto" w:fill="CEEBE6"/>
            <w:noWrap/>
            <w:vAlign w:val="center"/>
          </w:tcPr>
          <w:p>
            <w:pPr>
              <w:spacing w:before="60" w:after="60"/>
              <w:jc w:val="center"/>
              <w:rPr>
                <w:noProof/>
                <w:sz w:val="20"/>
                <w:szCs w:val="16"/>
              </w:rPr>
            </w:pPr>
            <w:r>
              <w:rPr>
                <w:noProof/>
                <w:sz w:val="20"/>
                <w:szCs w:val="16"/>
              </w:rPr>
              <w:t>9.8</w:t>
            </w:r>
          </w:p>
        </w:tc>
        <w:tc>
          <w:tcPr>
            <w:tcW w:w="391" w:type="pct"/>
            <w:shd w:val="clear" w:color="auto" w:fill="CEEBE6"/>
            <w:noWrap/>
            <w:vAlign w:val="center"/>
          </w:tcPr>
          <w:p>
            <w:pPr>
              <w:spacing w:before="60" w:after="60"/>
              <w:jc w:val="center"/>
              <w:rPr>
                <w:noProof/>
                <w:sz w:val="20"/>
                <w:szCs w:val="16"/>
              </w:rPr>
            </w:pPr>
            <w:r>
              <w:rPr>
                <w:noProof/>
                <w:sz w:val="20"/>
                <w:szCs w:val="16"/>
              </w:rPr>
              <w:t>9.6</w:t>
            </w:r>
          </w:p>
        </w:tc>
      </w:tr>
      <w:tr>
        <w:trPr>
          <w:trHeight w:val="244"/>
          <w:jc w:val="center"/>
        </w:trPr>
        <w:tc>
          <w:tcPr>
            <w:tcW w:w="1824"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398" w:type="pct"/>
            <w:shd w:val="clear" w:color="auto" w:fill="auto"/>
            <w:noWrap/>
            <w:vAlign w:val="center"/>
          </w:tcPr>
          <w:p>
            <w:pPr>
              <w:spacing w:before="60" w:after="60"/>
              <w:jc w:val="center"/>
              <w:rPr>
                <w:noProof/>
                <w:sz w:val="20"/>
                <w:szCs w:val="16"/>
              </w:rPr>
            </w:pPr>
            <w:r>
              <w:rPr>
                <w:noProof/>
                <w:sz w:val="20"/>
                <w:szCs w:val="16"/>
              </w:rPr>
              <w:t>2.4</w:t>
            </w:r>
          </w:p>
        </w:tc>
        <w:tc>
          <w:tcPr>
            <w:tcW w:w="399" w:type="pct"/>
            <w:shd w:val="clear" w:color="auto" w:fill="auto"/>
            <w:noWrap/>
            <w:vAlign w:val="center"/>
          </w:tcPr>
          <w:p>
            <w:pPr>
              <w:spacing w:before="60" w:after="60"/>
              <w:jc w:val="center"/>
              <w:rPr>
                <w:noProof/>
                <w:sz w:val="20"/>
                <w:szCs w:val="16"/>
              </w:rPr>
            </w:pPr>
            <w:r>
              <w:rPr>
                <w:noProof/>
                <w:sz w:val="20"/>
                <w:szCs w:val="16"/>
              </w:rPr>
              <w:t>2.6</w:t>
            </w:r>
          </w:p>
        </w:tc>
        <w:tc>
          <w:tcPr>
            <w:tcW w:w="398" w:type="pct"/>
            <w:shd w:val="clear" w:color="auto" w:fill="auto"/>
            <w:noWrap/>
            <w:vAlign w:val="center"/>
          </w:tcPr>
          <w:p>
            <w:pPr>
              <w:spacing w:before="60" w:after="60"/>
              <w:jc w:val="center"/>
              <w:rPr>
                <w:noProof/>
                <w:sz w:val="20"/>
                <w:szCs w:val="16"/>
              </w:rPr>
            </w:pPr>
            <w:r>
              <w:rPr>
                <w:noProof/>
                <w:sz w:val="20"/>
                <w:szCs w:val="16"/>
              </w:rPr>
              <w:t>3.2</w:t>
            </w:r>
          </w:p>
        </w:tc>
        <w:tc>
          <w:tcPr>
            <w:tcW w:w="398" w:type="pct"/>
            <w:shd w:val="clear" w:color="auto" w:fill="auto"/>
            <w:noWrap/>
            <w:vAlign w:val="center"/>
          </w:tcPr>
          <w:p>
            <w:pPr>
              <w:spacing w:before="60" w:after="60"/>
              <w:jc w:val="center"/>
              <w:rPr>
                <w:noProof/>
                <w:sz w:val="20"/>
                <w:szCs w:val="16"/>
              </w:rPr>
            </w:pPr>
            <w:r>
              <w:rPr>
                <w:noProof/>
                <w:sz w:val="20"/>
                <w:szCs w:val="16"/>
              </w:rPr>
              <w:t>2.9</w:t>
            </w:r>
          </w:p>
        </w:tc>
        <w:tc>
          <w:tcPr>
            <w:tcW w:w="398" w:type="pct"/>
            <w:shd w:val="clear" w:color="auto" w:fill="auto"/>
            <w:noWrap/>
            <w:vAlign w:val="center"/>
          </w:tcPr>
          <w:p>
            <w:pPr>
              <w:spacing w:before="60" w:after="60"/>
              <w:jc w:val="center"/>
              <w:rPr>
                <w:noProof/>
                <w:sz w:val="20"/>
                <w:szCs w:val="16"/>
              </w:rPr>
            </w:pPr>
            <w:r>
              <w:rPr>
                <w:noProof/>
                <w:sz w:val="20"/>
                <w:szCs w:val="16"/>
              </w:rPr>
              <w:t>3.0</w:t>
            </w:r>
          </w:p>
        </w:tc>
        <w:tc>
          <w:tcPr>
            <w:tcW w:w="398" w:type="pct"/>
            <w:shd w:val="clear" w:color="auto" w:fill="auto"/>
            <w:noWrap/>
            <w:vAlign w:val="center"/>
          </w:tcPr>
          <w:p>
            <w:pPr>
              <w:spacing w:before="60" w:after="60"/>
              <w:jc w:val="center"/>
              <w:rPr>
                <w:noProof/>
                <w:sz w:val="20"/>
                <w:szCs w:val="16"/>
              </w:rPr>
            </w:pPr>
            <w:r>
              <w:rPr>
                <w:noProof/>
                <w:sz w:val="20"/>
                <w:szCs w:val="16"/>
              </w:rPr>
              <w:t>3.6</w:t>
            </w:r>
          </w:p>
        </w:tc>
        <w:tc>
          <w:tcPr>
            <w:tcW w:w="398" w:type="pct"/>
            <w:shd w:val="clear" w:color="auto" w:fill="auto"/>
            <w:noWrap/>
            <w:vAlign w:val="center"/>
          </w:tcPr>
          <w:p>
            <w:pPr>
              <w:spacing w:before="60" w:after="60"/>
              <w:jc w:val="center"/>
              <w:rPr>
                <w:noProof/>
                <w:sz w:val="20"/>
                <w:szCs w:val="16"/>
              </w:rPr>
            </w:pPr>
            <w:r>
              <w:rPr>
                <w:noProof/>
                <w:sz w:val="20"/>
                <w:szCs w:val="16"/>
              </w:rPr>
              <w:t>2.5</w:t>
            </w:r>
          </w:p>
        </w:tc>
        <w:tc>
          <w:tcPr>
            <w:tcW w:w="391" w:type="pct"/>
            <w:shd w:val="clear" w:color="auto" w:fill="auto"/>
            <w:noWrap/>
            <w:vAlign w:val="center"/>
          </w:tcPr>
          <w:p>
            <w:pPr>
              <w:spacing w:before="60" w:after="60"/>
              <w:jc w:val="center"/>
              <w:rPr>
                <w:noProof/>
                <w:sz w:val="20"/>
                <w:szCs w:val="16"/>
              </w:rPr>
            </w:pPr>
            <w:r>
              <w:rPr>
                <w:noProof/>
                <w:sz w:val="20"/>
                <w:szCs w:val="16"/>
              </w:rPr>
              <w:t>2.8</w:t>
            </w:r>
          </w:p>
        </w:tc>
      </w:tr>
      <w:tr>
        <w:trPr>
          <w:trHeight w:val="244"/>
          <w:jc w:val="center"/>
        </w:trPr>
        <w:tc>
          <w:tcPr>
            <w:tcW w:w="1824" w:type="pct"/>
            <w:shd w:val="clear" w:color="auto" w:fill="CEEBE6"/>
            <w:noWrap/>
            <w:vAlign w:val="center"/>
          </w:tcPr>
          <w:p>
            <w:pPr>
              <w:spacing w:before="60" w:after="60"/>
              <w:jc w:val="left"/>
              <w:rPr>
                <w:bCs/>
                <w:noProof/>
                <w:sz w:val="20"/>
                <w:szCs w:val="16"/>
              </w:rPr>
            </w:pPr>
            <w:r>
              <w:rPr>
                <w:bCs/>
                <w:noProof/>
                <w:sz w:val="20"/>
                <w:szCs w:val="16"/>
              </w:rPr>
              <w:t>Share of total energy costs in total production costs (%)</w:t>
            </w:r>
          </w:p>
        </w:tc>
        <w:tc>
          <w:tcPr>
            <w:tcW w:w="398" w:type="pct"/>
            <w:shd w:val="clear" w:color="auto" w:fill="CEEBE6"/>
            <w:noWrap/>
            <w:vAlign w:val="center"/>
          </w:tcPr>
          <w:p>
            <w:pPr>
              <w:spacing w:before="60" w:after="60"/>
              <w:jc w:val="center"/>
              <w:rPr>
                <w:bCs/>
                <w:noProof/>
                <w:sz w:val="20"/>
                <w:szCs w:val="16"/>
              </w:rPr>
            </w:pPr>
            <w:r>
              <w:rPr>
                <w:bCs/>
                <w:noProof/>
                <w:sz w:val="20"/>
                <w:szCs w:val="16"/>
              </w:rPr>
              <w:t>11.4</w:t>
            </w:r>
          </w:p>
        </w:tc>
        <w:tc>
          <w:tcPr>
            <w:tcW w:w="399" w:type="pct"/>
            <w:shd w:val="clear" w:color="auto" w:fill="CEEBE6"/>
            <w:noWrap/>
            <w:vAlign w:val="center"/>
          </w:tcPr>
          <w:p>
            <w:pPr>
              <w:spacing w:before="60" w:after="60"/>
              <w:jc w:val="center"/>
              <w:rPr>
                <w:bCs/>
                <w:noProof/>
                <w:sz w:val="20"/>
                <w:szCs w:val="16"/>
              </w:rPr>
            </w:pPr>
            <w:r>
              <w:rPr>
                <w:bCs/>
                <w:noProof/>
                <w:sz w:val="20"/>
                <w:szCs w:val="16"/>
              </w:rPr>
              <w:t>12.5</w:t>
            </w:r>
          </w:p>
        </w:tc>
        <w:tc>
          <w:tcPr>
            <w:tcW w:w="398" w:type="pct"/>
            <w:shd w:val="clear" w:color="auto" w:fill="CEEBE6"/>
            <w:noWrap/>
            <w:vAlign w:val="center"/>
          </w:tcPr>
          <w:p>
            <w:pPr>
              <w:spacing w:before="60" w:after="60"/>
              <w:jc w:val="center"/>
              <w:rPr>
                <w:bCs/>
                <w:noProof/>
                <w:sz w:val="20"/>
                <w:szCs w:val="16"/>
              </w:rPr>
            </w:pPr>
            <w:r>
              <w:rPr>
                <w:bCs/>
                <w:noProof/>
                <w:sz w:val="20"/>
                <w:szCs w:val="16"/>
              </w:rPr>
              <w:t>13.0</w:t>
            </w:r>
          </w:p>
        </w:tc>
        <w:tc>
          <w:tcPr>
            <w:tcW w:w="398" w:type="pct"/>
            <w:shd w:val="clear" w:color="auto" w:fill="CEEBE6"/>
            <w:noWrap/>
            <w:vAlign w:val="center"/>
          </w:tcPr>
          <w:p>
            <w:pPr>
              <w:spacing w:before="60" w:after="60"/>
              <w:jc w:val="center"/>
              <w:rPr>
                <w:bCs/>
                <w:noProof/>
                <w:sz w:val="20"/>
                <w:szCs w:val="16"/>
              </w:rPr>
            </w:pPr>
            <w:r>
              <w:rPr>
                <w:bCs/>
                <w:noProof/>
                <w:sz w:val="20"/>
                <w:szCs w:val="16"/>
              </w:rPr>
              <w:t>13.6</w:t>
            </w:r>
          </w:p>
        </w:tc>
        <w:tc>
          <w:tcPr>
            <w:tcW w:w="398" w:type="pct"/>
            <w:shd w:val="clear" w:color="auto" w:fill="CEEBE6"/>
            <w:noWrap/>
            <w:vAlign w:val="center"/>
          </w:tcPr>
          <w:p>
            <w:pPr>
              <w:spacing w:before="60" w:after="60"/>
              <w:jc w:val="center"/>
              <w:rPr>
                <w:bCs/>
                <w:noProof/>
                <w:sz w:val="20"/>
                <w:szCs w:val="16"/>
              </w:rPr>
            </w:pPr>
            <w:r>
              <w:rPr>
                <w:bCs/>
                <w:noProof/>
                <w:sz w:val="20"/>
                <w:szCs w:val="16"/>
              </w:rPr>
              <w:t>13.2</w:t>
            </w:r>
          </w:p>
        </w:tc>
        <w:tc>
          <w:tcPr>
            <w:tcW w:w="398" w:type="pct"/>
            <w:shd w:val="clear" w:color="auto" w:fill="CEEBE6"/>
            <w:noWrap/>
            <w:vAlign w:val="center"/>
          </w:tcPr>
          <w:p>
            <w:pPr>
              <w:spacing w:before="60" w:after="60"/>
              <w:jc w:val="center"/>
              <w:rPr>
                <w:bCs/>
                <w:noProof/>
                <w:sz w:val="20"/>
                <w:szCs w:val="16"/>
              </w:rPr>
            </w:pPr>
            <w:r>
              <w:rPr>
                <w:bCs/>
                <w:noProof/>
                <w:sz w:val="20"/>
                <w:szCs w:val="16"/>
              </w:rPr>
              <w:t>15.4</w:t>
            </w:r>
          </w:p>
        </w:tc>
        <w:tc>
          <w:tcPr>
            <w:tcW w:w="398" w:type="pct"/>
            <w:shd w:val="clear" w:color="auto" w:fill="CEEBE6"/>
            <w:noWrap/>
            <w:vAlign w:val="center"/>
          </w:tcPr>
          <w:p>
            <w:pPr>
              <w:spacing w:before="60" w:after="60"/>
              <w:jc w:val="center"/>
              <w:rPr>
                <w:bCs/>
                <w:noProof/>
                <w:sz w:val="20"/>
                <w:szCs w:val="16"/>
              </w:rPr>
            </w:pPr>
            <w:r>
              <w:rPr>
                <w:bCs/>
                <w:noProof/>
                <w:sz w:val="20"/>
                <w:szCs w:val="16"/>
              </w:rPr>
              <w:t>12.3</w:t>
            </w:r>
          </w:p>
        </w:tc>
        <w:tc>
          <w:tcPr>
            <w:tcW w:w="391" w:type="pct"/>
            <w:shd w:val="clear" w:color="auto" w:fill="CEEBE6"/>
            <w:noWrap/>
            <w:vAlign w:val="center"/>
          </w:tcPr>
          <w:p>
            <w:pPr>
              <w:spacing w:before="60" w:after="60"/>
              <w:jc w:val="center"/>
              <w:rPr>
                <w:bCs/>
                <w:noProof/>
                <w:sz w:val="20"/>
                <w:szCs w:val="16"/>
              </w:rPr>
            </w:pPr>
            <w:r>
              <w:rPr>
                <w:bCs/>
                <w:noProof/>
                <w:sz w:val="20"/>
                <w:szCs w:val="16"/>
              </w:rPr>
              <w:t>12.4</w:t>
            </w:r>
          </w:p>
        </w:tc>
      </w:tr>
      <w:tr>
        <w:trPr>
          <w:trHeight w:val="244"/>
          <w:jc w:val="center"/>
        </w:trPr>
        <w:tc>
          <w:tcPr>
            <w:tcW w:w="1824" w:type="pct"/>
            <w:shd w:val="clear" w:color="auto" w:fill="auto"/>
            <w:noWrap/>
            <w:vAlign w:val="center"/>
          </w:tcPr>
          <w:p>
            <w:pPr>
              <w:spacing w:before="60" w:after="60"/>
              <w:jc w:val="left"/>
              <w:rPr>
                <w:bCs/>
                <w:noProof/>
                <w:sz w:val="20"/>
                <w:szCs w:val="16"/>
              </w:rPr>
            </w:pPr>
            <w:r>
              <w:rPr>
                <w:bCs/>
                <w:noProof/>
                <w:sz w:val="20"/>
                <w:szCs w:val="16"/>
              </w:rPr>
              <w:t>Total energy costs (€/tonne)</w:t>
            </w:r>
          </w:p>
        </w:tc>
        <w:tc>
          <w:tcPr>
            <w:tcW w:w="398" w:type="pct"/>
            <w:shd w:val="clear" w:color="auto" w:fill="auto"/>
            <w:noWrap/>
            <w:vAlign w:val="center"/>
          </w:tcPr>
          <w:p>
            <w:pPr>
              <w:spacing w:before="60" w:after="60"/>
              <w:jc w:val="center"/>
              <w:rPr>
                <w:noProof/>
                <w:sz w:val="20"/>
                <w:szCs w:val="16"/>
              </w:rPr>
            </w:pPr>
            <w:r>
              <w:rPr>
                <w:noProof/>
                <w:sz w:val="20"/>
                <w:szCs w:val="16"/>
              </w:rPr>
              <w:t>43.0</w:t>
            </w:r>
          </w:p>
        </w:tc>
        <w:tc>
          <w:tcPr>
            <w:tcW w:w="399" w:type="pct"/>
            <w:shd w:val="clear" w:color="auto" w:fill="auto"/>
            <w:noWrap/>
            <w:vAlign w:val="center"/>
          </w:tcPr>
          <w:p>
            <w:pPr>
              <w:spacing w:before="60" w:after="60"/>
              <w:jc w:val="center"/>
              <w:rPr>
                <w:noProof/>
                <w:sz w:val="20"/>
                <w:szCs w:val="16"/>
              </w:rPr>
            </w:pPr>
            <w:r>
              <w:rPr>
                <w:noProof/>
                <w:sz w:val="20"/>
                <w:szCs w:val="16"/>
              </w:rPr>
              <w:t>41.1</w:t>
            </w:r>
          </w:p>
        </w:tc>
        <w:tc>
          <w:tcPr>
            <w:tcW w:w="398" w:type="pct"/>
            <w:shd w:val="clear" w:color="auto" w:fill="auto"/>
            <w:noWrap/>
            <w:vAlign w:val="center"/>
          </w:tcPr>
          <w:p>
            <w:pPr>
              <w:spacing w:before="60" w:after="60"/>
              <w:jc w:val="center"/>
              <w:rPr>
                <w:noProof/>
                <w:sz w:val="20"/>
                <w:szCs w:val="16"/>
              </w:rPr>
            </w:pPr>
            <w:r>
              <w:rPr>
                <w:noProof/>
                <w:sz w:val="20"/>
                <w:szCs w:val="16"/>
              </w:rPr>
              <w:t>44.6</w:t>
            </w:r>
          </w:p>
        </w:tc>
        <w:tc>
          <w:tcPr>
            <w:tcW w:w="398" w:type="pct"/>
            <w:shd w:val="clear" w:color="auto" w:fill="auto"/>
            <w:noWrap/>
            <w:vAlign w:val="center"/>
          </w:tcPr>
          <w:p>
            <w:pPr>
              <w:spacing w:before="60" w:after="60"/>
              <w:jc w:val="center"/>
              <w:rPr>
                <w:noProof/>
                <w:sz w:val="20"/>
                <w:szCs w:val="16"/>
              </w:rPr>
            </w:pPr>
            <w:r>
              <w:rPr>
                <w:noProof/>
                <w:sz w:val="20"/>
                <w:szCs w:val="16"/>
              </w:rPr>
              <w:t>43.6</w:t>
            </w:r>
          </w:p>
        </w:tc>
        <w:tc>
          <w:tcPr>
            <w:tcW w:w="398" w:type="pct"/>
            <w:shd w:val="clear" w:color="auto" w:fill="auto"/>
            <w:noWrap/>
            <w:vAlign w:val="center"/>
          </w:tcPr>
          <w:p>
            <w:pPr>
              <w:spacing w:before="60" w:after="60"/>
              <w:jc w:val="center"/>
              <w:rPr>
                <w:noProof/>
                <w:sz w:val="20"/>
                <w:szCs w:val="16"/>
              </w:rPr>
            </w:pPr>
            <w:r>
              <w:rPr>
                <w:noProof/>
                <w:sz w:val="20"/>
                <w:szCs w:val="16"/>
              </w:rPr>
              <w:t>38.6</w:t>
            </w:r>
          </w:p>
        </w:tc>
        <w:tc>
          <w:tcPr>
            <w:tcW w:w="398" w:type="pct"/>
            <w:shd w:val="clear" w:color="auto" w:fill="auto"/>
            <w:noWrap/>
            <w:vAlign w:val="center"/>
          </w:tcPr>
          <w:p>
            <w:pPr>
              <w:spacing w:before="60" w:after="60"/>
              <w:jc w:val="center"/>
              <w:rPr>
                <w:noProof/>
                <w:sz w:val="20"/>
                <w:szCs w:val="16"/>
              </w:rPr>
            </w:pPr>
            <w:r>
              <w:rPr>
                <w:noProof/>
                <w:sz w:val="20"/>
                <w:szCs w:val="16"/>
              </w:rPr>
              <w:t>40.2</w:t>
            </w:r>
          </w:p>
        </w:tc>
        <w:tc>
          <w:tcPr>
            <w:tcW w:w="398" w:type="pct"/>
            <w:shd w:val="clear" w:color="auto" w:fill="auto"/>
            <w:noWrap/>
            <w:vAlign w:val="center"/>
          </w:tcPr>
          <w:p>
            <w:pPr>
              <w:spacing w:before="60" w:after="60"/>
              <w:jc w:val="center"/>
              <w:rPr>
                <w:noProof/>
                <w:sz w:val="20"/>
                <w:szCs w:val="16"/>
              </w:rPr>
            </w:pPr>
            <w:r>
              <w:rPr>
                <w:noProof/>
                <w:sz w:val="20"/>
                <w:szCs w:val="16"/>
              </w:rPr>
              <w:t>32.4</w:t>
            </w:r>
          </w:p>
        </w:tc>
        <w:tc>
          <w:tcPr>
            <w:tcW w:w="391" w:type="pct"/>
            <w:shd w:val="clear" w:color="auto" w:fill="auto"/>
            <w:noWrap/>
            <w:vAlign w:val="center"/>
          </w:tcPr>
          <w:p>
            <w:pPr>
              <w:spacing w:before="60" w:after="60"/>
              <w:jc w:val="center"/>
              <w:rPr>
                <w:noProof/>
                <w:sz w:val="20"/>
                <w:szCs w:val="16"/>
              </w:rPr>
            </w:pPr>
            <w:r>
              <w:rPr>
                <w:noProof/>
                <w:sz w:val="20"/>
                <w:szCs w:val="16"/>
              </w:rPr>
              <w:t>33.5</w:t>
            </w:r>
          </w:p>
        </w:tc>
      </w:tr>
      <w:tr>
        <w:trPr>
          <w:trHeight w:val="244"/>
          <w:jc w:val="center"/>
        </w:trPr>
        <w:tc>
          <w:tcPr>
            <w:tcW w:w="1824" w:type="pct"/>
            <w:shd w:val="clear" w:color="auto" w:fill="CEEBE6"/>
            <w:noWrap/>
            <w:vAlign w:val="center"/>
          </w:tcPr>
          <w:p>
            <w:pPr>
              <w:spacing w:before="60" w:after="60"/>
              <w:jc w:val="left"/>
              <w:rPr>
                <w:bCs/>
                <w:noProof/>
                <w:sz w:val="20"/>
                <w:szCs w:val="16"/>
              </w:rPr>
            </w:pPr>
            <w:r>
              <w:rPr>
                <w:bCs/>
                <w:noProof/>
                <w:sz w:val="20"/>
                <w:szCs w:val="16"/>
              </w:rPr>
              <w:t>EBITDA (€/tonne)</w:t>
            </w:r>
          </w:p>
        </w:tc>
        <w:tc>
          <w:tcPr>
            <w:tcW w:w="398" w:type="pct"/>
            <w:shd w:val="clear" w:color="auto" w:fill="CEEBE6"/>
            <w:noWrap/>
            <w:vAlign w:val="center"/>
          </w:tcPr>
          <w:p>
            <w:pPr>
              <w:spacing w:before="60" w:after="60"/>
              <w:jc w:val="center"/>
              <w:rPr>
                <w:noProof/>
                <w:sz w:val="20"/>
                <w:szCs w:val="16"/>
              </w:rPr>
            </w:pPr>
            <w:r>
              <w:rPr>
                <w:noProof/>
                <w:sz w:val="20"/>
                <w:szCs w:val="16"/>
              </w:rPr>
              <w:t>45.8</w:t>
            </w:r>
          </w:p>
        </w:tc>
        <w:tc>
          <w:tcPr>
            <w:tcW w:w="399" w:type="pct"/>
            <w:shd w:val="clear" w:color="auto" w:fill="CEEBE6"/>
            <w:noWrap/>
            <w:vAlign w:val="center"/>
          </w:tcPr>
          <w:p>
            <w:pPr>
              <w:spacing w:before="60" w:after="60"/>
              <w:jc w:val="center"/>
              <w:rPr>
                <w:noProof/>
                <w:sz w:val="20"/>
                <w:szCs w:val="16"/>
              </w:rPr>
            </w:pPr>
            <w:r>
              <w:rPr>
                <w:noProof/>
                <w:sz w:val="20"/>
                <w:szCs w:val="16"/>
              </w:rPr>
              <w:t>17.1</w:t>
            </w:r>
          </w:p>
        </w:tc>
        <w:tc>
          <w:tcPr>
            <w:tcW w:w="398" w:type="pct"/>
            <w:shd w:val="clear" w:color="auto" w:fill="CEEBE6"/>
            <w:noWrap/>
            <w:vAlign w:val="center"/>
          </w:tcPr>
          <w:p>
            <w:pPr>
              <w:spacing w:before="60" w:after="60"/>
              <w:jc w:val="center"/>
              <w:rPr>
                <w:noProof/>
                <w:sz w:val="20"/>
                <w:szCs w:val="16"/>
              </w:rPr>
            </w:pPr>
            <w:r>
              <w:rPr>
                <w:noProof/>
                <w:sz w:val="20"/>
                <w:szCs w:val="16"/>
              </w:rPr>
              <w:t>16.4</w:t>
            </w:r>
          </w:p>
        </w:tc>
        <w:tc>
          <w:tcPr>
            <w:tcW w:w="398" w:type="pct"/>
            <w:shd w:val="clear" w:color="auto" w:fill="CEEBE6"/>
            <w:noWrap/>
            <w:vAlign w:val="center"/>
          </w:tcPr>
          <w:p>
            <w:pPr>
              <w:spacing w:before="60" w:after="60"/>
              <w:jc w:val="center"/>
              <w:rPr>
                <w:noProof/>
                <w:sz w:val="20"/>
                <w:szCs w:val="16"/>
              </w:rPr>
            </w:pPr>
            <w:r>
              <w:rPr>
                <w:noProof/>
                <w:sz w:val="20"/>
                <w:szCs w:val="16"/>
              </w:rPr>
              <w:t>15.2</w:t>
            </w:r>
          </w:p>
        </w:tc>
        <w:tc>
          <w:tcPr>
            <w:tcW w:w="398" w:type="pct"/>
            <w:shd w:val="clear" w:color="auto" w:fill="CEEBE6"/>
            <w:noWrap/>
            <w:vAlign w:val="center"/>
          </w:tcPr>
          <w:p>
            <w:pPr>
              <w:spacing w:before="60" w:after="60"/>
              <w:jc w:val="center"/>
              <w:rPr>
                <w:noProof/>
                <w:sz w:val="20"/>
                <w:szCs w:val="16"/>
              </w:rPr>
            </w:pPr>
            <w:r>
              <w:rPr>
                <w:noProof/>
                <w:sz w:val="20"/>
                <w:szCs w:val="16"/>
              </w:rPr>
              <w:t>16.0</w:t>
            </w:r>
          </w:p>
        </w:tc>
        <w:tc>
          <w:tcPr>
            <w:tcW w:w="398" w:type="pct"/>
            <w:shd w:val="clear" w:color="auto" w:fill="CEEBE6"/>
            <w:noWrap/>
            <w:vAlign w:val="center"/>
          </w:tcPr>
          <w:p>
            <w:pPr>
              <w:spacing w:before="60" w:after="60"/>
              <w:jc w:val="center"/>
              <w:rPr>
                <w:noProof/>
                <w:sz w:val="20"/>
                <w:szCs w:val="16"/>
              </w:rPr>
            </w:pPr>
            <w:r>
              <w:rPr>
                <w:noProof/>
                <w:sz w:val="20"/>
                <w:szCs w:val="16"/>
              </w:rPr>
              <w:t>14.3</w:t>
            </w:r>
          </w:p>
        </w:tc>
        <w:tc>
          <w:tcPr>
            <w:tcW w:w="398" w:type="pct"/>
            <w:shd w:val="clear" w:color="auto" w:fill="CEEBE6"/>
            <w:noWrap/>
            <w:vAlign w:val="center"/>
          </w:tcPr>
          <w:p>
            <w:pPr>
              <w:spacing w:before="60" w:after="60"/>
              <w:jc w:val="center"/>
              <w:rPr>
                <w:noProof/>
                <w:sz w:val="20"/>
                <w:szCs w:val="16"/>
              </w:rPr>
            </w:pPr>
            <w:r>
              <w:rPr>
                <w:noProof/>
                <w:sz w:val="20"/>
                <w:szCs w:val="16"/>
              </w:rPr>
              <w:t>13.2</w:t>
            </w:r>
          </w:p>
        </w:tc>
        <w:tc>
          <w:tcPr>
            <w:tcW w:w="391" w:type="pct"/>
            <w:shd w:val="clear" w:color="auto" w:fill="CEEBE6"/>
            <w:noWrap/>
            <w:vAlign w:val="center"/>
          </w:tcPr>
          <w:p>
            <w:pPr>
              <w:spacing w:before="60" w:after="60"/>
              <w:jc w:val="center"/>
              <w:rPr>
                <w:noProof/>
                <w:sz w:val="20"/>
                <w:szCs w:val="16"/>
              </w:rPr>
            </w:pPr>
            <w:r>
              <w:rPr>
                <w:noProof/>
                <w:sz w:val="20"/>
                <w:szCs w:val="16"/>
              </w:rPr>
              <w:t>13.1</w:t>
            </w:r>
          </w:p>
        </w:tc>
      </w:tr>
      <w:tr>
        <w:trPr>
          <w:trHeight w:val="244"/>
          <w:jc w:val="center"/>
        </w:trPr>
        <w:tc>
          <w:tcPr>
            <w:tcW w:w="1824" w:type="pct"/>
            <w:shd w:val="clear" w:color="auto" w:fill="auto"/>
            <w:noWrap/>
            <w:vAlign w:val="center"/>
          </w:tcPr>
          <w:p>
            <w:pPr>
              <w:keepNext/>
              <w:spacing w:before="60" w:after="60"/>
              <w:jc w:val="left"/>
              <w:rPr>
                <w:bCs/>
                <w:noProof/>
                <w:sz w:val="20"/>
                <w:szCs w:val="16"/>
              </w:rPr>
            </w:pPr>
            <w:r>
              <w:rPr>
                <w:noProof/>
                <w:sz w:val="20"/>
              </w:rPr>
              <w:t>Ratio of total energy costs to EBITDA</w:t>
            </w:r>
          </w:p>
        </w:tc>
        <w:tc>
          <w:tcPr>
            <w:tcW w:w="398" w:type="pct"/>
            <w:shd w:val="clear" w:color="auto" w:fill="auto"/>
            <w:noWrap/>
            <w:vAlign w:val="center"/>
          </w:tcPr>
          <w:p>
            <w:pPr>
              <w:spacing w:before="60" w:after="60"/>
              <w:jc w:val="center"/>
              <w:rPr>
                <w:noProof/>
                <w:sz w:val="20"/>
                <w:szCs w:val="16"/>
              </w:rPr>
            </w:pPr>
            <w:r>
              <w:rPr>
                <w:noProof/>
                <w:sz w:val="20"/>
                <w:szCs w:val="16"/>
              </w:rPr>
              <w:t>0.9</w:t>
            </w:r>
          </w:p>
        </w:tc>
        <w:tc>
          <w:tcPr>
            <w:tcW w:w="399" w:type="pct"/>
            <w:shd w:val="clear" w:color="auto" w:fill="auto"/>
            <w:noWrap/>
            <w:vAlign w:val="center"/>
          </w:tcPr>
          <w:p>
            <w:pPr>
              <w:spacing w:before="60" w:after="60"/>
              <w:jc w:val="center"/>
              <w:rPr>
                <w:noProof/>
                <w:sz w:val="20"/>
                <w:szCs w:val="16"/>
              </w:rPr>
            </w:pPr>
            <w:r>
              <w:rPr>
                <w:noProof/>
                <w:sz w:val="20"/>
                <w:szCs w:val="16"/>
              </w:rPr>
              <w:t>2.4</w:t>
            </w:r>
          </w:p>
        </w:tc>
        <w:tc>
          <w:tcPr>
            <w:tcW w:w="398" w:type="pct"/>
            <w:shd w:val="clear" w:color="auto" w:fill="auto"/>
            <w:noWrap/>
            <w:vAlign w:val="center"/>
          </w:tcPr>
          <w:p>
            <w:pPr>
              <w:spacing w:before="60" w:after="60"/>
              <w:jc w:val="center"/>
              <w:rPr>
                <w:noProof/>
                <w:sz w:val="20"/>
                <w:szCs w:val="16"/>
              </w:rPr>
            </w:pPr>
            <w:r>
              <w:rPr>
                <w:noProof/>
                <w:sz w:val="20"/>
                <w:szCs w:val="16"/>
              </w:rPr>
              <w:t>2.7</w:t>
            </w:r>
          </w:p>
        </w:tc>
        <w:tc>
          <w:tcPr>
            <w:tcW w:w="398" w:type="pct"/>
            <w:shd w:val="clear" w:color="auto" w:fill="auto"/>
            <w:noWrap/>
            <w:vAlign w:val="center"/>
          </w:tcPr>
          <w:p>
            <w:pPr>
              <w:spacing w:before="60" w:after="60"/>
              <w:jc w:val="center"/>
              <w:rPr>
                <w:noProof/>
                <w:sz w:val="20"/>
                <w:szCs w:val="16"/>
              </w:rPr>
            </w:pPr>
            <w:r>
              <w:rPr>
                <w:noProof/>
                <w:sz w:val="20"/>
                <w:szCs w:val="16"/>
              </w:rPr>
              <w:t>2.9</w:t>
            </w:r>
          </w:p>
        </w:tc>
        <w:tc>
          <w:tcPr>
            <w:tcW w:w="398" w:type="pct"/>
            <w:shd w:val="clear" w:color="auto" w:fill="auto"/>
            <w:noWrap/>
            <w:vAlign w:val="center"/>
          </w:tcPr>
          <w:p>
            <w:pPr>
              <w:spacing w:before="60" w:after="60"/>
              <w:jc w:val="center"/>
              <w:rPr>
                <w:noProof/>
                <w:sz w:val="20"/>
                <w:szCs w:val="16"/>
              </w:rPr>
            </w:pPr>
            <w:r>
              <w:rPr>
                <w:noProof/>
                <w:sz w:val="20"/>
                <w:szCs w:val="16"/>
              </w:rPr>
              <w:t>2.4</w:t>
            </w:r>
          </w:p>
        </w:tc>
        <w:tc>
          <w:tcPr>
            <w:tcW w:w="398" w:type="pct"/>
            <w:shd w:val="clear" w:color="auto" w:fill="auto"/>
            <w:noWrap/>
            <w:vAlign w:val="center"/>
          </w:tcPr>
          <w:p>
            <w:pPr>
              <w:spacing w:before="60" w:after="60"/>
              <w:jc w:val="center"/>
              <w:rPr>
                <w:noProof/>
                <w:sz w:val="20"/>
                <w:szCs w:val="16"/>
              </w:rPr>
            </w:pPr>
            <w:r>
              <w:rPr>
                <w:noProof/>
                <w:sz w:val="20"/>
                <w:szCs w:val="16"/>
              </w:rPr>
              <w:t>2.8</w:t>
            </w:r>
          </w:p>
        </w:tc>
        <w:tc>
          <w:tcPr>
            <w:tcW w:w="398" w:type="pct"/>
            <w:shd w:val="clear" w:color="auto" w:fill="auto"/>
            <w:noWrap/>
            <w:vAlign w:val="center"/>
          </w:tcPr>
          <w:p>
            <w:pPr>
              <w:spacing w:before="60" w:after="60"/>
              <w:jc w:val="center"/>
              <w:rPr>
                <w:noProof/>
                <w:sz w:val="20"/>
                <w:szCs w:val="16"/>
              </w:rPr>
            </w:pPr>
            <w:r>
              <w:rPr>
                <w:noProof/>
                <w:sz w:val="20"/>
                <w:szCs w:val="16"/>
              </w:rPr>
              <w:t>2.5</w:t>
            </w:r>
          </w:p>
        </w:tc>
        <w:tc>
          <w:tcPr>
            <w:tcW w:w="391" w:type="pct"/>
            <w:shd w:val="clear" w:color="auto" w:fill="auto"/>
            <w:noWrap/>
            <w:vAlign w:val="center"/>
          </w:tcPr>
          <w:p>
            <w:pPr>
              <w:spacing w:before="60" w:after="60"/>
              <w:jc w:val="center"/>
              <w:rPr>
                <w:noProof/>
                <w:sz w:val="20"/>
                <w:szCs w:val="16"/>
              </w:rPr>
            </w:pPr>
            <w:r>
              <w:rPr>
                <w:noProof/>
                <w:sz w:val="20"/>
                <w:szCs w:val="16"/>
              </w:rPr>
              <w:t>2.6</w:t>
            </w:r>
          </w:p>
        </w:tc>
      </w:tr>
    </w:tbl>
    <w:p>
      <w:pPr>
        <w:pStyle w:val="Sources"/>
        <w:rPr>
          <w:noProof/>
        </w:rPr>
      </w:pPr>
      <w:r>
        <w:rPr>
          <w:noProof/>
        </w:rPr>
        <w:t>Source: CEPS/Ecofys.</w:t>
      </w:r>
    </w:p>
    <w:p>
      <w:pPr>
        <w:rPr>
          <w:noProof/>
          <w:lang w:eastAsia="it-IT"/>
        </w:rPr>
      </w:pPr>
    </w:p>
    <w:p>
      <w:pPr>
        <w:pStyle w:val="Caption"/>
        <w:rPr>
          <w:rFonts w:eastAsia="Times New Roman"/>
          <w:color w:val="000000"/>
          <w:lang w:eastAsia="en-GB"/>
        </w:rPr>
      </w:pPr>
      <w:bookmarkStart w:id="117" w:name="_Ref527036597"/>
      <w:bookmarkStart w:id="118" w:name="_Toc526436578"/>
      <w:bookmarkStart w:id="119" w:name="_Toc530741713"/>
      <w:r>
        <w:t xml:space="preserve">Figure </w:t>
      </w:r>
      <w:r>
        <w:fldChar w:fldCharType="begin"/>
      </w:r>
      <w:r>
        <w:instrText xml:space="preserve"> SEQ Figure \* ARABIC </w:instrText>
      </w:r>
      <w:r>
        <w:fldChar w:fldCharType="separate"/>
      </w:r>
      <w:r>
        <w:t>20</w:t>
      </w:r>
      <w:r>
        <w:fldChar w:fldCharType="end"/>
      </w:r>
      <w:bookmarkEnd w:id="117"/>
      <w:r>
        <w:t xml:space="preserve">. </w:t>
      </w:r>
      <w:r>
        <w:rPr>
          <w:rFonts w:eastAsia="Times New Roman"/>
          <w:color w:val="000000"/>
          <w:lang w:eastAsia="en-GB"/>
        </w:rPr>
        <w:t xml:space="preserve">Energy costs versus EBITDA </w:t>
      </w:r>
      <w:r>
        <w:t>of EAF steel production</w:t>
      </w:r>
      <w:r>
        <w:rPr>
          <w:rFonts w:eastAsia="Times New Roman"/>
          <w:color w:val="000000"/>
          <w:lang w:eastAsia="en-GB"/>
        </w:rPr>
        <w:t xml:space="preserve"> (€/tonne)</w:t>
      </w:r>
      <w:bookmarkEnd w:id="118"/>
      <w:bookmarkEnd w:id="119"/>
    </w:p>
    <w:p>
      <w:pPr>
        <w:keepNext/>
        <w:rPr>
          <w:rFonts w:eastAsia="Times New Roman"/>
          <w:bCs/>
          <w:noProof/>
          <w:color w:val="000000"/>
          <w:szCs w:val="24"/>
          <w:lang w:eastAsia="en-GB"/>
        </w:rPr>
      </w:pPr>
      <w:r>
        <w:rPr>
          <w:noProof/>
          <w:lang w:eastAsia="en-GB"/>
        </w:rPr>
        <w:drawing>
          <wp:inline distT="0" distB="0" distL="0" distR="0">
            <wp:extent cx="5760720" cy="3541402"/>
            <wp:effectExtent l="0" t="0" r="0" b="1905"/>
            <wp:docPr id="1449026534" name="Picture 144902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541402"/>
                    </a:xfrm>
                    <a:prstGeom prst="rect">
                      <a:avLst/>
                    </a:prstGeom>
                    <a:noFill/>
                    <a:ln>
                      <a:noFill/>
                    </a:ln>
                  </pic:spPr>
                </pic:pic>
              </a:graphicData>
            </a:graphic>
          </wp:inline>
        </w:drawing>
      </w:r>
    </w:p>
    <w:p>
      <w:pPr>
        <w:pStyle w:val="Sources"/>
        <w:tabs>
          <w:tab w:val="left" w:pos="142"/>
        </w:tabs>
        <w:rPr>
          <w:noProof/>
        </w:rPr>
      </w:pPr>
      <w:r>
        <w:rPr>
          <w:noProof/>
        </w:rPr>
        <w:tab/>
        <w:t>Source: CEPS/Ecofys.</w:t>
      </w: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120" w:name="_Toc526434040"/>
      <w:bookmarkStart w:id="121" w:name="_Toc526435984"/>
      <w:bookmarkStart w:id="122" w:name="_Toc527544409"/>
      <w:bookmarkStart w:id="123" w:name="_Toc530741640"/>
      <w:r>
        <w:rPr>
          <w:noProof/>
          <w:lang w:eastAsia="en-GB"/>
        </w:rPr>
        <w:t>ALUMINIUM</w:t>
      </w:r>
      <w:bookmarkEnd w:id="120"/>
      <w:bookmarkEnd w:id="121"/>
      <w:bookmarkEnd w:id="122"/>
      <w:bookmarkEnd w:id="123"/>
    </w:p>
    <w:p>
      <w:pPr>
        <w:pStyle w:val="Heading3"/>
        <w:rPr>
          <w:noProof/>
        </w:rPr>
      </w:pPr>
      <w:bookmarkStart w:id="124" w:name="_Toc530741641"/>
      <w:r>
        <w:rPr>
          <w:noProof/>
        </w:rPr>
        <w:t>General information and sample composition</w:t>
      </w:r>
      <w:bookmarkEnd w:id="124"/>
    </w:p>
    <w:p>
      <w:pPr>
        <w:rPr>
          <w:bCs/>
          <w:noProof/>
        </w:rPr>
      </w:pPr>
      <w:r>
        <w:rPr>
          <w:bCs/>
          <w:noProof/>
        </w:rPr>
        <w:t xml:space="preserve">The aluminium sector </w:t>
      </w:r>
      <w:r>
        <w:rPr>
          <w:noProof/>
        </w:rPr>
        <w:t xml:space="preserve">(sector 24.42 in NACE Rev. 2) </w:t>
      </w:r>
      <w:r>
        <w:rPr>
          <w:bCs/>
          <w:noProof/>
        </w:rPr>
        <w:t>includes primary and secondary aluminium production as well as semi-manufactured aluminium products.</w:t>
      </w:r>
    </w:p>
    <w:p>
      <w:pPr>
        <w:rPr>
          <w:noProof/>
          <w:lang w:eastAsia="en-GB"/>
        </w:rPr>
      </w:pPr>
      <w:r>
        <w:rPr>
          <w:noProof/>
          <w:lang w:eastAsia="en-GB"/>
        </w:rPr>
        <w:t>Aluminium producers are usually classified into different groups, including:</w:t>
      </w:r>
    </w:p>
    <w:p>
      <w:pPr>
        <w:pStyle w:val="ListParagraph"/>
        <w:numPr>
          <w:ilvl w:val="0"/>
          <w:numId w:val="2"/>
        </w:numPr>
        <w:rPr>
          <w:noProof/>
        </w:rPr>
      </w:pPr>
      <w:r>
        <w:rPr>
          <w:noProof/>
        </w:rPr>
        <w:t xml:space="preserve">Primary aluminium </w:t>
      </w:r>
      <w:r>
        <w:rPr>
          <w:bCs/>
          <w:noProof/>
        </w:rPr>
        <w:t>smelters:</w:t>
      </w:r>
      <w:r>
        <w:rPr>
          <w:noProof/>
          <w:lang w:eastAsia="en-GB"/>
        </w:rPr>
        <w:t xml:space="preserve"> these integrated plants </w:t>
      </w:r>
      <w:r>
        <w:rPr>
          <w:bCs/>
          <w:noProof/>
        </w:rPr>
        <w:t xml:space="preserve">smelt alumina into primary aluminium and then cast it into ingots. The smelting process requires three main inputs: alumina, electricity and carbon (in the form of anodes). </w:t>
      </w:r>
      <w:r>
        <w:rPr>
          <w:noProof/>
          <w:lang w:eastAsia="en-GB"/>
        </w:rPr>
        <w:t xml:space="preserve">In the following, these </w:t>
      </w:r>
      <w:r>
        <w:rPr>
          <w:noProof/>
        </w:rPr>
        <w:t>plants are referred to as primary aluminium plants.</w:t>
      </w:r>
    </w:p>
    <w:p>
      <w:pPr>
        <w:pStyle w:val="ListParagraph"/>
        <w:numPr>
          <w:ilvl w:val="0"/>
          <w:numId w:val="2"/>
        </w:numPr>
        <w:rPr>
          <w:noProof/>
        </w:rPr>
      </w:pPr>
      <w:r>
        <w:rPr>
          <w:noProof/>
        </w:rPr>
        <w:t>Aluminium refiners:</w:t>
      </w:r>
      <w:r>
        <w:rPr>
          <w:bCs/>
          <w:noProof/>
        </w:rPr>
        <w:t xml:space="preserve"> these plants produce secondary aluminium by recycling very different types of aluminium scraps while tolerating a relatively high level of impurity (up to 15%). </w:t>
      </w:r>
      <w:r>
        <w:rPr>
          <w:noProof/>
          <w:lang w:eastAsia="en-GB"/>
        </w:rPr>
        <w:t xml:space="preserve">In the following, these </w:t>
      </w:r>
      <w:r>
        <w:rPr>
          <w:noProof/>
        </w:rPr>
        <w:t xml:space="preserve">plants are part of </w:t>
      </w:r>
      <w:r>
        <w:rPr>
          <w:bCs/>
          <w:noProof/>
        </w:rPr>
        <w:t>secondary aluminium</w:t>
      </w:r>
      <w:r>
        <w:rPr>
          <w:noProof/>
        </w:rPr>
        <w:t xml:space="preserve"> plants.</w:t>
      </w:r>
    </w:p>
    <w:p>
      <w:pPr>
        <w:pStyle w:val="ListParagraph"/>
        <w:numPr>
          <w:ilvl w:val="0"/>
          <w:numId w:val="2"/>
        </w:numPr>
        <w:rPr>
          <w:noProof/>
        </w:rPr>
      </w:pPr>
      <w:r>
        <w:rPr>
          <w:bCs/>
          <w:noProof/>
        </w:rPr>
        <w:t>Aluminium remelters: these plants produce secondary aluminium by recycling relatively pure (2-3% maximum impurity tolerance) aluminium scraps (mostly industrial scraps).</w:t>
      </w:r>
      <w:r>
        <w:rPr>
          <w:noProof/>
          <w:lang w:eastAsia="en-GB"/>
        </w:rPr>
        <w:t xml:space="preserve"> In the following, these </w:t>
      </w:r>
      <w:r>
        <w:rPr>
          <w:noProof/>
        </w:rPr>
        <w:t xml:space="preserve">plants are included in </w:t>
      </w:r>
      <w:r>
        <w:rPr>
          <w:bCs/>
          <w:noProof/>
        </w:rPr>
        <w:t>secondary aluminium</w:t>
      </w:r>
      <w:r>
        <w:rPr>
          <w:noProof/>
        </w:rPr>
        <w:t xml:space="preserve"> plants as well.</w:t>
      </w:r>
    </w:p>
    <w:p>
      <w:pPr>
        <w:pStyle w:val="ListParagraph"/>
        <w:numPr>
          <w:ilvl w:val="0"/>
          <w:numId w:val="2"/>
        </w:numPr>
        <w:rPr>
          <w:noProof/>
        </w:rPr>
      </w:pPr>
      <w:r>
        <w:rPr>
          <w:bCs/>
          <w:noProof/>
        </w:rPr>
        <w:t>Rolling mills and extruders: these plants process and transform aluminium ingots into semi-finished or finished products. Rolling mills use hot, cold or foil rolling to produce different types of sheets, plates and foils. Extruders push through a die hot or cold aluminium alloys to make objects with a cross-sectional profile.</w:t>
      </w:r>
      <w:r>
        <w:rPr>
          <w:noProof/>
          <w:lang w:eastAsia="en-GB"/>
        </w:rPr>
        <w:t xml:space="preserve"> In the following, these </w:t>
      </w:r>
      <w:r>
        <w:rPr>
          <w:noProof/>
        </w:rPr>
        <w:t>plants are referred to as downstream aluminium plants.</w:t>
      </w:r>
    </w:p>
    <w:p>
      <w:pPr>
        <w:rPr>
          <w:noProof/>
        </w:rPr>
      </w:pPr>
      <w:r>
        <w:rPr>
          <w:noProof/>
        </w:rPr>
        <w:t>Note that f</w:t>
      </w:r>
      <w:r>
        <w:rPr>
          <w:bCs/>
          <w:noProof/>
        </w:rPr>
        <w:t>urther downstream plants, including casting and foil plants, are not part of the analysis.</w:t>
      </w:r>
    </w:p>
    <w:p>
      <w:pPr>
        <w:rPr>
          <w:noProof/>
        </w:rPr>
      </w:pPr>
      <w:r>
        <w:rPr>
          <w:noProof/>
        </w:rPr>
        <w:t>Main energy source for primary and downstream aluminium production is electricity while secondary aluminium production uses both electricity and natural gas. Downstream aluminium production uses natural gas as a secondary energy source.</w:t>
      </w:r>
    </w:p>
    <w:p>
      <w:pPr>
        <w:rPr>
          <w:noProof/>
        </w:rPr>
      </w:pPr>
      <w:r>
        <w:rPr>
          <w:noProof/>
        </w:rPr>
        <w:t xml:space="preserve">The aluminium sector went through a restructuration in Europe with some </w:t>
      </w:r>
      <w:r>
        <w:rPr>
          <w:bCs/>
          <w:noProof/>
        </w:rPr>
        <w:t xml:space="preserve">plant closures in the last decade. Primary and secondary production did not recover from the crisis. </w:t>
      </w:r>
      <w:r>
        <w:rPr>
          <w:noProof/>
          <w:lang w:eastAsia="it-IT"/>
        </w:rPr>
        <w:t>S</w:t>
      </w:r>
      <w:r>
        <w:rPr>
          <w:noProof/>
        </w:rPr>
        <w:t>ince 2012, p</w:t>
      </w:r>
      <w:r>
        <w:rPr>
          <w:bCs/>
          <w:noProof/>
        </w:rPr>
        <w:t xml:space="preserve">rimary production </w:t>
      </w:r>
      <w:r>
        <w:rPr>
          <w:noProof/>
        </w:rPr>
        <w:t xml:space="preserve">has remained fairly stable while secondary production has increased, </w:t>
      </w:r>
      <w:r>
        <w:rPr>
          <w:noProof/>
          <w:lang w:eastAsia="it-IT"/>
        </w:rPr>
        <w:t xml:space="preserve">but both are </w:t>
      </w:r>
      <w:r>
        <w:rPr>
          <w:noProof/>
        </w:rPr>
        <w:t xml:space="preserve">still far from pre-crisis production levels. In 2015, primary and secondary aluminium production covered 17% and 37% of EU aluminium needs, respectively, while the rest (46%) was imported. </w:t>
      </w:r>
      <w:r>
        <w:rPr>
          <w:bCs/>
          <w:noProof/>
        </w:rPr>
        <w:t>Based on 2017 capacity, m</w:t>
      </w:r>
      <w:r>
        <w:rPr>
          <w:noProof/>
        </w:rPr>
        <w:t xml:space="preserve">ain EU primary aluminium producing countries include </w:t>
      </w:r>
      <w:r>
        <w:rPr>
          <w:bCs/>
          <w:noProof/>
        </w:rPr>
        <w:t xml:space="preserve">Germany, Spain, France, Romania and Greece, while major EU secondary </w:t>
      </w:r>
      <w:r>
        <w:rPr>
          <w:noProof/>
        </w:rPr>
        <w:t xml:space="preserve">aluminium producing countries include France, Italy, Spain, the UK and Poland. As regards downstream aluminium plants, most important EU producing countries include </w:t>
      </w:r>
      <w:r>
        <w:rPr>
          <w:bCs/>
          <w:noProof/>
        </w:rPr>
        <w:t>Germany, Italy, Spain, France and the UK.</w:t>
      </w:r>
    </w:p>
    <w:p>
      <w:pPr>
        <w:rPr>
          <w:noProof/>
        </w:rPr>
      </w:pPr>
      <w:r>
        <w:rPr>
          <w:noProof/>
        </w:rPr>
        <w:t xml:space="preserve">Overall, the EU is a net importer of aluminium, importing in particular from Norway and Russia. Major </w:t>
      </w:r>
      <w:r>
        <w:rPr>
          <w:bCs/>
          <w:noProof/>
        </w:rPr>
        <w:t xml:space="preserve">EU export destinations include </w:t>
      </w:r>
      <w:r>
        <w:rPr>
          <w:noProof/>
        </w:rPr>
        <w:t>Switzerland and the United States, followed by China.</w:t>
      </w:r>
    </w:p>
    <w:p>
      <w:pPr>
        <w:rPr>
          <w:noProof/>
        </w:rPr>
      </w:pPr>
      <w:r>
        <w:rPr>
          <w:noProof/>
          <w:lang w:eastAsia="it-IT"/>
        </w:rPr>
        <w:t xml:space="preserve">In the EU there were in 2017 16 primary aluminium plants, </w:t>
      </w:r>
      <w:r>
        <w:rPr>
          <w:bCs/>
          <w:noProof/>
        </w:rPr>
        <w:t xml:space="preserve">214 secondary aluminium plants including 101 refining plants and 113 remelting facilities, and 368 </w:t>
      </w:r>
      <w:r>
        <w:rPr>
          <w:noProof/>
        </w:rPr>
        <w:t>downstream aluminium plants including</w:t>
      </w:r>
      <w:r>
        <w:rPr>
          <w:bCs/>
          <w:noProof/>
        </w:rPr>
        <w:t xml:space="preserve"> 59 rolling mills and 309 extruders. </w:t>
      </w:r>
      <w:r>
        <w:rPr>
          <w:noProof/>
        </w:rPr>
        <w:t xml:space="preserve">A typical </w:t>
      </w:r>
      <w:r>
        <w:rPr>
          <w:noProof/>
          <w:lang w:eastAsia="it-IT"/>
        </w:rPr>
        <w:t xml:space="preserve">primary aluminium </w:t>
      </w:r>
      <w:r>
        <w:rPr>
          <w:noProof/>
        </w:rPr>
        <w:t xml:space="preserve">plant in the analysis has an electricity intensity of 12.4-16.2 MWh/tonne. Typical secondary </w:t>
      </w:r>
      <w:r>
        <w:rPr>
          <w:noProof/>
          <w:lang w:eastAsia="it-IT"/>
        </w:rPr>
        <w:t xml:space="preserve">aluminium </w:t>
      </w:r>
      <w:r>
        <w:rPr>
          <w:noProof/>
        </w:rPr>
        <w:t xml:space="preserve">plants have an electricity intensity of 0.12-0.95 MWh/tonne and a natural gas intensity of 1.1-2.8 MWh/tonne. Typical downstream </w:t>
      </w:r>
      <w:r>
        <w:rPr>
          <w:noProof/>
          <w:lang w:eastAsia="it-IT"/>
        </w:rPr>
        <w:t xml:space="preserve">aluminium </w:t>
      </w:r>
      <w:r>
        <w:rPr>
          <w:noProof/>
        </w:rPr>
        <w:t>plants have an electricity intensity of 0.5-1.3 MWh/tonne and a natural gas intensity of 0.9-1.7 MWh/tonne. The sample includes ten primary aluminium plants (representing about 60% of total primary aluminium production), nine secondary aluminium plants and eight downstream aluminium plants (representing around 13% of downstream aluminium production) across the EU. Note that the representativeness of the secondary aluminium sample cannot be assessed due to data unavailability. For confidentiality reasons, only an analysis at EU level is performed for this sector.</w:t>
      </w:r>
    </w:p>
    <w:p>
      <w:pPr>
        <w:rPr>
          <w:noProof/>
        </w:rPr>
      </w:pPr>
      <w:r>
        <w:rPr>
          <w:bCs/>
          <w:noProof/>
        </w:rPr>
        <w:t>Primary aluminium,</w:t>
      </w:r>
      <w:r>
        <w:rPr>
          <w:noProof/>
        </w:rPr>
        <w:t xml:space="preserve"> </w:t>
      </w:r>
      <w:r>
        <w:rPr>
          <w:bCs/>
          <w:noProof/>
        </w:rPr>
        <w:t xml:space="preserve">secondary aluminium and downstream aluminium production </w:t>
      </w:r>
      <w:r>
        <w:rPr>
          <w:noProof/>
        </w:rPr>
        <w:t>differ greatly in terms of technologies, regional distribution, capacities and energy consumption profiles and are therefore analysed separately in the following sections.</w:t>
      </w:r>
    </w:p>
    <w:p>
      <w:pPr>
        <w:rPr>
          <w:noProof/>
        </w:rPr>
      </w:pPr>
    </w:p>
    <w:p>
      <w:pPr>
        <w:pStyle w:val="Heading3"/>
        <w:rPr>
          <w:noProof/>
        </w:rPr>
      </w:pPr>
      <w:bookmarkStart w:id="125" w:name="_Toc530741642"/>
      <w:r>
        <w:rPr>
          <w:noProof/>
        </w:rPr>
        <w:t>Primary aluminium plants</w:t>
      </w:r>
      <w:bookmarkEnd w:id="125"/>
    </w:p>
    <w:p>
      <w:pPr>
        <w:pStyle w:val="Heading4"/>
        <w:rPr>
          <w:noProof/>
        </w:rPr>
      </w:pPr>
      <w:bookmarkStart w:id="126" w:name="_Toc530741643"/>
      <w:r>
        <w:rPr>
          <w:noProof/>
        </w:rPr>
        <w:t>Electricity prices, costs and intensity</w:t>
      </w:r>
      <w:bookmarkEnd w:id="126"/>
    </w:p>
    <w:p>
      <w:pPr>
        <w:rPr>
          <w:noProof/>
          <w:lang w:eastAsia="en-GB"/>
        </w:rPr>
      </w:pPr>
      <w:r>
        <w:rPr>
          <w:noProof/>
        </w:rPr>
        <w:t xml:space="preserve">Key electricity indicators for primary aluminium plants are presented in </w:t>
      </w:r>
      <w:r>
        <w:rPr>
          <w:noProof/>
        </w:rPr>
        <w:fldChar w:fldCharType="begin"/>
      </w:r>
      <w:r>
        <w:rPr>
          <w:noProof/>
        </w:rPr>
        <w:instrText xml:space="preserve"> REF _Ref529801749 \h </w:instrText>
      </w:r>
      <w:r>
        <w:rPr>
          <w:noProof/>
        </w:rPr>
      </w:r>
      <w:r>
        <w:rPr>
          <w:noProof/>
        </w:rPr>
        <w:fldChar w:fldCharType="separate"/>
      </w:r>
      <w:r>
        <w:rPr>
          <w:noProof/>
        </w:rPr>
        <w:t>Table 8</w:t>
      </w:r>
      <w:r>
        <w:rPr>
          <w:noProof/>
        </w:rPr>
        <w:fldChar w:fldCharType="end"/>
      </w:r>
      <w:r>
        <w:rPr>
          <w:noProof/>
        </w:rPr>
        <w:t>.</w:t>
      </w:r>
    </w:p>
    <w:p>
      <w:pPr>
        <w:rPr>
          <w:noProof/>
          <w:lang w:eastAsia="en-GB"/>
        </w:rPr>
      </w:pPr>
      <w:r>
        <w:rPr>
          <w:noProof/>
          <w:lang w:eastAsia="en-GB"/>
        </w:rPr>
        <w:t>EU average e</w:t>
      </w:r>
      <w:r>
        <w:rPr>
          <w:noProof/>
        </w:rPr>
        <w:t xml:space="preserve">lectricity </w:t>
      </w:r>
      <w:r>
        <w:rPr>
          <w:noProof/>
          <w:lang w:eastAsia="en-GB"/>
        </w:rPr>
        <w:t xml:space="preserve">prices increased over the period (34 EUR/MWh in 2008 vs. 40 EUR/MWh in 2017) with two peaks in 2012 and 2015 (44 EUR/MWh for both years). As shown in </w:t>
      </w:r>
      <w:r>
        <w:rPr>
          <w:noProof/>
          <w:lang w:eastAsia="en-GB"/>
        </w:rPr>
        <w:fldChar w:fldCharType="begin"/>
      </w:r>
      <w:r>
        <w:rPr>
          <w:noProof/>
          <w:lang w:eastAsia="en-GB"/>
        </w:rPr>
        <w:instrText xml:space="preserve"> REF _Ref529805829 \h </w:instrText>
      </w:r>
      <w:r>
        <w:rPr>
          <w:noProof/>
          <w:lang w:eastAsia="en-GB"/>
        </w:rPr>
      </w:r>
      <w:r>
        <w:rPr>
          <w:noProof/>
          <w:lang w:eastAsia="en-GB"/>
        </w:rPr>
        <w:fldChar w:fldCharType="separate"/>
      </w:r>
      <w:r>
        <w:rPr>
          <w:noProof/>
        </w:rPr>
        <w:t>Figure 21</w:t>
      </w:r>
      <w:r>
        <w:rPr>
          <w:noProof/>
          <w:lang w:eastAsia="en-GB"/>
        </w:rPr>
        <w:fldChar w:fldCharType="end"/>
      </w:r>
      <w:r>
        <w:rPr>
          <w:noProof/>
          <w:lang w:eastAsia="en-GB"/>
        </w:rPr>
        <w:t>, the electricity price is made up mostly by the energy component (above 85% in all years). Larger plants tend to face lower electricity prices (weighted average by purchased electricity is generally below simple average) by negotiating better deals on the energy component, though the difference with smaller plants is limited. It should be noted that the majority of primary aluminium plants buy electricity on the wholesale electricity market.</w:t>
      </w:r>
    </w:p>
    <w:p>
      <w:pPr>
        <w:rPr>
          <w:noProof/>
          <w:lang w:eastAsia="en-GB"/>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_Ref529806894 \h </w:instrText>
      </w:r>
      <w:r>
        <w:rPr>
          <w:noProof/>
          <w:lang w:eastAsia="en-GB"/>
        </w:rPr>
      </w:r>
      <w:r>
        <w:rPr>
          <w:noProof/>
          <w:lang w:eastAsia="en-GB"/>
        </w:rPr>
        <w:fldChar w:fldCharType="separate"/>
      </w:r>
      <w:r>
        <w:rPr>
          <w:noProof/>
        </w:rPr>
        <w:t>Figure 22</w:t>
      </w:r>
      <w:r>
        <w:rPr>
          <w:noProof/>
          <w:lang w:eastAsia="en-GB"/>
        </w:rPr>
        <w:fldChar w:fldCharType="end"/>
      </w:r>
      <w:r>
        <w:rPr>
          <w:noProof/>
          <w:lang w:eastAsia="en-GB"/>
        </w:rPr>
        <w:t xml:space="preserve">) rose from 34 EUR/MWh in 2008 to 36 EUR/MWh in 2017. Almost all primary aluminium plants took part in a flexibility scheme and some of them can associate on-site generation or self-generation from small hydro turbines or solar PVs, which explains the small difference between electricity prices and costs in EUR/MWh. </w:t>
      </w:r>
      <w:r>
        <w:rPr>
          <w:bCs/>
          <w:noProof/>
        </w:rPr>
        <w:t>EU average electricity costs in EUR/tonne</w:t>
      </w:r>
      <w:r>
        <w:rPr>
          <w:noProof/>
          <w:lang w:eastAsia="en-GB"/>
        </w:rPr>
        <w:t xml:space="preserve"> (</w:t>
      </w:r>
      <w:r>
        <w:rPr>
          <w:noProof/>
          <w:lang w:eastAsia="en-GB"/>
        </w:rPr>
        <w:fldChar w:fldCharType="begin"/>
      </w:r>
      <w:r>
        <w:rPr>
          <w:noProof/>
          <w:lang w:eastAsia="en-GB"/>
        </w:rPr>
        <w:instrText xml:space="preserve"> REF _Ref529808836 \h </w:instrText>
      </w:r>
      <w:r>
        <w:rPr>
          <w:noProof/>
          <w:lang w:eastAsia="en-GB"/>
        </w:rPr>
      </w:r>
      <w:r>
        <w:rPr>
          <w:noProof/>
          <w:lang w:eastAsia="en-GB"/>
        </w:rPr>
        <w:fldChar w:fldCharType="separate"/>
      </w:r>
      <w:r>
        <w:rPr>
          <w:noProof/>
        </w:rPr>
        <w:t>Figure 23</w:t>
      </w:r>
      <w:r>
        <w:rPr>
          <w:noProof/>
          <w:lang w:eastAsia="en-GB"/>
        </w:rPr>
        <w:fldChar w:fldCharType="end"/>
      </w:r>
      <w:r>
        <w:rPr>
          <w:noProof/>
          <w:lang w:eastAsia="en-GB"/>
        </w:rPr>
        <w:t>) followed the same trend</w:t>
      </w:r>
      <w:r>
        <w:rPr>
          <w:noProof/>
          <w:lang w:eastAsia="de-DE"/>
        </w:rPr>
        <w:t xml:space="preserve"> as electricity costs </w:t>
      </w:r>
      <w:r>
        <w:rPr>
          <w:noProof/>
          <w:lang w:eastAsia="en-GB"/>
        </w:rPr>
        <w:t>in EUR/MWh and rose from 461 EUR/tonne in 2008 to 542 EUR/tonne in 2017.</w:t>
      </w:r>
    </w:p>
    <w:p>
      <w:pPr>
        <w:rPr>
          <w:noProof/>
          <w:lang w:eastAsia="en-GB"/>
        </w:rPr>
      </w:pPr>
      <w:r>
        <w:rPr>
          <w:noProof/>
          <w:lang w:eastAsia="en-GB"/>
        </w:rPr>
        <w:t>EU average electricity intensity of primary aluminium plants (</w:t>
      </w:r>
      <w:r>
        <w:rPr>
          <w:noProof/>
          <w:lang w:eastAsia="en-GB"/>
        </w:rPr>
        <w:fldChar w:fldCharType="begin"/>
      </w:r>
      <w:r>
        <w:rPr>
          <w:noProof/>
          <w:lang w:eastAsia="en-GB"/>
        </w:rPr>
        <w:instrText xml:space="preserve"> REF _Ref529810050 \h </w:instrText>
      </w:r>
      <w:r>
        <w:rPr>
          <w:noProof/>
          <w:lang w:eastAsia="en-GB"/>
        </w:rPr>
      </w:r>
      <w:r>
        <w:rPr>
          <w:noProof/>
          <w:lang w:eastAsia="en-GB"/>
        </w:rPr>
        <w:fldChar w:fldCharType="separate"/>
      </w:r>
      <w:r>
        <w:rPr>
          <w:noProof/>
        </w:rPr>
        <w:t>Figure 24</w:t>
      </w:r>
      <w:r>
        <w:rPr>
          <w:noProof/>
          <w:lang w:eastAsia="en-GB"/>
        </w:rPr>
        <w:fldChar w:fldCharType="end"/>
      </w:r>
      <w:r>
        <w:rPr>
          <w:noProof/>
          <w:lang w:eastAsia="en-GB"/>
        </w:rPr>
        <w:t xml:space="preserve">) went upwards in the sample (13.8 MWh/tonne in 2008 vs 15.4 MWh/tonne in 2017), but this is an apparent increase as it is mainly due to sample composition change. This sample change and the associated electricity intensity increase also explain why we can observe a significantly larger increase in </w:t>
      </w:r>
      <w:r>
        <w:rPr>
          <w:noProof/>
          <w:lang w:eastAsia="de-DE"/>
        </w:rPr>
        <w:t xml:space="preserve">costs </w:t>
      </w:r>
      <w:r>
        <w:rPr>
          <w:noProof/>
          <w:lang w:eastAsia="en-GB"/>
        </w:rPr>
        <w:t>in EUR/tonne than in EUR/MWh (17% vs. 5%, respectively, between 2008 and 2017).</w:t>
      </w:r>
    </w:p>
    <w:p>
      <w:pPr>
        <w:rPr>
          <w:noProof/>
          <w:lang w:eastAsia="en-GB"/>
        </w:rPr>
      </w:pPr>
    </w:p>
    <w:p>
      <w:pPr>
        <w:pStyle w:val="Heading4"/>
        <w:rPr>
          <w:noProof/>
        </w:rPr>
      </w:pPr>
      <w:bookmarkStart w:id="127" w:name="_Toc530741644"/>
      <w:r>
        <w:rPr>
          <w:noProof/>
        </w:rPr>
        <w:t>Natural gas prices, costs and intensity</w:t>
      </w:r>
      <w:bookmarkEnd w:id="127"/>
    </w:p>
    <w:p>
      <w:pPr>
        <w:rPr>
          <w:noProof/>
          <w:lang w:eastAsia="en-GB"/>
        </w:rPr>
      </w:pPr>
      <w:r>
        <w:rPr>
          <w:noProof/>
        </w:rPr>
        <w:t xml:space="preserve">Key natural gas indicators for primary aluminium plants are presented in </w:t>
      </w:r>
      <w:r>
        <w:rPr>
          <w:noProof/>
        </w:rPr>
        <w:fldChar w:fldCharType="begin"/>
      </w:r>
      <w:r>
        <w:rPr>
          <w:noProof/>
        </w:rPr>
        <w:instrText xml:space="preserve"> REF _Ref529810971 \h </w:instrText>
      </w:r>
      <w:r>
        <w:rPr>
          <w:noProof/>
        </w:rPr>
      </w:r>
      <w:r>
        <w:rPr>
          <w:noProof/>
        </w:rPr>
        <w:fldChar w:fldCharType="separate"/>
      </w:r>
      <w:r>
        <w:rPr>
          <w:noProof/>
        </w:rPr>
        <w:t>Table 9</w:t>
      </w:r>
      <w:r>
        <w:rPr>
          <w:noProof/>
        </w:rPr>
        <w:fldChar w:fldCharType="end"/>
      </w:r>
      <w:r>
        <w:rPr>
          <w:noProof/>
        </w:rPr>
        <w:t>.</w:t>
      </w:r>
    </w:p>
    <w:p>
      <w:pPr>
        <w:rPr>
          <w:noProof/>
          <w:lang w:eastAsia="en-GB"/>
        </w:rPr>
      </w:pPr>
      <w:r>
        <w:rPr>
          <w:noProof/>
          <w:lang w:eastAsia="en-GB"/>
        </w:rPr>
        <w:t>EU average natural gas prices (</w:t>
      </w:r>
      <w:r>
        <w:rPr>
          <w:noProof/>
          <w:lang w:eastAsia="en-GB"/>
        </w:rPr>
        <w:fldChar w:fldCharType="begin"/>
      </w:r>
      <w:r>
        <w:rPr>
          <w:noProof/>
          <w:lang w:eastAsia="en-GB"/>
        </w:rPr>
        <w:instrText xml:space="preserve"> REF _Ref529811076 \h </w:instrText>
      </w:r>
      <w:r>
        <w:rPr>
          <w:noProof/>
          <w:lang w:eastAsia="en-GB"/>
        </w:rPr>
      </w:r>
      <w:r>
        <w:rPr>
          <w:noProof/>
          <w:lang w:eastAsia="en-GB"/>
        </w:rPr>
        <w:fldChar w:fldCharType="separate"/>
      </w:r>
      <w:r>
        <w:rPr>
          <w:noProof/>
        </w:rPr>
        <w:t>Figure 25</w:t>
      </w:r>
      <w:r>
        <w:rPr>
          <w:noProof/>
          <w:lang w:eastAsia="en-GB"/>
        </w:rPr>
        <w:fldChar w:fldCharType="end"/>
      </w:r>
      <w:r>
        <w:rPr>
          <w:noProof/>
          <w:lang w:eastAsia="en-GB"/>
        </w:rPr>
        <w:t>) dropped from 2008 to 2010, increased from 2010 to 2012 and then significantly decreased from 2012 to 2017. The prices were at 27 EUR/MWh in 2008 and 20 EUR/MWh in 2017. It is interesting to note that larger consumers did not face lower natural gas prices.</w:t>
      </w:r>
    </w:p>
    <w:p>
      <w:pPr>
        <w:rPr>
          <w:noProof/>
          <w:lang w:eastAsia="en-GB"/>
        </w:rPr>
      </w:pPr>
      <w:r>
        <w:rPr>
          <w:noProof/>
          <w:lang w:eastAsia="en-GB"/>
        </w:rPr>
        <w:t>EU average natural gas costs (in EUR/tonne) fluctuated over the period under observation between 17 and 26 EUR/tonne (</w:t>
      </w:r>
      <w:r>
        <w:rPr>
          <w:noProof/>
          <w:lang w:eastAsia="en-GB"/>
        </w:rPr>
        <w:fldChar w:fldCharType="begin"/>
      </w:r>
      <w:r>
        <w:rPr>
          <w:noProof/>
          <w:lang w:eastAsia="en-GB"/>
        </w:rPr>
        <w:instrText xml:space="preserve"> REF _Ref529811819 \h </w:instrText>
      </w:r>
      <w:r>
        <w:rPr>
          <w:noProof/>
          <w:lang w:eastAsia="en-GB"/>
        </w:rPr>
      </w:r>
      <w:r>
        <w:rPr>
          <w:noProof/>
          <w:lang w:eastAsia="en-GB"/>
        </w:rPr>
        <w:fldChar w:fldCharType="separate"/>
      </w:r>
      <w:r>
        <w:rPr>
          <w:noProof/>
        </w:rPr>
        <w:t>Figure 26</w:t>
      </w:r>
      <w:r>
        <w:rPr>
          <w:noProof/>
          <w:lang w:eastAsia="en-GB"/>
        </w:rPr>
        <w:fldChar w:fldCharType="end"/>
      </w:r>
      <w:r>
        <w:rPr>
          <w:noProof/>
          <w:lang w:eastAsia="en-GB"/>
        </w:rPr>
        <w:t>). There was a sharp decrease from 2014 due to a reduction in the natural gas wholesale price, and an increase in 2017. The average natural gas costs were 22 EUR/tonne in 2017. Larger consumers bore slightly lower unit costs (weighted average is marginally below simple average), reflecting some very small economies of scale.</w:t>
      </w:r>
    </w:p>
    <w:p>
      <w:pPr>
        <w:rPr>
          <w:noProof/>
          <w:lang w:eastAsia="en-GB"/>
        </w:rPr>
      </w:pPr>
      <w:r>
        <w:rPr>
          <w:noProof/>
          <w:lang w:eastAsia="en-GB"/>
        </w:rPr>
        <w:t>EU average natural gas intensity for primary aluminium producers (</w:t>
      </w:r>
      <w:r>
        <w:rPr>
          <w:noProof/>
          <w:lang w:eastAsia="en-GB"/>
        </w:rPr>
        <w:fldChar w:fldCharType="begin"/>
      </w:r>
      <w:r>
        <w:rPr>
          <w:noProof/>
          <w:lang w:eastAsia="en-GB"/>
        </w:rPr>
        <w:instrText xml:space="preserve"> REF _Ref529812366 \h </w:instrText>
      </w:r>
      <w:r>
        <w:rPr>
          <w:noProof/>
          <w:lang w:eastAsia="en-GB"/>
        </w:rPr>
      </w:r>
      <w:r>
        <w:rPr>
          <w:noProof/>
          <w:lang w:eastAsia="en-GB"/>
        </w:rPr>
        <w:fldChar w:fldCharType="separate"/>
      </w:r>
      <w:r>
        <w:rPr>
          <w:noProof/>
        </w:rPr>
        <w:t>Figure 27</w:t>
      </w:r>
      <w:r>
        <w:rPr>
          <w:noProof/>
          <w:lang w:eastAsia="en-GB"/>
        </w:rPr>
        <w:fldChar w:fldCharType="end"/>
      </w:r>
      <w:r>
        <w:rPr>
          <w:noProof/>
          <w:lang w:eastAsia="en-GB"/>
        </w:rPr>
        <w:t>) was around 1 MWh/tonne between 2008 and 2017 (variation is mainly explained by sample composition change).</w:t>
      </w:r>
    </w:p>
    <w:p>
      <w:pPr>
        <w:rPr>
          <w:noProof/>
          <w:lang w:eastAsia="en-GB"/>
        </w:rPr>
      </w:pPr>
    </w:p>
    <w:p>
      <w:pPr>
        <w:pStyle w:val="Heading4"/>
        <w:rPr>
          <w:noProof/>
        </w:rPr>
      </w:pPr>
      <w:bookmarkStart w:id="128" w:name="_Toc530741645"/>
      <w:r>
        <w:rPr>
          <w:noProof/>
        </w:rPr>
        <w:t>Competitiveness</w:t>
      </w:r>
      <w:bookmarkEnd w:id="128"/>
    </w:p>
    <w:p>
      <w:pPr>
        <w:rPr>
          <w:b/>
          <w:noProof/>
          <w:lang w:eastAsia="en-GB"/>
        </w:rPr>
      </w:pPr>
      <w:r>
        <w:rPr>
          <w:noProof/>
          <w:lang w:eastAsia="en-GB"/>
        </w:rPr>
        <w:t xml:space="preserve">As shown in </w:t>
      </w:r>
      <w:r>
        <w:rPr>
          <w:noProof/>
          <w:lang w:eastAsia="en-GB"/>
        </w:rPr>
        <w:fldChar w:fldCharType="begin"/>
      </w:r>
      <w:r>
        <w:rPr>
          <w:noProof/>
          <w:lang w:eastAsia="en-GB"/>
        </w:rPr>
        <w:instrText xml:space="preserve"> REF _Ref529812590 \h </w:instrText>
      </w:r>
      <w:r>
        <w:rPr>
          <w:noProof/>
          <w:lang w:eastAsia="en-GB"/>
        </w:rPr>
      </w:r>
      <w:r>
        <w:rPr>
          <w:noProof/>
          <w:lang w:eastAsia="en-GB"/>
        </w:rPr>
        <w:fldChar w:fldCharType="separate"/>
      </w:r>
      <w:r>
        <w:rPr>
          <w:noProof/>
        </w:rPr>
        <w:t>Table 10</w:t>
      </w:r>
      <w:r>
        <w:rPr>
          <w:noProof/>
          <w:lang w:eastAsia="en-GB"/>
        </w:rPr>
        <w:fldChar w:fldCharType="end"/>
      </w:r>
      <w:r>
        <w:rPr>
          <w:noProof/>
          <w:lang w:eastAsia="en-GB"/>
        </w:rPr>
        <w:t>, over the period, the share of electricity costs in total production costs increased from 29% to 38% while the share of natural gas costs in total production costs remained relatively stable (between 1% and 2%). As a result, the share of total energy (electricity + natural gas) costs in production costs increased from 30% in 2008 to 40% in 2017.</w:t>
      </w:r>
    </w:p>
    <w:p>
      <w:pPr>
        <w:rPr>
          <w:noProof/>
          <w:lang w:eastAsia="en-GB"/>
        </w:rPr>
      </w:pPr>
      <w:r>
        <w:rPr>
          <w:noProof/>
        </w:rPr>
        <w:t>EU average</w:t>
      </w:r>
      <w:r>
        <w:rPr>
          <w:noProof/>
          <w:lang w:eastAsia="en-GB"/>
        </w:rPr>
        <w:t xml:space="preserve"> EBITDA per tonne (</w:t>
      </w:r>
      <w:r>
        <w:rPr>
          <w:noProof/>
          <w:lang w:eastAsia="en-GB"/>
        </w:rPr>
        <w:fldChar w:fldCharType="begin"/>
      </w:r>
      <w:r>
        <w:rPr>
          <w:noProof/>
          <w:lang w:eastAsia="en-GB"/>
        </w:rPr>
        <w:instrText xml:space="preserve"> REF _Ref529813391 \h </w:instrText>
      </w:r>
      <w:r>
        <w:rPr>
          <w:noProof/>
          <w:lang w:eastAsia="en-GB"/>
        </w:rPr>
      </w:r>
      <w:r>
        <w:rPr>
          <w:noProof/>
          <w:lang w:eastAsia="en-GB"/>
        </w:rPr>
        <w:fldChar w:fldCharType="separate"/>
      </w:r>
      <w:r>
        <w:rPr>
          <w:noProof/>
        </w:rPr>
        <w:t>Figure 28</w:t>
      </w:r>
      <w:r>
        <w:rPr>
          <w:noProof/>
          <w:lang w:eastAsia="en-GB"/>
        </w:rPr>
        <w:fldChar w:fldCharType="end"/>
      </w:r>
      <w:r>
        <w:rPr>
          <w:noProof/>
          <w:lang w:eastAsia="en-GB"/>
        </w:rPr>
        <w:t xml:space="preserve">) fluctuated between 131 and 350 EUR/tonne. The high volatility in unit EBITDA and energy costs makes difficult to draw any firm conclusion. Nevertheless, we observe overall that total energy </w:t>
      </w:r>
      <w:r>
        <w:rPr>
          <w:noProof/>
          <w:lang w:eastAsia="de-DE"/>
        </w:rPr>
        <w:t>costs</w:t>
      </w:r>
      <w:r>
        <w:rPr>
          <w:noProof/>
          <w:lang w:eastAsia="en-GB"/>
        </w:rPr>
        <w:t xml:space="preserve"> per output went upwards whereas EBITDA per output tended to go in the opposite direction. </w:t>
      </w:r>
      <w:r>
        <w:rPr>
          <w:noProof/>
          <w:lang w:eastAsia="de-DE"/>
        </w:rPr>
        <w:t>The r</w:t>
      </w:r>
      <w:r>
        <w:rPr>
          <w:noProof/>
        </w:rPr>
        <w:t>atio of total energy costs to EBITDA</w:t>
      </w:r>
      <w:r>
        <w:rPr>
          <w:noProof/>
          <w:lang w:eastAsia="de-DE"/>
        </w:rPr>
        <w:t xml:space="preserve"> indicates that a </w:t>
      </w:r>
      <w:r>
        <w:rPr>
          <w:bCs/>
          <w:noProof/>
        </w:rPr>
        <w:t xml:space="preserve">1 % reduction in total energy </w:t>
      </w:r>
      <w:r>
        <w:rPr>
          <w:noProof/>
          <w:lang w:eastAsia="de-DE"/>
        </w:rPr>
        <w:t>costs w</w:t>
      </w:r>
      <w:r>
        <w:rPr>
          <w:noProof/>
          <w:lang w:eastAsia="en-GB"/>
        </w:rPr>
        <w:t xml:space="preserve">ould potentially lead to an </w:t>
      </w:r>
      <w:r>
        <w:rPr>
          <w:bCs/>
          <w:noProof/>
        </w:rPr>
        <w:t xml:space="preserve">increase in </w:t>
      </w:r>
      <w:r>
        <w:rPr>
          <w:noProof/>
          <w:lang w:eastAsia="de-DE"/>
        </w:rPr>
        <w:t>EBITDA</w:t>
      </w:r>
      <w:r>
        <w:rPr>
          <w:noProof/>
          <w:lang w:eastAsia="en-GB"/>
        </w:rPr>
        <w:t xml:space="preserve"> of 1.4% to 4.4% (depending on the observation year). In addition, the unit electricity costs </w:t>
      </w:r>
      <w:r>
        <w:rPr>
          <w:noProof/>
          <w:lang w:eastAsia="de-DE"/>
        </w:rPr>
        <w:t>are always higher than unit EBITDA. All this shows the extreme importance of energy costs for primary aluminium producers, in particular electricity costs, and the potential direct impact they can have on their margins.</w:t>
      </w:r>
    </w:p>
    <w:p>
      <w:pPr>
        <w:rPr>
          <w:noProof/>
          <w:lang w:eastAsia="en-GB"/>
        </w:rPr>
      </w:pPr>
    </w:p>
    <w:p>
      <w:pPr>
        <w:pStyle w:val="Heading4"/>
        <w:rPr>
          <w:noProof/>
        </w:rPr>
      </w:pPr>
      <w:bookmarkStart w:id="129" w:name="_Toc530741646"/>
      <w:r>
        <w:rPr>
          <w:noProof/>
        </w:rPr>
        <w:t>Tables and graphs</w:t>
      </w:r>
      <w:bookmarkEnd w:id="129"/>
    </w:p>
    <w:p>
      <w:pPr>
        <w:rPr>
          <w:b/>
          <w:i/>
          <w:noProof/>
          <w:lang w:eastAsia="en-GB"/>
        </w:rPr>
      </w:pPr>
      <w:r>
        <w:rPr>
          <w:b/>
          <w:i/>
          <w:noProof/>
          <w:lang w:eastAsia="en-GB"/>
        </w:rPr>
        <w:t>Electricity</w:t>
      </w:r>
    </w:p>
    <w:p>
      <w:pPr>
        <w:pStyle w:val="Caption"/>
      </w:pPr>
      <w:bookmarkStart w:id="130" w:name="_Ref529801749"/>
      <w:bookmarkStart w:id="131" w:name="_Toc530741801"/>
      <w:r>
        <w:t xml:space="preserve">Table </w:t>
      </w:r>
      <w:r>
        <w:fldChar w:fldCharType="begin"/>
      </w:r>
      <w:r>
        <w:instrText xml:space="preserve"> SEQ Table \* ARABIC </w:instrText>
      </w:r>
      <w:r>
        <w:fldChar w:fldCharType="separate"/>
      </w:r>
      <w:r>
        <w:t>8</w:t>
      </w:r>
      <w:r>
        <w:fldChar w:fldCharType="end"/>
      </w:r>
      <w:bookmarkEnd w:id="130"/>
      <w:r>
        <w:t>. Key electricity indicators of primary aluminium production</w:t>
      </w:r>
      <w:r>
        <w:rPr>
          <w:rFonts w:eastAsia="Times New Roman"/>
          <w:color w:val="000000"/>
          <w:lang w:eastAsia="en-GB"/>
        </w:rPr>
        <w:t xml:space="preserve"> </w:t>
      </w:r>
      <w:r>
        <w:t>(EU averages)</w:t>
      </w:r>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752"/>
        <w:gridCol w:w="799"/>
        <w:gridCol w:w="799"/>
        <w:gridCol w:w="800"/>
        <w:gridCol w:w="800"/>
        <w:gridCol w:w="800"/>
        <w:gridCol w:w="800"/>
        <w:gridCol w:w="798"/>
      </w:tblGrid>
      <w:tr>
        <w:trPr>
          <w:trHeight w:val="244"/>
          <w:jc w:val="center"/>
        </w:trPr>
        <w:tc>
          <w:tcPr>
            <w:tcW w:w="104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7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042" w:type="pct"/>
            <w:shd w:val="clear" w:color="auto" w:fill="CEEBE6"/>
            <w:noWrap/>
            <w:vAlign w:val="center"/>
          </w:tcPr>
          <w:p>
            <w:pPr>
              <w:spacing w:before="60" w:after="60"/>
              <w:jc w:val="left"/>
              <w:rPr>
                <w:noProof/>
                <w:sz w:val="20"/>
                <w:szCs w:val="16"/>
              </w:rPr>
            </w:pPr>
            <w:r>
              <w:rPr>
                <w:noProof/>
                <w:sz w:val="20"/>
                <w:szCs w:val="16"/>
              </w:rPr>
              <w:t>Electricity prices (€/MWh)</w:t>
            </w:r>
          </w:p>
        </w:tc>
        <w:tc>
          <w:tcPr>
            <w:tcW w:w="473" w:type="pct"/>
            <w:shd w:val="clear" w:color="auto" w:fill="CEEBE6"/>
            <w:noWrap/>
            <w:vAlign w:val="center"/>
          </w:tcPr>
          <w:p>
            <w:pPr>
              <w:spacing w:before="60" w:after="60"/>
              <w:jc w:val="center"/>
              <w:rPr>
                <w:noProof/>
                <w:sz w:val="20"/>
                <w:szCs w:val="16"/>
              </w:rPr>
            </w:pPr>
            <w:r>
              <w:rPr>
                <w:noProof/>
                <w:sz w:val="20"/>
                <w:szCs w:val="16"/>
              </w:rPr>
              <w:t>34.2</w:t>
            </w:r>
          </w:p>
        </w:tc>
        <w:tc>
          <w:tcPr>
            <w:tcW w:w="498" w:type="pct"/>
            <w:shd w:val="clear" w:color="auto" w:fill="CEEBE6"/>
            <w:noWrap/>
            <w:vAlign w:val="center"/>
          </w:tcPr>
          <w:p>
            <w:pPr>
              <w:spacing w:before="60" w:after="60"/>
              <w:jc w:val="center"/>
              <w:rPr>
                <w:noProof/>
                <w:sz w:val="20"/>
                <w:szCs w:val="16"/>
              </w:rPr>
            </w:pPr>
            <w:r>
              <w:rPr>
                <w:noProof/>
                <w:sz w:val="20"/>
                <w:szCs w:val="16"/>
              </w:rPr>
              <w:t>38.0</w:t>
            </w:r>
          </w:p>
        </w:tc>
        <w:tc>
          <w:tcPr>
            <w:tcW w:w="498" w:type="pct"/>
            <w:shd w:val="clear" w:color="auto" w:fill="CEEBE6"/>
            <w:noWrap/>
            <w:vAlign w:val="center"/>
          </w:tcPr>
          <w:p>
            <w:pPr>
              <w:spacing w:before="60" w:after="60"/>
              <w:jc w:val="center"/>
              <w:rPr>
                <w:noProof/>
                <w:sz w:val="20"/>
                <w:szCs w:val="16"/>
              </w:rPr>
            </w:pPr>
            <w:r>
              <w:rPr>
                <w:noProof/>
                <w:sz w:val="20"/>
                <w:szCs w:val="16"/>
              </w:rPr>
              <w:t>43.6</w:t>
            </w:r>
          </w:p>
        </w:tc>
        <w:tc>
          <w:tcPr>
            <w:tcW w:w="498" w:type="pct"/>
            <w:shd w:val="clear" w:color="auto" w:fill="CEEBE6"/>
            <w:noWrap/>
            <w:vAlign w:val="center"/>
          </w:tcPr>
          <w:p>
            <w:pPr>
              <w:spacing w:before="60" w:after="60"/>
              <w:jc w:val="center"/>
              <w:rPr>
                <w:noProof/>
                <w:sz w:val="20"/>
                <w:szCs w:val="16"/>
              </w:rPr>
            </w:pPr>
            <w:r>
              <w:rPr>
                <w:noProof/>
                <w:sz w:val="20"/>
                <w:szCs w:val="16"/>
              </w:rPr>
              <w:t>38.4</w:t>
            </w:r>
          </w:p>
        </w:tc>
        <w:tc>
          <w:tcPr>
            <w:tcW w:w="498" w:type="pct"/>
            <w:shd w:val="clear" w:color="auto" w:fill="CEEBE6"/>
            <w:noWrap/>
            <w:vAlign w:val="center"/>
          </w:tcPr>
          <w:p>
            <w:pPr>
              <w:spacing w:before="60" w:after="60"/>
              <w:jc w:val="center"/>
              <w:rPr>
                <w:noProof/>
                <w:sz w:val="20"/>
                <w:szCs w:val="16"/>
              </w:rPr>
            </w:pPr>
            <w:r>
              <w:rPr>
                <w:noProof/>
                <w:sz w:val="20"/>
                <w:szCs w:val="16"/>
              </w:rPr>
              <w:t>38.1</w:t>
            </w:r>
          </w:p>
        </w:tc>
        <w:tc>
          <w:tcPr>
            <w:tcW w:w="498" w:type="pct"/>
            <w:shd w:val="clear" w:color="auto" w:fill="CEEBE6"/>
            <w:noWrap/>
            <w:vAlign w:val="center"/>
          </w:tcPr>
          <w:p>
            <w:pPr>
              <w:spacing w:before="60" w:after="60"/>
              <w:jc w:val="center"/>
              <w:rPr>
                <w:noProof/>
                <w:sz w:val="20"/>
                <w:szCs w:val="16"/>
              </w:rPr>
            </w:pPr>
            <w:r>
              <w:rPr>
                <w:noProof/>
                <w:sz w:val="20"/>
                <w:szCs w:val="16"/>
              </w:rPr>
              <w:t>43.5</w:t>
            </w:r>
          </w:p>
        </w:tc>
        <w:tc>
          <w:tcPr>
            <w:tcW w:w="498" w:type="pct"/>
            <w:shd w:val="clear" w:color="auto" w:fill="CEEBE6"/>
            <w:noWrap/>
            <w:vAlign w:val="center"/>
          </w:tcPr>
          <w:p>
            <w:pPr>
              <w:spacing w:before="60" w:after="60"/>
              <w:jc w:val="center"/>
              <w:rPr>
                <w:noProof/>
                <w:sz w:val="20"/>
                <w:szCs w:val="16"/>
              </w:rPr>
            </w:pPr>
            <w:r>
              <w:rPr>
                <w:noProof/>
                <w:sz w:val="20"/>
                <w:szCs w:val="16"/>
              </w:rPr>
              <w:t>39.4</w:t>
            </w:r>
          </w:p>
        </w:tc>
        <w:tc>
          <w:tcPr>
            <w:tcW w:w="497" w:type="pct"/>
            <w:shd w:val="clear" w:color="auto" w:fill="CEEBE6"/>
            <w:noWrap/>
            <w:vAlign w:val="center"/>
          </w:tcPr>
          <w:p>
            <w:pPr>
              <w:spacing w:before="60" w:after="60"/>
              <w:jc w:val="center"/>
              <w:rPr>
                <w:noProof/>
                <w:sz w:val="20"/>
                <w:szCs w:val="16"/>
              </w:rPr>
            </w:pPr>
            <w:r>
              <w:rPr>
                <w:noProof/>
                <w:sz w:val="20"/>
                <w:szCs w:val="16"/>
              </w:rPr>
              <w:t>39.6</w:t>
            </w:r>
          </w:p>
        </w:tc>
      </w:tr>
      <w:tr>
        <w:trPr>
          <w:trHeight w:val="243"/>
          <w:jc w:val="center"/>
        </w:trPr>
        <w:tc>
          <w:tcPr>
            <w:tcW w:w="1042" w:type="pct"/>
            <w:shd w:val="clear" w:color="auto" w:fill="auto"/>
            <w:noWrap/>
            <w:vAlign w:val="center"/>
            <w:hideMark/>
          </w:tcPr>
          <w:p>
            <w:pPr>
              <w:spacing w:before="60" w:after="60"/>
              <w:jc w:val="left"/>
              <w:rPr>
                <w:noProof/>
                <w:sz w:val="20"/>
                <w:szCs w:val="16"/>
              </w:rPr>
            </w:pPr>
            <w:r>
              <w:rPr>
                <w:noProof/>
                <w:sz w:val="20"/>
                <w:szCs w:val="16"/>
              </w:rPr>
              <w:t>Electricity costs (€/MWh)</w:t>
            </w:r>
          </w:p>
        </w:tc>
        <w:tc>
          <w:tcPr>
            <w:tcW w:w="473" w:type="pct"/>
            <w:shd w:val="clear" w:color="auto" w:fill="auto"/>
            <w:noWrap/>
            <w:vAlign w:val="center"/>
            <w:hideMark/>
          </w:tcPr>
          <w:p>
            <w:pPr>
              <w:spacing w:before="60" w:after="60"/>
              <w:jc w:val="center"/>
              <w:rPr>
                <w:noProof/>
                <w:sz w:val="20"/>
                <w:szCs w:val="16"/>
              </w:rPr>
            </w:pPr>
            <w:r>
              <w:rPr>
                <w:noProof/>
                <w:sz w:val="20"/>
                <w:szCs w:val="16"/>
              </w:rPr>
              <w:t>34.2</w:t>
            </w:r>
          </w:p>
        </w:tc>
        <w:tc>
          <w:tcPr>
            <w:tcW w:w="498" w:type="pct"/>
            <w:shd w:val="clear" w:color="auto" w:fill="auto"/>
            <w:noWrap/>
            <w:vAlign w:val="center"/>
            <w:hideMark/>
          </w:tcPr>
          <w:p>
            <w:pPr>
              <w:spacing w:before="60" w:after="60"/>
              <w:jc w:val="center"/>
              <w:rPr>
                <w:noProof/>
                <w:sz w:val="20"/>
                <w:szCs w:val="16"/>
              </w:rPr>
            </w:pPr>
            <w:r>
              <w:rPr>
                <w:noProof/>
                <w:sz w:val="20"/>
                <w:szCs w:val="16"/>
              </w:rPr>
              <w:t>38.0</w:t>
            </w:r>
          </w:p>
        </w:tc>
        <w:tc>
          <w:tcPr>
            <w:tcW w:w="498" w:type="pct"/>
            <w:shd w:val="clear" w:color="auto" w:fill="auto"/>
            <w:noWrap/>
            <w:vAlign w:val="center"/>
            <w:hideMark/>
          </w:tcPr>
          <w:p>
            <w:pPr>
              <w:spacing w:before="60" w:after="60"/>
              <w:jc w:val="center"/>
              <w:rPr>
                <w:noProof/>
                <w:sz w:val="20"/>
                <w:szCs w:val="16"/>
              </w:rPr>
            </w:pPr>
            <w:r>
              <w:rPr>
                <w:noProof/>
                <w:sz w:val="20"/>
                <w:szCs w:val="16"/>
              </w:rPr>
              <w:t>43.6</w:t>
            </w:r>
          </w:p>
        </w:tc>
        <w:tc>
          <w:tcPr>
            <w:tcW w:w="498" w:type="pct"/>
            <w:shd w:val="clear" w:color="auto" w:fill="auto"/>
            <w:noWrap/>
            <w:vAlign w:val="center"/>
            <w:hideMark/>
          </w:tcPr>
          <w:p>
            <w:pPr>
              <w:spacing w:before="60" w:after="60"/>
              <w:jc w:val="center"/>
              <w:rPr>
                <w:noProof/>
                <w:sz w:val="20"/>
                <w:szCs w:val="16"/>
              </w:rPr>
            </w:pPr>
            <w:r>
              <w:rPr>
                <w:noProof/>
                <w:sz w:val="20"/>
                <w:szCs w:val="16"/>
              </w:rPr>
              <w:t>37.9</w:t>
            </w:r>
          </w:p>
        </w:tc>
        <w:tc>
          <w:tcPr>
            <w:tcW w:w="498" w:type="pct"/>
            <w:shd w:val="clear" w:color="auto" w:fill="auto"/>
            <w:noWrap/>
            <w:vAlign w:val="center"/>
            <w:hideMark/>
          </w:tcPr>
          <w:p>
            <w:pPr>
              <w:spacing w:before="60" w:after="60"/>
              <w:jc w:val="center"/>
              <w:rPr>
                <w:noProof/>
                <w:sz w:val="20"/>
                <w:szCs w:val="16"/>
              </w:rPr>
            </w:pPr>
            <w:r>
              <w:rPr>
                <w:noProof/>
                <w:sz w:val="20"/>
                <w:szCs w:val="16"/>
              </w:rPr>
              <w:t>37.3</w:t>
            </w:r>
          </w:p>
        </w:tc>
        <w:tc>
          <w:tcPr>
            <w:tcW w:w="498" w:type="pct"/>
            <w:shd w:val="clear" w:color="auto" w:fill="auto"/>
            <w:noWrap/>
            <w:vAlign w:val="center"/>
            <w:hideMark/>
          </w:tcPr>
          <w:p>
            <w:pPr>
              <w:spacing w:before="60" w:after="60"/>
              <w:jc w:val="center"/>
              <w:rPr>
                <w:noProof/>
                <w:sz w:val="20"/>
                <w:szCs w:val="16"/>
              </w:rPr>
            </w:pPr>
            <w:r>
              <w:rPr>
                <w:noProof/>
                <w:sz w:val="20"/>
                <w:szCs w:val="16"/>
              </w:rPr>
              <w:t>42.4</w:t>
            </w:r>
          </w:p>
        </w:tc>
        <w:tc>
          <w:tcPr>
            <w:tcW w:w="498" w:type="pct"/>
            <w:shd w:val="clear" w:color="auto" w:fill="auto"/>
            <w:noWrap/>
            <w:vAlign w:val="center"/>
            <w:hideMark/>
          </w:tcPr>
          <w:p>
            <w:pPr>
              <w:spacing w:before="60" w:after="60"/>
              <w:jc w:val="center"/>
              <w:rPr>
                <w:noProof/>
                <w:sz w:val="20"/>
                <w:szCs w:val="16"/>
              </w:rPr>
            </w:pPr>
            <w:r>
              <w:rPr>
                <w:noProof/>
                <w:sz w:val="20"/>
                <w:szCs w:val="16"/>
              </w:rPr>
              <w:t>37.0</w:t>
            </w:r>
          </w:p>
        </w:tc>
        <w:tc>
          <w:tcPr>
            <w:tcW w:w="497" w:type="pct"/>
            <w:shd w:val="clear" w:color="auto" w:fill="auto"/>
            <w:noWrap/>
            <w:vAlign w:val="center"/>
            <w:hideMark/>
          </w:tcPr>
          <w:p>
            <w:pPr>
              <w:spacing w:before="60" w:after="60"/>
              <w:jc w:val="center"/>
              <w:rPr>
                <w:noProof/>
                <w:sz w:val="20"/>
                <w:szCs w:val="16"/>
              </w:rPr>
            </w:pPr>
            <w:r>
              <w:rPr>
                <w:noProof/>
                <w:sz w:val="20"/>
                <w:szCs w:val="16"/>
              </w:rPr>
              <w:t>35.8</w:t>
            </w:r>
          </w:p>
        </w:tc>
      </w:tr>
      <w:tr>
        <w:trPr>
          <w:trHeight w:val="244"/>
          <w:jc w:val="center"/>
        </w:trPr>
        <w:tc>
          <w:tcPr>
            <w:tcW w:w="1042" w:type="pct"/>
            <w:shd w:val="clear" w:color="auto" w:fill="CEEBE6"/>
            <w:noWrap/>
            <w:vAlign w:val="center"/>
            <w:hideMark/>
          </w:tcPr>
          <w:p>
            <w:pPr>
              <w:spacing w:before="60" w:after="60"/>
              <w:jc w:val="left"/>
              <w:rPr>
                <w:noProof/>
                <w:sz w:val="20"/>
                <w:szCs w:val="16"/>
              </w:rPr>
            </w:pPr>
            <w:r>
              <w:rPr>
                <w:noProof/>
                <w:sz w:val="20"/>
                <w:szCs w:val="16"/>
              </w:rPr>
              <w:t>Electricity costs (€/tonne)</w:t>
            </w:r>
          </w:p>
        </w:tc>
        <w:tc>
          <w:tcPr>
            <w:tcW w:w="473" w:type="pct"/>
            <w:shd w:val="clear" w:color="auto" w:fill="CEEBE6"/>
            <w:noWrap/>
            <w:vAlign w:val="center"/>
            <w:hideMark/>
          </w:tcPr>
          <w:p>
            <w:pPr>
              <w:spacing w:before="60" w:after="60"/>
              <w:jc w:val="center"/>
              <w:rPr>
                <w:noProof/>
                <w:sz w:val="20"/>
                <w:szCs w:val="16"/>
              </w:rPr>
            </w:pPr>
            <w:r>
              <w:rPr>
                <w:noProof/>
                <w:sz w:val="20"/>
                <w:szCs w:val="16"/>
              </w:rPr>
              <w:t>461.3</w:t>
            </w:r>
          </w:p>
        </w:tc>
        <w:tc>
          <w:tcPr>
            <w:tcW w:w="498" w:type="pct"/>
            <w:shd w:val="clear" w:color="auto" w:fill="CEEBE6"/>
            <w:noWrap/>
            <w:vAlign w:val="center"/>
            <w:hideMark/>
          </w:tcPr>
          <w:p>
            <w:pPr>
              <w:spacing w:before="60" w:after="60"/>
              <w:jc w:val="center"/>
              <w:rPr>
                <w:noProof/>
                <w:sz w:val="20"/>
                <w:szCs w:val="16"/>
              </w:rPr>
            </w:pPr>
            <w:r>
              <w:rPr>
                <w:noProof/>
                <w:sz w:val="20"/>
                <w:szCs w:val="16"/>
              </w:rPr>
              <w:t>496.6</w:t>
            </w:r>
          </w:p>
        </w:tc>
        <w:tc>
          <w:tcPr>
            <w:tcW w:w="498" w:type="pct"/>
            <w:shd w:val="clear" w:color="auto" w:fill="CEEBE6"/>
            <w:noWrap/>
            <w:vAlign w:val="center"/>
            <w:hideMark/>
          </w:tcPr>
          <w:p>
            <w:pPr>
              <w:spacing w:before="60" w:after="60"/>
              <w:jc w:val="center"/>
              <w:rPr>
                <w:noProof/>
                <w:sz w:val="20"/>
                <w:szCs w:val="16"/>
              </w:rPr>
            </w:pPr>
            <w:r>
              <w:rPr>
                <w:noProof/>
                <w:sz w:val="20"/>
                <w:szCs w:val="16"/>
              </w:rPr>
              <w:t>609.6</w:t>
            </w:r>
          </w:p>
        </w:tc>
        <w:tc>
          <w:tcPr>
            <w:tcW w:w="498" w:type="pct"/>
            <w:shd w:val="clear" w:color="auto" w:fill="CEEBE6"/>
            <w:noWrap/>
            <w:vAlign w:val="center"/>
            <w:hideMark/>
          </w:tcPr>
          <w:p>
            <w:pPr>
              <w:spacing w:before="60" w:after="60"/>
              <w:jc w:val="center"/>
              <w:rPr>
                <w:noProof/>
                <w:sz w:val="20"/>
                <w:szCs w:val="16"/>
              </w:rPr>
            </w:pPr>
            <w:r>
              <w:rPr>
                <w:noProof/>
                <w:sz w:val="20"/>
                <w:szCs w:val="16"/>
              </w:rPr>
              <w:t>554.1</w:t>
            </w:r>
          </w:p>
        </w:tc>
        <w:tc>
          <w:tcPr>
            <w:tcW w:w="498" w:type="pct"/>
            <w:shd w:val="clear" w:color="auto" w:fill="CEEBE6"/>
            <w:noWrap/>
            <w:vAlign w:val="center"/>
            <w:hideMark/>
          </w:tcPr>
          <w:p>
            <w:pPr>
              <w:spacing w:before="60" w:after="60"/>
              <w:jc w:val="center"/>
              <w:rPr>
                <w:noProof/>
                <w:sz w:val="20"/>
                <w:szCs w:val="16"/>
              </w:rPr>
            </w:pPr>
            <w:r>
              <w:rPr>
                <w:noProof/>
                <w:sz w:val="20"/>
                <w:szCs w:val="16"/>
              </w:rPr>
              <w:t>536.4</w:t>
            </w:r>
          </w:p>
        </w:tc>
        <w:tc>
          <w:tcPr>
            <w:tcW w:w="498" w:type="pct"/>
            <w:shd w:val="clear" w:color="auto" w:fill="CEEBE6"/>
            <w:noWrap/>
            <w:vAlign w:val="center"/>
            <w:hideMark/>
          </w:tcPr>
          <w:p>
            <w:pPr>
              <w:spacing w:before="60" w:after="60"/>
              <w:jc w:val="center"/>
              <w:rPr>
                <w:noProof/>
                <w:sz w:val="20"/>
                <w:szCs w:val="16"/>
              </w:rPr>
            </w:pPr>
            <w:r>
              <w:rPr>
                <w:noProof/>
                <w:sz w:val="20"/>
                <w:szCs w:val="16"/>
              </w:rPr>
              <w:t>587.6</w:t>
            </w:r>
          </w:p>
        </w:tc>
        <w:tc>
          <w:tcPr>
            <w:tcW w:w="498" w:type="pct"/>
            <w:shd w:val="clear" w:color="auto" w:fill="CEEBE6"/>
            <w:noWrap/>
            <w:vAlign w:val="center"/>
            <w:hideMark/>
          </w:tcPr>
          <w:p>
            <w:pPr>
              <w:spacing w:before="60" w:after="60"/>
              <w:jc w:val="center"/>
              <w:rPr>
                <w:noProof/>
                <w:sz w:val="20"/>
                <w:szCs w:val="16"/>
              </w:rPr>
            </w:pPr>
            <w:r>
              <w:rPr>
                <w:noProof/>
                <w:sz w:val="20"/>
                <w:szCs w:val="16"/>
              </w:rPr>
              <w:t>544.1</w:t>
            </w:r>
          </w:p>
        </w:tc>
        <w:tc>
          <w:tcPr>
            <w:tcW w:w="497" w:type="pct"/>
            <w:shd w:val="clear" w:color="auto" w:fill="CEEBE6"/>
            <w:noWrap/>
            <w:vAlign w:val="center"/>
            <w:hideMark/>
          </w:tcPr>
          <w:p>
            <w:pPr>
              <w:spacing w:before="60" w:after="60"/>
              <w:jc w:val="center"/>
              <w:rPr>
                <w:noProof/>
                <w:sz w:val="20"/>
                <w:szCs w:val="16"/>
              </w:rPr>
            </w:pPr>
            <w:r>
              <w:rPr>
                <w:noProof/>
                <w:sz w:val="20"/>
                <w:szCs w:val="16"/>
              </w:rPr>
              <w:t>541.9</w:t>
            </w:r>
          </w:p>
        </w:tc>
      </w:tr>
      <w:tr>
        <w:trPr>
          <w:trHeight w:val="244"/>
          <w:jc w:val="center"/>
        </w:trPr>
        <w:tc>
          <w:tcPr>
            <w:tcW w:w="1042" w:type="pct"/>
            <w:shd w:val="clear" w:color="auto" w:fill="auto"/>
            <w:noWrap/>
            <w:vAlign w:val="center"/>
          </w:tcPr>
          <w:p>
            <w:pPr>
              <w:keepNext/>
              <w:spacing w:before="60" w:after="60"/>
              <w:jc w:val="left"/>
              <w:rPr>
                <w:noProof/>
                <w:sz w:val="20"/>
                <w:szCs w:val="16"/>
              </w:rPr>
            </w:pPr>
            <w:r>
              <w:rPr>
                <w:noProof/>
                <w:sz w:val="20"/>
                <w:szCs w:val="16"/>
              </w:rPr>
              <w:t>Electricity intensity (MWh/tonne)</w:t>
            </w:r>
          </w:p>
        </w:tc>
        <w:tc>
          <w:tcPr>
            <w:tcW w:w="473" w:type="pct"/>
            <w:shd w:val="clear" w:color="auto" w:fill="auto"/>
            <w:noWrap/>
            <w:vAlign w:val="center"/>
          </w:tcPr>
          <w:p>
            <w:pPr>
              <w:keepNext/>
              <w:spacing w:before="60" w:after="60"/>
              <w:jc w:val="center"/>
              <w:rPr>
                <w:noProof/>
                <w:sz w:val="20"/>
                <w:szCs w:val="16"/>
              </w:rPr>
            </w:pPr>
            <w:r>
              <w:rPr>
                <w:noProof/>
                <w:sz w:val="20"/>
                <w:szCs w:val="16"/>
              </w:rPr>
              <w:t>13.8</w:t>
            </w:r>
          </w:p>
        </w:tc>
        <w:tc>
          <w:tcPr>
            <w:tcW w:w="498" w:type="pct"/>
            <w:shd w:val="clear" w:color="auto" w:fill="auto"/>
            <w:noWrap/>
            <w:vAlign w:val="center"/>
          </w:tcPr>
          <w:p>
            <w:pPr>
              <w:keepNext/>
              <w:spacing w:before="60" w:after="60"/>
              <w:jc w:val="center"/>
              <w:rPr>
                <w:noProof/>
                <w:sz w:val="20"/>
                <w:szCs w:val="16"/>
              </w:rPr>
            </w:pPr>
            <w:r>
              <w:rPr>
                <w:noProof/>
                <w:sz w:val="20"/>
                <w:szCs w:val="16"/>
              </w:rPr>
              <w:t>14.1</w:t>
            </w:r>
          </w:p>
        </w:tc>
        <w:tc>
          <w:tcPr>
            <w:tcW w:w="498" w:type="pct"/>
            <w:shd w:val="clear" w:color="auto" w:fill="auto"/>
            <w:noWrap/>
            <w:vAlign w:val="center"/>
          </w:tcPr>
          <w:p>
            <w:pPr>
              <w:keepNext/>
              <w:spacing w:before="60" w:after="60"/>
              <w:jc w:val="center"/>
              <w:rPr>
                <w:noProof/>
                <w:sz w:val="20"/>
                <w:szCs w:val="16"/>
              </w:rPr>
            </w:pPr>
            <w:r>
              <w:rPr>
                <w:noProof/>
                <w:sz w:val="20"/>
                <w:szCs w:val="16"/>
              </w:rPr>
              <w:t>14.0</w:t>
            </w:r>
          </w:p>
        </w:tc>
        <w:tc>
          <w:tcPr>
            <w:tcW w:w="498" w:type="pct"/>
            <w:shd w:val="clear" w:color="auto" w:fill="auto"/>
            <w:noWrap/>
            <w:vAlign w:val="center"/>
          </w:tcPr>
          <w:p>
            <w:pPr>
              <w:keepNext/>
              <w:spacing w:before="60" w:after="60"/>
              <w:jc w:val="center"/>
              <w:rPr>
                <w:noProof/>
                <w:sz w:val="20"/>
                <w:szCs w:val="16"/>
              </w:rPr>
            </w:pPr>
            <w:r>
              <w:rPr>
                <w:noProof/>
                <w:sz w:val="20"/>
                <w:szCs w:val="16"/>
              </w:rPr>
              <w:t>14.4</w:t>
            </w:r>
          </w:p>
        </w:tc>
        <w:tc>
          <w:tcPr>
            <w:tcW w:w="498" w:type="pct"/>
            <w:shd w:val="clear" w:color="auto" w:fill="auto"/>
            <w:noWrap/>
            <w:vAlign w:val="center"/>
          </w:tcPr>
          <w:p>
            <w:pPr>
              <w:keepNext/>
              <w:spacing w:before="60" w:after="60"/>
              <w:jc w:val="center"/>
              <w:rPr>
                <w:noProof/>
                <w:sz w:val="20"/>
                <w:szCs w:val="16"/>
              </w:rPr>
            </w:pPr>
            <w:r>
              <w:rPr>
                <w:noProof/>
                <w:sz w:val="20"/>
                <w:szCs w:val="16"/>
              </w:rPr>
              <w:t>14.2</w:t>
            </w:r>
          </w:p>
        </w:tc>
        <w:tc>
          <w:tcPr>
            <w:tcW w:w="498" w:type="pct"/>
            <w:shd w:val="clear" w:color="auto" w:fill="auto"/>
            <w:noWrap/>
            <w:vAlign w:val="center"/>
          </w:tcPr>
          <w:p>
            <w:pPr>
              <w:keepNext/>
              <w:spacing w:before="60" w:after="60"/>
              <w:jc w:val="center"/>
              <w:rPr>
                <w:noProof/>
                <w:sz w:val="20"/>
                <w:szCs w:val="16"/>
              </w:rPr>
            </w:pPr>
            <w:r>
              <w:rPr>
                <w:noProof/>
                <w:sz w:val="20"/>
                <w:szCs w:val="16"/>
              </w:rPr>
              <w:t>14.3</w:t>
            </w:r>
          </w:p>
        </w:tc>
        <w:tc>
          <w:tcPr>
            <w:tcW w:w="498" w:type="pct"/>
            <w:shd w:val="clear" w:color="auto" w:fill="auto"/>
            <w:noWrap/>
            <w:vAlign w:val="center"/>
          </w:tcPr>
          <w:p>
            <w:pPr>
              <w:keepNext/>
              <w:spacing w:before="60" w:after="60"/>
              <w:jc w:val="center"/>
              <w:rPr>
                <w:noProof/>
                <w:sz w:val="20"/>
                <w:szCs w:val="16"/>
              </w:rPr>
            </w:pPr>
            <w:r>
              <w:rPr>
                <w:noProof/>
                <w:sz w:val="20"/>
                <w:szCs w:val="16"/>
              </w:rPr>
              <w:t>14.7</w:t>
            </w:r>
          </w:p>
        </w:tc>
        <w:tc>
          <w:tcPr>
            <w:tcW w:w="497" w:type="pct"/>
            <w:shd w:val="clear" w:color="auto" w:fill="auto"/>
            <w:noWrap/>
            <w:vAlign w:val="center"/>
          </w:tcPr>
          <w:p>
            <w:pPr>
              <w:keepNext/>
              <w:spacing w:before="60" w:after="60"/>
              <w:jc w:val="center"/>
              <w:rPr>
                <w:noProof/>
                <w:sz w:val="20"/>
                <w:szCs w:val="16"/>
              </w:rPr>
            </w:pPr>
            <w:r>
              <w:rPr>
                <w:noProof/>
                <w:sz w:val="20"/>
                <w:szCs w:val="16"/>
              </w:rPr>
              <w:t>15.4</w:t>
            </w:r>
          </w:p>
        </w:tc>
      </w:tr>
    </w:tbl>
    <w:p>
      <w:pPr>
        <w:pStyle w:val="Sources"/>
        <w:rPr>
          <w:noProof/>
        </w:rPr>
      </w:pPr>
      <w:r>
        <w:rPr>
          <w:noProof/>
        </w:rPr>
        <w:t>Source: CEPS/Ecofys.</w:t>
      </w:r>
    </w:p>
    <w:p>
      <w:pPr>
        <w:rPr>
          <w:noProof/>
        </w:rPr>
      </w:pPr>
    </w:p>
    <w:p>
      <w:pPr>
        <w:pStyle w:val="Caption"/>
        <w:rPr>
          <w:rFonts w:eastAsia="Times New Roman"/>
          <w:color w:val="000000"/>
          <w:lang w:eastAsia="en-GB"/>
        </w:rPr>
      </w:pPr>
      <w:bookmarkStart w:id="132" w:name="_Ref529805829"/>
      <w:bookmarkStart w:id="133" w:name="_Ref529805817"/>
      <w:bookmarkStart w:id="134" w:name="_Toc530741714"/>
      <w:r>
        <w:t xml:space="preserve">Figure </w:t>
      </w:r>
      <w:r>
        <w:fldChar w:fldCharType="begin"/>
      </w:r>
      <w:r>
        <w:instrText xml:space="preserve"> SEQ Figure \* ARABIC </w:instrText>
      </w:r>
      <w:r>
        <w:fldChar w:fldCharType="separate"/>
      </w:r>
      <w:r>
        <w:t>21</w:t>
      </w:r>
      <w:r>
        <w:fldChar w:fldCharType="end"/>
      </w:r>
      <w:bookmarkEnd w:id="132"/>
      <w:r>
        <w:t>. Components of the EU average electricity price for primary aluminium production (%)</w:t>
      </w:r>
      <w:bookmarkEnd w:id="133"/>
      <w:bookmarkEnd w:id="134"/>
    </w:p>
    <w:p>
      <w:pPr>
        <w:keepNext/>
        <w:rPr>
          <w:noProof/>
        </w:rPr>
      </w:pPr>
      <w:r>
        <w:rPr>
          <w:noProof/>
          <w:lang w:eastAsia="en-GB"/>
        </w:rPr>
        <w:drawing>
          <wp:inline distT="0" distB="0" distL="0" distR="0">
            <wp:extent cx="5727700" cy="295910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295910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135" w:name="_Ref529806894"/>
      <w:bookmarkStart w:id="136" w:name="_Toc530741715"/>
      <w:r>
        <w:t xml:space="preserve">Figure </w:t>
      </w:r>
      <w:r>
        <w:fldChar w:fldCharType="begin"/>
      </w:r>
      <w:r>
        <w:instrText xml:space="preserve"> SEQ Figure \* ARABIC </w:instrText>
      </w:r>
      <w:r>
        <w:fldChar w:fldCharType="separate"/>
      </w:r>
      <w:r>
        <w:t>22</w:t>
      </w:r>
      <w:r>
        <w:fldChar w:fldCharType="end"/>
      </w:r>
      <w:bookmarkEnd w:id="135"/>
      <w:r>
        <w:t xml:space="preserve">. </w:t>
      </w:r>
      <w:r>
        <w:rPr>
          <w:rFonts w:eastAsia="Times New Roman"/>
          <w:color w:val="000000"/>
          <w:lang w:eastAsia="en-GB"/>
        </w:rPr>
        <w:t xml:space="preserve">Electricity costs </w:t>
      </w:r>
      <w:r>
        <w:t>of primary aluminium production</w:t>
      </w:r>
      <w:r>
        <w:rPr>
          <w:rFonts w:eastAsia="Times New Roman"/>
          <w:color w:val="000000"/>
          <w:lang w:eastAsia="en-GB"/>
        </w:rPr>
        <w:t xml:space="preserve"> (€/MWh)</w:t>
      </w:r>
      <w:bookmarkEnd w:id="136"/>
    </w:p>
    <w:p>
      <w:pPr>
        <w:keepNext/>
        <w:rPr>
          <w:noProof/>
          <w:lang w:eastAsia="de-DE"/>
        </w:rPr>
      </w:pPr>
      <w:r>
        <w:rPr>
          <w:noProof/>
          <w:lang w:eastAsia="en-GB"/>
        </w:rPr>
        <w:drawing>
          <wp:inline distT="0" distB="0" distL="0" distR="0">
            <wp:extent cx="5732780" cy="2647950"/>
            <wp:effectExtent l="0" t="0" r="1270" b="0"/>
            <wp:docPr id="1" name="Picture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34"/>
                    <pic:cNvPicPr>
                      <a:picLocks noGrp="1" noRot="1" noChangeAspect="1" noMove="1" noResize="1" noEditPoints="1" noAdjustHandles="1" noChangeArrowheads="1" noChangeShapeType="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780" cy="264795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37" w:name="_Ref529808836"/>
      <w:bookmarkStart w:id="138" w:name="_Toc530741716"/>
      <w:r>
        <w:t xml:space="preserve">Figure </w:t>
      </w:r>
      <w:r>
        <w:fldChar w:fldCharType="begin"/>
      </w:r>
      <w:r>
        <w:instrText xml:space="preserve"> SEQ Figure \* ARABIC </w:instrText>
      </w:r>
      <w:r>
        <w:fldChar w:fldCharType="separate"/>
      </w:r>
      <w:r>
        <w:t>23</w:t>
      </w:r>
      <w:r>
        <w:fldChar w:fldCharType="end"/>
      </w:r>
      <w:bookmarkEnd w:id="137"/>
      <w:r>
        <w:t xml:space="preserve">. </w:t>
      </w:r>
      <w:r>
        <w:rPr>
          <w:rFonts w:eastAsia="Times New Roman"/>
          <w:color w:val="000000"/>
          <w:lang w:eastAsia="en-GB"/>
        </w:rPr>
        <w:t>Electricity costs</w:t>
      </w:r>
      <w:r>
        <w:t xml:space="preserve"> of primary aluminium production</w:t>
      </w:r>
      <w:r>
        <w:rPr>
          <w:rFonts w:eastAsia="Times New Roman"/>
          <w:color w:val="000000"/>
          <w:lang w:eastAsia="en-GB"/>
        </w:rPr>
        <w:t xml:space="preserve"> (€/tonne)</w:t>
      </w:r>
      <w:bookmarkEnd w:id="138"/>
    </w:p>
    <w:p>
      <w:pPr>
        <w:pStyle w:val="Caption"/>
        <w:rPr>
          <w:lang w:eastAsia="de-DE"/>
        </w:rPr>
      </w:pPr>
      <w:r>
        <w:rPr>
          <w:lang w:eastAsia="en-GB"/>
        </w:rPr>
        <w:drawing>
          <wp:inline distT="0" distB="0" distL="0" distR="0">
            <wp:extent cx="5732780" cy="2647950"/>
            <wp:effectExtent l="0" t="0" r="1270" b="0"/>
            <wp:docPr id="2" name="Picture 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0"/>
                    <pic:cNvPicPr>
                      <a:picLocks noGrp="1" noRot="1" noChangeAspect="1" noMove="1" noResize="1" noEditPoints="1" noAdjustHandles="1" noChangeArrowheads="1" noChangeShapeType="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780" cy="2647950"/>
                    </a:xfrm>
                    <a:prstGeom prst="rect">
                      <a:avLst/>
                    </a:prstGeom>
                    <a:noFill/>
                    <a:ln>
                      <a:noFill/>
                    </a:ln>
                  </pic:spPr>
                </pic:pic>
              </a:graphicData>
            </a:graphic>
          </wp:inline>
        </w:drawing>
      </w:r>
      <w:r>
        <w:t xml:space="preserve"> </w:t>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39" w:name="_Ref529810050"/>
      <w:bookmarkStart w:id="140" w:name="_Toc530741717"/>
      <w:r>
        <w:t xml:space="preserve">Figure </w:t>
      </w:r>
      <w:r>
        <w:fldChar w:fldCharType="begin"/>
      </w:r>
      <w:r>
        <w:instrText xml:space="preserve"> SEQ Figure \* ARABIC </w:instrText>
      </w:r>
      <w:r>
        <w:fldChar w:fldCharType="separate"/>
      </w:r>
      <w:r>
        <w:t>24</w:t>
      </w:r>
      <w:r>
        <w:fldChar w:fldCharType="end"/>
      </w:r>
      <w:bookmarkEnd w:id="139"/>
      <w:r>
        <w:t xml:space="preserve">. </w:t>
      </w:r>
      <w:r>
        <w:rPr>
          <w:rFonts w:eastAsia="Times New Roman"/>
          <w:color w:val="000000"/>
          <w:lang w:eastAsia="en-GB"/>
        </w:rPr>
        <w:t xml:space="preserve">Electricity intensity </w:t>
      </w:r>
      <w:r>
        <w:t>of primary aluminium production</w:t>
      </w:r>
      <w:r>
        <w:rPr>
          <w:rFonts w:eastAsia="Times New Roman"/>
          <w:color w:val="000000"/>
          <w:lang w:eastAsia="en-GB"/>
        </w:rPr>
        <w:t xml:space="preserve"> (MWh/tonne)</w:t>
      </w:r>
      <w:bookmarkEnd w:id="140"/>
    </w:p>
    <w:p>
      <w:pPr>
        <w:pStyle w:val="Sources"/>
        <w:keepNext/>
        <w:rPr>
          <w:noProof/>
        </w:rPr>
      </w:pPr>
      <w:r>
        <w:rPr>
          <w:noProof/>
          <w:lang w:eastAsia="en-GB"/>
        </w:rPr>
        <w:drawing>
          <wp:inline distT="0" distB="0" distL="0" distR="0">
            <wp:extent cx="5732780" cy="2647950"/>
            <wp:effectExtent l="0" t="0" r="1270" b="0"/>
            <wp:docPr id="3" name="Picture 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34"/>
                    <pic:cNvPicPr>
                      <a:picLocks noGrp="1" noRot="1" noChangeAspect="1" noMove="1" noResize="1" noEditPoints="1" noAdjustHandles="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780" cy="264795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141" w:name="_Ref529810971"/>
      <w:bookmarkStart w:id="142" w:name="_Toc530741802"/>
      <w:r>
        <w:t xml:space="preserve">Table </w:t>
      </w:r>
      <w:r>
        <w:fldChar w:fldCharType="begin"/>
      </w:r>
      <w:r>
        <w:instrText xml:space="preserve"> SEQ Table \* ARABIC </w:instrText>
      </w:r>
      <w:r>
        <w:fldChar w:fldCharType="separate"/>
      </w:r>
      <w:r>
        <w:t>9</w:t>
      </w:r>
      <w:r>
        <w:fldChar w:fldCharType="end"/>
      </w:r>
      <w:bookmarkEnd w:id="141"/>
      <w:r>
        <w:t>. Key natural gas indicators of primary aluminium production</w:t>
      </w:r>
      <w:r>
        <w:rPr>
          <w:rFonts w:eastAsia="Times New Roman"/>
          <w:color w:val="000000"/>
          <w:lang w:eastAsia="en-GB"/>
        </w:rPr>
        <w:t xml:space="preserve"> </w:t>
      </w:r>
      <w:r>
        <w:t>(EU averages)</w:t>
      </w:r>
      <w:bookmarkEnd w:id="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742"/>
        <w:gridCol w:w="788"/>
        <w:gridCol w:w="788"/>
        <w:gridCol w:w="788"/>
        <w:gridCol w:w="788"/>
        <w:gridCol w:w="789"/>
        <w:gridCol w:w="791"/>
        <w:gridCol w:w="791"/>
      </w:tblGrid>
      <w:tr>
        <w:trPr>
          <w:trHeight w:val="244"/>
          <w:jc w:val="center"/>
        </w:trPr>
        <w:tc>
          <w:tcPr>
            <w:tcW w:w="1047"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7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047" w:type="pct"/>
            <w:shd w:val="clear" w:color="auto" w:fill="CEEBE6"/>
            <w:noWrap/>
            <w:vAlign w:val="center"/>
          </w:tcPr>
          <w:p>
            <w:pPr>
              <w:spacing w:before="60" w:after="60"/>
              <w:jc w:val="left"/>
              <w:rPr>
                <w:bCs/>
                <w:noProof/>
                <w:sz w:val="20"/>
                <w:szCs w:val="16"/>
              </w:rPr>
            </w:pPr>
            <w:r>
              <w:rPr>
                <w:bCs/>
                <w:noProof/>
                <w:sz w:val="20"/>
                <w:szCs w:val="16"/>
              </w:rPr>
              <w:t>Natural gas prices (€/MWh)</w:t>
            </w:r>
          </w:p>
        </w:tc>
        <w:tc>
          <w:tcPr>
            <w:tcW w:w="472" w:type="pct"/>
            <w:shd w:val="clear" w:color="auto" w:fill="CEEBE6"/>
            <w:noWrap/>
            <w:vAlign w:val="center"/>
          </w:tcPr>
          <w:p>
            <w:pPr>
              <w:spacing w:before="60" w:after="60"/>
              <w:jc w:val="center"/>
              <w:rPr>
                <w:bCs/>
                <w:noProof/>
                <w:sz w:val="20"/>
                <w:szCs w:val="16"/>
              </w:rPr>
            </w:pPr>
            <w:r>
              <w:rPr>
                <w:bCs/>
                <w:noProof/>
                <w:sz w:val="20"/>
                <w:szCs w:val="16"/>
              </w:rPr>
              <w:t>26.8</w:t>
            </w:r>
          </w:p>
        </w:tc>
        <w:tc>
          <w:tcPr>
            <w:tcW w:w="497" w:type="pct"/>
            <w:shd w:val="clear" w:color="auto" w:fill="CEEBE6"/>
            <w:noWrap/>
            <w:vAlign w:val="center"/>
          </w:tcPr>
          <w:p>
            <w:pPr>
              <w:spacing w:before="60" w:after="60"/>
              <w:jc w:val="center"/>
              <w:rPr>
                <w:bCs/>
                <w:noProof/>
                <w:sz w:val="20"/>
                <w:szCs w:val="16"/>
              </w:rPr>
            </w:pPr>
            <w:r>
              <w:rPr>
                <w:bCs/>
                <w:noProof/>
                <w:sz w:val="20"/>
                <w:szCs w:val="16"/>
              </w:rPr>
              <w:t>20.4</w:t>
            </w:r>
          </w:p>
        </w:tc>
        <w:tc>
          <w:tcPr>
            <w:tcW w:w="497" w:type="pct"/>
            <w:shd w:val="clear" w:color="auto" w:fill="CEEBE6"/>
            <w:noWrap/>
            <w:vAlign w:val="center"/>
          </w:tcPr>
          <w:p>
            <w:pPr>
              <w:spacing w:before="60" w:after="60"/>
              <w:jc w:val="center"/>
              <w:rPr>
                <w:bCs/>
                <w:noProof/>
                <w:sz w:val="20"/>
                <w:szCs w:val="16"/>
              </w:rPr>
            </w:pPr>
            <w:r>
              <w:rPr>
                <w:bCs/>
                <w:noProof/>
                <w:sz w:val="20"/>
                <w:szCs w:val="16"/>
              </w:rPr>
              <w:t>32.5</w:t>
            </w:r>
          </w:p>
        </w:tc>
        <w:tc>
          <w:tcPr>
            <w:tcW w:w="497" w:type="pct"/>
            <w:shd w:val="clear" w:color="auto" w:fill="CEEBE6"/>
            <w:noWrap/>
            <w:vAlign w:val="center"/>
          </w:tcPr>
          <w:p>
            <w:pPr>
              <w:spacing w:before="60" w:after="60"/>
              <w:jc w:val="center"/>
              <w:rPr>
                <w:bCs/>
                <w:noProof/>
                <w:sz w:val="20"/>
                <w:szCs w:val="16"/>
              </w:rPr>
            </w:pPr>
            <w:r>
              <w:rPr>
                <w:bCs/>
                <w:noProof/>
                <w:sz w:val="20"/>
                <w:szCs w:val="16"/>
              </w:rPr>
              <w:t>29.2</w:t>
            </w:r>
          </w:p>
        </w:tc>
        <w:tc>
          <w:tcPr>
            <w:tcW w:w="497" w:type="pct"/>
            <w:shd w:val="clear" w:color="auto" w:fill="CEEBE6"/>
            <w:noWrap/>
            <w:vAlign w:val="center"/>
          </w:tcPr>
          <w:p>
            <w:pPr>
              <w:spacing w:before="60" w:after="60"/>
              <w:jc w:val="center"/>
              <w:rPr>
                <w:bCs/>
                <w:noProof/>
                <w:sz w:val="20"/>
                <w:szCs w:val="16"/>
              </w:rPr>
            </w:pPr>
            <w:r>
              <w:rPr>
                <w:bCs/>
                <w:noProof/>
                <w:sz w:val="20"/>
                <w:szCs w:val="16"/>
              </w:rPr>
              <w:t>29.0</w:t>
            </w:r>
          </w:p>
        </w:tc>
        <w:tc>
          <w:tcPr>
            <w:tcW w:w="497" w:type="pct"/>
            <w:shd w:val="clear" w:color="auto" w:fill="CEEBE6"/>
            <w:noWrap/>
            <w:vAlign w:val="center"/>
          </w:tcPr>
          <w:p>
            <w:pPr>
              <w:spacing w:before="60" w:after="60"/>
              <w:jc w:val="center"/>
              <w:rPr>
                <w:bCs/>
                <w:noProof/>
                <w:sz w:val="20"/>
                <w:szCs w:val="16"/>
              </w:rPr>
            </w:pPr>
            <w:r>
              <w:rPr>
                <w:bCs/>
                <w:noProof/>
                <w:sz w:val="20"/>
                <w:szCs w:val="16"/>
              </w:rPr>
              <w:t>25.1</w:t>
            </w:r>
          </w:p>
        </w:tc>
        <w:tc>
          <w:tcPr>
            <w:tcW w:w="498" w:type="pct"/>
            <w:shd w:val="clear" w:color="auto" w:fill="CEEBE6"/>
            <w:noWrap/>
            <w:vAlign w:val="center"/>
          </w:tcPr>
          <w:p>
            <w:pPr>
              <w:spacing w:before="60" w:after="60"/>
              <w:jc w:val="center"/>
              <w:rPr>
                <w:bCs/>
                <w:noProof/>
                <w:sz w:val="20"/>
                <w:szCs w:val="16"/>
              </w:rPr>
            </w:pPr>
            <w:r>
              <w:rPr>
                <w:bCs/>
                <w:noProof/>
                <w:sz w:val="20"/>
                <w:szCs w:val="16"/>
              </w:rPr>
              <w:t>20.9</w:t>
            </w:r>
          </w:p>
        </w:tc>
        <w:tc>
          <w:tcPr>
            <w:tcW w:w="498" w:type="pct"/>
            <w:shd w:val="clear" w:color="auto" w:fill="CEEBE6"/>
            <w:noWrap/>
            <w:vAlign w:val="center"/>
          </w:tcPr>
          <w:p>
            <w:pPr>
              <w:spacing w:before="60" w:after="60"/>
              <w:jc w:val="center"/>
              <w:rPr>
                <w:bCs/>
                <w:noProof/>
                <w:sz w:val="20"/>
                <w:szCs w:val="16"/>
              </w:rPr>
            </w:pPr>
            <w:r>
              <w:rPr>
                <w:bCs/>
                <w:noProof/>
                <w:sz w:val="20"/>
                <w:szCs w:val="16"/>
              </w:rPr>
              <w:t>19.5</w:t>
            </w:r>
          </w:p>
        </w:tc>
      </w:tr>
      <w:tr>
        <w:trPr>
          <w:trHeight w:val="244"/>
          <w:jc w:val="center"/>
        </w:trPr>
        <w:tc>
          <w:tcPr>
            <w:tcW w:w="1047" w:type="pct"/>
            <w:shd w:val="clear" w:color="auto" w:fill="auto"/>
            <w:noWrap/>
            <w:vAlign w:val="center"/>
            <w:hideMark/>
          </w:tcPr>
          <w:p>
            <w:pPr>
              <w:spacing w:before="60" w:after="60"/>
              <w:jc w:val="left"/>
              <w:rPr>
                <w:bCs/>
                <w:noProof/>
                <w:sz w:val="20"/>
                <w:szCs w:val="16"/>
              </w:rPr>
            </w:pPr>
            <w:r>
              <w:rPr>
                <w:bCs/>
                <w:noProof/>
                <w:sz w:val="20"/>
                <w:szCs w:val="16"/>
              </w:rPr>
              <w:t>Natural gas costs (€/tonne)</w:t>
            </w:r>
          </w:p>
        </w:tc>
        <w:tc>
          <w:tcPr>
            <w:tcW w:w="472" w:type="pct"/>
            <w:shd w:val="clear" w:color="auto" w:fill="auto"/>
            <w:noWrap/>
            <w:vAlign w:val="center"/>
            <w:hideMark/>
          </w:tcPr>
          <w:p>
            <w:pPr>
              <w:spacing w:before="60" w:after="60"/>
              <w:jc w:val="center"/>
              <w:rPr>
                <w:bCs/>
                <w:noProof/>
                <w:sz w:val="20"/>
                <w:szCs w:val="16"/>
              </w:rPr>
            </w:pPr>
            <w:r>
              <w:rPr>
                <w:bCs/>
                <w:noProof/>
                <w:sz w:val="20"/>
                <w:szCs w:val="16"/>
              </w:rPr>
              <w:t>25.5</w:t>
            </w:r>
          </w:p>
        </w:tc>
        <w:tc>
          <w:tcPr>
            <w:tcW w:w="497" w:type="pct"/>
            <w:shd w:val="clear" w:color="auto" w:fill="auto"/>
            <w:noWrap/>
            <w:vAlign w:val="center"/>
            <w:hideMark/>
          </w:tcPr>
          <w:p>
            <w:pPr>
              <w:spacing w:before="60" w:after="60"/>
              <w:jc w:val="center"/>
              <w:rPr>
                <w:bCs/>
                <w:noProof/>
                <w:sz w:val="20"/>
                <w:szCs w:val="16"/>
              </w:rPr>
            </w:pPr>
            <w:r>
              <w:rPr>
                <w:bCs/>
                <w:noProof/>
                <w:sz w:val="20"/>
                <w:szCs w:val="16"/>
              </w:rPr>
              <w:t>20.1</w:t>
            </w:r>
          </w:p>
        </w:tc>
        <w:tc>
          <w:tcPr>
            <w:tcW w:w="497" w:type="pct"/>
            <w:shd w:val="clear" w:color="auto" w:fill="auto"/>
            <w:noWrap/>
            <w:vAlign w:val="center"/>
            <w:hideMark/>
          </w:tcPr>
          <w:p>
            <w:pPr>
              <w:spacing w:before="60" w:after="60"/>
              <w:jc w:val="center"/>
              <w:rPr>
                <w:bCs/>
                <w:noProof/>
                <w:sz w:val="20"/>
                <w:szCs w:val="16"/>
              </w:rPr>
            </w:pPr>
            <w:r>
              <w:rPr>
                <w:bCs/>
                <w:noProof/>
                <w:sz w:val="20"/>
                <w:szCs w:val="16"/>
              </w:rPr>
              <w:t>25.8</w:t>
            </w:r>
          </w:p>
        </w:tc>
        <w:tc>
          <w:tcPr>
            <w:tcW w:w="497" w:type="pct"/>
            <w:shd w:val="clear" w:color="auto" w:fill="auto"/>
            <w:noWrap/>
            <w:vAlign w:val="center"/>
            <w:hideMark/>
          </w:tcPr>
          <w:p>
            <w:pPr>
              <w:spacing w:before="60" w:after="60"/>
              <w:jc w:val="center"/>
              <w:rPr>
                <w:bCs/>
                <w:noProof/>
                <w:sz w:val="20"/>
                <w:szCs w:val="16"/>
              </w:rPr>
            </w:pPr>
            <w:r>
              <w:rPr>
                <w:bCs/>
                <w:noProof/>
                <w:sz w:val="20"/>
                <w:szCs w:val="16"/>
              </w:rPr>
              <w:t>23.5</w:t>
            </w:r>
          </w:p>
        </w:tc>
        <w:tc>
          <w:tcPr>
            <w:tcW w:w="497" w:type="pct"/>
            <w:shd w:val="clear" w:color="auto" w:fill="auto"/>
            <w:noWrap/>
            <w:vAlign w:val="center"/>
            <w:hideMark/>
          </w:tcPr>
          <w:p>
            <w:pPr>
              <w:spacing w:before="60" w:after="60"/>
              <w:jc w:val="center"/>
              <w:rPr>
                <w:bCs/>
                <w:noProof/>
                <w:sz w:val="20"/>
                <w:szCs w:val="16"/>
              </w:rPr>
            </w:pPr>
            <w:r>
              <w:rPr>
                <w:bCs/>
                <w:noProof/>
                <w:sz w:val="20"/>
                <w:szCs w:val="16"/>
              </w:rPr>
              <w:t>25.9</w:t>
            </w:r>
          </w:p>
        </w:tc>
        <w:tc>
          <w:tcPr>
            <w:tcW w:w="497" w:type="pct"/>
            <w:shd w:val="clear" w:color="auto" w:fill="auto"/>
            <w:noWrap/>
            <w:vAlign w:val="center"/>
            <w:hideMark/>
          </w:tcPr>
          <w:p>
            <w:pPr>
              <w:spacing w:before="60" w:after="60"/>
              <w:jc w:val="center"/>
              <w:rPr>
                <w:bCs/>
                <w:noProof/>
                <w:sz w:val="20"/>
                <w:szCs w:val="16"/>
              </w:rPr>
            </w:pPr>
            <w:r>
              <w:rPr>
                <w:bCs/>
                <w:noProof/>
                <w:sz w:val="20"/>
                <w:szCs w:val="16"/>
              </w:rPr>
              <w:t>22.5</w:t>
            </w:r>
          </w:p>
        </w:tc>
        <w:tc>
          <w:tcPr>
            <w:tcW w:w="498" w:type="pct"/>
            <w:shd w:val="clear" w:color="auto" w:fill="auto"/>
            <w:noWrap/>
            <w:vAlign w:val="center"/>
            <w:hideMark/>
          </w:tcPr>
          <w:p>
            <w:pPr>
              <w:spacing w:before="60" w:after="60"/>
              <w:jc w:val="center"/>
              <w:rPr>
                <w:bCs/>
                <w:noProof/>
                <w:sz w:val="20"/>
                <w:szCs w:val="16"/>
              </w:rPr>
            </w:pPr>
            <w:r>
              <w:rPr>
                <w:bCs/>
                <w:noProof/>
                <w:sz w:val="20"/>
                <w:szCs w:val="16"/>
              </w:rPr>
              <w:t>17.1</w:t>
            </w:r>
          </w:p>
        </w:tc>
        <w:tc>
          <w:tcPr>
            <w:tcW w:w="498" w:type="pct"/>
            <w:shd w:val="clear" w:color="auto" w:fill="auto"/>
            <w:noWrap/>
            <w:vAlign w:val="center"/>
            <w:hideMark/>
          </w:tcPr>
          <w:p>
            <w:pPr>
              <w:spacing w:before="60" w:after="60"/>
              <w:jc w:val="center"/>
              <w:rPr>
                <w:bCs/>
                <w:noProof/>
                <w:sz w:val="20"/>
                <w:szCs w:val="16"/>
              </w:rPr>
            </w:pPr>
            <w:r>
              <w:rPr>
                <w:bCs/>
                <w:noProof/>
                <w:sz w:val="20"/>
                <w:szCs w:val="16"/>
              </w:rPr>
              <w:t>21.7</w:t>
            </w:r>
          </w:p>
        </w:tc>
      </w:tr>
      <w:tr>
        <w:trPr>
          <w:trHeight w:val="244"/>
          <w:jc w:val="center"/>
        </w:trPr>
        <w:tc>
          <w:tcPr>
            <w:tcW w:w="1047" w:type="pct"/>
            <w:shd w:val="clear" w:color="auto" w:fill="CEEBE6"/>
            <w:noWrap/>
            <w:vAlign w:val="center"/>
          </w:tcPr>
          <w:p>
            <w:pPr>
              <w:keepNext/>
              <w:spacing w:before="60" w:after="60"/>
              <w:jc w:val="left"/>
              <w:rPr>
                <w:bCs/>
                <w:noProof/>
                <w:sz w:val="20"/>
                <w:szCs w:val="16"/>
              </w:rPr>
            </w:pPr>
            <w:r>
              <w:rPr>
                <w:bCs/>
                <w:noProof/>
                <w:sz w:val="20"/>
                <w:szCs w:val="16"/>
              </w:rPr>
              <w:t>Natural gas intensity (MWh/tonne)</w:t>
            </w:r>
          </w:p>
        </w:tc>
        <w:tc>
          <w:tcPr>
            <w:tcW w:w="472" w:type="pct"/>
            <w:shd w:val="clear" w:color="auto" w:fill="CEEBE6"/>
            <w:noWrap/>
            <w:vAlign w:val="center"/>
          </w:tcPr>
          <w:p>
            <w:pPr>
              <w:keepNext/>
              <w:spacing w:before="60" w:after="60"/>
              <w:jc w:val="center"/>
              <w:rPr>
                <w:bCs/>
                <w:noProof/>
                <w:sz w:val="20"/>
                <w:szCs w:val="16"/>
              </w:rPr>
            </w:pPr>
            <w:r>
              <w:rPr>
                <w:bCs/>
                <w:noProof/>
                <w:sz w:val="20"/>
                <w:szCs w:val="16"/>
              </w:rPr>
              <w:t>1.00</w:t>
            </w:r>
          </w:p>
        </w:tc>
        <w:tc>
          <w:tcPr>
            <w:tcW w:w="497" w:type="pct"/>
            <w:shd w:val="clear" w:color="auto" w:fill="CEEBE6"/>
            <w:noWrap/>
            <w:vAlign w:val="center"/>
          </w:tcPr>
          <w:p>
            <w:pPr>
              <w:keepNext/>
              <w:spacing w:before="60" w:after="60"/>
              <w:jc w:val="center"/>
              <w:rPr>
                <w:bCs/>
                <w:noProof/>
                <w:sz w:val="20"/>
                <w:szCs w:val="16"/>
              </w:rPr>
            </w:pPr>
            <w:r>
              <w:rPr>
                <w:bCs/>
                <w:noProof/>
                <w:sz w:val="20"/>
                <w:szCs w:val="16"/>
              </w:rPr>
              <w:t>1.01</w:t>
            </w:r>
          </w:p>
        </w:tc>
        <w:tc>
          <w:tcPr>
            <w:tcW w:w="497" w:type="pct"/>
            <w:shd w:val="clear" w:color="auto" w:fill="CEEBE6"/>
            <w:noWrap/>
            <w:vAlign w:val="center"/>
          </w:tcPr>
          <w:p>
            <w:pPr>
              <w:keepNext/>
              <w:spacing w:before="60" w:after="60"/>
              <w:jc w:val="center"/>
              <w:rPr>
                <w:bCs/>
                <w:noProof/>
                <w:sz w:val="20"/>
                <w:szCs w:val="16"/>
              </w:rPr>
            </w:pPr>
            <w:r>
              <w:rPr>
                <w:bCs/>
                <w:noProof/>
                <w:sz w:val="20"/>
                <w:szCs w:val="16"/>
              </w:rPr>
              <w:t>0.97</w:t>
            </w:r>
          </w:p>
        </w:tc>
        <w:tc>
          <w:tcPr>
            <w:tcW w:w="497" w:type="pct"/>
            <w:shd w:val="clear" w:color="auto" w:fill="CEEBE6"/>
            <w:noWrap/>
            <w:vAlign w:val="center"/>
          </w:tcPr>
          <w:p>
            <w:pPr>
              <w:keepNext/>
              <w:spacing w:before="60" w:after="60"/>
              <w:jc w:val="center"/>
              <w:rPr>
                <w:bCs/>
                <w:noProof/>
                <w:sz w:val="20"/>
                <w:szCs w:val="16"/>
              </w:rPr>
            </w:pPr>
            <w:r>
              <w:rPr>
                <w:bCs/>
                <w:noProof/>
                <w:sz w:val="20"/>
                <w:szCs w:val="16"/>
              </w:rPr>
              <w:t>0.94</w:t>
            </w:r>
          </w:p>
        </w:tc>
        <w:tc>
          <w:tcPr>
            <w:tcW w:w="497" w:type="pct"/>
            <w:shd w:val="clear" w:color="auto" w:fill="CEEBE6"/>
            <w:noWrap/>
            <w:vAlign w:val="center"/>
          </w:tcPr>
          <w:p>
            <w:pPr>
              <w:keepNext/>
              <w:spacing w:before="60" w:after="60"/>
              <w:jc w:val="center"/>
              <w:rPr>
                <w:bCs/>
                <w:noProof/>
                <w:sz w:val="20"/>
                <w:szCs w:val="16"/>
              </w:rPr>
            </w:pPr>
            <w:r>
              <w:rPr>
                <w:bCs/>
                <w:noProof/>
                <w:sz w:val="20"/>
                <w:szCs w:val="16"/>
              </w:rPr>
              <w:t>1.00</w:t>
            </w:r>
          </w:p>
        </w:tc>
        <w:tc>
          <w:tcPr>
            <w:tcW w:w="497" w:type="pct"/>
            <w:shd w:val="clear" w:color="auto" w:fill="CEEBE6"/>
            <w:noWrap/>
            <w:vAlign w:val="center"/>
          </w:tcPr>
          <w:p>
            <w:pPr>
              <w:keepNext/>
              <w:spacing w:before="60" w:after="60"/>
              <w:jc w:val="center"/>
              <w:rPr>
                <w:bCs/>
                <w:noProof/>
                <w:sz w:val="20"/>
                <w:szCs w:val="16"/>
              </w:rPr>
            </w:pPr>
            <w:r>
              <w:rPr>
                <w:bCs/>
                <w:noProof/>
                <w:sz w:val="20"/>
                <w:szCs w:val="16"/>
              </w:rPr>
              <w:t>0.95</w:t>
            </w:r>
          </w:p>
        </w:tc>
        <w:tc>
          <w:tcPr>
            <w:tcW w:w="498" w:type="pct"/>
            <w:shd w:val="clear" w:color="auto" w:fill="CEEBE6"/>
            <w:noWrap/>
            <w:vAlign w:val="center"/>
          </w:tcPr>
          <w:p>
            <w:pPr>
              <w:keepNext/>
              <w:spacing w:before="60" w:after="60"/>
              <w:jc w:val="center"/>
              <w:rPr>
                <w:bCs/>
                <w:noProof/>
                <w:sz w:val="20"/>
                <w:szCs w:val="16"/>
              </w:rPr>
            </w:pPr>
            <w:r>
              <w:rPr>
                <w:bCs/>
                <w:noProof/>
                <w:sz w:val="20"/>
                <w:szCs w:val="16"/>
              </w:rPr>
              <w:t>0.88</w:t>
            </w:r>
          </w:p>
        </w:tc>
        <w:tc>
          <w:tcPr>
            <w:tcW w:w="498" w:type="pct"/>
            <w:shd w:val="clear" w:color="auto" w:fill="CEEBE6"/>
            <w:noWrap/>
            <w:vAlign w:val="center"/>
          </w:tcPr>
          <w:p>
            <w:pPr>
              <w:keepNext/>
              <w:spacing w:before="60" w:after="60"/>
              <w:jc w:val="center"/>
              <w:rPr>
                <w:bCs/>
                <w:noProof/>
                <w:sz w:val="20"/>
                <w:szCs w:val="16"/>
              </w:rPr>
            </w:pPr>
            <w:r>
              <w:rPr>
                <w:bCs/>
                <w:noProof/>
                <w:sz w:val="20"/>
                <w:szCs w:val="16"/>
              </w:rPr>
              <w:t>1.15</w:t>
            </w:r>
          </w:p>
        </w:tc>
      </w:tr>
    </w:tbl>
    <w:p>
      <w:pPr>
        <w:pStyle w:val="Sources"/>
        <w:rPr>
          <w:noProof/>
        </w:rPr>
      </w:pPr>
      <w:r>
        <w:rPr>
          <w:noProof/>
        </w:rPr>
        <w:t>Source: CEPS/Ecofys.</w:t>
      </w:r>
    </w:p>
    <w:p>
      <w:pPr>
        <w:rPr>
          <w:noProof/>
        </w:rPr>
      </w:pPr>
    </w:p>
    <w:p>
      <w:pPr>
        <w:pStyle w:val="Caption"/>
        <w:rPr>
          <w:rFonts w:eastAsia="Times New Roman"/>
          <w:color w:val="000000"/>
          <w:lang w:eastAsia="en-GB"/>
        </w:rPr>
      </w:pPr>
      <w:bookmarkStart w:id="143" w:name="_Ref529811076"/>
      <w:bookmarkStart w:id="144" w:name="_Toc530741718"/>
      <w:r>
        <w:t xml:space="preserve">Figure </w:t>
      </w:r>
      <w:r>
        <w:fldChar w:fldCharType="begin"/>
      </w:r>
      <w:r>
        <w:instrText xml:space="preserve"> SEQ Figure \* ARABIC </w:instrText>
      </w:r>
      <w:r>
        <w:fldChar w:fldCharType="separate"/>
      </w:r>
      <w:r>
        <w:t>25</w:t>
      </w:r>
      <w:r>
        <w:fldChar w:fldCharType="end"/>
      </w:r>
      <w:bookmarkEnd w:id="143"/>
      <w:r>
        <w:t xml:space="preserve">. </w:t>
      </w:r>
      <w:r>
        <w:rPr>
          <w:rFonts w:eastAsia="Times New Roman"/>
          <w:color w:val="000000"/>
          <w:lang w:eastAsia="en-GB"/>
        </w:rPr>
        <w:t>Natural gas prices</w:t>
      </w:r>
      <w:r>
        <w:t xml:space="preserve"> of primary aluminium production</w:t>
      </w:r>
      <w:r>
        <w:rPr>
          <w:rFonts w:eastAsia="Times New Roman"/>
          <w:color w:val="000000"/>
          <w:lang w:eastAsia="en-GB"/>
        </w:rPr>
        <w:t xml:space="preserve"> (€/MWh)</w:t>
      </w:r>
      <w:bookmarkEnd w:id="144"/>
    </w:p>
    <w:p>
      <w:pPr>
        <w:pStyle w:val="Sources"/>
        <w:keepNext/>
        <w:rPr>
          <w:noProof/>
        </w:rPr>
      </w:pPr>
      <w:r>
        <w:rPr>
          <w:noProof/>
          <w:lang w:eastAsia="en-GB"/>
        </w:rPr>
        <w:drawing>
          <wp:inline distT="0" distB="0" distL="0" distR="0">
            <wp:extent cx="5732780" cy="2584450"/>
            <wp:effectExtent l="0" t="0" r="1270" b="6350"/>
            <wp:docPr id="5" name="Picture 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39"/>
                    <pic:cNvPicPr>
                      <a:picLocks noGrp="1" noRot="1" noChangeAspect="1" noMove="1" noResize="1" noEditPoints="1" noAdjustHandles="1" noChangeArrowheads="1" noChangeShapeType="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258445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45" w:name="_Ref529811819"/>
      <w:bookmarkStart w:id="146" w:name="_Toc530741719"/>
      <w:r>
        <w:t xml:space="preserve">Figure </w:t>
      </w:r>
      <w:r>
        <w:fldChar w:fldCharType="begin"/>
      </w:r>
      <w:r>
        <w:instrText xml:space="preserve"> SEQ Figure \* ARABIC </w:instrText>
      </w:r>
      <w:r>
        <w:fldChar w:fldCharType="separate"/>
      </w:r>
      <w:r>
        <w:t>26</w:t>
      </w:r>
      <w:r>
        <w:fldChar w:fldCharType="end"/>
      </w:r>
      <w:bookmarkEnd w:id="145"/>
      <w:r>
        <w:t xml:space="preserve">. </w:t>
      </w:r>
      <w:r>
        <w:rPr>
          <w:rFonts w:eastAsia="Times New Roman"/>
          <w:color w:val="000000"/>
          <w:lang w:eastAsia="en-GB"/>
        </w:rPr>
        <w:t>Natural gas costs</w:t>
      </w:r>
      <w:r>
        <w:t xml:space="preserve"> of primary aluminium production</w:t>
      </w:r>
      <w:r>
        <w:rPr>
          <w:rFonts w:eastAsia="Times New Roman"/>
          <w:color w:val="000000"/>
          <w:lang w:eastAsia="en-GB"/>
        </w:rPr>
        <w:t xml:space="preserve"> (€/tonne)</w:t>
      </w:r>
      <w:bookmarkEnd w:id="146"/>
    </w:p>
    <w:p>
      <w:pPr>
        <w:pStyle w:val="Sources"/>
        <w:keepNext/>
        <w:rPr>
          <w:noProof/>
        </w:rPr>
      </w:pPr>
      <w:r>
        <w:rPr>
          <w:noProof/>
          <w:lang w:eastAsia="en-GB"/>
        </w:rPr>
        <w:drawing>
          <wp:inline distT="0" distB="0" distL="0" distR="0">
            <wp:extent cx="5732780" cy="2647950"/>
            <wp:effectExtent l="0" t="0" r="1270" b="0"/>
            <wp:docPr id="6" name="Picture 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56"/>
                    <pic:cNvPicPr>
                      <a:picLocks noGrp="1" noRot="1" noChangeAspect="1" noMove="1" noResize="1" noEditPoints="1" noAdjustHandles="1"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780" cy="264795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47" w:name="_Ref529812366"/>
      <w:bookmarkStart w:id="148" w:name="_Toc530741720"/>
      <w:r>
        <w:t xml:space="preserve">Figure </w:t>
      </w:r>
      <w:r>
        <w:fldChar w:fldCharType="begin"/>
      </w:r>
      <w:r>
        <w:instrText xml:space="preserve"> SEQ Figure \* ARABIC </w:instrText>
      </w:r>
      <w:r>
        <w:fldChar w:fldCharType="separate"/>
      </w:r>
      <w:r>
        <w:t>27</w:t>
      </w:r>
      <w:r>
        <w:fldChar w:fldCharType="end"/>
      </w:r>
      <w:bookmarkEnd w:id="147"/>
      <w:r>
        <w:t xml:space="preserve">. </w:t>
      </w:r>
      <w:r>
        <w:rPr>
          <w:rFonts w:eastAsia="Times New Roman"/>
          <w:color w:val="000000"/>
          <w:lang w:eastAsia="en-GB"/>
        </w:rPr>
        <w:t xml:space="preserve">Natural gas intensity </w:t>
      </w:r>
      <w:r>
        <w:t>of primary aluminium production</w:t>
      </w:r>
      <w:r>
        <w:rPr>
          <w:rFonts w:eastAsia="Times New Roman"/>
          <w:color w:val="000000"/>
          <w:lang w:eastAsia="en-GB"/>
        </w:rPr>
        <w:t xml:space="preserve"> (MWh/tonne)</w:t>
      </w:r>
      <w:bookmarkEnd w:id="148"/>
    </w:p>
    <w:p>
      <w:pPr>
        <w:pStyle w:val="Sources"/>
        <w:keepNext/>
        <w:rPr>
          <w:noProof/>
        </w:rPr>
      </w:pPr>
      <w:r>
        <w:rPr>
          <w:noProof/>
          <w:lang w:eastAsia="en-GB"/>
        </w:rPr>
        <w:drawing>
          <wp:inline distT="0" distB="0" distL="0" distR="0">
            <wp:extent cx="5732780" cy="2647950"/>
            <wp:effectExtent l="0" t="0" r="1270" b="0"/>
            <wp:docPr id="7" name="Picture 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58"/>
                    <pic:cNvPicPr>
                      <a:picLocks noGrp="1" noRot="1" noChangeAspect="1" noMove="1" noResize="1" noEditPoints="1" noAdjustHandles="1" noChangeArrowheads="1" noChangeShapeType="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264795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rFonts w:eastAsia="Times New Roman"/>
          <w:bCs/>
          <w:noProof/>
          <w:color w:val="000000"/>
          <w:szCs w:val="24"/>
          <w:lang w:eastAsia="en-GB"/>
        </w:rPr>
      </w:pPr>
    </w:p>
    <w:p>
      <w:pPr>
        <w:spacing w:after="0"/>
        <w:jc w:val="left"/>
        <w:rPr>
          <w:rFonts w:eastAsia="Times New Roman"/>
          <w:b/>
          <w:bCs/>
          <w:i/>
          <w:noProof/>
          <w:color w:val="000000"/>
          <w:szCs w:val="24"/>
          <w:lang w:eastAsia="en-GB"/>
        </w:rPr>
      </w:pPr>
      <w:r>
        <w:rPr>
          <w:rFonts w:eastAsia="Times New Roman"/>
          <w:b/>
          <w:bCs/>
          <w:i/>
          <w:noProof/>
          <w:color w:val="000000"/>
          <w:szCs w:val="24"/>
          <w:lang w:eastAsia="en-GB"/>
        </w:rPr>
        <w:br w:type="page"/>
      </w: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149" w:name="_Ref529812590"/>
      <w:bookmarkStart w:id="150" w:name="_Toc530741803"/>
      <w:r>
        <w:t xml:space="preserve">Table </w:t>
      </w:r>
      <w:r>
        <w:fldChar w:fldCharType="begin"/>
      </w:r>
      <w:r>
        <w:instrText xml:space="preserve"> SEQ Table \* ARABIC </w:instrText>
      </w:r>
      <w:r>
        <w:fldChar w:fldCharType="separate"/>
      </w:r>
      <w:r>
        <w:t>10</w:t>
      </w:r>
      <w:r>
        <w:fldChar w:fldCharType="end"/>
      </w:r>
      <w:bookmarkEnd w:id="149"/>
      <w:r>
        <w:t>. Key competitiveness indicators of primary aluminium production</w:t>
      </w:r>
      <w:r>
        <w:rPr>
          <w:rFonts w:eastAsia="Times New Roman"/>
          <w:color w:val="000000"/>
          <w:lang w:eastAsia="en-GB"/>
        </w:rPr>
        <w:t xml:space="preserve"> </w:t>
      </w:r>
      <w:r>
        <w:t>(EU averages)</w:t>
      </w:r>
      <w:bookmarkEnd w:id="1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743"/>
        <w:gridCol w:w="743"/>
        <w:gridCol w:w="743"/>
        <w:gridCol w:w="743"/>
        <w:gridCol w:w="743"/>
        <w:gridCol w:w="743"/>
        <w:gridCol w:w="743"/>
        <w:gridCol w:w="735"/>
      </w:tblGrid>
      <w:tr>
        <w:trPr>
          <w:trHeight w:val="244"/>
          <w:tblHeader/>
          <w:jc w:val="center"/>
        </w:trPr>
        <w:tc>
          <w:tcPr>
            <w:tcW w:w="1804"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0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3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804"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28.7</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33.5</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39.2</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36.7</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38.8</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41.6</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41.6</w:t>
            </w:r>
          </w:p>
        </w:tc>
        <w:tc>
          <w:tcPr>
            <w:tcW w:w="397" w:type="pct"/>
            <w:shd w:val="clear" w:color="auto" w:fill="CEEBE6"/>
            <w:noWrap/>
            <w:vAlign w:val="center"/>
          </w:tcPr>
          <w:p>
            <w:pPr>
              <w:spacing w:before="60" w:after="60"/>
              <w:jc w:val="center"/>
              <w:rPr>
                <w:noProof/>
                <w:color w:val="000000"/>
                <w:sz w:val="20"/>
                <w:szCs w:val="16"/>
              </w:rPr>
            </w:pPr>
            <w:r>
              <w:rPr>
                <w:noProof/>
                <w:color w:val="000000"/>
                <w:sz w:val="20"/>
                <w:szCs w:val="16"/>
              </w:rPr>
              <w:t>38.3</w:t>
            </w:r>
          </w:p>
        </w:tc>
      </w:tr>
      <w:tr>
        <w:trPr>
          <w:trHeight w:val="244"/>
          <w:jc w:val="center"/>
        </w:trPr>
        <w:tc>
          <w:tcPr>
            <w:tcW w:w="1804"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1.6</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1.4</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1.7</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1.6</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1.9</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1.6</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1.3</w:t>
            </w:r>
          </w:p>
        </w:tc>
        <w:tc>
          <w:tcPr>
            <w:tcW w:w="397" w:type="pct"/>
            <w:shd w:val="clear" w:color="auto" w:fill="auto"/>
            <w:noWrap/>
            <w:vAlign w:val="center"/>
          </w:tcPr>
          <w:p>
            <w:pPr>
              <w:spacing w:before="60" w:after="60"/>
              <w:jc w:val="center"/>
              <w:rPr>
                <w:noProof/>
                <w:color w:val="000000"/>
                <w:sz w:val="20"/>
                <w:szCs w:val="16"/>
              </w:rPr>
            </w:pPr>
            <w:r>
              <w:rPr>
                <w:noProof/>
                <w:color w:val="000000"/>
                <w:sz w:val="20"/>
                <w:szCs w:val="16"/>
              </w:rPr>
              <w:t>1.5</w:t>
            </w:r>
          </w:p>
        </w:tc>
      </w:tr>
      <w:tr>
        <w:trPr>
          <w:trHeight w:val="244"/>
          <w:jc w:val="center"/>
        </w:trPr>
        <w:tc>
          <w:tcPr>
            <w:tcW w:w="1804" w:type="pct"/>
            <w:shd w:val="clear" w:color="auto" w:fill="CEEBE6"/>
            <w:noWrap/>
            <w:vAlign w:val="center"/>
          </w:tcPr>
          <w:p>
            <w:pPr>
              <w:spacing w:before="60" w:after="60"/>
              <w:jc w:val="left"/>
              <w:rPr>
                <w:b/>
                <w:bCs/>
                <w:noProof/>
                <w:sz w:val="20"/>
                <w:szCs w:val="16"/>
              </w:rPr>
            </w:pPr>
            <w:r>
              <w:rPr>
                <w:bCs/>
                <w:noProof/>
                <w:sz w:val="20"/>
                <w:szCs w:val="16"/>
              </w:rPr>
              <w:t>Share of total energy costs in production costs (%)</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30.3</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34.8</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40.9</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38.2</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40.7</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43.2</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42.9</w:t>
            </w:r>
          </w:p>
        </w:tc>
        <w:tc>
          <w:tcPr>
            <w:tcW w:w="397" w:type="pct"/>
            <w:shd w:val="clear" w:color="auto" w:fill="CEEBE6"/>
            <w:noWrap/>
            <w:vAlign w:val="center"/>
          </w:tcPr>
          <w:p>
            <w:pPr>
              <w:spacing w:before="60" w:after="60"/>
              <w:jc w:val="center"/>
              <w:rPr>
                <w:noProof/>
                <w:color w:val="000000"/>
                <w:sz w:val="20"/>
                <w:szCs w:val="16"/>
              </w:rPr>
            </w:pPr>
            <w:r>
              <w:rPr>
                <w:noProof/>
                <w:color w:val="000000"/>
                <w:sz w:val="20"/>
                <w:szCs w:val="16"/>
              </w:rPr>
              <w:t>39.8</w:t>
            </w:r>
          </w:p>
        </w:tc>
      </w:tr>
      <w:tr>
        <w:trPr>
          <w:trHeight w:val="244"/>
          <w:jc w:val="center"/>
        </w:trPr>
        <w:tc>
          <w:tcPr>
            <w:tcW w:w="1804" w:type="pct"/>
            <w:shd w:val="clear" w:color="auto" w:fill="auto"/>
            <w:noWrap/>
            <w:vAlign w:val="center"/>
          </w:tcPr>
          <w:p>
            <w:pPr>
              <w:spacing w:before="60" w:after="60"/>
              <w:jc w:val="left"/>
              <w:rPr>
                <w:bCs/>
                <w:noProof/>
                <w:sz w:val="20"/>
                <w:szCs w:val="16"/>
              </w:rPr>
            </w:pPr>
            <w:r>
              <w:rPr>
                <w:bCs/>
                <w:noProof/>
                <w:sz w:val="20"/>
                <w:szCs w:val="16"/>
              </w:rPr>
              <w:t>Total energy costs (€/tonne)</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486.8</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516.6</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635.4</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577.6</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562.3</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610.1</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561.2</w:t>
            </w:r>
          </w:p>
        </w:tc>
        <w:tc>
          <w:tcPr>
            <w:tcW w:w="397" w:type="pct"/>
            <w:shd w:val="clear" w:color="auto" w:fill="auto"/>
            <w:noWrap/>
            <w:vAlign w:val="center"/>
          </w:tcPr>
          <w:p>
            <w:pPr>
              <w:spacing w:before="60" w:after="60"/>
              <w:jc w:val="center"/>
              <w:rPr>
                <w:noProof/>
                <w:color w:val="000000"/>
                <w:sz w:val="20"/>
                <w:szCs w:val="16"/>
              </w:rPr>
            </w:pPr>
            <w:r>
              <w:rPr>
                <w:noProof/>
                <w:color w:val="000000"/>
                <w:sz w:val="20"/>
                <w:szCs w:val="16"/>
              </w:rPr>
              <w:t>563.6</w:t>
            </w:r>
          </w:p>
        </w:tc>
      </w:tr>
      <w:tr>
        <w:trPr>
          <w:trHeight w:val="244"/>
          <w:jc w:val="center"/>
        </w:trPr>
        <w:tc>
          <w:tcPr>
            <w:tcW w:w="1804" w:type="pct"/>
            <w:shd w:val="clear" w:color="auto" w:fill="CEEBE6"/>
            <w:noWrap/>
            <w:vAlign w:val="center"/>
          </w:tcPr>
          <w:p>
            <w:pPr>
              <w:spacing w:before="60" w:after="60"/>
              <w:jc w:val="left"/>
              <w:rPr>
                <w:bCs/>
                <w:noProof/>
                <w:sz w:val="20"/>
                <w:szCs w:val="16"/>
              </w:rPr>
            </w:pPr>
            <w:r>
              <w:rPr>
                <w:bCs/>
                <w:noProof/>
                <w:sz w:val="20"/>
                <w:szCs w:val="16"/>
              </w:rPr>
              <w:t>EBITDA (€/tonne)</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350.0</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247.0</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204.2</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130.8</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206.5</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293.1</w:t>
            </w:r>
          </w:p>
        </w:tc>
        <w:tc>
          <w:tcPr>
            <w:tcW w:w="400" w:type="pct"/>
            <w:shd w:val="clear" w:color="auto" w:fill="CEEBE6"/>
            <w:noWrap/>
            <w:vAlign w:val="center"/>
          </w:tcPr>
          <w:p>
            <w:pPr>
              <w:spacing w:before="60" w:after="60"/>
              <w:jc w:val="center"/>
              <w:rPr>
                <w:noProof/>
                <w:color w:val="000000"/>
                <w:sz w:val="20"/>
                <w:szCs w:val="16"/>
              </w:rPr>
            </w:pPr>
            <w:r>
              <w:rPr>
                <w:noProof/>
                <w:color w:val="000000"/>
                <w:sz w:val="20"/>
                <w:szCs w:val="16"/>
              </w:rPr>
              <w:t>166.0</w:t>
            </w:r>
          </w:p>
        </w:tc>
        <w:tc>
          <w:tcPr>
            <w:tcW w:w="397" w:type="pct"/>
            <w:shd w:val="clear" w:color="auto" w:fill="CEEBE6"/>
            <w:noWrap/>
            <w:vAlign w:val="center"/>
          </w:tcPr>
          <w:p>
            <w:pPr>
              <w:spacing w:before="60" w:after="60"/>
              <w:jc w:val="center"/>
              <w:rPr>
                <w:noProof/>
                <w:color w:val="000000"/>
                <w:sz w:val="20"/>
                <w:szCs w:val="16"/>
              </w:rPr>
            </w:pPr>
            <w:r>
              <w:rPr>
                <w:noProof/>
                <w:color w:val="000000"/>
                <w:sz w:val="20"/>
                <w:szCs w:val="16"/>
              </w:rPr>
              <w:t>231.1</w:t>
            </w:r>
          </w:p>
        </w:tc>
      </w:tr>
      <w:tr>
        <w:trPr>
          <w:trHeight w:val="244"/>
          <w:jc w:val="center"/>
        </w:trPr>
        <w:tc>
          <w:tcPr>
            <w:tcW w:w="1804" w:type="pct"/>
            <w:shd w:val="clear" w:color="auto" w:fill="auto"/>
            <w:noWrap/>
            <w:vAlign w:val="center"/>
          </w:tcPr>
          <w:p>
            <w:pPr>
              <w:keepNext/>
              <w:spacing w:before="60" w:after="60"/>
              <w:jc w:val="left"/>
              <w:rPr>
                <w:bCs/>
                <w:noProof/>
                <w:sz w:val="20"/>
                <w:szCs w:val="16"/>
              </w:rPr>
            </w:pPr>
            <w:r>
              <w:rPr>
                <w:bCs/>
                <w:noProof/>
                <w:sz w:val="20"/>
                <w:szCs w:val="16"/>
              </w:rPr>
              <w:t>Ratio of total energy costs to EBITDA</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1.4</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2.1</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3.1</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4.4</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2.7</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2.1</w:t>
            </w:r>
          </w:p>
        </w:tc>
        <w:tc>
          <w:tcPr>
            <w:tcW w:w="400" w:type="pct"/>
            <w:shd w:val="clear" w:color="auto" w:fill="auto"/>
            <w:noWrap/>
            <w:vAlign w:val="center"/>
          </w:tcPr>
          <w:p>
            <w:pPr>
              <w:spacing w:before="60" w:after="60"/>
              <w:jc w:val="center"/>
              <w:rPr>
                <w:noProof/>
                <w:color w:val="000000"/>
                <w:sz w:val="20"/>
                <w:szCs w:val="16"/>
              </w:rPr>
            </w:pPr>
            <w:r>
              <w:rPr>
                <w:noProof/>
                <w:color w:val="000000"/>
                <w:sz w:val="20"/>
                <w:szCs w:val="16"/>
              </w:rPr>
              <w:t>3.4</w:t>
            </w:r>
          </w:p>
        </w:tc>
        <w:tc>
          <w:tcPr>
            <w:tcW w:w="397" w:type="pct"/>
            <w:shd w:val="clear" w:color="auto" w:fill="auto"/>
            <w:noWrap/>
            <w:vAlign w:val="center"/>
          </w:tcPr>
          <w:p>
            <w:pPr>
              <w:spacing w:before="60" w:after="60"/>
              <w:jc w:val="center"/>
              <w:rPr>
                <w:noProof/>
                <w:color w:val="000000"/>
                <w:sz w:val="20"/>
                <w:szCs w:val="16"/>
              </w:rPr>
            </w:pPr>
            <w:r>
              <w:rPr>
                <w:noProof/>
                <w:color w:val="000000"/>
                <w:sz w:val="20"/>
                <w:szCs w:val="16"/>
              </w:rPr>
              <w:t>2.4</w:t>
            </w:r>
          </w:p>
        </w:tc>
      </w:tr>
    </w:tbl>
    <w:p>
      <w:pPr>
        <w:pStyle w:val="Sources"/>
        <w:rPr>
          <w:noProof/>
        </w:rPr>
      </w:pPr>
      <w:r>
        <w:rPr>
          <w:noProof/>
        </w:rPr>
        <w:t>Source: CEPS/Ecofys.</w:t>
      </w:r>
    </w:p>
    <w:p>
      <w:pPr>
        <w:rPr>
          <w:noProof/>
          <w:lang w:eastAsia="it-IT"/>
        </w:rPr>
      </w:pPr>
    </w:p>
    <w:p>
      <w:pPr>
        <w:pStyle w:val="Caption"/>
        <w:rPr>
          <w:rFonts w:eastAsia="Times New Roman"/>
          <w:color w:val="000000"/>
          <w:lang w:eastAsia="en-GB"/>
        </w:rPr>
      </w:pPr>
      <w:bookmarkStart w:id="151" w:name="_Ref529813391"/>
      <w:bookmarkStart w:id="152" w:name="_Toc530741721"/>
      <w:r>
        <w:t xml:space="preserve">Figure </w:t>
      </w:r>
      <w:r>
        <w:fldChar w:fldCharType="begin"/>
      </w:r>
      <w:r>
        <w:instrText xml:space="preserve"> SEQ Figure \* ARABIC </w:instrText>
      </w:r>
      <w:r>
        <w:fldChar w:fldCharType="separate"/>
      </w:r>
      <w:r>
        <w:t>28</w:t>
      </w:r>
      <w:r>
        <w:fldChar w:fldCharType="end"/>
      </w:r>
      <w:bookmarkEnd w:id="151"/>
      <w:r>
        <w:t xml:space="preserve">. </w:t>
      </w:r>
      <w:r>
        <w:rPr>
          <w:rFonts w:eastAsia="Times New Roman"/>
          <w:color w:val="000000"/>
          <w:lang w:eastAsia="en-GB"/>
        </w:rPr>
        <w:t xml:space="preserve">Energy costs versus EBITDA </w:t>
      </w:r>
      <w:r>
        <w:t>of primary aluminium production</w:t>
      </w:r>
      <w:r>
        <w:rPr>
          <w:rFonts w:eastAsia="Times New Roman"/>
          <w:color w:val="000000"/>
          <w:lang w:eastAsia="en-GB"/>
        </w:rPr>
        <w:t xml:space="preserve"> (€/tonne)</w:t>
      </w:r>
      <w:bookmarkEnd w:id="152"/>
    </w:p>
    <w:p>
      <w:pPr>
        <w:pStyle w:val="Sources"/>
        <w:keepNext/>
        <w:rPr>
          <w:noProof/>
        </w:rPr>
      </w:pPr>
      <w:r>
        <w:rPr>
          <w:noProof/>
          <w:lang w:eastAsia="en-GB"/>
        </w:rPr>
        <w:drawing>
          <wp:inline distT="0" distB="0" distL="0" distR="0">
            <wp:extent cx="5760720" cy="354140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541402"/>
                    </a:xfrm>
                    <a:prstGeom prst="rect">
                      <a:avLst/>
                    </a:prstGeom>
                    <a:noFill/>
                    <a:ln>
                      <a:noFill/>
                    </a:ln>
                  </pic:spPr>
                </pic:pic>
              </a:graphicData>
            </a:graphic>
          </wp:inline>
        </w:drawing>
      </w:r>
    </w:p>
    <w:p>
      <w:pPr>
        <w:pStyle w:val="Sources"/>
        <w:keepNext/>
        <w:tabs>
          <w:tab w:val="left" w:pos="142"/>
        </w:tabs>
        <w:rPr>
          <w:noProof/>
        </w:rPr>
      </w:pPr>
      <w:r>
        <w:rPr>
          <w:noProof/>
        </w:rPr>
        <w:tab/>
        <w:t>Source: CEPS/Ecofys.</w:t>
      </w:r>
    </w:p>
    <w:p>
      <w:pPr>
        <w:rPr>
          <w:noProof/>
        </w:rPr>
      </w:pPr>
    </w:p>
    <w:p>
      <w:pPr>
        <w:spacing w:after="0"/>
        <w:jc w:val="left"/>
        <w:rPr>
          <w:rFonts w:eastAsia="Times New Roman"/>
          <w:b/>
          <w:bCs/>
          <w:noProof/>
          <w:color w:val="000000"/>
          <w:sz w:val="32"/>
          <w:szCs w:val="32"/>
          <w:lang w:eastAsia="en-GB"/>
        </w:rPr>
      </w:pPr>
      <w:r>
        <w:rPr>
          <w:noProof/>
          <w:lang w:eastAsia="en-GB"/>
        </w:rPr>
        <w:br w:type="page"/>
      </w:r>
    </w:p>
    <w:p>
      <w:pPr>
        <w:pStyle w:val="Heading3"/>
        <w:rPr>
          <w:noProof/>
        </w:rPr>
      </w:pPr>
      <w:bookmarkStart w:id="153" w:name="_Toc530741647"/>
      <w:r>
        <w:rPr>
          <w:noProof/>
        </w:rPr>
        <w:t>Secondary aluminium plants</w:t>
      </w:r>
      <w:bookmarkEnd w:id="153"/>
    </w:p>
    <w:p>
      <w:pPr>
        <w:pStyle w:val="Heading4"/>
        <w:rPr>
          <w:noProof/>
        </w:rPr>
      </w:pPr>
      <w:bookmarkStart w:id="154" w:name="_Toc530741648"/>
      <w:r>
        <w:rPr>
          <w:noProof/>
        </w:rPr>
        <w:t>Electricity prices, costs and intensity</w:t>
      </w:r>
      <w:bookmarkEnd w:id="154"/>
    </w:p>
    <w:p>
      <w:pPr>
        <w:rPr>
          <w:noProof/>
          <w:lang w:eastAsia="en-GB"/>
        </w:rPr>
      </w:pPr>
      <w:r>
        <w:rPr>
          <w:noProof/>
        </w:rPr>
        <w:t xml:space="preserve">Key electricity indicators for secondary aluminium plants are presented in </w:t>
      </w:r>
      <w:r>
        <w:rPr>
          <w:noProof/>
        </w:rPr>
        <w:fldChar w:fldCharType="begin"/>
      </w:r>
      <w:r>
        <w:rPr>
          <w:noProof/>
        </w:rPr>
        <w:instrText xml:space="preserve"> REF _Ref530061970 \h </w:instrText>
      </w:r>
      <w:r>
        <w:rPr>
          <w:noProof/>
        </w:rPr>
      </w:r>
      <w:r>
        <w:rPr>
          <w:noProof/>
        </w:rPr>
        <w:fldChar w:fldCharType="separate"/>
      </w:r>
      <w:r>
        <w:rPr>
          <w:noProof/>
        </w:rPr>
        <w:t>Table 11</w:t>
      </w:r>
      <w:r>
        <w:rPr>
          <w:noProof/>
        </w:rPr>
        <w:fldChar w:fldCharType="end"/>
      </w:r>
      <w:r>
        <w:rPr>
          <w:noProof/>
        </w:rPr>
        <w:t>.</w:t>
      </w:r>
    </w:p>
    <w:p>
      <w:pPr>
        <w:rPr>
          <w:noProof/>
          <w:lang w:eastAsia="en-GB"/>
        </w:rPr>
      </w:pPr>
      <w:r>
        <w:rPr>
          <w:noProof/>
          <w:lang w:eastAsia="en-GB"/>
        </w:rPr>
        <w:t>EU average e</w:t>
      </w:r>
      <w:r>
        <w:rPr>
          <w:noProof/>
        </w:rPr>
        <w:t xml:space="preserve">lectricity </w:t>
      </w:r>
      <w:r>
        <w:rPr>
          <w:noProof/>
          <w:lang w:eastAsia="en-GB"/>
        </w:rPr>
        <w:t xml:space="preserve">prices fluctuated over the period but decreased overall (101 EUR/MWh in 2008 vs. 90 EUR/MWh in 2017) with a peak in 2012 (129 EUR/MWh). </w:t>
      </w:r>
      <w:r>
        <w:rPr>
          <w:noProof/>
        </w:rPr>
        <w:t>In terms of price components (</w:t>
      </w:r>
      <w:r>
        <w:rPr>
          <w:noProof/>
          <w:lang w:eastAsia="en-GB"/>
        </w:rPr>
        <w:fldChar w:fldCharType="begin"/>
      </w:r>
      <w:r>
        <w:rPr>
          <w:noProof/>
          <w:lang w:eastAsia="en-GB"/>
        </w:rPr>
        <w:instrText xml:space="preserve"> REF _Ref530062823 \h </w:instrText>
      </w:r>
      <w:r>
        <w:rPr>
          <w:noProof/>
          <w:lang w:eastAsia="en-GB"/>
        </w:rPr>
      </w:r>
      <w:r>
        <w:rPr>
          <w:noProof/>
          <w:lang w:eastAsia="en-GB"/>
        </w:rPr>
        <w:fldChar w:fldCharType="separate"/>
      </w:r>
      <w:r>
        <w:rPr>
          <w:noProof/>
        </w:rPr>
        <w:t>Figure 29</w:t>
      </w:r>
      <w:r>
        <w:rPr>
          <w:noProof/>
          <w:lang w:eastAsia="en-GB"/>
        </w:rPr>
        <w:fldChar w:fldCharType="end"/>
      </w:r>
      <w:r>
        <w:rPr>
          <w:noProof/>
          <w:lang w:eastAsia="en-GB"/>
        </w:rPr>
        <w:t xml:space="preserve">), the </w:t>
      </w:r>
      <w:r>
        <w:rPr>
          <w:noProof/>
        </w:rPr>
        <w:t>energy component went down between 2008 and 2017 (both in absolute and relative terms) and accounted for 55% of the price i</w:t>
      </w:r>
      <w:r>
        <w:rPr>
          <w:noProof/>
          <w:lang w:eastAsia="en-GB"/>
        </w:rPr>
        <w:t xml:space="preserve">n 2017, while the network component went up </w:t>
      </w:r>
      <w:r>
        <w:rPr>
          <w:noProof/>
        </w:rPr>
        <w:t>(both in absolute and relative terms) and accounted for 29% of the price i</w:t>
      </w:r>
      <w:r>
        <w:rPr>
          <w:noProof/>
          <w:lang w:eastAsia="en-GB"/>
        </w:rPr>
        <w:t>n 2017</w:t>
      </w:r>
      <w:r>
        <w:rPr>
          <w:noProof/>
        </w:rPr>
        <w:t xml:space="preserve">. </w:t>
      </w:r>
      <w:r>
        <w:rPr>
          <w:noProof/>
          <w:lang w:eastAsia="en-GB"/>
        </w:rPr>
        <w:t>It is interesting to note that larger secondary aluminium plants do not benefit from lower prices. Unlike primary aluminium producers, secondary aluminium plants mostly buy electricity through providers, with a limited number sourcing a share of their electricity from the wholesale market.</w:t>
      </w:r>
    </w:p>
    <w:p>
      <w:pPr>
        <w:rPr>
          <w:noProof/>
          <w:lang w:eastAsia="en-GB"/>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_Ref530064247 \h </w:instrText>
      </w:r>
      <w:r>
        <w:rPr>
          <w:noProof/>
          <w:lang w:eastAsia="en-GB"/>
        </w:rPr>
      </w:r>
      <w:r>
        <w:rPr>
          <w:noProof/>
          <w:lang w:eastAsia="en-GB"/>
        </w:rPr>
        <w:fldChar w:fldCharType="separate"/>
      </w:r>
      <w:r>
        <w:rPr>
          <w:noProof/>
        </w:rPr>
        <w:t>Figure 30</w:t>
      </w:r>
      <w:r>
        <w:rPr>
          <w:noProof/>
          <w:lang w:eastAsia="en-GB"/>
        </w:rPr>
        <w:fldChar w:fldCharType="end"/>
      </w:r>
      <w:r>
        <w:rPr>
          <w:noProof/>
          <w:lang w:eastAsia="en-GB"/>
        </w:rPr>
        <w:t xml:space="preserve">) decreased from 101 EUR/MWh in 2008 to 86 EUR/MWh in 2017, with a sharper decrease between 2016 and 2017. The small difference between electricity prices and costs in EUR/MWh is due to ex post electricity price reimbursements granted to some producers. </w:t>
      </w:r>
      <w:r>
        <w:rPr>
          <w:bCs/>
          <w:noProof/>
        </w:rPr>
        <w:t>EU average electricity costs in EUR/tonne</w:t>
      </w:r>
      <w:r>
        <w:rPr>
          <w:noProof/>
          <w:lang w:eastAsia="en-GB"/>
        </w:rPr>
        <w:t xml:space="preserve"> (</w:t>
      </w:r>
      <w:r>
        <w:rPr>
          <w:noProof/>
          <w:lang w:eastAsia="en-GB"/>
        </w:rPr>
        <w:fldChar w:fldCharType="begin"/>
      </w:r>
      <w:r>
        <w:rPr>
          <w:noProof/>
          <w:lang w:eastAsia="en-GB"/>
        </w:rPr>
        <w:instrText xml:space="preserve"> REF _Ref530064256 \h </w:instrText>
      </w:r>
      <w:r>
        <w:rPr>
          <w:noProof/>
          <w:lang w:eastAsia="en-GB"/>
        </w:rPr>
      </w:r>
      <w:r>
        <w:rPr>
          <w:noProof/>
          <w:lang w:eastAsia="en-GB"/>
        </w:rPr>
        <w:fldChar w:fldCharType="separate"/>
      </w:r>
      <w:r>
        <w:rPr>
          <w:noProof/>
        </w:rPr>
        <w:t>Figure 31</w:t>
      </w:r>
      <w:r>
        <w:rPr>
          <w:noProof/>
          <w:lang w:eastAsia="en-GB"/>
        </w:rPr>
        <w:fldChar w:fldCharType="end"/>
      </w:r>
      <w:r>
        <w:rPr>
          <w:noProof/>
          <w:lang w:eastAsia="en-GB"/>
        </w:rPr>
        <w:t>) fell from 42 EUR/tonne in 2008 to 27 EUR/tonne in 2017.</w:t>
      </w:r>
    </w:p>
    <w:p>
      <w:pPr>
        <w:rPr>
          <w:noProof/>
          <w:lang w:eastAsia="en-GB"/>
        </w:rPr>
      </w:pPr>
      <w:r>
        <w:rPr>
          <w:noProof/>
          <w:lang w:eastAsia="en-GB"/>
        </w:rPr>
        <w:t>EU average electricity intensity of secondary aluminium plants (</w:t>
      </w:r>
      <w:r>
        <w:rPr>
          <w:noProof/>
          <w:lang w:eastAsia="en-GB"/>
        </w:rPr>
        <w:fldChar w:fldCharType="begin"/>
      </w:r>
      <w:r>
        <w:rPr>
          <w:noProof/>
          <w:lang w:eastAsia="en-GB"/>
        </w:rPr>
        <w:instrText xml:space="preserve"> REF _Ref530064270 \h </w:instrText>
      </w:r>
      <w:r>
        <w:rPr>
          <w:noProof/>
          <w:lang w:eastAsia="en-GB"/>
        </w:rPr>
      </w:r>
      <w:r>
        <w:rPr>
          <w:noProof/>
          <w:lang w:eastAsia="en-GB"/>
        </w:rPr>
        <w:fldChar w:fldCharType="separate"/>
      </w:r>
      <w:r>
        <w:rPr>
          <w:noProof/>
        </w:rPr>
        <w:t>Figure 32</w:t>
      </w:r>
      <w:r>
        <w:rPr>
          <w:noProof/>
          <w:lang w:eastAsia="en-GB"/>
        </w:rPr>
        <w:fldChar w:fldCharType="end"/>
      </w:r>
      <w:r>
        <w:rPr>
          <w:noProof/>
          <w:lang w:eastAsia="en-GB"/>
        </w:rPr>
        <w:t>) decreased from 0.49 MWh/tonne in 2008 to 0.37 MWh/tonne in 2017.</w:t>
      </w:r>
    </w:p>
    <w:p>
      <w:pPr>
        <w:rPr>
          <w:noProof/>
          <w:lang w:eastAsia="en-GB"/>
        </w:rPr>
      </w:pPr>
    </w:p>
    <w:p>
      <w:pPr>
        <w:pStyle w:val="Heading4"/>
        <w:rPr>
          <w:noProof/>
        </w:rPr>
      </w:pPr>
      <w:bookmarkStart w:id="155" w:name="_Toc530741649"/>
      <w:r>
        <w:rPr>
          <w:noProof/>
        </w:rPr>
        <w:t>Natural gas prices, costs and intensity</w:t>
      </w:r>
      <w:bookmarkEnd w:id="155"/>
    </w:p>
    <w:p>
      <w:pPr>
        <w:rPr>
          <w:noProof/>
          <w:lang w:eastAsia="en-GB"/>
        </w:rPr>
      </w:pPr>
      <w:r>
        <w:rPr>
          <w:noProof/>
        </w:rPr>
        <w:t xml:space="preserve">Key natural gas indicators for secondary aluminium plants are presented in </w:t>
      </w:r>
      <w:r>
        <w:rPr>
          <w:noProof/>
        </w:rPr>
        <w:fldChar w:fldCharType="begin"/>
      </w:r>
      <w:r>
        <w:rPr>
          <w:noProof/>
        </w:rPr>
        <w:instrText xml:space="preserve"> REF _Ref530062023 \h </w:instrText>
      </w:r>
      <w:r>
        <w:rPr>
          <w:noProof/>
        </w:rPr>
      </w:r>
      <w:r>
        <w:rPr>
          <w:noProof/>
        </w:rPr>
        <w:fldChar w:fldCharType="separate"/>
      </w:r>
      <w:r>
        <w:rPr>
          <w:noProof/>
        </w:rPr>
        <w:t>Table 12</w:t>
      </w:r>
      <w:r>
        <w:rPr>
          <w:noProof/>
        </w:rPr>
        <w:fldChar w:fldCharType="end"/>
      </w:r>
      <w:r>
        <w:rPr>
          <w:noProof/>
        </w:rPr>
        <w:t>.</w:t>
      </w:r>
    </w:p>
    <w:p>
      <w:pPr>
        <w:rPr>
          <w:noProof/>
          <w:lang w:eastAsia="en-GB"/>
        </w:rPr>
      </w:pPr>
      <w:r>
        <w:rPr>
          <w:noProof/>
          <w:lang w:eastAsia="en-GB"/>
        </w:rPr>
        <w:t>EU average natural gas prices (</w:t>
      </w:r>
      <w:r>
        <w:rPr>
          <w:noProof/>
          <w:lang w:eastAsia="en-GB"/>
        </w:rPr>
        <w:fldChar w:fldCharType="begin"/>
      </w:r>
      <w:r>
        <w:rPr>
          <w:noProof/>
          <w:lang w:eastAsia="en-GB"/>
        </w:rPr>
        <w:instrText xml:space="preserve"> REF _Ref530066738 \h </w:instrText>
      </w:r>
      <w:r>
        <w:rPr>
          <w:noProof/>
          <w:lang w:eastAsia="en-GB"/>
        </w:rPr>
      </w:r>
      <w:r>
        <w:rPr>
          <w:noProof/>
          <w:lang w:eastAsia="en-GB"/>
        </w:rPr>
        <w:fldChar w:fldCharType="separate"/>
      </w:r>
      <w:r>
        <w:rPr>
          <w:noProof/>
        </w:rPr>
        <w:t>Figure 33</w:t>
      </w:r>
      <w:r>
        <w:rPr>
          <w:noProof/>
          <w:lang w:eastAsia="en-GB"/>
        </w:rPr>
        <w:fldChar w:fldCharType="end"/>
      </w:r>
      <w:r>
        <w:rPr>
          <w:noProof/>
          <w:lang w:eastAsia="en-GB"/>
        </w:rPr>
        <w:t xml:space="preserve">) dropped from 2008 to 2010, increased from 2010 to 2012 and then significantly decreased from 2012 to 2017. The prices were at 33 EUR/MWh in 2008 and 22 EUR/MWh in 2017. As shown in </w:t>
      </w:r>
      <w:r>
        <w:rPr>
          <w:noProof/>
          <w:lang w:eastAsia="en-GB"/>
        </w:rPr>
        <w:fldChar w:fldCharType="begin"/>
      </w:r>
      <w:r>
        <w:rPr>
          <w:noProof/>
          <w:lang w:eastAsia="en-GB"/>
        </w:rPr>
        <w:instrText xml:space="preserve"> REF _Ref530066770 \h </w:instrText>
      </w:r>
      <w:r>
        <w:rPr>
          <w:noProof/>
          <w:lang w:eastAsia="en-GB"/>
        </w:rPr>
      </w:r>
      <w:r>
        <w:rPr>
          <w:noProof/>
          <w:lang w:eastAsia="en-GB"/>
        </w:rPr>
        <w:fldChar w:fldCharType="separate"/>
      </w:r>
      <w:r>
        <w:rPr>
          <w:noProof/>
        </w:rPr>
        <w:t>Figure 34</w:t>
      </w:r>
      <w:r>
        <w:rPr>
          <w:noProof/>
          <w:lang w:eastAsia="en-GB"/>
        </w:rPr>
        <w:fldChar w:fldCharType="end"/>
      </w:r>
      <w:r>
        <w:rPr>
          <w:noProof/>
          <w:lang w:eastAsia="en-GB"/>
        </w:rPr>
        <w:t>, the natural gas price is made up mostly by the energy component (84% in 2017), though this share tends to decrease over time. Larger consumers bore slightly lower unit prices (weighted average is marginally below simple average).</w:t>
      </w:r>
    </w:p>
    <w:p>
      <w:pPr>
        <w:rPr>
          <w:noProof/>
          <w:lang w:eastAsia="en-GB"/>
        </w:rPr>
      </w:pPr>
      <w:r>
        <w:rPr>
          <w:noProof/>
          <w:lang w:eastAsia="en-GB"/>
        </w:rPr>
        <w:t>EU average natural gas costs (in EUR/tonne) declined from 62 EUR/tonne in 2008 to 35 EUR/tonne in 2017 (</w:t>
      </w:r>
      <w:r>
        <w:rPr>
          <w:noProof/>
          <w:lang w:eastAsia="en-GB"/>
        </w:rPr>
        <w:fldChar w:fldCharType="begin"/>
      </w:r>
      <w:r>
        <w:rPr>
          <w:noProof/>
          <w:lang w:eastAsia="en-GB"/>
        </w:rPr>
        <w:instrText xml:space="preserve"> REF _Ref530066750 \h </w:instrText>
      </w:r>
      <w:r>
        <w:rPr>
          <w:noProof/>
          <w:lang w:eastAsia="en-GB"/>
        </w:rPr>
      </w:r>
      <w:r>
        <w:rPr>
          <w:noProof/>
          <w:lang w:eastAsia="en-GB"/>
        </w:rPr>
        <w:fldChar w:fldCharType="separate"/>
      </w:r>
      <w:r>
        <w:rPr>
          <w:noProof/>
        </w:rPr>
        <w:t>Figure 35</w:t>
      </w:r>
      <w:r>
        <w:rPr>
          <w:noProof/>
          <w:lang w:eastAsia="en-GB"/>
        </w:rPr>
        <w:fldChar w:fldCharType="end"/>
      </w:r>
      <w:r>
        <w:rPr>
          <w:noProof/>
          <w:lang w:eastAsia="en-GB"/>
        </w:rPr>
        <w:t>).</w:t>
      </w:r>
    </w:p>
    <w:p>
      <w:pPr>
        <w:rPr>
          <w:noProof/>
          <w:lang w:eastAsia="en-GB"/>
        </w:rPr>
      </w:pPr>
      <w:r>
        <w:rPr>
          <w:noProof/>
          <w:lang w:eastAsia="en-GB"/>
        </w:rPr>
        <w:t>Overall, EU average natural gas intensity for secondary aluminium producers (</w:t>
      </w:r>
      <w:r>
        <w:rPr>
          <w:noProof/>
          <w:lang w:eastAsia="en-GB"/>
        </w:rPr>
        <w:fldChar w:fldCharType="begin"/>
      </w:r>
      <w:r>
        <w:rPr>
          <w:noProof/>
          <w:lang w:eastAsia="en-GB"/>
        </w:rPr>
        <w:instrText xml:space="preserve"> REF _Ref530066760 \h </w:instrText>
      </w:r>
      <w:r>
        <w:rPr>
          <w:noProof/>
          <w:lang w:eastAsia="en-GB"/>
        </w:rPr>
      </w:r>
      <w:r>
        <w:rPr>
          <w:noProof/>
          <w:lang w:eastAsia="en-GB"/>
        </w:rPr>
        <w:fldChar w:fldCharType="separate"/>
      </w:r>
      <w:r>
        <w:rPr>
          <w:noProof/>
        </w:rPr>
        <w:t>Figure 36</w:t>
      </w:r>
      <w:r>
        <w:rPr>
          <w:noProof/>
          <w:lang w:eastAsia="en-GB"/>
        </w:rPr>
        <w:fldChar w:fldCharType="end"/>
      </w:r>
      <w:r>
        <w:rPr>
          <w:noProof/>
          <w:lang w:eastAsia="en-GB"/>
        </w:rPr>
        <w:t>) decreased from 1.89 MWh/tonne in 2008 to 1.60 MWh/tonne in 2017. Larger plants tend to be more efficient than smaller ones (weighted average – by production output – natural gas intensity is constantly below simple average one).</w:t>
      </w:r>
    </w:p>
    <w:p>
      <w:pPr>
        <w:rPr>
          <w:noProof/>
          <w:lang w:eastAsia="en-GB"/>
        </w:rPr>
      </w:pPr>
    </w:p>
    <w:p>
      <w:pPr>
        <w:pStyle w:val="Heading4"/>
        <w:rPr>
          <w:noProof/>
        </w:rPr>
      </w:pPr>
      <w:bookmarkStart w:id="156" w:name="_Toc530741650"/>
      <w:r>
        <w:rPr>
          <w:noProof/>
        </w:rPr>
        <w:t>Competitiveness</w:t>
      </w:r>
      <w:bookmarkEnd w:id="156"/>
    </w:p>
    <w:p>
      <w:pPr>
        <w:rPr>
          <w:noProof/>
          <w:lang w:eastAsia="en-GB"/>
        </w:rPr>
      </w:pPr>
      <w:r>
        <w:rPr>
          <w:noProof/>
          <w:lang w:eastAsia="en-GB"/>
        </w:rPr>
        <w:t xml:space="preserve">As shown in </w:t>
      </w:r>
      <w:r>
        <w:rPr>
          <w:noProof/>
          <w:lang w:eastAsia="en-GB"/>
        </w:rPr>
        <w:fldChar w:fldCharType="begin"/>
      </w:r>
      <w:r>
        <w:rPr>
          <w:noProof/>
          <w:lang w:eastAsia="en-GB"/>
        </w:rPr>
        <w:instrText xml:space="preserve"> REF _Ref530062004 \h </w:instrText>
      </w:r>
      <w:r>
        <w:rPr>
          <w:noProof/>
          <w:lang w:eastAsia="en-GB"/>
        </w:rPr>
      </w:r>
      <w:r>
        <w:rPr>
          <w:noProof/>
          <w:lang w:eastAsia="en-GB"/>
        </w:rPr>
        <w:fldChar w:fldCharType="separate"/>
      </w:r>
      <w:r>
        <w:rPr>
          <w:noProof/>
        </w:rPr>
        <w:t>Table 13</w:t>
      </w:r>
      <w:r>
        <w:rPr>
          <w:noProof/>
          <w:lang w:eastAsia="en-GB"/>
        </w:rPr>
        <w:fldChar w:fldCharType="end"/>
      </w:r>
      <w:r>
        <w:rPr>
          <w:noProof/>
          <w:lang w:eastAsia="en-GB"/>
        </w:rPr>
        <w:t xml:space="preserve"> (data are available for 2016 and 2017 only), electricity and natural gas costs per tonne made up around 5-6% and 6-8% of total production costs per tonne, respectively. Overall, the share of total energy (electricity + natural gas) costs in production costs ranged around 12-14%.</w:t>
      </w:r>
    </w:p>
    <w:p>
      <w:pPr>
        <w:rPr>
          <w:noProof/>
          <w:lang w:eastAsia="en-GB"/>
        </w:rPr>
      </w:pPr>
      <w:r>
        <w:rPr>
          <w:noProof/>
        </w:rPr>
        <w:t xml:space="preserve">Data on </w:t>
      </w:r>
      <w:r>
        <w:rPr>
          <w:noProof/>
          <w:lang w:eastAsia="en-GB"/>
        </w:rPr>
        <w:t>EBITDA per tonne are not available for this subsector and cannot be compared with energy costs. We can still note the relative significance of total energy costs in production costs, which underlines their importance when looking at competitiveness issues in secondary aluminium production.</w:t>
      </w:r>
    </w:p>
    <w:p>
      <w:pPr>
        <w:rPr>
          <w:noProof/>
          <w:lang w:eastAsia="en-GB"/>
        </w:rPr>
      </w:pPr>
    </w:p>
    <w:p>
      <w:pPr>
        <w:spacing w:after="0"/>
        <w:jc w:val="left"/>
        <w:rPr>
          <w:rFonts w:eastAsia="Times New Roman"/>
          <w:b/>
          <w:bCs/>
          <w:iCs/>
          <w:noProof/>
          <w:color w:val="000000"/>
          <w:sz w:val="32"/>
          <w:szCs w:val="32"/>
          <w:lang w:eastAsia="en-GB"/>
        </w:rPr>
      </w:pPr>
      <w:r>
        <w:rPr>
          <w:noProof/>
          <w:lang w:eastAsia="en-GB"/>
        </w:rPr>
        <w:br w:type="page"/>
      </w:r>
    </w:p>
    <w:p>
      <w:pPr>
        <w:pStyle w:val="Heading4"/>
        <w:rPr>
          <w:noProof/>
        </w:rPr>
      </w:pPr>
      <w:bookmarkStart w:id="157" w:name="_Toc530741651"/>
      <w:r>
        <w:rPr>
          <w:noProof/>
        </w:rPr>
        <w:t>Tables and graphs</w:t>
      </w:r>
      <w:bookmarkEnd w:id="157"/>
    </w:p>
    <w:p>
      <w:pPr>
        <w:rPr>
          <w:b/>
          <w:i/>
          <w:noProof/>
          <w:lang w:eastAsia="en-GB"/>
        </w:rPr>
      </w:pPr>
      <w:r>
        <w:rPr>
          <w:b/>
          <w:i/>
          <w:noProof/>
          <w:lang w:eastAsia="en-GB"/>
        </w:rPr>
        <w:t>Electricity</w:t>
      </w:r>
    </w:p>
    <w:p>
      <w:pPr>
        <w:pStyle w:val="Caption"/>
      </w:pPr>
      <w:bookmarkStart w:id="158" w:name="_Ref530061970"/>
      <w:bookmarkStart w:id="159" w:name="_Toc530741804"/>
      <w:r>
        <w:t xml:space="preserve">Table </w:t>
      </w:r>
      <w:r>
        <w:fldChar w:fldCharType="begin"/>
      </w:r>
      <w:r>
        <w:instrText xml:space="preserve"> SEQ Table \* ARABIC </w:instrText>
      </w:r>
      <w:r>
        <w:fldChar w:fldCharType="separate"/>
      </w:r>
      <w:r>
        <w:t>11</w:t>
      </w:r>
      <w:r>
        <w:fldChar w:fldCharType="end"/>
      </w:r>
      <w:bookmarkEnd w:id="158"/>
      <w:r>
        <w:t>. Key electricity indicators of secondary aluminium production</w:t>
      </w:r>
      <w:r>
        <w:rPr>
          <w:rFonts w:eastAsia="Times New Roman"/>
          <w:color w:val="000000"/>
          <w:lang w:eastAsia="en-GB"/>
        </w:rPr>
        <w:t xml:space="preserve"> </w:t>
      </w:r>
      <w:r>
        <w:t>(EU averages)</w:t>
      </w:r>
      <w:bookmarkEnd w:id="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752"/>
        <w:gridCol w:w="799"/>
        <w:gridCol w:w="799"/>
        <w:gridCol w:w="800"/>
        <w:gridCol w:w="800"/>
        <w:gridCol w:w="800"/>
        <w:gridCol w:w="800"/>
        <w:gridCol w:w="798"/>
      </w:tblGrid>
      <w:tr>
        <w:trPr>
          <w:trHeight w:val="244"/>
          <w:jc w:val="center"/>
        </w:trPr>
        <w:tc>
          <w:tcPr>
            <w:tcW w:w="104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7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042" w:type="pct"/>
            <w:shd w:val="clear" w:color="auto" w:fill="CEEBE6"/>
            <w:noWrap/>
            <w:vAlign w:val="center"/>
          </w:tcPr>
          <w:p>
            <w:pPr>
              <w:spacing w:before="60" w:after="60"/>
              <w:jc w:val="left"/>
              <w:rPr>
                <w:noProof/>
                <w:sz w:val="20"/>
                <w:szCs w:val="16"/>
              </w:rPr>
            </w:pPr>
            <w:r>
              <w:rPr>
                <w:noProof/>
                <w:sz w:val="20"/>
                <w:szCs w:val="16"/>
              </w:rPr>
              <w:t>Electricity prices (€/MWh)</w:t>
            </w:r>
          </w:p>
        </w:tc>
        <w:tc>
          <w:tcPr>
            <w:tcW w:w="473" w:type="pct"/>
            <w:shd w:val="clear" w:color="auto" w:fill="CEEBE6"/>
            <w:noWrap/>
            <w:vAlign w:val="center"/>
          </w:tcPr>
          <w:p>
            <w:pPr>
              <w:spacing w:before="60" w:after="60"/>
              <w:jc w:val="center"/>
              <w:rPr>
                <w:noProof/>
                <w:sz w:val="20"/>
                <w:szCs w:val="16"/>
                <w:lang w:eastAsia="it-IT"/>
              </w:rPr>
            </w:pPr>
            <w:r>
              <w:rPr>
                <w:bCs/>
                <w:noProof/>
                <w:color w:val="000000"/>
                <w:sz w:val="20"/>
                <w:szCs w:val="16"/>
              </w:rPr>
              <w:t>100.7</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99.3</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128.5</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125.9</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125.3</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122.8</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97.6</w:t>
            </w:r>
          </w:p>
        </w:tc>
        <w:tc>
          <w:tcPr>
            <w:tcW w:w="497" w:type="pct"/>
            <w:shd w:val="clear" w:color="auto" w:fill="CEEBE6"/>
            <w:noWrap/>
            <w:vAlign w:val="center"/>
          </w:tcPr>
          <w:p>
            <w:pPr>
              <w:spacing w:before="60" w:after="60"/>
              <w:jc w:val="center"/>
              <w:rPr>
                <w:noProof/>
                <w:sz w:val="20"/>
                <w:szCs w:val="16"/>
                <w:lang w:eastAsia="it-IT"/>
              </w:rPr>
            </w:pPr>
            <w:r>
              <w:rPr>
                <w:bCs/>
                <w:noProof/>
                <w:color w:val="000000"/>
                <w:sz w:val="20"/>
                <w:szCs w:val="16"/>
              </w:rPr>
              <w:t>89.5</w:t>
            </w:r>
          </w:p>
        </w:tc>
      </w:tr>
      <w:tr>
        <w:trPr>
          <w:trHeight w:val="244"/>
          <w:jc w:val="center"/>
        </w:trPr>
        <w:tc>
          <w:tcPr>
            <w:tcW w:w="1042" w:type="pct"/>
            <w:shd w:val="clear" w:color="auto" w:fill="auto"/>
            <w:noWrap/>
            <w:vAlign w:val="center"/>
            <w:hideMark/>
          </w:tcPr>
          <w:p>
            <w:pPr>
              <w:spacing w:before="60" w:after="60"/>
              <w:jc w:val="left"/>
              <w:rPr>
                <w:noProof/>
                <w:sz w:val="20"/>
                <w:szCs w:val="16"/>
              </w:rPr>
            </w:pPr>
            <w:r>
              <w:rPr>
                <w:noProof/>
                <w:sz w:val="20"/>
                <w:szCs w:val="16"/>
              </w:rPr>
              <w:t>Electricity costs (€/MWh)</w:t>
            </w:r>
          </w:p>
        </w:tc>
        <w:tc>
          <w:tcPr>
            <w:tcW w:w="47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100.7</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99.3</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102.8</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100.7</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98.7</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94.9</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93.9</w:t>
            </w:r>
          </w:p>
        </w:tc>
        <w:tc>
          <w:tcPr>
            <w:tcW w:w="49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86.4</w:t>
            </w:r>
          </w:p>
        </w:tc>
      </w:tr>
      <w:tr>
        <w:trPr>
          <w:trHeight w:val="244"/>
          <w:jc w:val="center"/>
        </w:trPr>
        <w:tc>
          <w:tcPr>
            <w:tcW w:w="1042" w:type="pct"/>
            <w:shd w:val="clear" w:color="auto" w:fill="CEEBE6"/>
            <w:noWrap/>
            <w:vAlign w:val="center"/>
            <w:hideMark/>
          </w:tcPr>
          <w:p>
            <w:pPr>
              <w:spacing w:before="60" w:after="60"/>
              <w:jc w:val="left"/>
              <w:rPr>
                <w:noProof/>
                <w:sz w:val="20"/>
                <w:szCs w:val="16"/>
              </w:rPr>
            </w:pPr>
            <w:r>
              <w:rPr>
                <w:noProof/>
                <w:sz w:val="20"/>
                <w:szCs w:val="16"/>
              </w:rPr>
              <w:t>Electricity costs (€/tonne)</w:t>
            </w:r>
          </w:p>
        </w:tc>
        <w:tc>
          <w:tcPr>
            <w:tcW w:w="473"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42.0</w:t>
            </w:r>
          </w:p>
        </w:tc>
        <w:tc>
          <w:tcPr>
            <w:tcW w:w="498"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31.2</w:t>
            </w:r>
          </w:p>
        </w:tc>
        <w:tc>
          <w:tcPr>
            <w:tcW w:w="498"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41.3</w:t>
            </w:r>
          </w:p>
        </w:tc>
        <w:tc>
          <w:tcPr>
            <w:tcW w:w="498"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41.5</w:t>
            </w:r>
          </w:p>
        </w:tc>
        <w:tc>
          <w:tcPr>
            <w:tcW w:w="498"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42.6</w:t>
            </w:r>
          </w:p>
        </w:tc>
        <w:tc>
          <w:tcPr>
            <w:tcW w:w="498"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43.7</w:t>
            </w:r>
          </w:p>
        </w:tc>
        <w:tc>
          <w:tcPr>
            <w:tcW w:w="498"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30.8</w:t>
            </w:r>
          </w:p>
        </w:tc>
        <w:tc>
          <w:tcPr>
            <w:tcW w:w="497"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27.4</w:t>
            </w:r>
          </w:p>
        </w:tc>
      </w:tr>
      <w:tr>
        <w:trPr>
          <w:trHeight w:val="244"/>
          <w:jc w:val="center"/>
        </w:trPr>
        <w:tc>
          <w:tcPr>
            <w:tcW w:w="1042" w:type="pct"/>
            <w:shd w:val="clear" w:color="auto" w:fill="auto"/>
            <w:noWrap/>
            <w:vAlign w:val="center"/>
          </w:tcPr>
          <w:p>
            <w:pPr>
              <w:keepNext/>
              <w:spacing w:before="60" w:after="60"/>
              <w:jc w:val="left"/>
              <w:rPr>
                <w:noProof/>
                <w:sz w:val="20"/>
                <w:szCs w:val="16"/>
              </w:rPr>
            </w:pPr>
            <w:r>
              <w:rPr>
                <w:noProof/>
                <w:sz w:val="20"/>
                <w:szCs w:val="16"/>
              </w:rPr>
              <w:t>Electricity intensity (MWh/tonne)</w:t>
            </w:r>
          </w:p>
        </w:tc>
        <w:tc>
          <w:tcPr>
            <w:tcW w:w="473"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0.49</w:t>
            </w:r>
          </w:p>
        </w:tc>
        <w:tc>
          <w:tcPr>
            <w:tcW w:w="498"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0.50</w:t>
            </w:r>
          </w:p>
        </w:tc>
        <w:tc>
          <w:tcPr>
            <w:tcW w:w="498"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0.63</w:t>
            </w:r>
          </w:p>
        </w:tc>
        <w:tc>
          <w:tcPr>
            <w:tcW w:w="498"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0.52</w:t>
            </w:r>
          </w:p>
        </w:tc>
        <w:tc>
          <w:tcPr>
            <w:tcW w:w="498"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0.55</w:t>
            </w:r>
          </w:p>
        </w:tc>
        <w:tc>
          <w:tcPr>
            <w:tcW w:w="498"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0.58</w:t>
            </w:r>
          </w:p>
        </w:tc>
        <w:tc>
          <w:tcPr>
            <w:tcW w:w="498"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0.39</w:t>
            </w:r>
          </w:p>
        </w:tc>
        <w:tc>
          <w:tcPr>
            <w:tcW w:w="497" w:type="pct"/>
            <w:shd w:val="clear" w:color="auto" w:fill="auto"/>
            <w:noWrap/>
            <w:vAlign w:val="center"/>
          </w:tcPr>
          <w:p>
            <w:pPr>
              <w:keepNext/>
              <w:spacing w:before="60" w:after="60"/>
              <w:jc w:val="center"/>
              <w:rPr>
                <w:noProof/>
                <w:sz w:val="20"/>
                <w:szCs w:val="16"/>
                <w:lang w:eastAsia="it-IT"/>
              </w:rPr>
            </w:pPr>
            <w:r>
              <w:rPr>
                <w:bCs/>
                <w:noProof/>
                <w:color w:val="000000"/>
                <w:sz w:val="20"/>
                <w:szCs w:val="16"/>
              </w:rPr>
              <w:t>0.37</w:t>
            </w:r>
          </w:p>
        </w:tc>
      </w:tr>
    </w:tbl>
    <w:p>
      <w:pPr>
        <w:pStyle w:val="Sources"/>
        <w:rPr>
          <w:noProof/>
        </w:rPr>
      </w:pPr>
      <w:r>
        <w:rPr>
          <w:noProof/>
        </w:rPr>
        <w:t>Source: CEPS/Ecofys.</w:t>
      </w:r>
    </w:p>
    <w:p>
      <w:pPr>
        <w:rPr>
          <w:noProof/>
        </w:rPr>
      </w:pPr>
    </w:p>
    <w:p>
      <w:pPr>
        <w:pStyle w:val="Caption"/>
        <w:rPr>
          <w:rFonts w:eastAsia="Times New Roman"/>
          <w:color w:val="000000"/>
          <w:lang w:eastAsia="en-GB"/>
        </w:rPr>
      </w:pPr>
      <w:bookmarkStart w:id="160" w:name="_Ref530062823"/>
      <w:bookmarkStart w:id="161" w:name="_Ref530062807"/>
      <w:bookmarkStart w:id="162" w:name="_Toc530741722"/>
      <w:r>
        <w:t xml:space="preserve">Figure </w:t>
      </w:r>
      <w:r>
        <w:fldChar w:fldCharType="begin"/>
      </w:r>
      <w:r>
        <w:instrText xml:space="preserve"> SEQ Figure \* ARABIC </w:instrText>
      </w:r>
      <w:r>
        <w:fldChar w:fldCharType="separate"/>
      </w:r>
      <w:r>
        <w:t>29</w:t>
      </w:r>
      <w:r>
        <w:fldChar w:fldCharType="end"/>
      </w:r>
      <w:bookmarkEnd w:id="160"/>
      <w:r>
        <w:t>. Components of the EU average electricity price for secondary aluminium production (%)</w:t>
      </w:r>
      <w:bookmarkEnd w:id="161"/>
      <w:bookmarkEnd w:id="162"/>
    </w:p>
    <w:p>
      <w:pPr>
        <w:keepNext/>
        <w:rPr>
          <w:noProof/>
        </w:rPr>
      </w:pPr>
      <w:r>
        <w:rPr>
          <w:noProof/>
          <w:lang w:eastAsia="en-GB"/>
        </w:rPr>
        <w:drawing>
          <wp:inline distT="0" distB="0" distL="0" distR="0">
            <wp:extent cx="5727700" cy="243268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0" cy="243268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163" w:name="_Ref530064247"/>
      <w:bookmarkStart w:id="164" w:name="_Toc530741723"/>
      <w:r>
        <w:t xml:space="preserve">Figure </w:t>
      </w:r>
      <w:r>
        <w:fldChar w:fldCharType="begin"/>
      </w:r>
      <w:r>
        <w:instrText xml:space="preserve"> SEQ Figure \* ARABIC </w:instrText>
      </w:r>
      <w:r>
        <w:fldChar w:fldCharType="separate"/>
      </w:r>
      <w:r>
        <w:t>30</w:t>
      </w:r>
      <w:r>
        <w:fldChar w:fldCharType="end"/>
      </w:r>
      <w:bookmarkEnd w:id="163"/>
      <w:r>
        <w:t xml:space="preserve">. </w:t>
      </w:r>
      <w:r>
        <w:rPr>
          <w:rFonts w:eastAsia="Times New Roman"/>
          <w:color w:val="000000"/>
          <w:lang w:eastAsia="en-GB"/>
        </w:rPr>
        <w:t xml:space="preserve">Electricity costs </w:t>
      </w:r>
      <w:r>
        <w:t>of secondary aluminium production</w:t>
      </w:r>
      <w:r>
        <w:rPr>
          <w:rFonts w:eastAsia="Times New Roman"/>
          <w:color w:val="000000"/>
          <w:lang w:eastAsia="en-GB"/>
        </w:rPr>
        <w:t xml:space="preserve"> (€/MWh)</w:t>
      </w:r>
      <w:bookmarkEnd w:id="164"/>
    </w:p>
    <w:p>
      <w:pPr>
        <w:keepNext/>
        <w:rPr>
          <w:noProof/>
          <w:lang w:eastAsia="de-DE"/>
        </w:rPr>
      </w:pPr>
      <w:r>
        <w:rPr>
          <w:noProof/>
          <w:lang w:eastAsia="en-GB"/>
        </w:rPr>
        <w:drawing>
          <wp:inline distT="0" distB="0" distL="0" distR="0">
            <wp:extent cx="5732780" cy="2743200"/>
            <wp:effectExtent l="0" t="0" r="1270" b="0"/>
            <wp:docPr id="10" name="Picture 1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71"/>
                    <pic:cNvPicPr>
                      <a:picLocks noGrp="1" noRot="1" noChangeAspect="1" noMove="1" noResize="1" noEditPoints="1" noAdjustHandles="1" noChangeArrowheads="1" noChangeShapeType="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65" w:name="_Ref530064256"/>
      <w:bookmarkStart w:id="166" w:name="_Toc530741724"/>
      <w:r>
        <w:t xml:space="preserve">Figure </w:t>
      </w:r>
      <w:r>
        <w:fldChar w:fldCharType="begin"/>
      </w:r>
      <w:r>
        <w:instrText xml:space="preserve"> SEQ Figure \* ARABIC </w:instrText>
      </w:r>
      <w:r>
        <w:fldChar w:fldCharType="separate"/>
      </w:r>
      <w:r>
        <w:t>31</w:t>
      </w:r>
      <w:r>
        <w:fldChar w:fldCharType="end"/>
      </w:r>
      <w:bookmarkEnd w:id="165"/>
      <w:r>
        <w:t xml:space="preserve">. </w:t>
      </w:r>
      <w:r>
        <w:rPr>
          <w:rFonts w:eastAsia="Times New Roman"/>
          <w:color w:val="000000"/>
          <w:lang w:eastAsia="en-GB"/>
        </w:rPr>
        <w:t>Electricity costs</w:t>
      </w:r>
      <w:r>
        <w:t xml:space="preserve"> of secondary aluminium production</w:t>
      </w:r>
      <w:r>
        <w:rPr>
          <w:rFonts w:eastAsia="Times New Roman"/>
          <w:color w:val="000000"/>
          <w:lang w:eastAsia="en-GB"/>
        </w:rPr>
        <w:t xml:space="preserve"> (€/tonne)</w:t>
      </w:r>
      <w:bookmarkEnd w:id="166"/>
    </w:p>
    <w:p>
      <w:pPr>
        <w:keepNext/>
        <w:rPr>
          <w:noProof/>
          <w:lang w:eastAsia="de-DE"/>
        </w:rPr>
      </w:pPr>
      <w:r>
        <w:rPr>
          <w:noProof/>
          <w:lang w:eastAsia="en-GB"/>
        </w:rPr>
        <w:drawing>
          <wp:inline distT="0" distB="0" distL="0" distR="0">
            <wp:extent cx="5732780" cy="2655570"/>
            <wp:effectExtent l="0" t="0" r="1270" b="0"/>
            <wp:docPr id="11" name="Picture 1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1"/>
                    <pic:cNvPicPr>
                      <a:picLocks noGrp="1" noRot="1" noChangeAspect="1" noMove="1" noResize="1" noEditPoints="1" noAdjustHandles="1" noChangeArrowheads="1" noChangeShapeType="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780" cy="265557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67" w:name="_Ref530064270"/>
      <w:bookmarkStart w:id="168" w:name="_Toc530741725"/>
      <w:r>
        <w:t xml:space="preserve">Figure </w:t>
      </w:r>
      <w:r>
        <w:fldChar w:fldCharType="begin"/>
      </w:r>
      <w:r>
        <w:instrText xml:space="preserve"> SEQ Figure \* ARABIC </w:instrText>
      </w:r>
      <w:r>
        <w:fldChar w:fldCharType="separate"/>
      </w:r>
      <w:r>
        <w:t>32</w:t>
      </w:r>
      <w:r>
        <w:fldChar w:fldCharType="end"/>
      </w:r>
      <w:bookmarkEnd w:id="167"/>
      <w:r>
        <w:t xml:space="preserve">. </w:t>
      </w:r>
      <w:r>
        <w:rPr>
          <w:rFonts w:eastAsia="Times New Roman"/>
          <w:color w:val="000000"/>
          <w:lang w:eastAsia="en-GB"/>
        </w:rPr>
        <w:t xml:space="preserve">Electricity intensity </w:t>
      </w:r>
      <w:r>
        <w:t>of secondary aluminium production</w:t>
      </w:r>
      <w:r>
        <w:rPr>
          <w:rFonts w:eastAsia="Times New Roman"/>
          <w:color w:val="000000"/>
          <w:lang w:eastAsia="en-GB"/>
        </w:rPr>
        <w:t xml:space="preserve"> (MWh/tonne)</w:t>
      </w:r>
      <w:bookmarkEnd w:id="168"/>
    </w:p>
    <w:p>
      <w:pPr>
        <w:keepNext/>
        <w:rPr>
          <w:noProof/>
          <w:lang w:eastAsia="de-DE"/>
        </w:rPr>
      </w:pPr>
      <w:r>
        <w:rPr>
          <w:noProof/>
          <w:lang w:eastAsia="en-GB"/>
        </w:rPr>
        <w:drawing>
          <wp:inline distT="0" distB="0" distL="0" distR="0">
            <wp:extent cx="5732780" cy="2743200"/>
            <wp:effectExtent l="0" t="0" r="1270" b="0"/>
            <wp:docPr id="12" name="Picture 1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4"/>
                    <pic:cNvPicPr>
                      <a:picLocks noGrp="1" noRot="1" noChangeAspect="1" noMove="1" noResize="1" noEditPoints="1" noAdjustHandles="1" noChangeArrowheads="1" noChangeShapeType="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169" w:name="_Ref530062023"/>
      <w:bookmarkStart w:id="170" w:name="_Toc530741805"/>
      <w:r>
        <w:t xml:space="preserve">Table </w:t>
      </w:r>
      <w:r>
        <w:fldChar w:fldCharType="begin"/>
      </w:r>
      <w:r>
        <w:instrText xml:space="preserve"> SEQ Table \* ARABIC </w:instrText>
      </w:r>
      <w:r>
        <w:fldChar w:fldCharType="separate"/>
      </w:r>
      <w:r>
        <w:t>12</w:t>
      </w:r>
      <w:r>
        <w:fldChar w:fldCharType="end"/>
      </w:r>
      <w:bookmarkEnd w:id="169"/>
      <w:r>
        <w:t>. Key natural gas indicators of secondary aluminium production</w:t>
      </w:r>
      <w:r>
        <w:rPr>
          <w:rFonts w:eastAsia="Times New Roman"/>
          <w:color w:val="000000"/>
          <w:lang w:eastAsia="en-GB"/>
        </w:rPr>
        <w:t xml:space="preserve"> </w:t>
      </w:r>
      <w:r>
        <w:t>(EU averages)</w:t>
      </w:r>
      <w:bookmarkEnd w:id="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742"/>
        <w:gridCol w:w="788"/>
        <w:gridCol w:w="788"/>
        <w:gridCol w:w="789"/>
        <w:gridCol w:w="789"/>
        <w:gridCol w:w="789"/>
        <w:gridCol w:w="791"/>
        <w:gridCol w:w="789"/>
      </w:tblGrid>
      <w:tr>
        <w:trPr>
          <w:trHeight w:val="244"/>
          <w:jc w:val="center"/>
        </w:trPr>
        <w:tc>
          <w:tcPr>
            <w:tcW w:w="1048"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7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9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048" w:type="pct"/>
            <w:shd w:val="clear" w:color="auto" w:fill="CEEBE6"/>
            <w:noWrap/>
            <w:vAlign w:val="center"/>
          </w:tcPr>
          <w:p>
            <w:pPr>
              <w:spacing w:before="60" w:after="60"/>
              <w:jc w:val="left"/>
              <w:rPr>
                <w:bCs/>
                <w:noProof/>
                <w:sz w:val="20"/>
                <w:szCs w:val="16"/>
              </w:rPr>
            </w:pPr>
            <w:r>
              <w:rPr>
                <w:bCs/>
                <w:noProof/>
                <w:sz w:val="20"/>
                <w:szCs w:val="16"/>
              </w:rPr>
              <w:t>Natural gas prices (€/MWh)</w:t>
            </w:r>
          </w:p>
        </w:tc>
        <w:tc>
          <w:tcPr>
            <w:tcW w:w="472" w:type="pct"/>
            <w:shd w:val="clear" w:color="auto" w:fill="CEEBE6"/>
            <w:noWrap/>
            <w:vAlign w:val="center"/>
          </w:tcPr>
          <w:p>
            <w:pPr>
              <w:spacing w:before="60" w:after="60"/>
              <w:jc w:val="center"/>
              <w:rPr>
                <w:noProof/>
                <w:sz w:val="20"/>
                <w:szCs w:val="16"/>
                <w:lang w:eastAsia="it-IT"/>
              </w:rPr>
            </w:pPr>
            <w:r>
              <w:rPr>
                <w:bCs/>
                <w:noProof/>
                <w:color w:val="000000"/>
                <w:sz w:val="20"/>
                <w:szCs w:val="16"/>
              </w:rPr>
              <w:t>33.0</w:t>
            </w:r>
          </w:p>
        </w:tc>
        <w:tc>
          <w:tcPr>
            <w:tcW w:w="497" w:type="pct"/>
            <w:shd w:val="clear" w:color="auto" w:fill="CEEBE6"/>
            <w:noWrap/>
            <w:vAlign w:val="center"/>
          </w:tcPr>
          <w:p>
            <w:pPr>
              <w:spacing w:before="60" w:after="60"/>
              <w:jc w:val="center"/>
              <w:rPr>
                <w:noProof/>
                <w:sz w:val="20"/>
                <w:szCs w:val="16"/>
                <w:lang w:eastAsia="it-IT"/>
              </w:rPr>
            </w:pPr>
            <w:r>
              <w:rPr>
                <w:bCs/>
                <w:noProof/>
                <w:color w:val="000000"/>
                <w:sz w:val="20"/>
                <w:szCs w:val="16"/>
              </w:rPr>
              <w:t>25.7</w:t>
            </w:r>
          </w:p>
        </w:tc>
        <w:tc>
          <w:tcPr>
            <w:tcW w:w="497" w:type="pct"/>
            <w:shd w:val="clear" w:color="auto" w:fill="CEEBE6"/>
            <w:noWrap/>
            <w:vAlign w:val="center"/>
          </w:tcPr>
          <w:p>
            <w:pPr>
              <w:spacing w:before="60" w:after="60"/>
              <w:jc w:val="center"/>
              <w:rPr>
                <w:noProof/>
                <w:sz w:val="20"/>
                <w:szCs w:val="16"/>
                <w:lang w:eastAsia="it-IT"/>
              </w:rPr>
            </w:pPr>
            <w:r>
              <w:rPr>
                <w:bCs/>
                <w:noProof/>
                <w:color w:val="000000"/>
                <w:sz w:val="20"/>
                <w:szCs w:val="16"/>
              </w:rPr>
              <w:t>34.9</w:t>
            </w:r>
          </w:p>
        </w:tc>
        <w:tc>
          <w:tcPr>
            <w:tcW w:w="497" w:type="pct"/>
            <w:shd w:val="clear" w:color="auto" w:fill="CEEBE6"/>
            <w:noWrap/>
            <w:vAlign w:val="center"/>
          </w:tcPr>
          <w:p>
            <w:pPr>
              <w:spacing w:before="60" w:after="60"/>
              <w:jc w:val="center"/>
              <w:rPr>
                <w:noProof/>
                <w:sz w:val="20"/>
                <w:szCs w:val="16"/>
                <w:lang w:eastAsia="it-IT"/>
              </w:rPr>
            </w:pPr>
            <w:r>
              <w:rPr>
                <w:bCs/>
                <w:noProof/>
                <w:color w:val="000000"/>
                <w:sz w:val="20"/>
                <w:szCs w:val="16"/>
              </w:rPr>
              <w:t>32.8</w:t>
            </w:r>
          </w:p>
        </w:tc>
        <w:tc>
          <w:tcPr>
            <w:tcW w:w="497" w:type="pct"/>
            <w:shd w:val="clear" w:color="auto" w:fill="CEEBE6"/>
            <w:noWrap/>
            <w:vAlign w:val="center"/>
          </w:tcPr>
          <w:p>
            <w:pPr>
              <w:spacing w:before="60" w:after="60"/>
              <w:jc w:val="center"/>
              <w:rPr>
                <w:noProof/>
                <w:sz w:val="20"/>
                <w:szCs w:val="16"/>
                <w:lang w:eastAsia="it-IT"/>
              </w:rPr>
            </w:pPr>
            <w:r>
              <w:rPr>
                <w:bCs/>
                <w:noProof/>
                <w:color w:val="000000"/>
                <w:sz w:val="20"/>
                <w:szCs w:val="16"/>
              </w:rPr>
              <w:t>30.3</w:t>
            </w:r>
          </w:p>
        </w:tc>
        <w:tc>
          <w:tcPr>
            <w:tcW w:w="497" w:type="pct"/>
            <w:shd w:val="clear" w:color="auto" w:fill="CEEBE6"/>
            <w:noWrap/>
            <w:vAlign w:val="center"/>
          </w:tcPr>
          <w:p>
            <w:pPr>
              <w:spacing w:before="60" w:after="60"/>
              <w:jc w:val="center"/>
              <w:rPr>
                <w:noProof/>
                <w:sz w:val="20"/>
                <w:szCs w:val="16"/>
                <w:lang w:eastAsia="it-IT"/>
              </w:rPr>
            </w:pPr>
            <w:r>
              <w:rPr>
                <w:bCs/>
                <w:noProof/>
                <w:color w:val="000000"/>
                <w:sz w:val="20"/>
                <w:szCs w:val="16"/>
              </w:rPr>
              <w:t>28.7</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24.4</w:t>
            </w:r>
          </w:p>
        </w:tc>
        <w:tc>
          <w:tcPr>
            <w:tcW w:w="498" w:type="pct"/>
            <w:shd w:val="clear" w:color="auto" w:fill="CEEBE6"/>
            <w:noWrap/>
            <w:vAlign w:val="center"/>
          </w:tcPr>
          <w:p>
            <w:pPr>
              <w:spacing w:before="60" w:after="60"/>
              <w:jc w:val="center"/>
              <w:rPr>
                <w:noProof/>
                <w:sz w:val="20"/>
                <w:szCs w:val="16"/>
                <w:lang w:eastAsia="it-IT"/>
              </w:rPr>
            </w:pPr>
            <w:r>
              <w:rPr>
                <w:bCs/>
                <w:noProof/>
                <w:color w:val="000000"/>
                <w:sz w:val="20"/>
                <w:szCs w:val="16"/>
              </w:rPr>
              <w:t>21.6</w:t>
            </w:r>
          </w:p>
        </w:tc>
      </w:tr>
      <w:tr>
        <w:trPr>
          <w:trHeight w:val="244"/>
          <w:jc w:val="center"/>
        </w:trPr>
        <w:tc>
          <w:tcPr>
            <w:tcW w:w="1048" w:type="pct"/>
            <w:shd w:val="clear" w:color="auto" w:fill="auto"/>
            <w:noWrap/>
            <w:vAlign w:val="center"/>
            <w:hideMark/>
          </w:tcPr>
          <w:p>
            <w:pPr>
              <w:spacing w:before="60" w:after="60"/>
              <w:jc w:val="left"/>
              <w:rPr>
                <w:bCs/>
                <w:noProof/>
                <w:sz w:val="20"/>
                <w:szCs w:val="16"/>
              </w:rPr>
            </w:pPr>
            <w:r>
              <w:rPr>
                <w:bCs/>
                <w:noProof/>
                <w:sz w:val="20"/>
                <w:szCs w:val="16"/>
              </w:rPr>
              <w:t>Natural gas costs (€/tonne)</w:t>
            </w:r>
          </w:p>
        </w:tc>
        <w:tc>
          <w:tcPr>
            <w:tcW w:w="472" w:type="pct"/>
            <w:shd w:val="clear" w:color="auto" w:fill="auto"/>
            <w:noWrap/>
            <w:vAlign w:val="center"/>
            <w:hideMark/>
          </w:tcPr>
          <w:p>
            <w:pPr>
              <w:spacing w:before="60" w:after="60"/>
              <w:jc w:val="center"/>
              <w:rPr>
                <w:noProof/>
                <w:sz w:val="20"/>
                <w:szCs w:val="16"/>
                <w:lang w:eastAsia="it-IT"/>
              </w:rPr>
            </w:pPr>
            <w:r>
              <w:rPr>
                <w:bCs/>
                <w:noProof/>
                <w:color w:val="000000"/>
                <w:sz w:val="20"/>
                <w:szCs w:val="16"/>
              </w:rPr>
              <w:t>61.9</w:t>
            </w:r>
          </w:p>
        </w:tc>
        <w:tc>
          <w:tcPr>
            <w:tcW w:w="49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45.6</w:t>
            </w:r>
          </w:p>
        </w:tc>
        <w:tc>
          <w:tcPr>
            <w:tcW w:w="49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61.3</w:t>
            </w:r>
          </w:p>
        </w:tc>
        <w:tc>
          <w:tcPr>
            <w:tcW w:w="49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58.1</w:t>
            </w:r>
          </w:p>
        </w:tc>
        <w:tc>
          <w:tcPr>
            <w:tcW w:w="49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56.7</w:t>
            </w:r>
          </w:p>
        </w:tc>
        <w:tc>
          <w:tcPr>
            <w:tcW w:w="49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59.2</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39.6</w:t>
            </w:r>
          </w:p>
        </w:tc>
        <w:tc>
          <w:tcPr>
            <w:tcW w:w="49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34.7</w:t>
            </w:r>
          </w:p>
        </w:tc>
      </w:tr>
      <w:tr>
        <w:trPr>
          <w:trHeight w:val="244"/>
          <w:jc w:val="center"/>
        </w:trPr>
        <w:tc>
          <w:tcPr>
            <w:tcW w:w="1048" w:type="pct"/>
            <w:shd w:val="clear" w:color="auto" w:fill="CEEBE6"/>
            <w:noWrap/>
            <w:vAlign w:val="center"/>
          </w:tcPr>
          <w:p>
            <w:pPr>
              <w:keepNext/>
              <w:spacing w:before="60" w:after="60"/>
              <w:jc w:val="left"/>
              <w:rPr>
                <w:bCs/>
                <w:noProof/>
                <w:sz w:val="20"/>
                <w:szCs w:val="16"/>
              </w:rPr>
            </w:pPr>
            <w:r>
              <w:rPr>
                <w:bCs/>
                <w:noProof/>
                <w:sz w:val="20"/>
                <w:szCs w:val="16"/>
              </w:rPr>
              <w:t>Natural gas intensity (MWh/tonne)</w:t>
            </w:r>
          </w:p>
        </w:tc>
        <w:tc>
          <w:tcPr>
            <w:tcW w:w="472"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1.89</w:t>
            </w:r>
          </w:p>
        </w:tc>
        <w:tc>
          <w:tcPr>
            <w:tcW w:w="49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1.81</w:t>
            </w:r>
          </w:p>
        </w:tc>
        <w:tc>
          <w:tcPr>
            <w:tcW w:w="49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1.76</w:t>
            </w:r>
          </w:p>
        </w:tc>
        <w:tc>
          <w:tcPr>
            <w:tcW w:w="49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1.75</w:t>
            </w:r>
          </w:p>
        </w:tc>
        <w:tc>
          <w:tcPr>
            <w:tcW w:w="49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1.84</w:t>
            </w:r>
          </w:p>
        </w:tc>
        <w:tc>
          <w:tcPr>
            <w:tcW w:w="49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1.97</w:t>
            </w:r>
          </w:p>
        </w:tc>
        <w:tc>
          <w:tcPr>
            <w:tcW w:w="498"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1.64</w:t>
            </w:r>
          </w:p>
        </w:tc>
        <w:tc>
          <w:tcPr>
            <w:tcW w:w="498"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1.60</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171" w:name="_Ref530066738"/>
      <w:bookmarkStart w:id="172" w:name="_Toc530741726"/>
      <w:r>
        <w:t xml:space="preserve">Figure </w:t>
      </w:r>
      <w:r>
        <w:fldChar w:fldCharType="begin"/>
      </w:r>
      <w:r>
        <w:instrText xml:space="preserve"> SEQ Figure \* ARABIC </w:instrText>
      </w:r>
      <w:r>
        <w:fldChar w:fldCharType="separate"/>
      </w:r>
      <w:r>
        <w:t>33</w:t>
      </w:r>
      <w:r>
        <w:fldChar w:fldCharType="end"/>
      </w:r>
      <w:bookmarkEnd w:id="171"/>
      <w:r>
        <w:t xml:space="preserve">. </w:t>
      </w:r>
      <w:r>
        <w:rPr>
          <w:rFonts w:eastAsia="Times New Roman"/>
          <w:color w:val="000000"/>
          <w:lang w:eastAsia="en-GB"/>
        </w:rPr>
        <w:t>Natural gas prices</w:t>
      </w:r>
      <w:r>
        <w:t xml:space="preserve"> of secondary aluminium production</w:t>
      </w:r>
      <w:r>
        <w:rPr>
          <w:rFonts w:eastAsia="Times New Roman"/>
          <w:color w:val="000000"/>
          <w:lang w:eastAsia="en-GB"/>
        </w:rPr>
        <w:t xml:space="preserve"> (€/MWh)</w:t>
      </w:r>
      <w:bookmarkEnd w:id="172"/>
    </w:p>
    <w:p>
      <w:pPr>
        <w:keepNext/>
        <w:rPr>
          <w:noProof/>
          <w:lang w:eastAsia="de-DE"/>
        </w:rPr>
      </w:pPr>
      <w:r>
        <w:rPr>
          <w:noProof/>
          <w:lang w:eastAsia="en-GB"/>
        </w:rPr>
        <w:drawing>
          <wp:inline distT="0" distB="0" distL="0" distR="0">
            <wp:extent cx="5732780" cy="2600325"/>
            <wp:effectExtent l="0" t="0" r="1270" b="9525"/>
            <wp:docPr id="13" name="Picture 1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69"/>
                    <pic:cNvPicPr>
                      <a:picLocks noGrp="1" noRot="1" noChangeAspect="1" noMove="1" noResize="1" noEditPoints="1" noAdjustHandles="1" noChangeArrowheads="1" noChangeShapeType="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780" cy="260032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73" w:name="_Ref530066770"/>
      <w:bookmarkStart w:id="174" w:name="_Toc530741727"/>
      <w:r>
        <w:t xml:space="preserve">Figure </w:t>
      </w:r>
      <w:r>
        <w:fldChar w:fldCharType="begin"/>
      </w:r>
      <w:r>
        <w:instrText xml:space="preserve"> SEQ Figure \* ARABIC </w:instrText>
      </w:r>
      <w:r>
        <w:fldChar w:fldCharType="separate"/>
      </w:r>
      <w:r>
        <w:t>34</w:t>
      </w:r>
      <w:r>
        <w:fldChar w:fldCharType="end"/>
      </w:r>
      <w:bookmarkEnd w:id="173"/>
      <w:r>
        <w:t>. Components of the EU average natural gas price for secondary aluminium production (%)</w:t>
      </w:r>
      <w:bookmarkEnd w:id="174"/>
    </w:p>
    <w:p>
      <w:pPr>
        <w:jc w:val="center"/>
        <w:rPr>
          <w:noProof/>
        </w:rPr>
      </w:pPr>
      <w:r>
        <w:rPr>
          <w:noProof/>
          <w:lang w:eastAsia="en-GB"/>
        </w:rPr>
        <w:drawing>
          <wp:inline distT="0" distB="0" distL="0" distR="0">
            <wp:extent cx="5753735" cy="25190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75" w:name="_Ref530066750"/>
      <w:bookmarkStart w:id="176" w:name="_Toc530741728"/>
      <w:r>
        <w:t xml:space="preserve">Figure </w:t>
      </w:r>
      <w:r>
        <w:fldChar w:fldCharType="begin"/>
      </w:r>
      <w:r>
        <w:instrText xml:space="preserve"> SEQ Figure \* ARABIC </w:instrText>
      </w:r>
      <w:r>
        <w:fldChar w:fldCharType="separate"/>
      </w:r>
      <w:r>
        <w:t>35</w:t>
      </w:r>
      <w:r>
        <w:fldChar w:fldCharType="end"/>
      </w:r>
      <w:bookmarkEnd w:id="175"/>
      <w:r>
        <w:t xml:space="preserve">. </w:t>
      </w:r>
      <w:r>
        <w:rPr>
          <w:rFonts w:eastAsia="Times New Roman"/>
          <w:color w:val="000000"/>
          <w:lang w:eastAsia="en-GB"/>
        </w:rPr>
        <w:t>Natural gas costs</w:t>
      </w:r>
      <w:r>
        <w:t xml:space="preserve"> of secondary aluminium production</w:t>
      </w:r>
      <w:r>
        <w:rPr>
          <w:rFonts w:eastAsia="Times New Roman"/>
          <w:color w:val="000000"/>
          <w:lang w:eastAsia="en-GB"/>
        </w:rPr>
        <w:t xml:space="preserve"> (€/tonne)</w:t>
      </w:r>
      <w:bookmarkEnd w:id="176"/>
    </w:p>
    <w:p>
      <w:pPr>
        <w:pStyle w:val="Sources"/>
        <w:keepNext/>
        <w:rPr>
          <w:noProof/>
        </w:rPr>
      </w:pPr>
      <w:r>
        <w:rPr>
          <w:noProof/>
          <w:lang w:eastAsia="en-GB"/>
        </w:rPr>
        <w:drawing>
          <wp:inline distT="0" distB="0" distL="0" distR="0">
            <wp:extent cx="5732780" cy="2743200"/>
            <wp:effectExtent l="0" t="0" r="1270" b="0"/>
            <wp:docPr id="15" name="Picture 1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46"/>
                    <pic:cNvPicPr>
                      <a:picLocks noGrp="1" noRot="1" noChangeAspect="1" noMove="1" noResize="1" noEditPoints="1" noAdjustHandles="1" noChangeArrowheads="1" noChangeShapeType="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77" w:name="_Ref530066760"/>
      <w:bookmarkStart w:id="178" w:name="_Toc530741729"/>
      <w:r>
        <w:t xml:space="preserve">Figure </w:t>
      </w:r>
      <w:r>
        <w:fldChar w:fldCharType="begin"/>
      </w:r>
      <w:r>
        <w:instrText xml:space="preserve"> SEQ Figure \* ARABIC </w:instrText>
      </w:r>
      <w:r>
        <w:fldChar w:fldCharType="separate"/>
      </w:r>
      <w:r>
        <w:t>36</w:t>
      </w:r>
      <w:r>
        <w:fldChar w:fldCharType="end"/>
      </w:r>
      <w:bookmarkEnd w:id="177"/>
      <w:r>
        <w:t xml:space="preserve">. </w:t>
      </w:r>
      <w:r>
        <w:rPr>
          <w:rFonts w:eastAsia="Times New Roman"/>
          <w:color w:val="000000"/>
          <w:lang w:eastAsia="en-GB"/>
        </w:rPr>
        <w:t xml:space="preserve">Natural gas intensity </w:t>
      </w:r>
      <w:r>
        <w:t>of secondary aluminium production</w:t>
      </w:r>
      <w:r>
        <w:rPr>
          <w:rFonts w:eastAsia="Times New Roman"/>
          <w:color w:val="000000"/>
          <w:lang w:eastAsia="en-GB"/>
        </w:rPr>
        <w:t xml:space="preserve"> (MWh/tonne)</w:t>
      </w:r>
      <w:bookmarkEnd w:id="178"/>
    </w:p>
    <w:p>
      <w:pPr>
        <w:pStyle w:val="Sources"/>
        <w:keepNext/>
        <w:rPr>
          <w:noProof/>
        </w:rPr>
      </w:pPr>
      <w:r>
        <w:rPr>
          <w:noProof/>
          <w:lang w:eastAsia="en-GB"/>
        </w:rPr>
        <w:drawing>
          <wp:inline distT="0" distB="0" distL="0" distR="0">
            <wp:extent cx="5723890" cy="2743200"/>
            <wp:effectExtent l="0" t="0" r="0" b="0"/>
            <wp:docPr id="16" name="Picture 1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59"/>
                    <pic:cNvPicPr>
                      <a:picLocks noGrp="1" noRot="1" noChangeAspect="1" noMove="1" noResize="1" noEditPoints="1" noAdjustHandles="1" noChangeArrowheads="1" noChangeShapeType="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3890" cy="2743200"/>
                    </a:xfrm>
                    <a:prstGeom prst="rect">
                      <a:avLst/>
                    </a:prstGeom>
                    <a:noFill/>
                    <a:ln>
                      <a:noFill/>
                    </a:ln>
                  </pic:spPr>
                </pic:pic>
              </a:graphicData>
            </a:graphic>
          </wp:inline>
        </w:drawing>
      </w:r>
    </w:p>
    <w:p>
      <w:pPr>
        <w:pStyle w:val="Sources"/>
        <w:keepNext/>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179" w:name="_Ref530062004"/>
      <w:bookmarkStart w:id="180" w:name="_Toc530741806"/>
      <w:r>
        <w:t xml:space="preserve">Table </w:t>
      </w:r>
      <w:r>
        <w:fldChar w:fldCharType="begin"/>
      </w:r>
      <w:r>
        <w:instrText xml:space="preserve"> SEQ Table \* ARABIC </w:instrText>
      </w:r>
      <w:r>
        <w:fldChar w:fldCharType="separate"/>
      </w:r>
      <w:r>
        <w:t>13</w:t>
      </w:r>
      <w:r>
        <w:fldChar w:fldCharType="end"/>
      </w:r>
      <w:bookmarkEnd w:id="179"/>
      <w:r>
        <w:t>. Key competitiveness indicators of secondary aluminium production</w:t>
      </w:r>
      <w:r>
        <w:rPr>
          <w:rFonts w:eastAsia="Times New Roman"/>
          <w:color w:val="000000"/>
          <w:lang w:eastAsia="en-GB"/>
        </w:rPr>
        <w:t xml:space="preserve"> </w:t>
      </w:r>
      <w:r>
        <w:t>(EU averages)</w:t>
      </w:r>
      <w:bookmarkEnd w:id="180"/>
    </w:p>
    <w:tbl>
      <w:tblPr>
        <w:tblW w:w="3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8"/>
        <w:gridCol w:w="750"/>
        <w:gridCol w:w="751"/>
      </w:tblGrid>
      <w:tr>
        <w:trPr>
          <w:trHeight w:val="244"/>
          <w:tblHeader/>
          <w:jc w:val="center"/>
        </w:trPr>
        <w:tc>
          <w:tcPr>
            <w:tcW w:w="3721"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63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64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3721"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639" w:type="pct"/>
            <w:shd w:val="clear" w:color="auto" w:fill="CEEBE6"/>
            <w:noWrap/>
            <w:vAlign w:val="center"/>
          </w:tcPr>
          <w:p>
            <w:pPr>
              <w:spacing w:before="60" w:after="60"/>
              <w:jc w:val="center"/>
              <w:rPr>
                <w:bCs/>
                <w:noProof/>
                <w:color w:val="000000"/>
                <w:sz w:val="20"/>
                <w:szCs w:val="16"/>
              </w:rPr>
            </w:pPr>
            <w:r>
              <w:rPr>
                <w:bCs/>
                <w:noProof/>
                <w:color w:val="000000"/>
                <w:sz w:val="20"/>
                <w:szCs w:val="16"/>
              </w:rPr>
              <w:t>6.1</w:t>
            </w:r>
          </w:p>
        </w:tc>
        <w:tc>
          <w:tcPr>
            <w:tcW w:w="640" w:type="pct"/>
            <w:shd w:val="clear" w:color="auto" w:fill="CEEBE6"/>
            <w:noWrap/>
            <w:vAlign w:val="center"/>
          </w:tcPr>
          <w:p>
            <w:pPr>
              <w:spacing w:before="60" w:after="60"/>
              <w:jc w:val="center"/>
              <w:rPr>
                <w:bCs/>
                <w:noProof/>
                <w:color w:val="000000"/>
                <w:sz w:val="20"/>
                <w:szCs w:val="16"/>
              </w:rPr>
            </w:pPr>
            <w:r>
              <w:rPr>
                <w:bCs/>
                <w:noProof/>
                <w:color w:val="000000"/>
                <w:sz w:val="20"/>
                <w:szCs w:val="16"/>
              </w:rPr>
              <w:t>5.1</w:t>
            </w:r>
          </w:p>
        </w:tc>
      </w:tr>
      <w:tr>
        <w:trPr>
          <w:trHeight w:val="244"/>
          <w:jc w:val="center"/>
        </w:trPr>
        <w:tc>
          <w:tcPr>
            <w:tcW w:w="3721"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639" w:type="pct"/>
            <w:shd w:val="clear" w:color="auto" w:fill="auto"/>
            <w:noWrap/>
            <w:vAlign w:val="center"/>
          </w:tcPr>
          <w:p>
            <w:pPr>
              <w:spacing w:before="60" w:after="60"/>
              <w:jc w:val="center"/>
              <w:rPr>
                <w:bCs/>
                <w:noProof/>
                <w:color w:val="000000"/>
                <w:sz w:val="20"/>
                <w:szCs w:val="16"/>
              </w:rPr>
            </w:pPr>
            <w:r>
              <w:rPr>
                <w:bCs/>
                <w:noProof/>
                <w:color w:val="000000"/>
                <w:sz w:val="20"/>
                <w:szCs w:val="16"/>
              </w:rPr>
              <w:t>7.9</w:t>
            </w:r>
          </w:p>
        </w:tc>
        <w:tc>
          <w:tcPr>
            <w:tcW w:w="640" w:type="pct"/>
            <w:shd w:val="clear" w:color="auto" w:fill="auto"/>
            <w:noWrap/>
            <w:vAlign w:val="center"/>
          </w:tcPr>
          <w:p>
            <w:pPr>
              <w:spacing w:before="60" w:after="60"/>
              <w:jc w:val="center"/>
              <w:rPr>
                <w:bCs/>
                <w:noProof/>
                <w:color w:val="000000"/>
                <w:sz w:val="20"/>
                <w:szCs w:val="16"/>
              </w:rPr>
            </w:pPr>
            <w:r>
              <w:rPr>
                <w:bCs/>
                <w:noProof/>
                <w:color w:val="000000"/>
                <w:sz w:val="20"/>
                <w:szCs w:val="16"/>
              </w:rPr>
              <w:t>6.4</w:t>
            </w:r>
          </w:p>
        </w:tc>
      </w:tr>
      <w:tr>
        <w:trPr>
          <w:trHeight w:val="244"/>
          <w:jc w:val="center"/>
        </w:trPr>
        <w:tc>
          <w:tcPr>
            <w:tcW w:w="3721" w:type="pct"/>
            <w:shd w:val="clear" w:color="auto" w:fill="CEEBE6"/>
            <w:noWrap/>
            <w:vAlign w:val="center"/>
          </w:tcPr>
          <w:p>
            <w:pPr>
              <w:spacing w:before="60" w:after="60"/>
              <w:jc w:val="left"/>
              <w:rPr>
                <w:b/>
                <w:bCs/>
                <w:noProof/>
                <w:sz w:val="20"/>
                <w:szCs w:val="16"/>
              </w:rPr>
            </w:pPr>
            <w:r>
              <w:rPr>
                <w:bCs/>
                <w:noProof/>
                <w:sz w:val="20"/>
                <w:szCs w:val="16"/>
              </w:rPr>
              <w:t>Share of total energy costs in production costs (%)</w:t>
            </w:r>
          </w:p>
        </w:tc>
        <w:tc>
          <w:tcPr>
            <w:tcW w:w="639" w:type="pct"/>
            <w:shd w:val="clear" w:color="auto" w:fill="CEEBE6"/>
            <w:noWrap/>
            <w:vAlign w:val="center"/>
          </w:tcPr>
          <w:p>
            <w:pPr>
              <w:spacing w:before="60" w:after="60"/>
              <w:jc w:val="center"/>
              <w:rPr>
                <w:bCs/>
                <w:noProof/>
                <w:color w:val="000000"/>
                <w:sz w:val="20"/>
                <w:szCs w:val="16"/>
              </w:rPr>
            </w:pPr>
            <w:r>
              <w:rPr>
                <w:bCs/>
                <w:noProof/>
                <w:color w:val="000000"/>
                <w:sz w:val="20"/>
                <w:szCs w:val="16"/>
              </w:rPr>
              <w:t>14.0</w:t>
            </w:r>
          </w:p>
        </w:tc>
        <w:tc>
          <w:tcPr>
            <w:tcW w:w="640" w:type="pct"/>
            <w:shd w:val="clear" w:color="auto" w:fill="CEEBE6"/>
            <w:noWrap/>
            <w:vAlign w:val="center"/>
          </w:tcPr>
          <w:p>
            <w:pPr>
              <w:spacing w:before="60" w:after="60"/>
              <w:jc w:val="center"/>
              <w:rPr>
                <w:bCs/>
                <w:noProof/>
                <w:color w:val="000000"/>
                <w:sz w:val="20"/>
                <w:szCs w:val="16"/>
              </w:rPr>
            </w:pPr>
            <w:r>
              <w:rPr>
                <w:bCs/>
                <w:noProof/>
                <w:color w:val="000000"/>
                <w:sz w:val="20"/>
                <w:szCs w:val="16"/>
              </w:rPr>
              <w:t>11.5</w:t>
            </w:r>
          </w:p>
        </w:tc>
      </w:tr>
      <w:tr>
        <w:trPr>
          <w:trHeight w:val="244"/>
          <w:jc w:val="center"/>
        </w:trPr>
        <w:tc>
          <w:tcPr>
            <w:tcW w:w="3721" w:type="pct"/>
            <w:shd w:val="clear" w:color="auto" w:fill="auto"/>
            <w:noWrap/>
            <w:vAlign w:val="center"/>
          </w:tcPr>
          <w:p>
            <w:pPr>
              <w:keepNext/>
              <w:spacing w:before="60" w:after="60"/>
              <w:jc w:val="left"/>
              <w:rPr>
                <w:bCs/>
                <w:noProof/>
                <w:sz w:val="20"/>
                <w:szCs w:val="16"/>
              </w:rPr>
            </w:pPr>
            <w:r>
              <w:rPr>
                <w:bCs/>
                <w:noProof/>
                <w:sz w:val="20"/>
                <w:szCs w:val="16"/>
              </w:rPr>
              <w:t>Total energy costs (€/tonne)</w:t>
            </w:r>
          </w:p>
        </w:tc>
        <w:tc>
          <w:tcPr>
            <w:tcW w:w="639" w:type="pct"/>
            <w:shd w:val="clear" w:color="auto" w:fill="auto"/>
            <w:noWrap/>
            <w:vAlign w:val="center"/>
          </w:tcPr>
          <w:p>
            <w:pPr>
              <w:spacing w:before="60" w:after="60"/>
              <w:jc w:val="center"/>
              <w:rPr>
                <w:bCs/>
                <w:noProof/>
                <w:color w:val="000000"/>
                <w:sz w:val="20"/>
                <w:szCs w:val="16"/>
              </w:rPr>
            </w:pPr>
            <w:r>
              <w:rPr>
                <w:bCs/>
                <w:noProof/>
                <w:color w:val="000000"/>
                <w:sz w:val="20"/>
                <w:szCs w:val="16"/>
              </w:rPr>
              <w:t>70.4</w:t>
            </w:r>
          </w:p>
        </w:tc>
        <w:tc>
          <w:tcPr>
            <w:tcW w:w="640" w:type="pct"/>
            <w:shd w:val="clear" w:color="auto" w:fill="auto"/>
            <w:noWrap/>
            <w:vAlign w:val="center"/>
          </w:tcPr>
          <w:p>
            <w:pPr>
              <w:spacing w:before="60" w:after="60"/>
              <w:jc w:val="center"/>
              <w:rPr>
                <w:bCs/>
                <w:noProof/>
                <w:color w:val="000000"/>
                <w:sz w:val="20"/>
                <w:szCs w:val="16"/>
              </w:rPr>
            </w:pPr>
            <w:r>
              <w:rPr>
                <w:bCs/>
                <w:noProof/>
                <w:color w:val="000000"/>
                <w:sz w:val="20"/>
                <w:szCs w:val="16"/>
              </w:rPr>
              <w:t>62.1</w:t>
            </w:r>
          </w:p>
        </w:tc>
      </w:tr>
    </w:tbl>
    <w:p>
      <w:pPr>
        <w:pStyle w:val="Sources"/>
        <w:tabs>
          <w:tab w:val="left" w:pos="1701"/>
        </w:tabs>
        <w:rPr>
          <w:noProof/>
        </w:rPr>
      </w:pPr>
      <w:r>
        <w:rPr>
          <w:noProof/>
        </w:rPr>
        <w:tab/>
        <w:t>Source: CEPS/Ecofys.</w:t>
      </w:r>
    </w:p>
    <w:p>
      <w:pPr>
        <w:rPr>
          <w:noProof/>
          <w:lang w:eastAsia="it-IT"/>
        </w:rPr>
      </w:pPr>
    </w:p>
    <w:p>
      <w:pPr>
        <w:pStyle w:val="Heading3"/>
        <w:rPr>
          <w:noProof/>
        </w:rPr>
      </w:pPr>
      <w:bookmarkStart w:id="181" w:name="_Toc530741652"/>
      <w:r>
        <w:rPr>
          <w:noProof/>
        </w:rPr>
        <w:t>Downstream aluminium plants</w:t>
      </w:r>
      <w:bookmarkEnd w:id="181"/>
    </w:p>
    <w:p>
      <w:pPr>
        <w:pStyle w:val="Heading4"/>
        <w:rPr>
          <w:noProof/>
        </w:rPr>
      </w:pPr>
      <w:bookmarkStart w:id="182" w:name="_Toc530741653"/>
      <w:r>
        <w:rPr>
          <w:noProof/>
        </w:rPr>
        <w:t>Electricity prices, costs and intensity</w:t>
      </w:r>
      <w:bookmarkEnd w:id="182"/>
    </w:p>
    <w:p>
      <w:pPr>
        <w:rPr>
          <w:noProof/>
          <w:lang w:eastAsia="en-GB"/>
        </w:rPr>
      </w:pPr>
      <w:r>
        <w:rPr>
          <w:noProof/>
        </w:rPr>
        <w:t xml:space="preserve">Key electricity indicators for downstream aluminium plants are presented in </w:t>
      </w:r>
      <w:r>
        <w:rPr>
          <w:noProof/>
        </w:rPr>
        <w:fldChar w:fldCharType="begin"/>
      </w:r>
      <w:r>
        <w:rPr>
          <w:noProof/>
        </w:rPr>
        <w:instrText xml:space="preserve"> REF _Ref530593002 \h </w:instrText>
      </w:r>
      <w:r>
        <w:rPr>
          <w:noProof/>
        </w:rPr>
      </w:r>
      <w:r>
        <w:rPr>
          <w:noProof/>
        </w:rPr>
        <w:fldChar w:fldCharType="separate"/>
      </w:r>
      <w:r>
        <w:rPr>
          <w:noProof/>
        </w:rPr>
        <w:t>Table 14</w:t>
      </w:r>
      <w:r>
        <w:rPr>
          <w:noProof/>
        </w:rPr>
        <w:fldChar w:fldCharType="end"/>
      </w:r>
      <w:r>
        <w:rPr>
          <w:noProof/>
        </w:rPr>
        <w:t>.</w:t>
      </w:r>
    </w:p>
    <w:p>
      <w:pPr>
        <w:rPr>
          <w:noProof/>
        </w:rPr>
      </w:pPr>
      <w:r>
        <w:rPr>
          <w:noProof/>
          <w:lang w:eastAsia="en-GB"/>
        </w:rPr>
        <w:t>EU average e</w:t>
      </w:r>
      <w:r>
        <w:rPr>
          <w:noProof/>
        </w:rPr>
        <w:t xml:space="preserve">lectricity </w:t>
      </w:r>
      <w:r>
        <w:rPr>
          <w:noProof/>
          <w:lang w:eastAsia="en-GB"/>
        </w:rPr>
        <w:t xml:space="preserve">prices increased from 2010 to 2013 and decreased afterwards until 2016, but they were on the rise again in 2017. Over the period, prices increased overall (69 EUR/MWh in 2008 vs. 84 EUR/MWh in 2017). </w:t>
      </w:r>
      <w:r>
        <w:rPr>
          <w:noProof/>
        </w:rPr>
        <w:t>In terms of price components (</w:t>
      </w:r>
      <w:r>
        <w:rPr>
          <w:noProof/>
        </w:rPr>
        <w:fldChar w:fldCharType="begin"/>
      </w:r>
      <w:r>
        <w:rPr>
          <w:noProof/>
        </w:rPr>
        <w:instrText xml:space="preserve"> REF _Ref530594157 \h </w:instrText>
      </w:r>
      <w:r>
        <w:rPr>
          <w:noProof/>
        </w:rPr>
      </w:r>
      <w:r>
        <w:rPr>
          <w:noProof/>
        </w:rPr>
        <w:fldChar w:fldCharType="separate"/>
      </w:r>
      <w:r>
        <w:rPr>
          <w:noProof/>
        </w:rPr>
        <w:t>Figure 37</w:t>
      </w:r>
      <w:r>
        <w:rPr>
          <w:noProof/>
        </w:rPr>
        <w:fldChar w:fldCharType="end"/>
      </w:r>
      <w:r>
        <w:rPr>
          <w:noProof/>
          <w:lang w:eastAsia="en-GB"/>
        </w:rPr>
        <w:t xml:space="preserve">), the </w:t>
      </w:r>
      <w:r>
        <w:rPr>
          <w:noProof/>
        </w:rPr>
        <w:t>energy component remained fairly stable over the period in absolute terms but slightly decreased in relative terms and accounted for 65% of the price i</w:t>
      </w:r>
      <w:r>
        <w:rPr>
          <w:noProof/>
          <w:lang w:eastAsia="en-GB"/>
        </w:rPr>
        <w:t xml:space="preserve">n 2017, while the network and RES levies components went up </w:t>
      </w:r>
      <w:r>
        <w:rPr>
          <w:noProof/>
        </w:rPr>
        <w:t>(both in absolute and relative terms) and accounted for 21% and 7% of the price i</w:t>
      </w:r>
      <w:r>
        <w:rPr>
          <w:noProof/>
          <w:lang w:eastAsia="en-GB"/>
        </w:rPr>
        <w:t>n 2017, respectively</w:t>
      </w:r>
      <w:r>
        <w:rPr>
          <w:noProof/>
        </w:rPr>
        <w:t xml:space="preserve">. </w:t>
      </w:r>
      <w:r>
        <w:rPr>
          <w:noProof/>
          <w:lang w:eastAsia="en-GB"/>
        </w:rPr>
        <w:t xml:space="preserve">It is striking that larger consumers faced much lower electricity prices (weighted average by purchased electricity is well below simple average) by: i) benefitting from stronger bargaining power when negotiating electricity prices (lower energy component); and ii) paying relatively less for network costs and </w:t>
      </w:r>
      <w:r>
        <w:rPr>
          <w:noProof/>
          <w:lang w:eastAsia="de-DE"/>
        </w:rPr>
        <w:t xml:space="preserve">non-recoverable </w:t>
      </w:r>
      <w:r>
        <w:rPr>
          <w:noProof/>
          <w:lang w:eastAsia="en-GB"/>
        </w:rPr>
        <w:t>taxes/levies, including RES levies. Like secondary aluminium producers, downstream aluminium plants mostly buy electricity through providers, with a limited number sourcing a share of their electricity from the wholesale market.</w:t>
      </w:r>
    </w:p>
    <w:p>
      <w:pPr>
        <w:rPr>
          <w:noProof/>
          <w:lang w:eastAsia="en-GB"/>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_Ref530595222 \h </w:instrText>
      </w:r>
      <w:r>
        <w:rPr>
          <w:noProof/>
          <w:lang w:eastAsia="en-GB"/>
        </w:rPr>
      </w:r>
      <w:r>
        <w:rPr>
          <w:noProof/>
          <w:lang w:eastAsia="en-GB"/>
        </w:rPr>
        <w:fldChar w:fldCharType="separate"/>
      </w:r>
      <w:r>
        <w:rPr>
          <w:noProof/>
        </w:rPr>
        <w:t>Figure 38</w:t>
      </w:r>
      <w:r>
        <w:rPr>
          <w:noProof/>
          <w:lang w:eastAsia="en-GB"/>
        </w:rPr>
        <w:fldChar w:fldCharType="end"/>
      </w:r>
      <w:r>
        <w:rPr>
          <w:noProof/>
          <w:lang w:eastAsia="en-GB"/>
        </w:rPr>
        <w:t xml:space="preserve">) increased from 58 EUR/MWh in 2010 to 83 EUR/MWh in 2017. The difference between electricity prices and costs in EUR/MWh is due to ex post electricity price reimbursements granted to some producers. </w:t>
      </w:r>
      <w:r>
        <w:rPr>
          <w:bCs/>
          <w:noProof/>
        </w:rPr>
        <w:t>EU average electricity costs in EUR/tonne</w:t>
      </w:r>
      <w:r>
        <w:rPr>
          <w:noProof/>
          <w:lang w:eastAsia="en-GB"/>
        </w:rPr>
        <w:t xml:space="preserve"> (</w:t>
      </w:r>
      <w:r>
        <w:rPr>
          <w:noProof/>
          <w:lang w:eastAsia="en-GB"/>
        </w:rPr>
        <w:fldChar w:fldCharType="begin"/>
      </w:r>
      <w:r>
        <w:rPr>
          <w:noProof/>
          <w:lang w:eastAsia="en-GB"/>
        </w:rPr>
        <w:instrText xml:space="preserve"> REF _Ref530595233 \h </w:instrText>
      </w:r>
      <w:r>
        <w:rPr>
          <w:noProof/>
          <w:lang w:eastAsia="en-GB"/>
        </w:rPr>
      </w:r>
      <w:r>
        <w:rPr>
          <w:noProof/>
          <w:lang w:eastAsia="en-GB"/>
        </w:rPr>
        <w:fldChar w:fldCharType="separate"/>
      </w:r>
      <w:r>
        <w:rPr>
          <w:noProof/>
        </w:rPr>
        <w:t>Figure 39</w:t>
      </w:r>
      <w:r>
        <w:rPr>
          <w:noProof/>
          <w:lang w:eastAsia="en-GB"/>
        </w:rPr>
        <w:fldChar w:fldCharType="end"/>
      </w:r>
      <w:r>
        <w:rPr>
          <w:noProof/>
          <w:lang w:eastAsia="en-GB"/>
        </w:rPr>
        <w:t>) have been on a decreasing trend since 2013, but over the period they slightly increased from 54 EUR/tonne in 2008 to 59 EUR/tonne in 2017.</w:t>
      </w:r>
    </w:p>
    <w:p>
      <w:pPr>
        <w:rPr>
          <w:noProof/>
          <w:lang w:eastAsia="en-GB"/>
        </w:rPr>
      </w:pPr>
      <w:r>
        <w:rPr>
          <w:noProof/>
          <w:lang w:eastAsia="en-GB"/>
        </w:rPr>
        <w:t>EU average electricity intensity of downstream aluminium plants (</w:t>
      </w:r>
      <w:r>
        <w:rPr>
          <w:noProof/>
          <w:lang w:eastAsia="en-GB"/>
        </w:rPr>
        <w:fldChar w:fldCharType="begin"/>
      </w:r>
      <w:r>
        <w:rPr>
          <w:noProof/>
          <w:lang w:eastAsia="en-GB"/>
        </w:rPr>
        <w:instrText xml:space="preserve"> REF _Ref530595238 \h </w:instrText>
      </w:r>
      <w:r>
        <w:rPr>
          <w:noProof/>
          <w:lang w:eastAsia="en-GB"/>
        </w:rPr>
      </w:r>
      <w:r>
        <w:rPr>
          <w:noProof/>
          <w:lang w:eastAsia="en-GB"/>
        </w:rPr>
        <w:fldChar w:fldCharType="separate"/>
      </w:r>
      <w:r>
        <w:rPr>
          <w:noProof/>
        </w:rPr>
        <w:t>Figure 40</w:t>
      </w:r>
      <w:r>
        <w:rPr>
          <w:noProof/>
          <w:lang w:eastAsia="en-GB"/>
        </w:rPr>
        <w:fldChar w:fldCharType="end"/>
      </w:r>
      <w:r>
        <w:rPr>
          <w:noProof/>
          <w:lang w:eastAsia="en-GB"/>
        </w:rPr>
        <w:t>) decreased from 1.21 MWh/tonne in 2010 to 0.93 MWh/tonne in 2017.</w:t>
      </w:r>
    </w:p>
    <w:p>
      <w:pPr>
        <w:rPr>
          <w:noProof/>
          <w:lang w:eastAsia="en-GB"/>
        </w:rPr>
      </w:pPr>
    </w:p>
    <w:p>
      <w:pPr>
        <w:pStyle w:val="Heading4"/>
        <w:rPr>
          <w:noProof/>
        </w:rPr>
      </w:pPr>
      <w:bookmarkStart w:id="183" w:name="_Toc530741654"/>
      <w:r>
        <w:rPr>
          <w:noProof/>
        </w:rPr>
        <w:t>Natural gas prices, costs and intensity</w:t>
      </w:r>
      <w:bookmarkEnd w:id="183"/>
    </w:p>
    <w:p>
      <w:pPr>
        <w:rPr>
          <w:noProof/>
          <w:lang w:eastAsia="en-GB"/>
        </w:rPr>
      </w:pPr>
      <w:r>
        <w:rPr>
          <w:noProof/>
        </w:rPr>
        <w:t xml:space="preserve">Key natural gas indicators for downstream aluminium plants are presented in </w:t>
      </w:r>
      <w:r>
        <w:rPr>
          <w:noProof/>
        </w:rPr>
        <w:fldChar w:fldCharType="begin"/>
      </w:r>
      <w:r>
        <w:rPr>
          <w:noProof/>
        </w:rPr>
        <w:instrText xml:space="preserve"> REF _Ref530596596 \h </w:instrText>
      </w:r>
      <w:r>
        <w:rPr>
          <w:noProof/>
        </w:rPr>
      </w:r>
      <w:r>
        <w:rPr>
          <w:noProof/>
        </w:rPr>
        <w:fldChar w:fldCharType="separate"/>
      </w:r>
      <w:r>
        <w:rPr>
          <w:noProof/>
        </w:rPr>
        <w:t>Table 15</w:t>
      </w:r>
      <w:r>
        <w:rPr>
          <w:noProof/>
        </w:rPr>
        <w:fldChar w:fldCharType="end"/>
      </w:r>
      <w:r>
        <w:rPr>
          <w:noProof/>
        </w:rPr>
        <w:t>.</w:t>
      </w:r>
    </w:p>
    <w:p>
      <w:pPr>
        <w:rPr>
          <w:noProof/>
          <w:lang w:eastAsia="en-GB"/>
        </w:rPr>
      </w:pPr>
      <w:r>
        <w:rPr>
          <w:noProof/>
          <w:lang w:eastAsia="en-GB"/>
        </w:rPr>
        <w:t>EU average natural gas prices (</w:t>
      </w:r>
      <w:r>
        <w:rPr>
          <w:noProof/>
          <w:lang w:eastAsia="en-GB"/>
        </w:rPr>
        <w:fldChar w:fldCharType="begin"/>
      </w:r>
      <w:r>
        <w:rPr>
          <w:noProof/>
          <w:lang w:eastAsia="en-GB"/>
        </w:rPr>
        <w:instrText xml:space="preserve"> REF _Ref530596861 \h </w:instrText>
      </w:r>
      <w:r>
        <w:rPr>
          <w:noProof/>
          <w:lang w:eastAsia="en-GB"/>
        </w:rPr>
      </w:r>
      <w:r>
        <w:rPr>
          <w:noProof/>
          <w:lang w:eastAsia="en-GB"/>
        </w:rPr>
        <w:fldChar w:fldCharType="separate"/>
      </w:r>
      <w:r>
        <w:rPr>
          <w:noProof/>
        </w:rPr>
        <w:t>Figure 41</w:t>
      </w:r>
      <w:r>
        <w:rPr>
          <w:noProof/>
          <w:lang w:eastAsia="en-GB"/>
        </w:rPr>
        <w:fldChar w:fldCharType="end"/>
      </w:r>
      <w:r>
        <w:rPr>
          <w:noProof/>
          <w:lang w:eastAsia="en-GB"/>
        </w:rPr>
        <w:t xml:space="preserve">) fell by more than half since 2012 (42 EUR/MWh in 2008 vs. 20 EUR/MWh in 2017). As shown in </w:t>
      </w:r>
      <w:r>
        <w:rPr>
          <w:noProof/>
          <w:lang w:eastAsia="en-GB"/>
        </w:rPr>
        <w:fldChar w:fldCharType="begin"/>
      </w:r>
      <w:r>
        <w:rPr>
          <w:noProof/>
          <w:lang w:eastAsia="en-GB"/>
        </w:rPr>
        <w:instrText xml:space="preserve"> REF _Ref530596993 \h </w:instrText>
      </w:r>
      <w:r>
        <w:rPr>
          <w:noProof/>
          <w:lang w:eastAsia="en-GB"/>
        </w:rPr>
      </w:r>
      <w:r>
        <w:rPr>
          <w:noProof/>
          <w:lang w:eastAsia="en-GB"/>
        </w:rPr>
        <w:fldChar w:fldCharType="separate"/>
      </w:r>
      <w:r>
        <w:rPr>
          <w:noProof/>
        </w:rPr>
        <w:t>Figure 42</w:t>
      </w:r>
      <w:r>
        <w:rPr>
          <w:noProof/>
          <w:lang w:eastAsia="en-GB"/>
        </w:rPr>
        <w:fldChar w:fldCharType="end"/>
      </w:r>
      <w:r>
        <w:rPr>
          <w:noProof/>
          <w:lang w:eastAsia="en-GB"/>
        </w:rPr>
        <w:t>, the natural gas price is made up mostly by the energy component (85% in 2017). Larger consumers bore lower unit prices (weighted average is below simple average), but this price differential between larger and smaller consumers tends to disappear in the most recent years.</w:t>
      </w:r>
    </w:p>
    <w:p>
      <w:pPr>
        <w:rPr>
          <w:noProof/>
          <w:lang w:eastAsia="en-GB"/>
        </w:rPr>
      </w:pPr>
      <w:r>
        <w:rPr>
          <w:noProof/>
          <w:lang w:eastAsia="en-GB"/>
        </w:rPr>
        <w:t xml:space="preserve">As shown in </w:t>
      </w:r>
      <w:r>
        <w:rPr>
          <w:noProof/>
          <w:lang w:eastAsia="en-GB"/>
        </w:rPr>
        <w:fldChar w:fldCharType="begin"/>
      </w:r>
      <w:r>
        <w:rPr>
          <w:noProof/>
          <w:lang w:eastAsia="en-GB"/>
        </w:rPr>
        <w:instrText xml:space="preserve"> REF _Ref530596968 \h </w:instrText>
      </w:r>
      <w:r>
        <w:rPr>
          <w:noProof/>
          <w:lang w:eastAsia="en-GB"/>
        </w:rPr>
      </w:r>
      <w:r>
        <w:rPr>
          <w:noProof/>
          <w:lang w:eastAsia="en-GB"/>
        </w:rPr>
        <w:fldChar w:fldCharType="separate"/>
      </w:r>
      <w:r>
        <w:rPr>
          <w:noProof/>
        </w:rPr>
        <w:t>Figure 43</w:t>
      </w:r>
      <w:r>
        <w:rPr>
          <w:noProof/>
          <w:lang w:eastAsia="en-GB"/>
        </w:rPr>
        <w:fldChar w:fldCharType="end"/>
      </w:r>
      <w:r>
        <w:rPr>
          <w:noProof/>
          <w:lang w:eastAsia="en-GB"/>
        </w:rPr>
        <w:t xml:space="preserve">, EU average natural gas costs (in EUR/tonne) followed the same trend as natural gas prices and dropped by half between 2012 and 2017 (59 vs. 28 EUR/tonne, respectively) </w:t>
      </w:r>
    </w:p>
    <w:p>
      <w:pPr>
        <w:rPr>
          <w:noProof/>
          <w:lang w:eastAsia="en-GB"/>
        </w:rPr>
      </w:pPr>
      <w:r>
        <w:rPr>
          <w:noProof/>
          <w:lang w:eastAsia="en-GB"/>
        </w:rPr>
        <w:t>EU average natural gas intensity (</w:t>
      </w:r>
      <w:r>
        <w:rPr>
          <w:noProof/>
          <w:lang w:eastAsia="en-GB"/>
        </w:rPr>
        <w:fldChar w:fldCharType="begin"/>
      </w:r>
      <w:r>
        <w:rPr>
          <w:noProof/>
          <w:lang w:eastAsia="en-GB"/>
        </w:rPr>
        <w:instrText xml:space="preserve"> REF _Ref530596981 \h </w:instrText>
      </w:r>
      <w:r>
        <w:rPr>
          <w:noProof/>
          <w:lang w:eastAsia="en-GB"/>
        </w:rPr>
      </w:r>
      <w:r>
        <w:rPr>
          <w:noProof/>
          <w:lang w:eastAsia="en-GB"/>
        </w:rPr>
        <w:fldChar w:fldCharType="separate"/>
      </w:r>
      <w:r>
        <w:rPr>
          <w:noProof/>
        </w:rPr>
        <w:t>Figure 44</w:t>
      </w:r>
      <w:r>
        <w:rPr>
          <w:noProof/>
          <w:lang w:eastAsia="en-GB"/>
        </w:rPr>
        <w:fldChar w:fldCharType="end"/>
      </w:r>
      <w:r>
        <w:rPr>
          <w:noProof/>
          <w:lang w:eastAsia="en-GB"/>
        </w:rPr>
        <w:t>) ranged between 1.2 and 1.5 MWh/tonne over the period. Unlike for secondary aluminium, downstream aluminium producers are not more efficient than smaller ones.</w:t>
      </w:r>
    </w:p>
    <w:p>
      <w:pPr>
        <w:rPr>
          <w:noProof/>
          <w:lang w:eastAsia="en-GB"/>
        </w:rPr>
      </w:pPr>
    </w:p>
    <w:p>
      <w:pPr>
        <w:pStyle w:val="Heading4"/>
        <w:rPr>
          <w:noProof/>
        </w:rPr>
      </w:pPr>
      <w:bookmarkStart w:id="184" w:name="_Toc530741655"/>
      <w:r>
        <w:rPr>
          <w:noProof/>
        </w:rPr>
        <w:t>Competitiveness</w:t>
      </w:r>
      <w:bookmarkEnd w:id="184"/>
    </w:p>
    <w:p>
      <w:pPr>
        <w:rPr>
          <w:noProof/>
          <w:lang w:eastAsia="en-GB"/>
        </w:rPr>
      </w:pPr>
      <w:r>
        <w:rPr>
          <w:noProof/>
          <w:lang w:eastAsia="en-GB"/>
        </w:rPr>
        <w:t xml:space="preserve">As shown in </w:t>
      </w:r>
      <w:r>
        <w:rPr>
          <w:noProof/>
          <w:lang w:eastAsia="en-GB"/>
        </w:rPr>
        <w:fldChar w:fldCharType="begin"/>
      </w:r>
      <w:r>
        <w:rPr>
          <w:noProof/>
          <w:lang w:eastAsia="en-GB"/>
        </w:rPr>
        <w:instrText xml:space="preserve"> REF _Ref530596611 \h </w:instrText>
      </w:r>
      <w:r>
        <w:rPr>
          <w:noProof/>
          <w:lang w:eastAsia="en-GB"/>
        </w:rPr>
      </w:r>
      <w:r>
        <w:rPr>
          <w:noProof/>
          <w:lang w:eastAsia="en-GB"/>
        </w:rPr>
        <w:fldChar w:fldCharType="separate"/>
      </w:r>
      <w:r>
        <w:rPr>
          <w:noProof/>
        </w:rPr>
        <w:t>Table 16</w:t>
      </w:r>
      <w:r>
        <w:rPr>
          <w:noProof/>
          <w:lang w:eastAsia="en-GB"/>
        </w:rPr>
        <w:fldChar w:fldCharType="end"/>
      </w:r>
      <w:r>
        <w:rPr>
          <w:noProof/>
          <w:lang w:eastAsia="en-GB"/>
        </w:rPr>
        <w:t xml:space="preserve"> (data are available for 2016 and 2017 only), electricity and natural gas costs per tonne made up around 1% and 0.5% of total production costs per tonne, respectively. Overall, the share of total energy (electricity + natural gas) costs in production costs ranged around 1-2%.</w:t>
      </w:r>
    </w:p>
    <w:p>
      <w:pPr>
        <w:rPr>
          <w:noProof/>
          <w:lang w:eastAsia="en-GB"/>
        </w:rPr>
      </w:pPr>
      <w:r>
        <w:rPr>
          <w:noProof/>
        </w:rPr>
        <w:t xml:space="preserve">Data on </w:t>
      </w:r>
      <w:r>
        <w:rPr>
          <w:noProof/>
          <w:lang w:eastAsia="en-GB"/>
        </w:rPr>
        <w:t>EBITDA per tonne are not available for this subsector and cannot be compared with energy costs. We can nevertheless note that total energy costs represent a very small share of production costs and therefore seem less relevant for competitiveness issues in downstream aluminium production.</w:t>
      </w:r>
    </w:p>
    <w:p>
      <w:pPr>
        <w:rPr>
          <w:noProof/>
        </w:rPr>
      </w:pPr>
    </w:p>
    <w:p>
      <w:pPr>
        <w:pStyle w:val="Heading4"/>
        <w:rPr>
          <w:noProof/>
        </w:rPr>
      </w:pPr>
      <w:bookmarkStart w:id="185" w:name="_Toc530741656"/>
      <w:r>
        <w:rPr>
          <w:noProof/>
        </w:rPr>
        <w:t>Tables and graphs</w:t>
      </w:r>
      <w:bookmarkEnd w:id="185"/>
    </w:p>
    <w:p>
      <w:pPr>
        <w:rPr>
          <w:b/>
          <w:i/>
          <w:noProof/>
          <w:lang w:eastAsia="en-GB"/>
        </w:rPr>
      </w:pPr>
      <w:r>
        <w:rPr>
          <w:b/>
          <w:i/>
          <w:noProof/>
          <w:lang w:eastAsia="en-GB"/>
        </w:rPr>
        <w:t>Electricity</w:t>
      </w:r>
    </w:p>
    <w:p>
      <w:pPr>
        <w:pStyle w:val="Caption"/>
      </w:pPr>
      <w:bookmarkStart w:id="186" w:name="_Ref530593002"/>
      <w:bookmarkStart w:id="187" w:name="_Toc530741807"/>
      <w:r>
        <w:t xml:space="preserve">Table </w:t>
      </w:r>
      <w:r>
        <w:fldChar w:fldCharType="begin"/>
      </w:r>
      <w:r>
        <w:instrText xml:space="preserve"> SEQ Table \* ARABIC </w:instrText>
      </w:r>
      <w:r>
        <w:fldChar w:fldCharType="separate"/>
      </w:r>
      <w:r>
        <w:t>14</w:t>
      </w:r>
      <w:r>
        <w:fldChar w:fldCharType="end"/>
      </w:r>
      <w:bookmarkEnd w:id="186"/>
      <w:r>
        <w:t>. Key electricity indicators of downstream aluminium production</w:t>
      </w:r>
      <w:r>
        <w:rPr>
          <w:rFonts w:eastAsia="Times New Roman"/>
          <w:color w:val="000000"/>
          <w:lang w:eastAsia="en-GB"/>
        </w:rPr>
        <w:t xml:space="preserve"> </w:t>
      </w:r>
      <w:r>
        <w:t>(EU averages)</w:t>
      </w:r>
      <w:bookmarkEnd w:id="187"/>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781"/>
        <w:gridCol w:w="781"/>
        <w:gridCol w:w="782"/>
        <w:gridCol w:w="782"/>
        <w:gridCol w:w="782"/>
        <w:gridCol w:w="782"/>
        <w:gridCol w:w="780"/>
      </w:tblGrid>
      <w:tr>
        <w:trPr>
          <w:trHeight w:val="244"/>
          <w:jc w:val="center"/>
        </w:trPr>
        <w:tc>
          <w:tcPr>
            <w:tcW w:w="1151"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55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55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55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55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55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55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54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151" w:type="pct"/>
            <w:shd w:val="clear" w:color="auto" w:fill="CEEBE6"/>
            <w:noWrap/>
            <w:vAlign w:val="center"/>
          </w:tcPr>
          <w:p>
            <w:pPr>
              <w:spacing w:before="60" w:after="60"/>
              <w:jc w:val="left"/>
              <w:rPr>
                <w:noProof/>
                <w:sz w:val="20"/>
                <w:szCs w:val="16"/>
              </w:rPr>
            </w:pPr>
            <w:r>
              <w:rPr>
                <w:noProof/>
                <w:sz w:val="20"/>
                <w:szCs w:val="16"/>
              </w:rPr>
              <w:t>Electricity prices (€/MWh)</w:t>
            </w:r>
          </w:p>
        </w:tc>
        <w:tc>
          <w:tcPr>
            <w:tcW w:w="550" w:type="pct"/>
            <w:shd w:val="clear" w:color="auto" w:fill="CEEBE6"/>
            <w:noWrap/>
            <w:vAlign w:val="center"/>
          </w:tcPr>
          <w:p>
            <w:pPr>
              <w:spacing w:before="60" w:after="60"/>
              <w:jc w:val="center"/>
              <w:rPr>
                <w:noProof/>
                <w:sz w:val="20"/>
                <w:szCs w:val="16"/>
                <w:lang w:eastAsia="it-IT"/>
              </w:rPr>
            </w:pPr>
            <w:r>
              <w:rPr>
                <w:noProof/>
                <w:sz w:val="20"/>
                <w:szCs w:val="16"/>
              </w:rPr>
              <w:t>69.3</w:t>
            </w:r>
          </w:p>
        </w:tc>
        <w:tc>
          <w:tcPr>
            <w:tcW w:w="550" w:type="pct"/>
            <w:shd w:val="clear" w:color="auto" w:fill="CEEBE6"/>
            <w:noWrap/>
            <w:vAlign w:val="center"/>
          </w:tcPr>
          <w:p>
            <w:pPr>
              <w:spacing w:before="60" w:after="60"/>
              <w:jc w:val="center"/>
              <w:rPr>
                <w:noProof/>
                <w:sz w:val="20"/>
                <w:szCs w:val="16"/>
                <w:lang w:eastAsia="it-IT"/>
              </w:rPr>
            </w:pPr>
            <w:r>
              <w:rPr>
                <w:noProof/>
                <w:sz w:val="20"/>
                <w:szCs w:val="16"/>
              </w:rPr>
              <w:t>91.4</w:t>
            </w:r>
          </w:p>
        </w:tc>
        <w:tc>
          <w:tcPr>
            <w:tcW w:w="550" w:type="pct"/>
            <w:shd w:val="clear" w:color="auto" w:fill="CEEBE6"/>
            <w:noWrap/>
            <w:vAlign w:val="center"/>
          </w:tcPr>
          <w:p>
            <w:pPr>
              <w:spacing w:before="60" w:after="60"/>
              <w:jc w:val="center"/>
              <w:rPr>
                <w:noProof/>
                <w:sz w:val="20"/>
                <w:szCs w:val="16"/>
                <w:lang w:eastAsia="it-IT"/>
              </w:rPr>
            </w:pPr>
            <w:r>
              <w:rPr>
                <w:noProof/>
                <w:sz w:val="20"/>
                <w:szCs w:val="16"/>
              </w:rPr>
              <w:t>99.1</w:t>
            </w:r>
          </w:p>
        </w:tc>
        <w:tc>
          <w:tcPr>
            <w:tcW w:w="550" w:type="pct"/>
            <w:shd w:val="clear" w:color="auto" w:fill="CEEBE6"/>
            <w:noWrap/>
            <w:vAlign w:val="center"/>
          </w:tcPr>
          <w:p>
            <w:pPr>
              <w:spacing w:before="60" w:after="60"/>
              <w:jc w:val="center"/>
              <w:rPr>
                <w:noProof/>
                <w:sz w:val="20"/>
                <w:szCs w:val="16"/>
                <w:lang w:eastAsia="it-IT"/>
              </w:rPr>
            </w:pPr>
            <w:r>
              <w:rPr>
                <w:noProof/>
                <w:sz w:val="20"/>
                <w:szCs w:val="16"/>
              </w:rPr>
              <w:t>98.5</w:t>
            </w:r>
          </w:p>
        </w:tc>
        <w:tc>
          <w:tcPr>
            <w:tcW w:w="550" w:type="pct"/>
            <w:shd w:val="clear" w:color="auto" w:fill="CEEBE6"/>
            <w:noWrap/>
            <w:vAlign w:val="center"/>
          </w:tcPr>
          <w:p>
            <w:pPr>
              <w:spacing w:before="60" w:after="60"/>
              <w:jc w:val="center"/>
              <w:rPr>
                <w:noProof/>
                <w:sz w:val="20"/>
                <w:szCs w:val="16"/>
                <w:lang w:eastAsia="it-IT"/>
              </w:rPr>
            </w:pPr>
            <w:r>
              <w:rPr>
                <w:noProof/>
                <w:sz w:val="20"/>
                <w:szCs w:val="16"/>
              </w:rPr>
              <w:t>89.2</w:t>
            </w:r>
          </w:p>
        </w:tc>
        <w:tc>
          <w:tcPr>
            <w:tcW w:w="550" w:type="pct"/>
            <w:shd w:val="clear" w:color="auto" w:fill="CEEBE6"/>
            <w:noWrap/>
            <w:vAlign w:val="center"/>
          </w:tcPr>
          <w:p>
            <w:pPr>
              <w:spacing w:before="60" w:after="60"/>
              <w:jc w:val="center"/>
              <w:rPr>
                <w:noProof/>
                <w:sz w:val="20"/>
                <w:szCs w:val="16"/>
                <w:lang w:eastAsia="it-IT"/>
              </w:rPr>
            </w:pPr>
            <w:r>
              <w:rPr>
                <w:noProof/>
                <w:sz w:val="20"/>
                <w:szCs w:val="16"/>
              </w:rPr>
              <w:t>80.0</w:t>
            </w:r>
          </w:p>
        </w:tc>
        <w:tc>
          <w:tcPr>
            <w:tcW w:w="549" w:type="pct"/>
            <w:shd w:val="clear" w:color="auto" w:fill="CEEBE6"/>
            <w:noWrap/>
            <w:vAlign w:val="center"/>
          </w:tcPr>
          <w:p>
            <w:pPr>
              <w:spacing w:before="60" w:after="60"/>
              <w:jc w:val="center"/>
              <w:rPr>
                <w:noProof/>
                <w:sz w:val="20"/>
                <w:szCs w:val="16"/>
                <w:lang w:eastAsia="it-IT"/>
              </w:rPr>
            </w:pPr>
            <w:r>
              <w:rPr>
                <w:noProof/>
                <w:sz w:val="20"/>
                <w:szCs w:val="16"/>
              </w:rPr>
              <w:t>84.1</w:t>
            </w:r>
          </w:p>
        </w:tc>
      </w:tr>
      <w:tr>
        <w:trPr>
          <w:trHeight w:val="244"/>
          <w:jc w:val="center"/>
        </w:trPr>
        <w:tc>
          <w:tcPr>
            <w:tcW w:w="1151" w:type="pct"/>
            <w:shd w:val="clear" w:color="auto" w:fill="auto"/>
            <w:noWrap/>
            <w:vAlign w:val="center"/>
            <w:hideMark/>
          </w:tcPr>
          <w:p>
            <w:pPr>
              <w:spacing w:before="60" w:after="60"/>
              <w:jc w:val="left"/>
              <w:rPr>
                <w:noProof/>
                <w:sz w:val="20"/>
                <w:szCs w:val="16"/>
              </w:rPr>
            </w:pPr>
            <w:r>
              <w:rPr>
                <w:noProof/>
                <w:sz w:val="20"/>
                <w:szCs w:val="16"/>
              </w:rPr>
              <w:t>Electricity costs (€/MWh)</w:t>
            </w:r>
          </w:p>
        </w:tc>
        <w:tc>
          <w:tcPr>
            <w:tcW w:w="550"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57.8</w:t>
            </w:r>
          </w:p>
        </w:tc>
        <w:tc>
          <w:tcPr>
            <w:tcW w:w="550" w:type="pct"/>
            <w:shd w:val="clear" w:color="auto" w:fill="auto"/>
            <w:noWrap/>
            <w:vAlign w:val="center"/>
            <w:hideMark/>
          </w:tcPr>
          <w:p>
            <w:pPr>
              <w:spacing w:before="60" w:after="60"/>
              <w:jc w:val="center"/>
              <w:rPr>
                <w:noProof/>
                <w:sz w:val="20"/>
                <w:szCs w:val="16"/>
                <w:lang w:eastAsia="it-IT"/>
              </w:rPr>
            </w:pPr>
            <w:r>
              <w:rPr>
                <w:bCs/>
                <w:noProof/>
                <w:color w:val="000000"/>
                <w:sz w:val="20"/>
                <w:szCs w:val="16"/>
              </w:rPr>
              <w:t>78.4</w:t>
            </w:r>
          </w:p>
        </w:tc>
        <w:tc>
          <w:tcPr>
            <w:tcW w:w="550"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99.1</w:t>
            </w:r>
          </w:p>
        </w:tc>
        <w:tc>
          <w:tcPr>
            <w:tcW w:w="550"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98.3</w:t>
            </w:r>
          </w:p>
        </w:tc>
        <w:tc>
          <w:tcPr>
            <w:tcW w:w="550"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89.2</w:t>
            </w:r>
          </w:p>
        </w:tc>
        <w:tc>
          <w:tcPr>
            <w:tcW w:w="550"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80.0</w:t>
            </w:r>
          </w:p>
        </w:tc>
        <w:tc>
          <w:tcPr>
            <w:tcW w:w="549"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82.5</w:t>
            </w:r>
          </w:p>
        </w:tc>
      </w:tr>
      <w:tr>
        <w:trPr>
          <w:trHeight w:val="244"/>
          <w:jc w:val="center"/>
        </w:trPr>
        <w:tc>
          <w:tcPr>
            <w:tcW w:w="1151" w:type="pct"/>
            <w:shd w:val="clear" w:color="auto" w:fill="CEEBE6"/>
            <w:noWrap/>
            <w:vAlign w:val="center"/>
            <w:hideMark/>
          </w:tcPr>
          <w:p>
            <w:pPr>
              <w:spacing w:before="60" w:after="60"/>
              <w:jc w:val="left"/>
              <w:rPr>
                <w:noProof/>
                <w:sz w:val="20"/>
                <w:szCs w:val="16"/>
              </w:rPr>
            </w:pPr>
            <w:r>
              <w:rPr>
                <w:noProof/>
                <w:sz w:val="20"/>
                <w:szCs w:val="16"/>
              </w:rPr>
              <w:t>Electricity costs (€/tonne)</w:t>
            </w:r>
          </w:p>
        </w:tc>
        <w:tc>
          <w:tcPr>
            <w:tcW w:w="550" w:type="pct"/>
            <w:shd w:val="clear" w:color="auto" w:fill="CEEBE6"/>
            <w:noWrap/>
            <w:vAlign w:val="center"/>
            <w:hideMark/>
          </w:tcPr>
          <w:p>
            <w:pPr>
              <w:spacing w:before="60" w:after="60"/>
              <w:jc w:val="center"/>
              <w:rPr>
                <w:noProof/>
                <w:sz w:val="20"/>
                <w:szCs w:val="16"/>
                <w:lang w:eastAsia="it-IT"/>
              </w:rPr>
            </w:pPr>
            <w:r>
              <w:rPr>
                <w:bCs/>
                <w:noProof/>
                <w:sz w:val="20"/>
                <w:szCs w:val="16"/>
              </w:rPr>
              <w:t>54.2</w:t>
            </w:r>
          </w:p>
        </w:tc>
        <w:tc>
          <w:tcPr>
            <w:tcW w:w="550" w:type="pct"/>
            <w:shd w:val="clear" w:color="auto" w:fill="CEEBE6"/>
            <w:noWrap/>
            <w:vAlign w:val="center"/>
            <w:hideMark/>
          </w:tcPr>
          <w:p>
            <w:pPr>
              <w:spacing w:before="60" w:after="60"/>
              <w:jc w:val="center"/>
              <w:rPr>
                <w:noProof/>
                <w:sz w:val="20"/>
                <w:szCs w:val="16"/>
                <w:lang w:eastAsia="it-IT"/>
              </w:rPr>
            </w:pPr>
            <w:r>
              <w:rPr>
                <w:bCs/>
                <w:noProof/>
                <w:sz w:val="20"/>
                <w:szCs w:val="16"/>
              </w:rPr>
              <w:t>64.8</w:t>
            </w:r>
          </w:p>
        </w:tc>
        <w:tc>
          <w:tcPr>
            <w:tcW w:w="550" w:type="pct"/>
            <w:shd w:val="clear" w:color="auto" w:fill="CEEBE6"/>
            <w:noWrap/>
            <w:vAlign w:val="center"/>
            <w:hideMark/>
          </w:tcPr>
          <w:p>
            <w:pPr>
              <w:spacing w:before="60" w:after="60"/>
              <w:jc w:val="center"/>
              <w:rPr>
                <w:noProof/>
                <w:sz w:val="20"/>
                <w:szCs w:val="16"/>
                <w:lang w:eastAsia="it-IT"/>
              </w:rPr>
            </w:pPr>
            <w:r>
              <w:rPr>
                <w:bCs/>
                <w:noProof/>
                <w:sz w:val="20"/>
                <w:szCs w:val="16"/>
              </w:rPr>
              <w:t>97.1</w:t>
            </w:r>
          </w:p>
        </w:tc>
        <w:tc>
          <w:tcPr>
            <w:tcW w:w="550" w:type="pct"/>
            <w:shd w:val="clear" w:color="auto" w:fill="CEEBE6"/>
            <w:noWrap/>
            <w:vAlign w:val="center"/>
            <w:hideMark/>
          </w:tcPr>
          <w:p>
            <w:pPr>
              <w:spacing w:before="60" w:after="60"/>
              <w:jc w:val="center"/>
              <w:rPr>
                <w:noProof/>
                <w:sz w:val="20"/>
                <w:szCs w:val="16"/>
                <w:lang w:eastAsia="it-IT"/>
              </w:rPr>
            </w:pPr>
            <w:r>
              <w:rPr>
                <w:bCs/>
                <w:noProof/>
                <w:sz w:val="20"/>
                <w:szCs w:val="16"/>
              </w:rPr>
              <w:t>87.3</w:t>
            </w:r>
          </w:p>
        </w:tc>
        <w:tc>
          <w:tcPr>
            <w:tcW w:w="550" w:type="pct"/>
            <w:shd w:val="clear" w:color="auto" w:fill="CEEBE6"/>
            <w:noWrap/>
            <w:vAlign w:val="center"/>
            <w:hideMark/>
          </w:tcPr>
          <w:p>
            <w:pPr>
              <w:spacing w:before="60" w:after="60"/>
              <w:jc w:val="center"/>
              <w:rPr>
                <w:noProof/>
                <w:sz w:val="20"/>
                <w:szCs w:val="16"/>
                <w:lang w:eastAsia="it-IT"/>
              </w:rPr>
            </w:pPr>
            <w:r>
              <w:rPr>
                <w:bCs/>
                <w:noProof/>
                <w:sz w:val="20"/>
                <w:szCs w:val="16"/>
              </w:rPr>
              <w:t>67.5</w:t>
            </w:r>
          </w:p>
        </w:tc>
        <w:tc>
          <w:tcPr>
            <w:tcW w:w="550" w:type="pct"/>
            <w:shd w:val="clear" w:color="auto" w:fill="CEEBE6"/>
            <w:noWrap/>
            <w:vAlign w:val="center"/>
            <w:hideMark/>
          </w:tcPr>
          <w:p>
            <w:pPr>
              <w:spacing w:before="60" w:after="60"/>
              <w:jc w:val="center"/>
              <w:rPr>
                <w:noProof/>
                <w:sz w:val="20"/>
                <w:szCs w:val="16"/>
                <w:lang w:eastAsia="it-IT"/>
              </w:rPr>
            </w:pPr>
            <w:r>
              <w:rPr>
                <w:bCs/>
                <w:noProof/>
                <w:sz w:val="20"/>
                <w:szCs w:val="16"/>
              </w:rPr>
              <w:t>68.2</w:t>
            </w:r>
          </w:p>
        </w:tc>
        <w:tc>
          <w:tcPr>
            <w:tcW w:w="549" w:type="pct"/>
            <w:shd w:val="clear" w:color="auto" w:fill="CEEBE6"/>
            <w:noWrap/>
            <w:vAlign w:val="center"/>
            <w:hideMark/>
          </w:tcPr>
          <w:p>
            <w:pPr>
              <w:spacing w:before="60" w:after="60"/>
              <w:jc w:val="center"/>
              <w:rPr>
                <w:noProof/>
                <w:sz w:val="20"/>
                <w:szCs w:val="16"/>
                <w:lang w:eastAsia="it-IT"/>
              </w:rPr>
            </w:pPr>
            <w:r>
              <w:rPr>
                <w:bCs/>
                <w:noProof/>
                <w:sz w:val="20"/>
                <w:szCs w:val="16"/>
              </w:rPr>
              <w:t>58.6</w:t>
            </w:r>
          </w:p>
        </w:tc>
      </w:tr>
      <w:tr>
        <w:trPr>
          <w:trHeight w:val="244"/>
          <w:jc w:val="center"/>
        </w:trPr>
        <w:tc>
          <w:tcPr>
            <w:tcW w:w="1151" w:type="pct"/>
            <w:shd w:val="clear" w:color="auto" w:fill="auto"/>
            <w:noWrap/>
            <w:vAlign w:val="center"/>
          </w:tcPr>
          <w:p>
            <w:pPr>
              <w:keepNext/>
              <w:spacing w:before="60" w:after="60"/>
              <w:jc w:val="left"/>
              <w:rPr>
                <w:noProof/>
                <w:sz w:val="20"/>
                <w:szCs w:val="16"/>
              </w:rPr>
            </w:pPr>
            <w:r>
              <w:rPr>
                <w:noProof/>
                <w:sz w:val="20"/>
                <w:szCs w:val="16"/>
              </w:rPr>
              <w:t>Electricity intensity (MWh/tonne)</w:t>
            </w:r>
          </w:p>
        </w:tc>
        <w:tc>
          <w:tcPr>
            <w:tcW w:w="550" w:type="pct"/>
            <w:shd w:val="clear" w:color="auto" w:fill="auto"/>
            <w:noWrap/>
            <w:vAlign w:val="center"/>
          </w:tcPr>
          <w:p>
            <w:pPr>
              <w:keepNext/>
              <w:spacing w:before="60" w:after="60"/>
              <w:jc w:val="center"/>
              <w:rPr>
                <w:noProof/>
                <w:sz w:val="20"/>
                <w:szCs w:val="16"/>
                <w:lang w:eastAsia="it-IT"/>
              </w:rPr>
            </w:pPr>
            <w:r>
              <w:rPr>
                <w:bCs/>
                <w:noProof/>
                <w:sz w:val="20"/>
                <w:szCs w:val="16"/>
              </w:rPr>
              <w:t>1.21</w:t>
            </w:r>
          </w:p>
        </w:tc>
        <w:tc>
          <w:tcPr>
            <w:tcW w:w="550" w:type="pct"/>
            <w:shd w:val="clear" w:color="auto" w:fill="auto"/>
            <w:noWrap/>
            <w:vAlign w:val="center"/>
          </w:tcPr>
          <w:p>
            <w:pPr>
              <w:keepNext/>
              <w:spacing w:before="60" w:after="60"/>
              <w:jc w:val="center"/>
              <w:rPr>
                <w:noProof/>
                <w:sz w:val="20"/>
                <w:szCs w:val="16"/>
                <w:lang w:eastAsia="it-IT"/>
              </w:rPr>
            </w:pPr>
            <w:r>
              <w:rPr>
                <w:bCs/>
                <w:noProof/>
                <w:sz w:val="20"/>
                <w:szCs w:val="16"/>
              </w:rPr>
              <w:t>1.08</w:t>
            </w:r>
          </w:p>
        </w:tc>
        <w:tc>
          <w:tcPr>
            <w:tcW w:w="550" w:type="pct"/>
            <w:shd w:val="clear" w:color="auto" w:fill="auto"/>
            <w:noWrap/>
            <w:vAlign w:val="center"/>
          </w:tcPr>
          <w:p>
            <w:pPr>
              <w:keepNext/>
              <w:spacing w:before="60" w:after="60"/>
              <w:jc w:val="center"/>
              <w:rPr>
                <w:noProof/>
                <w:sz w:val="20"/>
                <w:szCs w:val="16"/>
                <w:lang w:eastAsia="it-IT"/>
              </w:rPr>
            </w:pPr>
            <w:r>
              <w:rPr>
                <w:bCs/>
                <w:noProof/>
                <w:sz w:val="20"/>
                <w:szCs w:val="16"/>
              </w:rPr>
              <w:t>1.11</w:t>
            </w:r>
          </w:p>
        </w:tc>
        <w:tc>
          <w:tcPr>
            <w:tcW w:w="550" w:type="pct"/>
            <w:shd w:val="clear" w:color="auto" w:fill="auto"/>
            <w:noWrap/>
            <w:vAlign w:val="center"/>
          </w:tcPr>
          <w:p>
            <w:pPr>
              <w:keepNext/>
              <w:spacing w:before="60" w:after="60"/>
              <w:jc w:val="center"/>
              <w:rPr>
                <w:noProof/>
                <w:sz w:val="20"/>
                <w:szCs w:val="16"/>
                <w:lang w:eastAsia="it-IT"/>
              </w:rPr>
            </w:pPr>
            <w:r>
              <w:rPr>
                <w:bCs/>
                <w:noProof/>
                <w:sz w:val="20"/>
                <w:szCs w:val="16"/>
              </w:rPr>
              <w:t>1.05</w:t>
            </w:r>
          </w:p>
        </w:tc>
        <w:tc>
          <w:tcPr>
            <w:tcW w:w="550" w:type="pct"/>
            <w:shd w:val="clear" w:color="auto" w:fill="auto"/>
            <w:noWrap/>
            <w:vAlign w:val="center"/>
          </w:tcPr>
          <w:p>
            <w:pPr>
              <w:keepNext/>
              <w:spacing w:before="60" w:after="60"/>
              <w:jc w:val="center"/>
              <w:rPr>
                <w:noProof/>
                <w:sz w:val="20"/>
                <w:szCs w:val="16"/>
                <w:lang w:eastAsia="it-IT"/>
              </w:rPr>
            </w:pPr>
            <w:r>
              <w:rPr>
                <w:bCs/>
                <w:noProof/>
                <w:sz w:val="20"/>
                <w:szCs w:val="16"/>
              </w:rPr>
              <w:t>0.93</w:t>
            </w:r>
          </w:p>
        </w:tc>
        <w:tc>
          <w:tcPr>
            <w:tcW w:w="550" w:type="pct"/>
            <w:shd w:val="clear" w:color="auto" w:fill="auto"/>
            <w:noWrap/>
            <w:vAlign w:val="center"/>
          </w:tcPr>
          <w:p>
            <w:pPr>
              <w:keepNext/>
              <w:spacing w:before="60" w:after="60"/>
              <w:jc w:val="center"/>
              <w:rPr>
                <w:noProof/>
                <w:sz w:val="20"/>
                <w:szCs w:val="16"/>
                <w:lang w:eastAsia="it-IT"/>
              </w:rPr>
            </w:pPr>
            <w:r>
              <w:rPr>
                <w:bCs/>
                <w:noProof/>
                <w:sz w:val="20"/>
                <w:szCs w:val="16"/>
              </w:rPr>
              <w:t>1.04</w:t>
            </w:r>
          </w:p>
        </w:tc>
        <w:tc>
          <w:tcPr>
            <w:tcW w:w="549" w:type="pct"/>
            <w:shd w:val="clear" w:color="auto" w:fill="auto"/>
            <w:noWrap/>
            <w:vAlign w:val="center"/>
          </w:tcPr>
          <w:p>
            <w:pPr>
              <w:keepNext/>
              <w:spacing w:before="60" w:after="60"/>
              <w:jc w:val="center"/>
              <w:rPr>
                <w:noProof/>
                <w:sz w:val="20"/>
                <w:szCs w:val="16"/>
                <w:lang w:eastAsia="it-IT"/>
              </w:rPr>
            </w:pPr>
            <w:r>
              <w:rPr>
                <w:bCs/>
                <w:noProof/>
                <w:sz w:val="20"/>
                <w:szCs w:val="16"/>
              </w:rPr>
              <w:t>0.93</w:t>
            </w:r>
          </w:p>
        </w:tc>
      </w:tr>
    </w:tbl>
    <w:p>
      <w:pPr>
        <w:pStyle w:val="Sources"/>
        <w:tabs>
          <w:tab w:val="left" w:pos="426"/>
        </w:tabs>
        <w:rPr>
          <w:noProof/>
        </w:rPr>
      </w:pPr>
      <w:r>
        <w:rPr>
          <w:noProof/>
        </w:rPr>
        <w:tab/>
        <w:t>Source: CEPS/Ecofys.</w:t>
      </w:r>
    </w:p>
    <w:p>
      <w:pPr>
        <w:rPr>
          <w:noProof/>
        </w:rPr>
      </w:pPr>
    </w:p>
    <w:p>
      <w:pPr>
        <w:pStyle w:val="Caption"/>
        <w:rPr>
          <w:rFonts w:eastAsia="Times New Roman"/>
          <w:color w:val="000000"/>
          <w:lang w:eastAsia="en-GB"/>
        </w:rPr>
      </w:pPr>
      <w:bookmarkStart w:id="188" w:name="_Ref530594157"/>
      <w:bookmarkStart w:id="189" w:name="_Toc530741730"/>
      <w:r>
        <w:t xml:space="preserve">Figure </w:t>
      </w:r>
      <w:r>
        <w:fldChar w:fldCharType="begin"/>
      </w:r>
      <w:r>
        <w:instrText xml:space="preserve"> SEQ Figure \* ARABIC </w:instrText>
      </w:r>
      <w:r>
        <w:fldChar w:fldCharType="separate"/>
      </w:r>
      <w:r>
        <w:t>37</w:t>
      </w:r>
      <w:r>
        <w:fldChar w:fldCharType="end"/>
      </w:r>
      <w:bookmarkEnd w:id="188"/>
      <w:r>
        <w:t>. Components of the EU average electricity price for downstream aluminium production (%)</w:t>
      </w:r>
      <w:bookmarkEnd w:id="189"/>
    </w:p>
    <w:p>
      <w:pPr>
        <w:keepNext/>
        <w:rPr>
          <w:noProof/>
        </w:rPr>
      </w:pPr>
      <w:r>
        <w:rPr>
          <w:noProof/>
          <w:lang w:eastAsia="en-GB"/>
        </w:rPr>
        <w:drawing>
          <wp:inline distT="0" distB="0" distL="0" distR="0">
            <wp:extent cx="5719445" cy="25876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9445" cy="258762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190" w:name="_Ref530595222"/>
      <w:bookmarkStart w:id="191" w:name="_Toc530741731"/>
      <w:r>
        <w:t xml:space="preserve">Figure </w:t>
      </w:r>
      <w:r>
        <w:fldChar w:fldCharType="begin"/>
      </w:r>
      <w:r>
        <w:instrText xml:space="preserve"> SEQ Figure \* ARABIC </w:instrText>
      </w:r>
      <w:r>
        <w:fldChar w:fldCharType="separate"/>
      </w:r>
      <w:r>
        <w:t>38</w:t>
      </w:r>
      <w:r>
        <w:fldChar w:fldCharType="end"/>
      </w:r>
      <w:bookmarkEnd w:id="190"/>
      <w:r>
        <w:t xml:space="preserve">. </w:t>
      </w:r>
      <w:r>
        <w:rPr>
          <w:rFonts w:eastAsia="Times New Roman"/>
          <w:color w:val="000000"/>
          <w:lang w:eastAsia="en-GB"/>
        </w:rPr>
        <w:t xml:space="preserve">Electricity costs </w:t>
      </w:r>
      <w:r>
        <w:t>of downstream aluminium production</w:t>
      </w:r>
      <w:r>
        <w:rPr>
          <w:rFonts w:eastAsia="Times New Roman"/>
          <w:color w:val="000000"/>
          <w:lang w:eastAsia="en-GB"/>
        </w:rPr>
        <w:t xml:space="preserve"> (€/MWh)</w:t>
      </w:r>
      <w:bookmarkEnd w:id="191"/>
    </w:p>
    <w:p>
      <w:pPr>
        <w:pStyle w:val="Caption"/>
        <w:rPr>
          <w:lang w:eastAsia="de-DE"/>
        </w:rPr>
      </w:pPr>
      <w:r>
        <w:rPr>
          <w:lang w:eastAsia="en-GB"/>
        </w:rPr>
        <w:drawing>
          <wp:inline distT="0" distB="0" distL="0" distR="0">
            <wp:extent cx="5732780" cy="2552065"/>
            <wp:effectExtent l="0" t="0" r="1270" b="635"/>
            <wp:docPr id="17" name="Picture 1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72"/>
                    <pic:cNvPicPr>
                      <a:picLocks noGrp="1" noRot="1" noChangeAspect="1" noMove="1" noResize="1" noEditPoints="1" noAdjustHandles="1" noChangeArrowheads="1" noChangeShapeType="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92" w:name="_Ref530595233"/>
      <w:bookmarkStart w:id="193" w:name="_Toc530741732"/>
      <w:r>
        <w:t xml:space="preserve">Figure </w:t>
      </w:r>
      <w:r>
        <w:fldChar w:fldCharType="begin"/>
      </w:r>
      <w:r>
        <w:instrText xml:space="preserve"> SEQ Figure \* ARABIC </w:instrText>
      </w:r>
      <w:r>
        <w:fldChar w:fldCharType="separate"/>
      </w:r>
      <w:r>
        <w:t>39</w:t>
      </w:r>
      <w:r>
        <w:fldChar w:fldCharType="end"/>
      </w:r>
      <w:bookmarkEnd w:id="192"/>
      <w:r>
        <w:t xml:space="preserve">. </w:t>
      </w:r>
      <w:r>
        <w:rPr>
          <w:rFonts w:eastAsia="Times New Roman"/>
          <w:color w:val="000000"/>
          <w:lang w:eastAsia="en-GB"/>
        </w:rPr>
        <w:t>Electricity costs</w:t>
      </w:r>
      <w:r>
        <w:t xml:space="preserve"> of downstream aluminium production</w:t>
      </w:r>
      <w:r>
        <w:rPr>
          <w:rFonts w:eastAsia="Times New Roman"/>
          <w:color w:val="000000"/>
          <w:lang w:eastAsia="en-GB"/>
        </w:rPr>
        <w:t xml:space="preserve"> (€/tonne)</w:t>
      </w:r>
      <w:bookmarkEnd w:id="193"/>
    </w:p>
    <w:p>
      <w:pPr>
        <w:keepNext/>
        <w:rPr>
          <w:noProof/>
          <w:lang w:eastAsia="de-DE"/>
        </w:rPr>
      </w:pPr>
      <w:r>
        <w:rPr>
          <w:noProof/>
          <w:lang w:eastAsia="en-GB"/>
        </w:rPr>
        <w:drawing>
          <wp:inline distT="0" distB="0" distL="0" distR="0">
            <wp:extent cx="5732780" cy="2552065"/>
            <wp:effectExtent l="0" t="0" r="1270" b="635"/>
            <wp:docPr id="18" name="Picture 1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3"/>
                    <pic:cNvPicPr>
                      <a:picLocks noGrp="1" noRot="1" noChangeAspect="1" noMove="1" noResize="1" noEditPoints="1" noAdjustHandles="1" noChangeArrowheads="1" noChangeShapeType="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194" w:name="_Ref530595238"/>
      <w:bookmarkStart w:id="195" w:name="_Toc530741733"/>
      <w:r>
        <w:t xml:space="preserve">Figure </w:t>
      </w:r>
      <w:r>
        <w:fldChar w:fldCharType="begin"/>
      </w:r>
      <w:r>
        <w:instrText xml:space="preserve"> SEQ Figure \* ARABIC </w:instrText>
      </w:r>
      <w:r>
        <w:fldChar w:fldCharType="separate"/>
      </w:r>
      <w:r>
        <w:t>40</w:t>
      </w:r>
      <w:r>
        <w:fldChar w:fldCharType="end"/>
      </w:r>
      <w:bookmarkEnd w:id="194"/>
      <w:r>
        <w:t xml:space="preserve">. </w:t>
      </w:r>
      <w:r>
        <w:rPr>
          <w:rFonts w:eastAsia="Times New Roman"/>
          <w:color w:val="000000"/>
          <w:lang w:eastAsia="en-GB"/>
        </w:rPr>
        <w:t xml:space="preserve">Electricity intensity </w:t>
      </w:r>
      <w:r>
        <w:t>of downstream aluminium production</w:t>
      </w:r>
      <w:r>
        <w:rPr>
          <w:rFonts w:eastAsia="Times New Roman"/>
          <w:color w:val="000000"/>
          <w:lang w:eastAsia="en-GB"/>
        </w:rPr>
        <w:t xml:space="preserve"> (MWh/tonne)</w:t>
      </w:r>
      <w:bookmarkEnd w:id="195"/>
    </w:p>
    <w:p>
      <w:pPr>
        <w:keepNext/>
        <w:rPr>
          <w:noProof/>
          <w:lang w:eastAsia="de-DE"/>
        </w:rPr>
      </w:pPr>
      <w:r>
        <w:rPr>
          <w:noProof/>
          <w:lang w:eastAsia="en-GB"/>
        </w:rPr>
        <w:drawing>
          <wp:inline distT="0" distB="0" distL="0" distR="0">
            <wp:extent cx="5732780" cy="2552065"/>
            <wp:effectExtent l="0" t="0" r="1270" b="635"/>
            <wp:docPr id="19" name="Picture 1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2"/>
                    <pic:cNvPicPr>
                      <a:picLocks noGrp="1" noRot="1" noChangeAspect="1" noMove="1" noResize="1" noEditPoints="1" noAdjustHandles="1" noChangeArrowheads="1" noChangeShapeType="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196" w:name="_Ref530596596"/>
      <w:bookmarkStart w:id="197" w:name="_Toc530741808"/>
      <w:r>
        <w:t xml:space="preserve">Table </w:t>
      </w:r>
      <w:r>
        <w:fldChar w:fldCharType="begin"/>
      </w:r>
      <w:r>
        <w:instrText xml:space="preserve"> SEQ Table \* ARABIC </w:instrText>
      </w:r>
      <w:r>
        <w:fldChar w:fldCharType="separate"/>
      </w:r>
      <w:r>
        <w:t>15</w:t>
      </w:r>
      <w:r>
        <w:fldChar w:fldCharType="end"/>
      </w:r>
      <w:bookmarkEnd w:id="196"/>
      <w:r>
        <w:t>. Key natural gas indicators of downstream aluminium production</w:t>
      </w:r>
      <w:r>
        <w:rPr>
          <w:rFonts w:eastAsia="Times New Roman"/>
          <w:color w:val="000000"/>
          <w:lang w:eastAsia="en-GB"/>
        </w:rPr>
        <w:t xml:space="preserve"> </w:t>
      </w:r>
      <w:r>
        <w:t>(EU averages)</w:t>
      </w:r>
      <w:bookmarkEnd w:id="197"/>
    </w:p>
    <w:tbl>
      <w:tblPr>
        <w:tblW w:w="4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743"/>
        <w:gridCol w:w="744"/>
        <w:gridCol w:w="744"/>
        <w:gridCol w:w="744"/>
        <w:gridCol w:w="747"/>
        <w:gridCol w:w="743"/>
      </w:tblGrid>
      <w:tr>
        <w:trPr>
          <w:trHeight w:val="244"/>
          <w:jc w:val="center"/>
        </w:trPr>
        <w:tc>
          <w:tcPr>
            <w:tcW w:w="130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6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6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6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6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6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61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302" w:type="pct"/>
            <w:shd w:val="clear" w:color="auto" w:fill="CEEBE6"/>
            <w:noWrap/>
            <w:vAlign w:val="center"/>
          </w:tcPr>
          <w:p>
            <w:pPr>
              <w:spacing w:before="60" w:after="60"/>
              <w:jc w:val="left"/>
              <w:rPr>
                <w:bCs/>
                <w:noProof/>
                <w:sz w:val="20"/>
                <w:szCs w:val="16"/>
              </w:rPr>
            </w:pPr>
            <w:r>
              <w:rPr>
                <w:bCs/>
                <w:noProof/>
                <w:sz w:val="20"/>
                <w:szCs w:val="16"/>
              </w:rPr>
              <w:t>Natural gas prices (€/MWh)</w:t>
            </w:r>
          </w:p>
        </w:tc>
        <w:tc>
          <w:tcPr>
            <w:tcW w:w="616" w:type="pct"/>
            <w:shd w:val="clear" w:color="auto" w:fill="CEEBE6"/>
            <w:noWrap/>
            <w:vAlign w:val="center"/>
          </w:tcPr>
          <w:p>
            <w:pPr>
              <w:spacing w:before="60" w:after="60"/>
              <w:jc w:val="center"/>
              <w:rPr>
                <w:noProof/>
                <w:sz w:val="20"/>
                <w:szCs w:val="16"/>
                <w:lang w:eastAsia="it-IT"/>
              </w:rPr>
            </w:pPr>
            <w:r>
              <w:rPr>
                <w:bCs/>
                <w:noProof/>
                <w:color w:val="000000"/>
                <w:sz w:val="20"/>
                <w:szCs w:val="16"/>
              </w:rPr>
              <w:t>41.8</w:t>
            </w:r>
          </w:p>
        </w:tc>
        <w:tc>
          <w:tcPr>
            <w:tcW w:w="616" w:type="pct"/>
            <w:shd w:val="clear" w:color="auto" w:fill="CEEBE6"/>
            <w:noWrap/>
            <w:vAlign w:val="center"/>
          </w:tcPr>
          <w:p>
            <w:pPr>
              <w:spacing w:before="60" w:after="60"/>
              <w:jc w:val="center"/>
              <w:rPr>
                <w:noProof/>
                <w:sz w:val="20"/>
                <w:szCs w:val="16"/>
                <w:lang w:eastAsia="it-IT"/>
              </w:rPr>
            </w:pPr>
            <w:r>
              <w:rPr>
                <w:bCs/>
                <w:noProof/>
                <w:color w:val="000000"/>
                <w:sz w:val="20"/>
                <w:szCs w:val="16"/>
              </w:rPr>
              <w:t>38.9</w:t>
            </w:r>
          </w:p>
        </w:tc>
        <w:tc>
          <w:tcPr>
            <w:tcW w:w="616" w:type="pct"/>
            <w:shd w:val="clear" w:color="auto" w:fill="CEEBE6"/>
            <w:noWrap/>
            <w:vAlign w:val="center"/>
          </w:tcPr>
          <w:p>
            <w:pPr>
              <w:spacing w:before="60" w:after="60"/>
              <w:jc w:val="center"/>
              <w:rPr>
                <w:noProof/>
                <w:sz w:val="20"/>
                <w:szCs w:val="16"/>
                <w:lang w:eastAsia="it-IT"/>
              </w:rPr>
            </w:pPr>
            <w:r>
              <w:rPr>
                <w:bCs/>
                <w:noProof/>
                <w:color w:val="000000"/>
                <w:sz w:val="20"/>
                <w:szCs w:val="16"/>
              </w:rPr>
              <w:t>37.0</w:t>
            </w:r>
          </w:p>
        </w:tc>
        <w:tc>
          <w:tcPr>
            <w:tcW w:w="616" w:type="pct"/>
            <w:shd w:val="clear" w:color="auto" w:fill="CEEBE6"/>
            <w:noWrap/>
            <w:vAlign w:val="center"/>
          </w:tcPr>
          <w:p>
            <w:pPr>
              <w:spacing w:before="60" w:after="60"/>
              <w:jc w:val="center"/>
              <w:rPr>
                <w:noProof/>
                <w:sz w:val="20"/>
                <w:szCs w:val="16"/>
                <w:lang w:eastAsia="it-IT"/>
              </w:rPr>
            </w:pPr>
            <w:r>
              <w:rPr>
                <w:bCs/>
                <w:noProof/>
                <w:color w:val="000000"/>
                <w:sz w:val="20"/>
                <w:szCs w:val="16"/>
              </w:rPr>
              <w:t>28.7</w:t>
            </w:r>
          </w:p>
        </w:tc>
        <w:tc>
          <w:tcPr>
            <w:tcW w:w="618" w:type="pct"/>
            <w:shd w:val="clear" w:color="auto" w:fill="CEEBE6"/>
            <w:noWrap/>
            <w:vAlign w:val="center"/>
          </w:tcPr>
          <w:p>
            <w:pPr>
              <w:spacing w:before="60" w:after="60"/>
              <w:jc w:val="center"/>
              <w:rPr>
                <w:noProof/>
                <w:sz w:val="20"/>
                <w:szCs w:val="16"/>
                <w:lang w:eastAsia="it-IT"/>
              </w:rPr>
            </w:pPr>
            <w:r>
              <w:rPr>
                <w:bCs/>
                <w:noProof/>
                <w:color w:val="000000"/>
                <w:sz w:val="20"/>
                <w:szCs w:val="16"/>
              </w:rPr>
              <w:t>24.7</w:t>
            </w:r>
          </w:p>
        </w:tc>
        <w:tc>
          <w:tcPr>
            <w:tcW w:w="615" w:type="pct"/>
            <w:shd w:val="clear" w:color="auto" w:fill="CEEBE6"/>
            <w:noWrap/>
            <w:vAlign w:val="center"/>
          </w:tcPr>
          <w:p>
            <w:pPr>
              <w:spacing w:before="60" w:after="60"/>
              <w:jc w:val="center"/>
              <w:rPr>
                <w:noProof/>
                <w:sz w:val="20"/>
                <w:szCs w:val="16"/>
                <w:lang w:eastAsia="it-IT"/>
              </w:rPr>
            </w:pPr>
            <w:r>
              <w:rPr>
                <w:bCs/>
                <w:noProof/>
                <w:color w:val="000000"/>
                <w:sz w:val="20"/>
                <w:szCs w:val="16"/>
              </w:rPr>
              <w:t>20.2</w:t>
            </w:r>
          </w:p>
        </w:tc>
      </w:tr>
      <w:tr>
        <w:trPr>
          <w:trHeight w:val="244"/>
          <w:jc w:val="center"/>
        </w:trPr>
        <w:tc>
          <w:tcPr>
            <w:tcW w:w="1302" w:type="pct"/>
            <w:shd w:val="clear" w:color="auto" w:fill="auto"/>
            <w:noWrap/>
            <w:vAlign w:val="center"/>
            <w:hideMark/>
          </w:tcPr>
          <w:p>
            <w:pPr>
              <w:spacing w:before="60" w:after="60"/>
              <w:jc w:val="left"/>
              <w:rPr>
                <w:bCs/>
                <w:noProof/>
                <w:sz w:val="20"/>
                <w:szCs w:val="16"/>
              </w:rPr>
            </w:pPr>
            <w:r>
              <w:rPr>
                <w:bCs/>
                <w:noProof/>
                <w:sz w:val="20"/>
                <w:szCs w:val="16"/>
              </w:rPr>
              <w:t>Natural gas costs (€/tonne)</w:t>
            </w:r>
          </w:p>
        </w:tc>
        <w:tc>
          <w:tcPr>
            <w:tcW w:w="61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58.6</w:t>
            </w:r>
          </w:p>
        </w:tc>
        <w:tc>
          <w:tcPr>
            <w:tcW w:w="61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68.8</w:t>
            </w:r>
          </w:p>
        </w:tc>
        <w:tc>
          <w:tcPr>
            <w:tcW w:w="61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58.3</w:t>
            </w:r>
          </w:p>
        </w:tc>
        <w:tc>
          <w:tcPr>
            <w:tcW w:w="61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42.0</w:t>
            </w:r>
          </w:p>
        </w:tc>
        <w:tc>
          <w:tcPr>
            <w:tcW w:w="618" w:type="pct"/>
            <w:shd w:val="clear" w:color="auto" w:fill="auto"/>
            <w:noWrap/>
            <w:vAlign w:val="center"/>
            <w:hideMark/>
          </w:tcPr>
          <w:p>
            <w:pPr>
              <w:spacing w:before="60" w:after="60"/>
              <w:jc w:val="center"/>
              <w:rPr>
                <w:noProof/>
                <w:sz w:val="20"/>
                <w:szCs w:val="16"/>
                <w:lang w:eastAsia="it-IT"/>
              </w:rPr>
            </w:pPr>
            <w:r>
              <w:rPr>
                <w:bCs/>
                <w:noProof/>
                <w:color w:val="000000"/>
                <w:sz w:val="20"/>
                <w:szCs w:val="16"/>
              </w:rPr>
              <w:t>32.2</w:t>
            </w:r>
          </w:p>
        </w:tc>
        <w:tc>
          <w:tcPr>
            <w:tcW w:w="61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28.0</w:t>
            </w:r>
          </w:p>
        </w:tc>
      </w:tr>
      <w:tr>
        <w:trPr>
          <w:trHeight w:val="244"/>
          <w:jc w:val="center"/>
        </w:trPr>
        <w:tc>
          <w:tcPr>
            <w:tcW w:w="1302" w:type="pct"/>
            <w:shd w:val="clear" w:color="auto" w:fill="CEEBE6"/>
            <w:noWrap/>
            <w:vAlign w:val="center"/>
          </w:tcPr>
          <w:p>
            <w:pPr>
              <w:keepNext/>
              <w:spacing w:before="60" w:after="60"/>
              <w:jc w:val="left"/>
              <w:rPr>
                <w:bCs/>
                <w:noProof/>
                <w:sz w:val="20"/>
                <w:szCs w:val="16"/>
              </w:rPr>
            </w:pPr>
            <w:r>
              <w:rPr>
                <w:bCs/>
                <w:noProof/>
                <w:sz w:val="20"/>
                <w:szCs w:val="16"/>
              </w:rPr>
              <w:t>Natural gas intensity (MWh/tonne)</w:t>
            </w:r>
          </w:p>
        </w:tc>
        <w:tc>
          <w:tcPr>
            <w:tcW w:w="61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1.33</w:t>
            </w:r>
          </w:p>
        </w:tc>
        <w:tc>
          <w:tcPr>
            <w:tcW w:w="61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1.48</w:t>
            </w:r>
          </w:p>
        </w:tc>
        <w:tc>
          <w:tcPr>
            <w:tcW w:w="61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1.32</w:t>
            </w:r>
          </w:p>
        </w:tc>
        <w:tc>
          <w:tcPr>
            <w:tcW w:w="61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1.21</w:t>
            </w:r>
          </w:p>
        </w:tc>
        <w:tc>
          <w:tcPr>
            <w:tcW w:w="618"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1.32</w:t>
            </w:r>
          </w:p>
        </w:tc>
        <w:tc>
          <w:tcPr>
            <w:tcW w:w="615"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1.30</w:t>
            </w:r>
          </w:p>
        </w:tc>
      </w:tr>
    </w:tbl>
    <w:p>
      <w:pPr>
        <w:pStyle w:val="Sources"/>
        <w:tabs>
          <w:tab w:val="left" w:pos="851"/>
        </w:tabs>
        <w:rPr>
          <w:noProof/>
        </w:rPr>
      </w:pPr>
      <w:r>
        <w:rPr>
          <w:noProof/>
        </w:rPr>
        <w:tab/>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198" w:name="_Ref530596861"/>
      <w:bookmarkStart w:id="199" w:name="_Toc530741734"/>
      <w:r>
        <w:t xml:space="preserve">Figure </w:t>
      </w:r>
      <w:r>
        <w:fldChar w:fldCharType="begin"/>
      </w:r>
      <w:r>
        <w:instrText xml:space="preserve"> SEQ Figure \* ARABIC </w:instrText>
      </w:r>
      <w:r>
        <w:fldChar w:fldCharType="separate"/>
      </w:r>
      <w:r>
        <w:t>41</w:t>
      </w:r>
      <w:r>
        <w:fldChar w:fldCharType="end"/>
      </w:r>
      <w:bookmarkEnd w:id="198"/>
      <w:r>
        <w:t xml:space="preserve">. </w:t>
      </w:r>
      <w:r>
        <w:rPr>
          <w:rFonts w:eastAsia="Times New Roman"/>
          <w:color w:val="000000"/>
          <w:lang w:eastAsia="en-GB"/>
        </w:rPr>
        <w:t>Natural gas prices</w:t>
      </w:r>
      <w:r>
        <w:t xml:space="preserve"> of downstream aluminium production</w:t>
      </w:r>
      <w:r>
        <w:rPr>
          <w:rFonts w:eastAsia="Times New Roman"/>
          <w:color w:val="000000"/>
          <w:lang w:eastAsia="en-GB"/>
        </w:rPr>
        <w:t xml:space="preserve"> (€/MWh)</w:t>
      </w:r>
      <w:bookmarkEnd w:id="199"/>
    </w:p>
    <w:p>
      <w:pPr>
        <w:keepNext/>
        <w:rPr>
          <w:noProof/>
          <w:lang w:eastAsia="de-DE"/>
        </w:rPr>
      </w:pPr>
      <w:r>
        <w:rPr>
          <w:noProof/>
          <w:lang w:eastAsia="en-GB"/>
        </w:rPr>
        <w:drawing>
          <wp:inline distT="0" distB="0" distL="0" distR="0">
            <wp:extent cx="5732780" cy="2552065"/>
            <wp:effectExtent l="0" t="0" r="1270" b="635"/>
            <wp:docPr id="20" name="Picture 2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95"/>
                    <pic:cNvPicPr>
                      <a:picLocks noGrp="1" noRot="1" noChangeAspect="1" noMove="1" noResize="1" noEditPoints="1" noAdjustHandles="1" noChangeArrowheads="1" noChangeShapeType="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200" w:name="_Ref530596993"/>
      <w:bookmarkStart w:id="201" w:name="_Toc530741735"/>
      <w:r>
        <w:t xml:space="preserve">Figure </w:t>
      </w:r>
      <w:r>
        <w:fldChar w:fldCharType="begin"/>
      </w:r>
      <w:r>
        <w:instrText xml:space="preserve"> SEQ Figure \* ARABIC </w:instrText>
      </w:r>
      <w:r>
        <w:fldChar w:fldCharType="separate"/>
      </w:r>
      <w:r>
        <w:t>42</w:t>
      </w:r>
      <w:r>
        <w:fldChar w:fldCharType="end"/>
      </w:r>
      <w:bookmarkEnd w:id="200"/>
      <w:r>
        <w:t>. Components of the EU average natural gas price for downstream aluminium production (%)</w:t>
      </w:r>
      <w:bookmarkEnd w:id="201"/>
    </w:p>
    <w:p>
      <w:pPr>
        <w:jc w:val="center"/>
        <w:rPr>
          <w:noProof/>
        </w:rPr>
      </w:pPr>
      <w:r>
        <w:rPr>
          <w:noProof/>
          <w:lang w:eastAsia="en-GB"/>
        </w:rPr>
        <w:drawing>
          <wp:inline distT="0" distB="0" distL="0" distR="0">
            <wp:extent cx="5753735" cy="24415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735" cy="244157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202" w:name="_Ref530596968"/>
      <w:bookmarkStart w:id="203" w:name="_Toc530741736"/>
      <w:r>
        <w:t xml:space="preserve">Figure </w:t>
      </w:r>
      <w:r>
        <w:fldChar w:fldCharType="begin"/>
      </w:r>
      <w:r>
        <w:instrText xml:space="preserve"> SEQ Figure \* ARABIC </w:instrText>
      </w:r>
      <w:r>
        <w:fldChar w:fldCharType="separate"/>
      </w:r>
      <w:r>
        <w:t>43</w:t>
      </w:r>
      <w:r>
        <w:fldChar w:fldCharType="end"/>
      </w:r>
      <w:bookmarkEnd w:id="202"/>
      <w:r>
        <w:t xml:space="preserve">. </w:t>
      </w:r>
      <w:r>
        <w:rPr>
          <w:rFonts w:eastAsia="Times New Roman"/>
          <w:color w:val="000000"/>
          <w:lang w:eastAsia="en-GB"/>
        </w:rPr>
        <w:t>Natural gas costs</w:t>
      </w:r>
      <w:r>
        <w:t xml:space="preserve"> of downstream aluminium production</w:t>
      </w:r>
      <w:r>
        <w:rPr>
          <w:rFonts w:eastAsia="Times New Roman"/>
          <w:color w:val="000000"/>
          <w:lang w:eastAsia="en-GB"/>
        </w:rPr>
        <w:t xml:space="preserve"> (€/tonne)</w:t>
      </w:r>
      <w:bookmarkEnd w:id="203"/>
    </w:p>
    <w:p>
      <w:pPr>
        <w:keepNext/>
        <w:rPr>
          <w:noProof/>
          <w:lang w:eastAsia="de-DE"/>
        </w:rPr>
      </w:pPr>
      <w:r>
        <w:rPr>
          <w:noProof/>
          <w:lang w:eastAsia="en-GB"/>
        </w:rPr>
        <w:drawing>
          <wp:inline distT="0" distB="0" distL="0" distR="0">
            <wp:extent cx="5732780" cy="2552065"/>
            <wp:effectExtent l="0" t="0" r="1270" b="635"/>
            <wp:docPr id="21" name="Picture 2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18"/>
                    <pic:cNvPicPr>
                      <a:picLocks noGrp="1" noRot="1" noChangeAspect="1" noMove="1" noResize="1" noEditPoints="1" noAdjustHandles="1" noChangeArrowheads="1" noChangeShapeType="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204" w:name="_Ref530596981"/>
      <w:bookmarkStart w:id="205" w:name="_Toc530741737"/>
      <w:r>
        <w:t xml:space="preserve">Figure </w:t>
      </w:r>
      <w:r>
        <w:fldChar w:fldCharType="begin"/>
      </w:r>
      <w:r>
        <w:instrText xml:space="preserve"> SEQ Figure \* ARABIC </w:instrText>
      </w:r>
      <w:r>
        <w:fldChar w:fldCharType="separate"/>
      </w:r>
      <w:r>
        <w:t>44</w:t>
      </w:r>
      <w:r>
        <w:fldChar w:fldCharType="end"/>
      </w:r>
      <w:bookmarkEnd w:id="204"/>
      <w:r>
        <w:t xml:space="preserve">. </w:t>
      </w:r>
      <w:r>
        <w:rPr>
          <w:rFonts w:eastAsia="Times New Roman"/>
          <w:color w:val="000000"/>
          <w:lang w:eastAsia="en-GB"/>
        </w:rPr>
        <w:t xml:space="preserve">Natural gas intensity </w:t>
      </w:r>
      <w:r>
        <w:t>of downstream aluminium production</w:t>
      </w:r>
      <w:r>
        <w:rPr>
          <w:rFonts w:eastAsia="Times New Roman"/>
          <w:color w:val="000000"/>
          <w:lang w:eastAsia="en-GB"/>
        </w:rPr>
        <w:t xml:space="preserve"> (MWh/tonne)</w:t>
      </w:r>
      <w:bookmarkEnd w:id="205"/>
    </w:p>
    <w:p>
      <w:pPr>
        <w:keepNext/>
        <w:rPr>
          <w:noProof/>
          <w:lang w:eastAsia="de-DE"/>
        </w:rPr>
      </w:pPr>
      <w:r>
        <w:rPr>
          <w:noProof/>
          <w:lang w:eastAsia="en-GB"/>
        </w:rPr>
        <w:drawing>
          <wp:inline distT="0" distB="0" distL="0" distR="0">
            <wp:extent cx="5732780" cy="2552065"/>
            <wp:effectExtent l="0" t="0" r="1270" b="635"/>
            <wp:docPr id="1449026535" name="Picture 144902653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20"/>
                    <pic:cNvPicPr>
                      <a:picLocks noGrp="1" noRot="1" noChangeAspect="1" noMove="1" noResize="1" noEditPoints="1" noAdjustHandles="1" noChangeArrowheads="1" noChangeShapeType="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206" w:name="_Ref530596611"/>
      <w:bookmarkStart w:id="207" w:name="_Toc530741809"/>
      <w:r>
        <w:t xml:space="preserve">Table </w:t>
      </w:r>
      <w:r>
        <w:fldChar w:fldCharType="begin"/>
      </w:r>
      <w:r>
        <w:instrText xml:space="preserve"> SEQ Table \* ARABIC </w:instrText>
      </w:r>
      <w:r>
        <w:fldChar w:fldCharType="separate"/>
      </w:r>
      <w:r>
        <w:t>16</w:t>
      </w:r>
      <w:r>
        <w:fldChar w:fldCharType="end"/>
      </w:r>
      <w:bookmarkEnd w:id="206"/>
      <w:r>
        <w:t>. Key competitiveness indicators of downstream aluminium production</w:t>
      </w:r>
      <w:r>
        <w:rPr>
          <w:rFonts w:eastAsia="Times New Roman"/>
          <w:color w:val="000000"/>
          <w:lang w:eastAsia="en-GB"/>
        </w:rPr>
        <w:t xml:space="preserve"> </w:t>
      </w:r>
      <w:r>
        <w:t>(EU averages)</w:t>
      </w:r>
      <w:bookmarkEnd w:id="207"/>
    </w:p>
    <w:tbl>
      <w:tblPr>
        <w:tblW w:w="3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5"/>
        <w:gridCol w:w="752"/>
        <w:gridCol w:w="749"/>
      </w:tblGrid>
      <w:tr>
        <w:trPr>
          <w:trHeight w:val="244"/>
          <w:tblHeader/>
          <w:jc w:val="center"/>
        </w:trPr>
        <w:tc>
          <w:tcPr>
            <w:tcW w:w="3723"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640"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63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3723"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640" w:type="pct"/>
            <w:shd w:val="clear" w:color="auto" w:fill="CEEBE6"/>
            <w:noWrap/>
            <w:vAlign w:val="center"/>
          </w:tcPr>
          <w:p>
            <w:pPr>
              <w:spacing w:before="60" w:after="60"/>
              <w:jc w:val="center"/>
              <w:rPr>
                <w:noProof/>
                <w:color w:val="000000"/>
                <w:sz w:val="20"/>
                <w:szCs w:val="16"/>
              </w:rPr>
            </w:pPr>
            <w:r>
              <w:rPr>
                <w:noProof/>
                <w:color w:val="000000"/>
                <w:sz w:val="20"/>
                <w:szCs w:val="16"/>
              </w:rPr>
              <w:t>1.3</w:t>
            </w:r>
          </w:p>
        </w:tc>
        <w:tc>
          <w:tcPr>
            <w:tcW w:w="637" w:type="pct"/>
            <w:shd w:val="clear" w:color="auto" w:fill="CEEBE6"/>
            <w:noWrap/>
            <w:vAlign w:val="center"/>
          </w:tcPr>
          <w:p>
            <w:pPr>
              <w:spacing w:before="60" w:after="60"/>
              <w:jc w:val="center"/>
              <w:rPr>
                <w:noProof/>
                <w:color w:val="000000"/>
                <w:sz w:val="20"/>
                <w:szCs w:val="16"/>
              </w:rPr>
            </w:pPr>
            <w:r>
              <w:rPr>
                <w:noProof/>
                <w:color w:val="000000"/>
                <w:sz w:val="20"/>
                <w:szCs w:val="16"/>
              </w:rPr>
              <w:t>0.9</w:t>
            </w:r>
          </w:p>
        </w:tc>
      </w:tr>
      <w:tr>
        <w:trPr>
          <w:trHeight w:val="244"/>
          <w:jc w:val="center"/>
        </w:trPr>
        <w:tc>
          <w:tcPr>
            <w:tcW w:w="3723"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640" w:type="pct"/>
            <w:shd w:val="clear" w:color="auto" w:fill="auto"/>
            <w:noWrap/>
            <w:vAlign w:val="center"/>
          </w:tcPr>
          <w:p>
            <w:pPr>
              <w:spacing w:before="60" w:after="60"/>
              <w:jc w:val="center"/>
              <w:rPr>
                <w:noProof/>
                <w:color w:val="000000"/>
                <w:sz w:val="20"/>
                <w:szCs w:val="16"/>
              </w:rPr>
            </w:pPr>
            <w:r>
              <w:rPr>
                <w:noProof/>
                <w:color w:val="000000"/>
                <w:sz w:val="20"/>
                <w:szCs w:val="16"/>
              </w:rPr>
              <w:t>0.6</w:t>
            </w:r>
          </w:p>
        </w:tc>
        <w:tc>
          <w:tcPr>
            <w:tcW w:w="637" w:type="pct"/>
            <w:shd w:val="clear" w:color="auto" w:fill="auto"/>
            <w:noWrap/>
            <w:vAlign w:val="center"/>
          </w:tcPr>
          <w:p>
            <w:pPr>
              <w:spacing w:before="60" w:after="60"/>
              <w:jc w:val="center"/>
              <w:rPr>
                <w:noProof/>
                <w:color w:val="000000"/>
                <w:sz w:val="20"/>
                <w:szCs w:val="16"/>
              </w:rPr>
            </w:pPr>
            <w:r>
              <w:rPr>
                <w:noProof/>
                <w:color w:val="000000"/>
                <w:sz w:val="20"/>
                <w:szCs w:val="16"/>
              </w:rPr>
              <w:t>0.4</w:t>
            </w:r>
          </w:p>
        </w:tc>
      </w:tr>
      <w:tr>
        <w:trPr>
          <w:trHeight w:val="244"/>
          <w:jc w:val="center"/>
        </w:trPr>
        <w:tc>
          <w:tcPr>
            <w:tcW w:w="3723" w:type="pct"/>
            <w:shd w:val="clear" w:color="auto" w:fill="CEEBE6"/>
            <w:noWrap/>
            <w:vAlign w:val="center"/>
          </w:tcPr>
          <w:p>
            <w:pPr>
              <w:spacing w:before="60" w:after="60"/>
              <w:jc w:val="left"/>
              <w:rPr>
                <w:b/>
                <w:bCs/>
                <w:noProof/>
                <w:sz w:val="20"/>
                <w:szCs w:val="16"/>
              </w:rPr>
            </w:pPr>
            <w:r>
              <w:rPr>
                <w:bCs/>
                <w:noProof/>
                <w:sz w:val="20"/>
                <w:szCs w:val="16"/>
              </w:rPr>
              <w:t>Share of total energy costs in production costs (%)</w:t>
            </w:r>
          </w:p>
        </w:tc>
        <w:tc>
          <w:tcPr>
            <w:tcW w:w="640" w:type="pct"/>
            <w:shd w:val="clear" w:color="auto" w:fill="CEEBE6"/>
            <w:noWrap/>
            <w:vAlign w:val="center"/>
          </w:tcPr>
          <w:p>
            <w:pPr>
              <w:spacing w:before="60" w:after="60"/>
              <w:jc w:val="center"/>
              <w:rPr>
                <w:noProof/>
                <w:color w:val="000000"/>
                <w:sz w:val="20"/>
                <w:szCs w:val="16"/>
              </w:rPr>
            </w:pPr>
            <w:r>
              <w:rPr>
                <w:noProof/>
                <w:color w:val="000000"/>
                <w:sz w:val="20"/>
                <w:szCs w:val="16"/>
              </w:rPr>
              <w:t>1.9</w:t>
            </w:r>
          </w:p>
        </w:tc>
        <w:tc>
          <w:tcPr>
            <w:tcW w:w="637" w:type="pct"/>
            <w:shd w:val="clear" w:color="auto" w:fill="CEEBE6"/>
            <w:noWrap/>
            <w:vAlign w:val="center"/>
          </w:tcPr>
          <w:p>
            <w:pPr>
              <w:spacing w:before="60" w:after="60"/>
              <w:jc w:val="center"/>
              <w:rPr>
                <w:noProof/>
                <w:color w:val="000000"/>
                <w:sz w:val="20"/>
                <w:szCs w:val="16"/>
              </w:rPr>
            </w:pPr>
            <w:r>
              <w:rPr>
                <w:noProof/>
                <w:color w:val="000000"/>
                <w:sz w:val="20"/>
                <w:szCs w:val="16"/>
              </w:rPr>
              <w:t>1.4</w:t>
            </w:r>
          </w:p>
        </w:tc>
      </w:tr>
      <w:tr>
        <w:trPr>
          <w:trHeight w:val="244"/>
          <w:jc w:val="center"/>
        </w:trPr>
        <w:tc>
          <w:tcPr>
            <w:tcW w:w="3723" w:type="pct"/>
            <w:shd w:val="clear" w:color="auto" w:fill="auto"/>
            <w:noWrap/>
            <w:vAlign w:val="center"/>
          </w:tcPr>
          <w:p>
            <w:pPr>
              <w:keepNext/>
              <w:spacing w:before="60" w:after="60"/>
              <w:jc w:val="left"/>
              <w:rPr>
                <w:bCs/>
                <w:noProof/>
                <w:sz w:val="20"/>
                <w:szCs w:val="16"/>
              </w:rPr>
            </w:pPr>
            <w:r>
              <w:rPr>
                <w:bCs/>
                <w:noProof/>
                <w:sz w:val="20"/>
                <w:szCs w:val="16"/>
              </w:rPr>
              <w:t>Total energy costs (€/tonne)</w:t>
            </w:r>
          </w:p>
        </w:tc>
        <w:tc>
          <w:tcPr>
            <w:tcW w:w="640" w:type="pct"/>
            <w:shd w:val="clear" w:color="auto" w:fill="auto"/>
            <w:noWrap/>
            <w:vAlign w:val="center"/>
          </w:tcPr>
          <w:p>
            <w:pPr>
              <w:spacing w:before="60" w:after="60"/>
              <w:jc w:val="center"/>
              <w:rPr>
                <w:noProof/>
                <w:color w:val="000000"/>
                <w:sz w:val="20"/>
                <w:szCs w:val="16"/>
              </w:rPr>
            </w:pPr>
            <w:r>
              <w:rPr>
                <w:noProof/>
                <w:color w:val="000000"/>
                <w:sz w:val="20"/>
                <w:szCs w:val="16"/>
              </w:rPr>
              <w:t>100.4</w:t>
            </w:r>
          </w:p>
        </w:tc>
        <w:tc>
          <w:tcPr>
            <w:tcW w:w="637" w:type="pct"/>
            <w:shd w:val="clear" w:color="auto" w:fill="auto"/>
            <w:noWrap/>
            <w:vAlign w:val="center"/>
          </w:tcPr>
          <w:p>
            <w:pPr>
              <w:spacing w:before="60" w:after="60"/>
              <w:jc w:val="center"/>
              <w:rPr>
                <w:noProof/>
                <w:color w:val="000000"/>
                <w:sz w:val="20"/>
                <w:szCs w:val="16"/>
              </w:rPr>
            </w:pPr>
            <w:r>
              <w:rPr>
                <w:noProof/>
                <w:color w:val="000000"/>
                <w:sz w:val="20"/>
                <w:szCs w:val="16"/>
              </w:rPr>
              <w:t>86.6</w:t>
            </w:r>
          </w:p>
        </w:tc>
      </w:tr>
    </w:tbl>
    <w:p>
      <w:pPr>
        <w:pStyle w:val="Sources"/>
        <w:tabs>
          <w:tab w:val="left" w:pos="1701"/>
        </w:tabs>
        <w:rPr>
          <w:noProof/>
        </w:rPr>
      </w:pPr>
      <w:r>
        <w:rPr>
          <w:noProof/>
        </w:rPr>
        <w:tab/>
        <w:t>Source: CEPS/Ecofys.</w:t>
      </w:r>
    </w:p>
    <w:p>
      <w:pPr>
        <w:rPr>
          <w:rFonts w:eastAsia="Times New Roman"/>
          <w:bCs/>
          <w:noProof/>
          <w:color w:val="000000"/>
          <w:szCs w:val="24"/>
          <w:lang w:eastAsia="en-GB"/>
        </w:rPr>
      </w:pP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208" w:name="_Toc526434049"/>
      <w:bookmarkStart w:id="209" w:name="_Toc526435993"/>
      <w:bookmarkStart w:id="210" w:name="_Toc527544418"/>
      <w:bookmarkStart w:id="211" w:name="_Toc530741657"/>
      <w:r>
        <w:rPr>
          <w:noProof/>
          <w:lang w:eastAsia="en-GB"/>
        </w:rPr>
        <w:t>BRICKS AND ROOF TILES</w:t>
      </w:r>
      <w:bookmarkEnd w:id="208"/>
      <w:bookmarkEnd w:id="209"/>
      <w:bookmarkEnd w:id="210"/>
      <w:bookmarkEnd w:id="211"/>
    </w:p>
    <w:p>
      <w:pPr>
        <w:pStyle w:val="Heading3"/>
        <w:rPr>
          <w:noProof/>
        </w:rPr>
      </w:pPr>
      <w:bookmarkStart w:id="212" w:name="_Toc526434050"/>
      <w:bookmarkStart w:id="213" w:name="_Toc526435994"/>
      <w:bookmarkStart w:id="214" w:name="_Toc527544419"/>
      <w:bookmarkStart w:id="215" w:name="_Toc530741658"/>
      <w:r>
        <w:rPr>
          <w:noProof/>
        </w:rPr>
        <w:t>General information and sample composition</w:t>
      </w:r>
      <w:bookmarkEnd w:id="212"/>
      <w:bookmarkEnd w:id="213"/>
      <w:bookmarkEnd w:id="214"/>
      <w:bookmarkEnd w:id="215"/>
    </w:p>
    <w:p>
      <w:pPr>
        <w:rPr>
          <w:noProof/>
        </w:rPr>
      </w:pPr>
      <w:r>
        <w:rPr>
          <w:noProof/>
        </w:rPr>
        <w:t>The bricks and roof tiles sector (sector 23.32 in NACE Rev. 2) includes manufacturers of products with diverse shapes and properties: i) building bricks, including both clay blocks and facing bricks; ii) roof tiles; iii) paving bricks; and iv) chimney bricks and other clay building products. In general, products are characterised by a low value-added and low tradability.</w:t>
      </w:r>
    </w:p>
    <w:p>
      <w:pPr>
        <w:rPr>
          <w:noProof/>
        </w:rPr>
      </w:pPr>
      <w:r>
        <w:rPr>
          <w:noProof/>
        </w:rPr>
        <w:t>The most common energy source used in brick and roof tile production is natural gas. Electricity is used as a secondary energy source.</w:t>
      </w:r>
    </w:p>
    <w:p>
      <w:pPr>
        <w:rPr>
          <w:noProof/>
        </w:rPr>
      </w:pPr>
      <w:r>
        <w:rPr>
          <w:noProof/>
        </w:rPr>
        <w:t>The sector, which closely follows the economic trend of the construction sector (its main customer), has been severely hit by the crisis. Its production value declined by about 25% between 2008 and 2015. In 2015, there were 1,810 brick and tile enterprises in the EU, amongst which around half are SMEs. It should be noted that the sector has gone through a consolidation phase (the number of enterprises fell by almost 35% between 2008 and 2015, which resulted in larger enterprises in terms of production value). Plants tend to be spread throughout Europe, usually near raw material extraction sites. Top five European producing countries are (based on 2016 production value): Germany (28%), the United Kingdom (20%), France (16%), Italy (10%) and Belgium (7%).</w:t>
      </w:r>
    </w:p>
    <w:p>
      <w:pPr>
        <w:rPr>
          <w:noProof/>
        </w:rPr>
      </w:pPr>
      <w:r>
        <w:rPr>
          <w:noProof/>
        </w:rPr>
        <w:t>Overall, the EU is a net exporter of bricks and roof tiles</w:t>
      </w:r>
      <w:r>
        <w:rPr>
          <w:bCs/>
          <w:noProof/>
        </w:rPr>
        <w:t xml:space="preserve">. Major EU export destinations include </w:t>
      </w:r>
      <w:r>
        <w:rPr>
          <w:noProof/>
        </w:rPr>
        <w:t>Switzerland, Russia and Norway. EU imports come mainly from Serbia</w:t>
      </w:r>
      <w:r>
        <w:rPr>
          <w:bCs/>
          <w:noProof/>
        </w:rPr>
        <w:t xml:space="preserve"> and, to a less extent</w:t>
      </w:r>
      <w:r>
        <w:rPr>
          <w:noProof/>
        </w:rPr>
        <w:t>, Turkey</w:t>
      </w:r>
      <w:r>
        <w:rPr>
          <w:bCs/>
          <w:noProof/>
        </w:rPr>
        <w:t>,</w:t>
      </w:r>
      <w:r>
        <w:rPr>
          <w:noProof/>
        </w:rPr>
        <w:t xml:space="preserve"> China</w:t>
      </w:r>
      <w:r>
        <w:rPr>
          <w:bCs/>
          <w:noProof/>
        </w:rPr>
        <w:t>, Macedonia and Pakistan</w:t>
      </w:r>
      <w:r>
        <w:rPr>
          <w:noProof/>
        </w:rPr>
        <w:t>.</w:t>
      </w:r>
    </w:p>
    <w:p>
      <w:pPr>
        <w:rPr>
          <w:noProof/>
        </w:rPr>
      </w:pPr>
      <w:r>
        <w:rPr>
          <w:noProof/>
        </w:rPr>
        <w:t>The analysis focusses on building brick and roof tile plants, which account for 96% of the sectoral output (flooring blocks and other clay construction products are marginal). These plants are homogeneous with similar production processes and products. A typical brick and roof tile plant in the analysis has a natural gas intensity of 0.31-0.86 MWh/tonne and an electricity intensity of 0.04-0.10 MWh/tonne. The sample for 2016-2017 includes 58 plants across Europe (11 in CEE region, 36 in NWE region and 11 in SE region), representing about 11% of total EU production. The sample for 2008-2015 includes 52 plants across Europe, representing 7-12% of the total EU production. In general, the CEE region tends to be slightly over-represented compared to the SE region and SMEs are under-represented in the sample.</w:t>
      </w:r>
    </w:p>
    <w:p>
      <w:pPr>
        <w:rPr>
          <w:rFonts w:eastAsia="Times New Roman"/>
          <w:bCs/>
          <w:noProof/>
          <w:color w:val="000000"/>
          <w:szCs w:val="24"/>
          <w:lang w:eastAsia="en-GB"/>
        </w:rPr>
      </w:pPr>
    </w:p>
    <w:p>
      <w:pPr>
        <w:pStyle w:val="Heading3"/>
        <w:rPr>
          <w:noProof/>
        </w:rPr>
      </w:pPr>
      <w:bookmarkStart w:id="216" w:name="_Toc526434051"/>
      <w:bookmarkStart w:id="217" w:name="_Toc526435995"/>
      <w:bookmarkStart w:id="218" w:name="_Toc527544420"/>
      <w:bookmarkStart w:id="219" w:name="_Toc530741659"/>
      <w:r>
        <w:rPr>
          <w:noProof/>
        </w:rPr>
        <w:t>Electricity prices, costs</w:t>
      </w:r>
      <w:bookmarkEnd w:id="216"/>
      <w:bookmarkEnd w:id="217"/>
      <w:bookmarkEnd w:id="218"/>
      <w:r>
        <w:rPr>
          <w:noProof/>
        </w:rPr>
        <w:t xml:space="preserve"> and intensity</w:t>
      </w:r>
      <w:bookmarkEnd w:id="219"/>
    </w:p>
    <w:p>
      <w:pPr>
        <w:rPr>
          <w:noProof/>
          <w:lang w:eastAsia="en-GB"/>
        </w:rPr>
      </w:pPr>
      <w:r>
        <w:rPr>
          <w:noProof/>
        </w:rPr>
        <w:t xml:space="preserve">Key electricity indicators for bricks and roof tiles are presented in </w:t>
      </w:r>
      <w:r>
        <w:rPr>
          <w:noProof/>
        </w:rPr>
        <w:fldChar w:fldCharType="begin"/>
      </w:r>
      <w:r>
        <w:rPr>
          <w:noProof/>
        </w:rPr>
        <w:instrText xml:space="preserve"> REF _Ref524533182 \h </w:instrText>
      </w:r>
      <w:r>
        <w:rPr>
          <w:noProof/>
        </w:rPr>
      </w:r>
      <w:r>
        <w:rPr>
          <w:noProof/>
        </w:rPr>
        <w:fldChar w:fldCharType="separate"/>
      </w:r>
      <w:r>
        <w:rPr>
          <w:noProof/>
        </w:rPr>
        <w:t>Table 17</w:t>
      </w:r>
      <w:r>
        <w:rPr>
          <w:noProof/>
        </w:rPr>
        <w:fldChar w:fldCharType="end"/>
      </w:r>
      <w:r>
        <w:rPr>
          <w:noProof/>
        </w:rPr>
        <w:t>.</w:t>
      </w:r>
    </w:p>
    <w:p>
      <w:pPr>
        <w:rPr>
          <w:noProof/>
          <w:lang w:eastAsia="en-GB"/>
        </w:rPr>
      </w:pPr>
      <w:r>
        <w:rPr>
          <w:noProof/>
          <w:lang w:eastAsia="en-GB"/>
        </w:rPr>
        <w:t>After recording a growing trend from 2008 to 2012, the electricity prices and costs (in EUR/MWh) borne by EU brick and roof tile producers decreased between 2012 and 2017.</w:t>
      </w:r>
    </w:p>
    <w:p>
      <w:pPr>
        <w:rPr>
          <w:noProof/>
          <w:lang w:eastAsia="de-DE"/>
        </w:rPr>
      </w:pPr>
      <w:r>
        <w:rPr>
          <w:noProof/>
          <w:lang w:eastAsia="en-GB"/>
        </w:rPr>
        <w:t>EU average e</w:t>
      </w:r>
      <w:r>
        <w:rPr>
          <w:noProof/>
        </w:rPr>
        <w:t>lectricity prices rose from less than 80 EUR/MWh in 2008 to above 94 EUR/MWh in 2012 and then declined to 83 EUR/MWh in 2017. When looking at the price components (</w:t>
      </w:r>
      <w:r>
        <w:rPr>
          <w:noProof/>
        </w:rPr>
        <w:fldChar w:fldCharType="begin"/>
      </w:r>
      <w:r>
        <w:rPr>
          <w:noProof/>
        </w:rPr>
        <w:instrText xml:space="preserve"> REF _Ref529374961 \h </w:instrText>
      </w:r>
      <w:r>
        <w:rPr>
          <w:noProof/>
        </w:rPr>
      </w:r>
      <w:r>
        <w:rPr>
          <w:noProof/>
        </w:rPr>
        <w:fldChar w:fldCharType="separate"/>
      </w:r>
      <w:r>
        <w:rPr>
          <w:noProof/>
        </w:rPr>
        <w:t>Figure 45</w:t>
      </w:r>
      <w:r>
        <w:rPr>
          <w:noProof/>
        </w:rPr>
        <w:fldChar w:fldCharType="end"/>
      </w:r>
      <w:r>
        <w:rPr>
          <w:noProof/>
        </w:rPr>
        <w:t xml:space="preserve">), it appears that the energy component accounted for less than half (49%) of the price in 2017, which is comparatively lower than in any of the other sectors analysed. Conversely, the network component increased over time and represented 34% of the price in 2017. Larger consumers faced </w:t>
      </w:r>
      <w:r>
        <w:rPr>
          <w:noProof/>
          <w:lang w:eastAsia="en-GB"/>
        </w:rPr>
        <w:t>lower electricity prices (weighted average by purchased electricity is constantly below simple average), because they</w:t>
      </w:r>
      <w:r>
        <w:rPr>
          <w:noProof/>
        </w:rPr>
        <w:t>: i) benefitted from stronger bargaining power when negotiating electricity prices (lower energy component)</w:t>
      </w:r>
      <w:r>
        <w:rPr>
          <w:noProof/>
          <w:lang w:eastAsia="de-DE"/>
        </w:rPr>
        <w:t>; and ii) paid relatively less for network costs and other non-recoverable taxes/levies (this was not the case for RES levies). Only a few plants relied on the wholesale market to purchase electricity and they did not necessarily coincide with the largest consumers.</w:t>
      </w:r>
    </w:p>
    <w:p>
      <w:pPr>
        <w:rPr>
          <w:noProof/>
          <w:lang w:eastAsia="de-DE"/>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_Ref524525311 \h </w:instrText>
      </w:r>
      <w:r>
        <w:rPr>
          <w:noProof/>
          <w:lang w:eastAsia="en-GB"/>
        </w:rPr>
      </w:r>
      <w:r>
        <w:rPr>
          <w:noProof/>
          <w:lang w:eastAsia="en-GB"/>
        </w:rPr>
        <w:fldChar w:fldCharType="separate"/>
      </w:r>
      <w:r>
        <w:rPr>
          <w:noProof/>
        </w:rPr>
        <w:t>Figure 46</w:t>
      </w:r>
      <w:r>
        <w:rPr>
          <w:noProof/>
          <w:lang w:eastAsia="en-GB"/>
        </w:rPr>
        <w:fldChar w:fldCharType="end"/>
      </w:r>
      <w:r>
        <w:rPr>
          <w:noProof/>
          <w:lang w:eastAsia="en-GB"/>
        </w:rPr>
        <w:t xml:space="preserve">) </w:t>
      </w:r>
      <w:r>
        <w:rPr>
          <w:noProof/>
          <w:lang w:eastAsia="de-DE"/>
        </w:rPr>
        <w:t>were largely aligned with electricity prices.</w:t>
      </w:r>
      <w:r>
        <w:rPr>
          <w:bCs/>
          <w:noProof/>
        </w:rPr>
        <w:t xml:space="preserve"> A</w:t>
      </w:r>
      <w:r>
        <w:rPr>
          <w:noProof/>
          <w:lang w:eastAsia="de-DE"/>
        </w:rPr>
        <w:t>fter a peak in 2012, they sharply declined, from above 92 EUR/MWh in 2012 and 2013 to about 75 EUR/MWh in 2017</w:t>
      </w:r>
      <w:r>
        <w:rPr>
          <w:bCs/>
          <w:noProof/>
        </w:rPr>
        <w:t xml:space="preserve">. The very small difference between </w:t>
      </w:r>
      <w:r>
        <w:rPr>
          <w:noProof/>
          <w:lang w:eastAsia="en-GB"/>
        </w:rPr>
        <w:t xml:space="preserve">electricity prices and costs in EUR/MWh </w:t>
      </w:r>
      <w:r>
        <w:rPr>
          <w:bCs/>
          <w:noProof/>
        </w:rPr>
        <w:t xml:space="preserve">can be explained by the following factors: i) only a few plants participated in flexibility schemes (and the compensation they received is relatively small compared to their electricity costs); ii) only about 10% of the plants met part of their electricity demand via self-generation; and iii) whereas 20% of the plants were reimbursed </w:t>
      </w:r>
      <w:r>
        <w:rPr>
          <w:bCs/>
          <w:i/>
          <w:noProof/>
        </w:rPr>
        <w:t>ex post</w:t>
      </w:r>
      <w:r>
        <w:rPr>
          <w:bCs/>
          <w:noProof/>
        </w:rPr>
        <w:t xml:space="preserve"> for part of their electricity price, reimbursements were small and only given in some years. EU average electricity costs in EUR/tonne </w:t>
      </w:r>
      <w:r>
        <w:rPr>
          <w:noProof/>
          <w:lang w:eastAsia="en-GB"/>
        </w:rPr>
        <w:t>(</w:t>
      </w:r>
      <w:r>
        <w:rPr>
          <w:noProof/>
          <w:lang w:eastAsia="en-GB"/>
        </w:rPr>
        <w:fldChar w:fldCharType="begin"/>
      </w:r>
      <w:r>
        <w:rPr>
          <w:noProof/>
          <w:lang w:eastAsia="en-GB"/>
        </w:rPr>
        <w:instrText xml:space="preserve"> REF _Ref524525324 \h </w:instrText>
      </w:r>
      <w:r>
        <w:rPr>
          <w:noProof/>
          <w:lang w:eastAsia="en-GB"/>
        </w:rPr>
      </w:r>
      <w:r>
        <w:rPr>
          <w:noProof/>
          <w:lang w:eastAsia="en-GB"/>
        </w:rPr>
        <w:fldChar w:fldCharType="separate"/>
      </w:r>
      <w:r>
        <w:rPr>
          <w:noProof/>
        </w:rPr>
        <w:t>Figure 47</w:t>
      </w:r>
      <w:r>
        <w:rPr>
          <w:noProof/>
          <w:lang w:eastAsia="en-GB"/>
        </w:rPr>
        <w:fldChar w:fldCharType="end"/>
      </w:r>
      <w:r>
        <w:rPr>
          <w:noProof/>
          <w:lang w:eastAsia="en-GB"/>
        </w:rPr>
        <w:t xml:space="preserve">) </w:t>
      </w:r>
      <w:r>
        <w:rPr>
          <w:noProof/>
          <w:lang w:eastAsia="de-DE"/>
        </w:rPr>
        <w:t>increased between 2008 and 2013 from less than 6 EUR/tonne to above 7 EUR/tonne, and then declined again (6 EUR/tonne in 2017)</w:t>
      </w:r>
      <w:r>
        <w:rPr>
          <w:bCs/>
          <w:noProof/>
        </w:rPr>
        <w:t>.</w:t>
      </w:r>
      <w:r>
        <w:rPr>
          <w:bCs/>
          <w:noProof/>
          <w:lang w:eastAsia="de-DE"/>
        </w:rPr>
        <w:t xml:space="preserve"> </w:t>
      </w:r>
      <w:r>
        <w:rPr>
          <w:noProof/>
          <w:lang w:eastAsia="de-DE"/>
        </w:rPr>
        <w:t>Larger producers experienced lower electricity costs (weighted average by production output is below simple average); this result can be explained by a combination of three factors: i) better bargaining power of larger electricity consumers; ii) relatively lower network costs and other non-recoverable taxes/levies; and iii) economies of scale.</w:t>
      </w:r>
    </w:p>
    <w:p>
      <w:pPr>
        <w:rPr>
          <w:noProof/>
        </w:rPr>
      </w:pPr>
      <w:r>
        <w:rPr>
          <w:noProof/>
          <w:lang w:eastAsia="en-GB"/>
        </w:rPr>
        <w:t xml:space="preserve">EU average electricity intensity </w:t>
      </w:r>
      <w:r>
        <w:rPr>
          <w:noProof/>
          <w:lang w:eastAsia="de-DE"/>
        </w:rPr>
        <w:t xml:space="preserve">of the bricks and roof tiles sector </w:t>
      </w:r>
      <w:r>
        <w:rPr>
          <w:noProof/>
          <w:lang w:eastAsia="en-GB"/>
        </w:rPr>
        <w:t>(</w:t>
      </w:r>
      <w:r>
        <w:rPr>
          <w:noProof/>
          <w:lang w:eastAsia="en-GB"/>
        </w:rPr>
        <w:fldChar w:fldCharType="begin"/>
      </w:r>
      <w:r>
        <w:rPr>
          <w:noProof/>
          <w:lang w:eastAsia="en-GB"/>
        </w:rPr>
        <w:instrText xml:space="preserve"> REF _Ref524525336 \h </w:instrText>
      </w:r>
      <w:r>
        <w:rPr>
          <w:noProof/>
          <w:lang w:eastAsia="en-GB"/>
        </w:rPr>
      </w:r>
      <w:r>
        <w:rPr>
          <w:noProof/>
          <w:lang w:eastAsia="en-GB"/>
        </w:rPr>
        <w:fldChar w:fldCharType="separate"/>
      </w:r>
      <w:r>
        <w:rPr>
          <w:noProof/>
        </w:rPr>
        <w:t>Figure 48</w:t>
      </w:r>
      <w:r>
        <w:rPr>
          <w:noProof/>
          <w:lang w:eastAsia="en-GB"/>
        </w:rPr>
        <w:fldChar w:fldCharType="end"/>
      </w:r>
      <w:r>
        <w:rPr>
          <w:noProof/>
          <w:lang w:eastAsia="en-GB"/>
        </w:rPr>
        <w:t xml:space="preserve">) </w:t>
      </w:r>
      <w:r>
        <w:rPr>
          <w:noProof/>
          <w:lang w:eastAsia="de-DE"/>
        </w:rPr>
        <w:t xml:space="preserve">increased slightly in the last decade, from 0.07 to 0.08 MWh/tonne. Larger plants are more electricity efficient than smaller ones (weighted average </w:t>
      </w:r>
      <w:r>
        <w:rPr>
          <w:noProof/>
          <w:lang w:eastAsia="en-GB"/>
        </w:rPr>
        <w:t xml:space="preserve">– </w:t>
      </w:r>
      <w:r>
        <w:rPr>
          <w:noProof/>
        </w:rPr>
        <w:t>by production output</w:t>
      </w:r>
      <w:r>
        <w:rPr>
          <w:noProof/>
          <w:lang w:eastAsia="de-DE"/>
        </w:rPr>
        <w:t xml:space="preserve"> </w:t>
      </w:r>
      <w:r>
        <w:rPr>
          <w:noProof/>
          <w:lang w:eastAsia="en-GB"/>
        </w:rPr>
        <w:t xml:space="preserve">– electricity intensity </w:t>
      </w:r>
      <w:r>
        <w:rPr>
          <w:noProof/>
          <w:lang w:eastAsia="de-DE"/>
        </w:rPr>
        <w:t>is constantly below simple average one).</w:t>
      </w:r>
    </w:p>
    <w:p>
      <w:pPr>
        <w:rPr>
          <w:noProof/>
          <w:lang w:eastAsia="en-GB"/>
        </w:rPr>
      </w:pPr>
    </w:p>
    <w:p>
      <w:pPr>
        <w:pStyle w:val="Heading3"/>
        <w:rPr>
          <w:noProof/>
        </w:rPr>
      </w:pPr>
      <w:bookmarkStart w:id="220" w:name="_Toc526434052"/>
      <w:bookmarkStart w:id="221" w:name="_Toc526435996"/>
      <w:bookmarkStart w:id="222" w:name="_Toc527544421"/>
      <w:bookmarkStart w:id="223" w:name="_Toc530741660"/>
      <w:r>
        <w:rPr>
          <w:noProof/>
        </w:rPr>
        <w:t>Natural gas prices, costs</w:t>
      </w:r>
      <w:bookmarkEnd w:id="220"/>
      <w:bookmarkEnd w:id="221"/>
      <w:bookmarkEnd w:id="222"/>
      <w:r>
        <w:rPr>
          <w:noProof/>
        </w:rPr>
        <w:t xml:space="preserve"> and intensity</w:t>
      </w:r>
      <w:bookmarkEnd w:id="223"/>
    </w:p>
    <w:p>
      <w:pPr>
        <w:rPr>
          <w:noProof/>
          <w:lang w:eastAsia="en-GB"/>
        </w:rPr>
      </w:pPr>
      <w:r>
        <w:rPr>
          <w:noProof/>
        </w:rPr>
        <w:t xml:space="preserve">Key natural gas indicators for bricks and roof tiles are presented in </w:t>
      </w:r>
      <w:r>
        <w:rPr>
          <w:noProof/>
        </w:rPr>
        <w:fldChar w:fldCharType="begin"/>
      </w:r>
      <w:r>
        <w:rPr>
          <w:noProof/>
        </w:rPr>
        <w:instrText xml:space="preserve"> REF _Ref524533195 \h </w:instrText>
      </w:r>
      <w:r>
        <w:rPr>
          <w:noProof/>
        </w:rPr>
      </w:r>
      <w:r>
        <w:rPr>
          <w:noProof/>
        </w:rPr>
        <w:fldChar w:fldCharType="separate"/>
      </w:r>
      <w:r>
        <w:rPr>
          <w:noProof/>
        </w:rPr>
        <w:t>Table 18</w:t>
      </w:r>
      <w:r>
        <w:rPr>
          <w:noProof/>
        </w:rPr>
        <w:fldChar w:fldCharType="end"/>
      </w:r>
      <w:r>
        <w:rPr>
          <w:noProof/>
        </w:rPr>
        <w:t>.</w:t>
      </w:r>
    </w:p>
    <w:p>
      <w:pPr>
        <w:rPr>
          <w:noProof/>
          <w:lang w:eastAsia="en-GB"/>
        </w:rPr>
      </w:pPr>
      <w:r>
        <w:rPr>
          <w:noProof/>
          <w:lang w:eastAsia="en-GB"/>
        </w:rPr>
        <w:t>EU average natural gas prices and costs for brick and roof tile producers peaked in 2013 and then recorded a downwards trend, driven by a decrease (in absolute value) in the energy component of the gas price.</w:t>
      </w:r>
    </w:p>
    <w:p>
      <w:pPr>
        <w:rPr>
          <w:noProof/>
          <w:lang w:eastAsia="en-GB"/>
        </w:rPr>
      </w:pPr>
      <w:r>
        <w:rPr>
          <w:noProof/>
          <w:lang w:eastAsia="en-GB"/>
        </w:rPr>
        <w:t>After peaking in 2013 (32 EUR/MWh), the natural gas price decreased sharply down to about 23 EUR/MWh in 2017 (</w:t>
      </w:r>
      <w:r>
        <w:rPr>
          <w:noProof/>
          <w:lang w:eastAsia="en-GB"/>
        </w:rPr>
        <w:fldChar w:fldCharType="begin"/>
      </w:r>
      <w:r>
        <w:rPr>
          <w:noProof/>
          <w:lang w:eastAsia="en-GB"/>
        </w:rPr>
        <w:instrText xml:space="preserve"> REF _Ref524525347 \h </w:instrText>
      </w:r>
      <w:r>
        <w:rPr>
          <w:noProof/>
          <w:lang w:eastAsia="en-GB"/>
        </w:rPr>
      </w:r>
      <w:r>
        <w:rPr>
          <w:noProof/>
          <w:lang w:eastAsia="en-GB"/>
        </w:rPr>
        <w:fldChar w:fldCharType="separate"/>
      </w:r>
      <w:r>
        <w:rPr>
          <w:noProof/>
        </w:rPr>
        <w:t>Figure 49</w:t>
      </w:r>
      <w:r>
        <w:rPr>
          <w:noProof/>
          <w:lang w:eastAsia="en-GB"/>
        </w:rPr>
        <w:fldChar w:fldCharType="end"/>
      </w:r>
      <w:r>
        <w:rPr>
          <w:noProof/>
          <w:lang w:eastAsia="en-GB"/>
        </w:rPr>
        <w:t xml:space="preserve">). As shown in </w:t>
      </w:r>
      <w:r>
        <w:rPr>
          <w:noProof/>
          <w:lang w:eastAsia="en-GB"/>
        </w:rPr>
        <w:fldChar w:fldCharType="begin"/>
      </w:r>
      <w:r>
        <w:rPr>
          <w:noProof/>
          <w:lang w:eastAsia="en-GB"/>
        </w:rPr>
        <w:instrText xml:space="preserve"> REF _Ref529377471 \h </w:instrText>
      </w:r>
      <w:r>
        <w:rPr>
          <w:noProof/>
          <w:lang w:eastAsia="en-GB"/>
        </w:rPr>
      </w:r>
      <w:r>
        <w:rPr>
          <w:noProof/>
          <w:lang w:eastAsia="en-GB"/>
        </w:rPr>
        <w:fldChar w:fldCharType="separate"/>
      </w:r>
      <w:r>
        <w:rPr>
          <w:noProof/>
        </w:rPr>
        <w:t>Figure 50</w:t>
      </w:r>
      <w:r>
        <w:rPr>
          <w:noProof/>
          <w:lang w:eastAsia="en-GB"/>
        </w:rPr>
        <w:fldChar w:fldCharType="end"/>
      </w:r>
      <w:r>
        <w:rPr>
          <w:noProof/>
          <w:lang w:eastAsia="en-GB"/>
        </w:rPr>
        <w:t xml:space="preserve">, the natural gas price is made up mostly by the energy component (82% in 2017), though this share tends to decrease over time. Larger consumers faced lower natural gas prices (weighted average by purchased natural gas is below simple average); in fact, they seem to pay less for the network component but not necessarily for the energy and </w:t>
      </w:r>
      <w:r>
        <w:rPr>
          <w:noProof/>
        </w:rPr>
        <w:t>non-recoverable</w:t>
      </w:r>
      <w:r>
        <w:rPr>
          <w:noProof/>
          <w:lang w:eastAsia="en-GB"/>
        </w:rPr>
        <w:t xml:space="preserve"> taxes/levies components. Only a few plants relied on the wholesale market to purchase natural gas. There is no difference in this sector between natural gas prices and costs in EUR/MWh for two reasons: i) self-generation of natural gas is not relevant; ii) whereas 11% of the sampled plants participated in interruptibility schemes, no revenues stemmed from such schemes in the period under observation.</w:t>
      </w:r>
    </w:p>
    <w:p>
      <w:pPr>
        <w:rPr>
          <w:noProof/>
          <w:lang w:eastAsia="en-GB"/>
        </w:rPr>
      </w:pPr>
      <w:r>
        <w:rPr>
          <w:noProof/>
          <w:lang w:eastAsia="en-GB"/>
        </w:rPr>
        <w:t>EU average natural gas costs (in EUR/tonne) ranged between 21 EUR/tonne in 2008 and 14 EUR/tonne in 2017 (</w:t>
      </w:r>
      <w:r>
        <w:rPr>
          <w:noProof/>
          <w:lang w:eastAsia="en-GB"/>
        </w:rPr>
        <w:fldChar w:fldCharType="begin"/>
      </w:r>
      <w:r>
        <w:rPr>
          <w:noProof/>
          <w:lang w:eastAsia="en-GB"/>
        </w:rPr>
        <w:instrText xml:space="preserve"> REF _Ref524525357 \h </w:instrText>
      </w:r>
      <w:r>
        <w:rPr>
          <w:noProof/>
          <w:lang w:eastAsia="en-GB"/>
        </w:rPr>
      </w:r>
      <w:r>
        <w:rPr>
          <w:noProof/>
          <w:lang w:eastAsia="en-GB"/>
        </w:rPr>
        <w:fldChar w:fldCharType="separate"/>
      </w:r>
      <w:r>
        <w:rPr>
          <w:noProof/>
        </w:rPr>
        <w:t>Figure 51</w:t>
      </w:r>
      <w:r>
        <w:rPr>
          <w:noProof/>
          <w:lang w:eastAsia="en-GB"/>
        </w:rPr>
        <w:fldChar w:fldCharType="end"/>
      </w:r>
      <w:r>
        <w:rPr>
          <w:noProof/>
          <w:lang w:eastAsia="en-GB"/>
        </w:rPr>
        <w:t xml:space="preserve">). Larger plants incurred lower costs (weighted average by production output is below simple average). This may be due to: i) quantity discount for larger consumers of natural gas; ii) lower network costs; and iii) economies of scale. </w:t>
      </w:r>
    </w:p>
    <w:p>
      <w:pPr>
        <w:rPr>
          <w:noProof/>
          <w:lang w:eastAsia="en-GB"/>
        </w:rPr>
      </w:pPr>
      <w:r>
        <w:rPr>
          <w:noProof/>
          <w:lang w:eastAsia="en-GB"/>
        </w:rPr>
        <w:t>EU average natural gas intensity (</w:t>
      </w:r>
      <w:r>
        <w:rPr>
          <w:noProof/>
          <w:lang w:eastAsia="en-GB"/>
        </w:rPr>
        <w:fldChar w:fldCharType="begin"/>
      </w:r>
      <w:r>
        <w:rPr>
          <w:noProof/>
          <w:lang w:eastAsia="en-GB"/>
        </w:rPr>
        <w:instrText xml:space="preserve"> REF _Ref524525370 \h </w:instrText>
      </w:r>
      <w:r>
        <w:rPr>
          <w:noProof/>
          <w:lang w:eastAsia="en-GB"/>
        </w:rPr>
      </w:r>
      <w:r>
        <w:rPr>
          <w:noProof/>
          <w:lang w:eastAsia="en-GB"/>
        </w:rPr>
        <w:fldChar w:fldCharType="separate"/>
      </w:r>
      <w:r>
        <w:rPr>
          <w:noProof/>
        </w:rPr>
        <w:t>Figure 52</w:t>
      </w:r>
      <w:r>
        <w:rPr>
          <w:noProof/>
          <w:lang w:eastAsia="en-GB"/>
        </w:rPr>
        <w:fldChar w:fldCharType="end"/>
      </w:r>
      <w:r>
        <w:rPr>
          <w:noProof/>
          <w:lang w:eastAsia="en-GB"/>
        </w:rPr>
        <w:t>) was quite stable between 2008 and 2017 (ranging between 0.6 MWh/tonne and 0.7 MWh/tonne). Larger plants tend to be more natural gas efficient than smaller ones (weighted average – by production output – natural gas intensity is generally below simple average one).</w:t>
      </w:r>
    </w:p>
    <w:p>
      <w:pPr>
        <w:rPr>
          <w:noProof/>
          <w:lang w:eastAsia="en-GB"/>
        </w:rPr>
      </w:pPr>
    </w:p>
    <w:p>
      <w:pPr>
        <w:pStyle w:val="Heading3"/>
        <w:rPr>
          <w:noProof/>
        </w:rPr>
      </w:pPr>
      <w:bookmarkStart w:id="224" w:name="_Toc526434053"/>
      <w:bookmarkStart w:id="225" w:name="_Toc526435997"/>
      <w:bookmarkStart w:id="226" w:name="_Toc527544422"/>
      <w:bookmarkStart w:id="227" w:name="_Toc530741661"/>
      <w:r>
        <w:rPr>
          <w:noProof/>
        </w:rPr>
        <w:t>Competitiveness</w:t>
      </w:r>
      <w:bookmarkEnd w:id="224"/>
      <w:bookmarkEnd w:id="225"/>
      <w:bookmarkEnd w:id="226"/>
      <w:bookmarkEnd w:id="227"/>
    </w:p>
    <w:p>
      <w:pPr>
        <w:rPr>
          <w:noProof/>
        </w:rPr>
      </w:pPr>
      <w:r>
        <w:rPr>
          <w:noProof/>
          <w:lang w:eastAsia="en-GB"/>
        </w:rPr>
        <w:t>Between 2008 and 2017, natural gas and electricity costs represented on average 14-22% and 5-9% of total production costs, respectively (</w:t>
      </w:r>
      <w:r>
        <w:rPr>
          <w:noProof/>
          <w:lang w:eastAsia="en-GB"/>
        </w:rPr>
        <w:fldChar w:fldCharType="begin"/>
      </w:r>
      <w:r>
        <w:rPr>
          <w:noProof/>
          <w:lang w:eastAsia="en-GB"/>
        </w:rPr>
        <w:instrText xml:space="preserve"> REF _Ref524525426 \h </w:instrText>
      </w:r>
      <w:r>
        <w:rPr>
          <w:noProof/>
          <w:lang w:eastAsia="en-GB"/>
        </w:rPr>
      </w:r>
      <w:r>
        <w:rPr>
          <w:noProof/>
          <w:lang w:eastAsia="en-GB"/>
        </w:rPr>
        <w:fldChar w:fldCharType="separate"/>
      </w:r>
      <w:r>
        <w:rPr>
          <w:noProof/>
        </w:rPr>
        <w:t>Table 19</w:t>
      </w:r>
      <w:r>
        <w:rPr>
          <w:noProof/>
          <w:lang w:eastAsia="en-GB"/>
        </w:rPr>
        <w:fldChar w:fldCharType="end"/>
      </w:r>
      <w:r>
        <w:rPr>
          <w:noProof/>
          <w:lang w:eastAsia="en-GB"/>
        </w:rPr>
        <w:t xml:space="preserve">). The share of total energy (natural gas + electricity) costs in production costs decreased from 28% in 2008 to 24% in 2017. </w:t>
      </w:r>
      <w:r>
        <w:rPr>
          <w:noProof/>
        </w:rPr>
        <w:t xml:space="preserve">Economies of scale play here a key role, as energy and total production costs per output incurred by larger plants were much lower than those experienced by smaller ones (weighted average </w:t>
      </w:r>
      <w:r>
        <w:rPr>
          <w:noProof/>
          <w:lang w:eastAsia="en-GB"/>
        </w:rPr>
        <w:t xml:space="preserve">– </w:t>
      </w:r>
      <w:r>
        <w:rPr>
          <w:noProof/>
        </w:rPr>
        <w:t xml:space="preserve">by production output </w:t>
      </w:r>
      <w:r>
        <w:rPr>
          <w:noProof/>
          <w:lang w:eastAsia="en-GB"/>
        </w:rPr>
        <w:t xml:space="preserve">– </w:t>
      </w:r>
      <w:r>
        <w:rPr>
          <w:noProof/>
        </w:rPr>
        <w:t>energy and total production costs per output are well below simple average ones, in the order of magnitude of 20%).</w:t>
      </w:r>
    </w:p>
    <w:p>
      <w:pPr>
        <w:rPr>
          <w:noProof/>
          <w:lang w:eastAsia="de-DE"/>
        </w:rPr>
      </w:pPr>
      <w:r>
        <w:rPr>
          <w:noProof/>
          <w:lang w:eastAsia="de-DE"/>
        </w:rPr>
        <w:t xml:space="preserve">EBITDA </w:t>
      </w:r>
      <w:r>
        <w:rPr>
          <w:noProof/>
          <w:lang w:eastAsia="en-GB"/>
        </w:rPr>
        <w:t xml:space="preserve">per tonne </w:t>
      </w:r>
      <w:r>
        <w:rPr>
          <w:noProof/>
          <w:lang w:eastAsia="de-DE"/>
        </w:rPr>
        <w:t xml:space="preserve">declined between 2008 and 2015 and then increased in the last two years </w:t>
      </w:r>
      <w:r>
        <w:rPr>
          <w:noProof/>
          <w:lang w:eastAsia="en-GB"/>
        </w:rPr>
        <w:t>(</w:t>
      </w:r>
      <w:r>
        <w:rPr>
          <w:noProof/>
          <w:lang w:eastAsia="en-GB"/>
        </w:rPr>
        <w:fldChar w:fldCharType="begin"/>
      </w:r>
      <w:r>
        <w:rPr>
          <w:noProof/>
          <w:lang w:eastAsia="en-GB"/>
        </w:rPr>
        <w:instrText xml:space="preserve"> REF _Ref524525384 \h </w:instrText>
      </w:r>
      <w:r>
        <w:rPr>
          <w:noProof/>
          <w:lang w:eastAsia="en-GB"/>
        </w:rPr>
      </w:r>
      <w:r>
        <w:rPr>
          <w:noProof/>
          <w:lang w:eastAsia="en-GB"/>
        </w:rPr>
        <w:fldChar w:fldCharType="separate"/>
      </w:r>
      <w:r>
        <w:rPr>
          <w:noProof/>
        </w:rPr>
        <w:t>Figure 53</w:t>
      </w:r>
      <w:r>
        <w:rPr>
          <w:noProof/>
          <w:lang w:eastAsia="en-GB"/>
        </w:rPr>
        <w:fldChar w:fldCharType="end"/>
      </w:r>
      <w:r>
        <w:rPr>
          <w:noProof/>
          <w:lang w:eastAsia="en-GB"/>
        </w:rPr>
        <w:t>)</w:t>
      </w:r>
      <w:r>
        <w:rPr>
          <w:noProof/>
          <w:lang w:eastAsia="de-DE"/>
        </w:rPr>
        <w:t xml:space="preserve">. We can note that energy costs are always higher than EBITDA and show an opposite pattern compared to EBITDA, which is particularly visible in the most recent years (decrease in energy costs while increase in EBIDTA). This shows the importance of energy costs and the potential direct impact it can have on margins of </w:t>
      </w:r>
      <w:r>
        <w:rPr>
          <w:bCs/>
          <w:noProof/>
        </w:rPr>
        <w:t>brick and roof tile production</w:t>
      </w:r>
      <w:r>
        <w:rPr>
          <w:noProof/>
          <w:lang w:eastAsia="de-DE"/>
        </w:rPr>
        <w:t>.</w:t>
      </w:r>
    </w:p>
    <w:p>
      <w:pPr>
        <w:rPr>
          <w:noProof/>
          <w:lang w:eastAsia="en-GB"/>
        </w:rPr>
      </w:pPr>
    </w:p>
    <w:p>
      <w:pPr>
        <w:pStyle w:val="Heading3"/>
        <w:rPr>
          <w:noProof/>
        </w:rPr>
      </w:pPr>
      <w:bookmarkStart w:id="228" w:name="_Toc526434054"/>
      <w:bookmarkStart w:id="229" w:name="_Toc526435998"/>
      <w:bookmarkStart w:id="230" w:name="_Toc527544423"/>
      <w:bookmarkStart w:id="231" w:name="_Toc530741662"/>
      <w:r>
        <w:rPr>
          <w:noProof/>
        </w:rPr>
        <w:t>Tables and graphs</w:t>
      </w:r>
      <w:bookmarkEnd w:id="228"/>
      <w:bookmarkEnd w:id="229"/>
      <w:bookmarkEnd w:id="230"/>
      <w:bookmarkEnd w:id="231"/>
    </w:p>
    <w:p>
      <w:pPr>
        <w:rPr>
          <w:b/>
          <w:i/>
          <w:noProof/>
          <w:lang w:eastAsia="en-GB"/>
        </w:rPr>
      </w:pPr>
      <w:r>
        <w:rPr>
          <w:b/>
          <w:i/>
          <w:noProof/>
          <w:lang w:eastAsia="en-GB"/>
        </w:rPr>
        <w:t>Electricity</w:t>
      </w:r>
    </w:p>
    <w:p>
      <w:pPr>
        <w:pStyle w:val="Caption"/>
      </w:pPr>
      <w:bookmarkStart w:id="232" w:name="_Ref524533182"/>
      <w:bookmarkStart w:id="233" w:name="_Toc526433354"/>
      <w:bookmarkStart w:id="234" w:name="_Toc526433622"/>
      <w:bookmarkStart w:id="235" w:name="_Toc526435564"/>
      <w:bookmarkStart w:id="236" w:name="_Toc527544792"/>
      <w:bookmarkStart w:id="237" w:name="_Toc530741810"/>
      <w:r>
        <w:t xml:space="preserve">Table </w:t>
      </w:r>
      <w:r>
        <w:fldChar w:fldCharType="begin"/>
      </w:r>
      <w:r>
        <w:instrText xml:space="preserve"> SEQ Table \* ARABIC </w:instrText>
      </w:r>
      <w:r>
        <w:fldChar w:fldCharType="separate"/>
      </w:r>
      <w:r>
        <w:t>17</w:t>
      </w:r>
      <w:r>
        <w:fldChar w:fldCharType="end"/>
      </w:r>
      <w:bookmarkEnd w:id="232"/>
      <w:r>
        <w:t>.</w:t>
      </w:r>
      <w:bookmarkEnd w:id="233"/>
      <w:r>
        <w:t xml:space="preserve"> Key electricity indicators of </w:t>
      </w:r>
      <w:r>
        <w:rPr>
          <w:lang w:eastAsia="en-GB"/>
        </w:rPr>
        <w:t>brick and roof tile</w:t>
      </w:r>
      <w:r>
        <w:t xml:space="preserve"> production</w:t>
      </w:r>
      <w:r>
        <w:rPr>
          <w:rFonts w:eastAsia="Times New Roman"/>
          <w:color w:val="000000"/>
          <w:lang w:eastAsia="en-GB"/>
        </w:rPr>
        <w:t xml:space="preserve"> </w:t>
      </w:r>
      <w:r>
        <w:t>(EU averages)</w:t>
      </w:r>
      <w:bookmarkEnd w:id="234"/>
      <w:bookmarkEnd w:id="235"/>
      <w:bookmarkEnd w:id="236"/>
      <w:bookmarkEnd w:id="237"/>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729"/>
        <w:gridCol w:w="769"/>
        <w:gridCol w:w="769"/>
        <w:gridCol w:w="769"/>
        <w:gridCol w:w="767"/>
        <w:gridCol w:w="767"/>
        <w:gridCol w:w="767"/>
        <w:gridCol w:w="763"/>
      </w:tblGrid>
      <w:tr>
        <w:trPr>
          <w:trHeight w:val="244"/>
          <w:tblHeader/>
          <w:jc w:val="center"/>
        </w:trPr>
        <w:tc>
          <w:tcPr>
            <w:tcW w:w="165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0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2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2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2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2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21"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51" w:type="pct"/>
            <w:tcBorders>
              <w:top w:val="single" w:sz="4" w:space="0" w:color="auto"/>
            </w:tcBorders>
            <w:shd w:val="clear" w:color="auto" w:fill="CEEBE6"/>
            <w:noWrap/>
            <w:vAlign w:val="center"/>
          </w:tcPr>
          <w:p>
            <w:pPr>
              <w:spacing w:before="60" w:after="60"/>
              <w:jc w:val="left"/>
              <w:rPr>
                <w:b/>
                <w:bCs/>
                <w:noProof/>
                <w:sz w:val="20"/>
                <w:szCs w:val="16"/>
              </w:rPr>
            </w:pPr>
            <w:r>
              <w:rPr>
                <w:bCs/>
                <w:noProof/>
                <w:sz w:val="20"/>
                <w:szCs w:val="16"/>
              </w:rPr>
              <w:t>Electricity price (€/MWh)</w:t>
            </w:r>
          </w:p>
        </w:tc>
        <w:tc>
          <w:tcPr>
            <w:tcW w:w="401"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79.0</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82.2</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94.3</w:t>
            </w:r>
          </w:p>
        </w:tc>
        <w:tc>
          <w:tcPr>
            <w:tcW w:w="422"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91.7</w:t>
            </w:r>
          </w:p>
        </w:tc>
        <w:tc>
          <w:tcPr>
            <w:tcW w:w="421"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90.4</w:t>
            </w:r>
          </w:p>
        </w:tc>
        <w:tc>
          <w:tcPr>
            <w:tcW w:w="421"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90.1</w:t>
            </w:r>
          </w:p>
        </w:tc>
        <w:tc>
          <w:tcPr>
            <w:tcW w:w="421"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86.3</w:t>
            </w:r>
          </w:p>
        </w:tc>
        <w:tc>
          <w:tcPr>
            <w:tcW w:w="421"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83.1</w:t>
            </w:r>
          </w:p>
        </w:tc>
      </w:tr>
      <w:tr>
        <w:trPr>
          <w:trHeight w:val="244"/>
          <w:jc w:val="center"/>
        </w:trPr>
        <w:tc>
          <w:tcPr>
            <w:tcW w:w="1651" w:type="pct"/>
            <w:shd w:val="clear" w:color="auto" w:fill="auto"/>
            <w:noWrap/>
            <w:vAlign w:val="center"/>
            <w:hideMark/>
          </w:tcPr>
          <w:p>
            <w:pPr>
              <w:spacing w:before="60" w:after="60"/>
              <w:jc w:val="left"/>
              <w:rPr>
                <w:b/>
                <w:bCs/>
                <w:noProof/>
                <w:sz w:val="20"/>
                <w:szCs w:val="16"/>
              </w:rPr>
            </w:pPr>
            <w:r>
              <w:rPr>
                <w:bCs/>
                <w:noProof/>
                <w:sz w:val="20"/>
                <w:szCs w:val="16"/>
              </w:rPr>
              <w:t>Electricity costs (€/MWh)</w:t>
            </w:r>
          </w:p>
        </w:tc>
        <w:tc>
          <w:tcPr>
            <w:tcW w:w="401" w:type="pct"/>
            <w:shd w:val="clear" w:color="auto" w:fill="auto"/>
            <w:noWrap/>
            <w:vAlign w:val="center"/>
            <w:hideMark/>
          </w:tcPr>
          <w:p>
            <w:pPr>
              <w:spacing w:before="60" w:after="60"/>
              <w:jc w:val="center"/>
              <w:rPr>
                <w:noProof/>
                <w:sz w:val="20"/>
                <w:szCs w:val="16"/>
                <w:lang w:eastAsia="it-IT"/>
              </w:rPr>
            </w:pPr>
            <w:r>
              <w:rPr>
                <w:bCs/>
                <w:noProof/>
                <w:color w:val="000000"/>
                <w:sz w:val="20"/>
                <w:szCs w:val="16"/>
              </w:rPr>
              <w:t>77.8</w:t>
            </w:r>
          </w:p>
        </w:tc>
        <w:tc>
          <w:tcPr>
            <w:tcW w:w="422"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80.8</w:t>
            </w:r>
          </w:p>
        </w:tc>
        <w:tc>
          <w:tcPr>
            <w:tcW w:w="422"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92.5</w:t>
            </w:r>
          </w:p>
        </w:tc>
        <w:tc>
          <w:tcPr>
            <w:tcW w:w="422"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92.4</w:t>
            </w:r>
          </w:p>
        </w:tc>
        <w:tc>
          <w:tcPr>
            <w:tcW w:w="421"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89.2</w:t>
            </w:r>
          </w:p>
        </w:tc>
        <w:tc>
          <w:tcPr>
            <w:tcW w:w="421"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88.4</w:t>
            </w:r>
          </w:p>
        </w:tc>
        <w:tc>
          <w:tcPr>
            <w:tcW w:w="421" w:type="pct"/>
            <w:shd w:val="clear" w:color="auto" w:fill="auto"/>
            <w:noWrap/>
            <w:vAlign w:val="center"/>
            <w:hideMark/>
          </w:tcPr>
          <w:p>
            <w:pPr>
              <w:spacing w:before="60" w:after="60"/>
              <w:jc w:val="center"/>
              <w:rPr>
                <w:noProof/>
                <w:sz w:val="20"/>
                <w:szCs w:val="16"/>
                <w:lang w:eastAsia="it-IT"/>
              </w:rPr>
            </w:pPr>
            <w:r>
              <w:rPr>
                <w:bCs/>
                <w:noProof/>
                <w:color w:val="000000"/>
                <w:sz w:val="20"/>
                <w:szCs w:val="16"/>
              </w:rPr>
              <w:t>79.3</w:t>
            </w:r>
          </w:p>
        </w:tc>
        <w:tc>
          <w:tcPr>
            <w:tcW w:w="421" w:type="pct"/>
            <w:shd w:val="clear" w:color="auto" w:fill="auto"/>
            <w:noWrap/>
            <w:vAlign w:val="center"/>
            <w:hideMark/>
          </w:tcPr>
          <w:p>
            <w:pPr>
              <w:spacing w:before="60" w:after="60"/>
              <w:jc w:val="center"/>
              <w:rPr>
                <w:noProof/>
                <w:sz w:val="20"/>
                <w:szCs w:val="16"/>
                <w:lang w:eastAsia="it-IT"/>
              </w:rPr>
            </w:pPr>
            <w:r>
              <w:rPr>
                <w:bCs/>
                <w:noProof/>
                <w:color w:val="000000"/>
                <w:sz w:val="20"/>
                <w:szCs w:val="16"/>
              </w:rPr>
              <w:t>75.1</w:t>
            </w:r>
          </w:p>
        </w:tc>
      </w:tr>
      <w:tr>
        <w:trPr>
          <w:trHeight w:val="244"/>
          <w:jc w:val="center"/>
        </w:trPr>
        <w:tc>
          <w:tcPr>
            <w:tcW w:w="1651" w:type="pct"/>
            <w:shd w:val="clear" w:color="auto" w:fill="CEEBE6"/>
            <w:noWrap/>
            <w:vAlign w:val="center"/>
            <w:hideMark/>
          </w:tcPr>
          <w:p>
            <w:pPr>
              <w:spacing w:before="60" w:after="60"/>
              <w:jc w:val="left"/>
              <w:rPr>
                <w:b/>
                <w:bCs/>
                <w:noProof/>
                <w:color w:val="000000"/>
                <w:sz w:val="20"/>
                <w:szCs w:val="16"/>
              </w:rPr>
            </w:pPr>
            <w:r>
              <w:rPr>
                <w:bCs/>
                <w:noProof/>
                <w:sz w:val="20"/>
                <w:szCs w:val="16"/>
              </w:rPr>
              <w:t>Electricity costs (€/tonne)</w:t>
            </w:r>
          </w:p>
        </w:tc>
        <w:tc>
          <w:tcPr>
            <w:tcW w:w="401"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5.9</w:t>
            </w:r>
          </w:p>
        </w:tc>
        <w:tc>
          <w:tcPr>
            <w:tcW w:w="422"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5.4</w:t>
            </w:r>
          </w:p>
        </w:tc>
        <w:tc>
          <w:tcPr>
            <w:tcW w:w="422"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6.7</w:t>
            </w:r>
          </w:p>
        </w:tc>
        <w:tc>
          <w:tcPr>
            <w:tcW w:w="422"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7.1</w:t>
            </w:r>
          </w:p>
        </w:tc>
        <w:tc>
          <w:tcPr>
            <w:tcW w:w="421"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6.9</w:t>
            </w:r>
          </w:p>
        </w:tc>
        <w:tc>
          <w:tcPr>
            <w:tcW w:w="421"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6.5</w:t>
            </w:r>
          </w:p>
        </w:tc>
        <w:tc>
          <w:tcPr>
            <w:tcW w:w="421"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6.2</w:t>
            </w:r>
          </w:p>
        </w:tc>
        <w:tc>
          <w:tcPr>
            <w:tcW w:w="421"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6.0</w:t>
            </w:r>
          </w:p>
        </w:tc>
      </w:tr>
      <w:tr>
        <w:trPr>
          <w:trHeight w:val="244"/>
          <w:jc w:val="center"/>
        </w:trPr>
        <w:tc>
          <w:tcPr>
            <w:tcW w:w="1651" w:type="pct"/>
            <w:shd w:val="clear" w:color="auto" w:fill="auto"/>
            <w:noWrap/>
            <w:vAlign w:val="center"/>
          </w:tcPr>
          <w:p>
            <w:pPr>
              <w:keepNext/>
              <w:spacing w:before="60" w:after="60"/>
              <w:jc w:val="left"/>
              <w:rPr>
                <w:b/>
                <w:bCs/>
                <w:noProof/>
                <w:sz w:val="20"/>
                <w:szCs w:val="16"/>
              </w:rPr>
            </w:pPr>
            <w:r>
              <w:rPr>
                <w:bCs/>
                <w:noProof/>
                <w:sz w:val="20"/>
                <w:szCs w:val="16"/>
              </w:rPr>
              <w:t>Electricity intensity (MWh/tonne)</w:t>
            </w:r>
          </w:p>
        </w:tc>
        <w:tc>
          <w:tcPr>
            <w:tcW w:w="401"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0.07</w:t>
            </w:r>
          </w:p>
        </w:tc>
        <w:tc>
          <w:tcPr>
            <w:tcW w:w="422"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0.07</w:t>
            </w:r>
          </w:p>
        </w:tc>
        <w:tc>
          <w:tcPr>
            <w:tcW w:w="422"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0.07</w:t>
            </w:r>
          </w:p>
        </w:tc>
        <w:tc>
          <w:tcPr>
            <w:tcW w:w="422"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0.07</w:t>
            </w:r>
          </w:p>
        </w:tc>
        <w:tc>
          <w:tcPr>
            <w:tcW w:w="421"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0.07</w:t>
            </w:r>
          </w:p>
        </w:tc>
        <w:tc>
          <w:tcPr>
            <w:tcW w:w="421"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0.08</w:t>
            </w:r>
          </w:p>
        </w:tc>
        <w:tc>
          <w:tcPr>
            <w:tcW w:w="421"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0.08</w:t>
            </w:r>
          </w:p>
        </w:tc>
        <w:tc>
          <w:tcPr>
            <w:tcW w:w="421" w:type="pct"/>
            <w:shd w:val="clear" w:color="auto" w:fill="auto"/>
            <w:noWrap/>
            <w:vAlign w:val="center"/>
          </w:tcPr>
          <w:p>
            <w:pPr>
              <w:keepNext/>
              <w:spacing w:before="60" w:after="60"/>
              <w:jc w:val="center"/>
              <w:rPr>
                <w:bCs/>
                <w:noProof/>
                <w:color w:val="000000"/>
                <w:sz w:val="20"/>
                <w:szCs w:val="16"/>
              </w:rPr>
            </w:pPr>
            <w:r>
              <w:rPr>
                <w:bCs/>
                <w:noProof/>
                <w:color w:val="000000"/>
                <w:sz w:val="20"/>
                <w:szCs w:val="16"/>
              </w:rPr>
              <w:t>0.08</w:t>
            </w:r>
          </w:p>
        </w:tc>
      </w:tr>
    </w:tbl>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238" w:name="_Ref529374961"/>
      <w:bookmarkStart w:id="239" w:name="_Toc530741738"/>
      <w:r>
        <w:t xml:space="preserve">Figure </w:t>
      </w:r>
      <w:r>
        <w:fldChar w:fldCharType="begin"/>
      </w:r>
      <w:r>
        <w:instrText xml:space="preserve"> SEQ Figure \* ARABIC </w:instrText>
      </w:r>
      <w:r>
        <w:fldChar w:fldCharType="separate"/>
      </w:r>
      <w:r>
        <w:t>45</w:t>
      </w:r>
      <w:r>
        <w:fldChar w:fldCharType="end"/>
      </w:r>
      <w:bookmarkEnd w:id="238"/>
      <w:r>
        <w:t xml:space="preserve">. Components of the EU average electricity price for </w:t>
      </w:r>
      <w:r>
        <w:rPr>
          <w:lang w:eastAsia="en-GB"/>
        </w:rPr>
        <w:t>brick and roof tile</w:t>
      </w:r>
      <w:r>
        <w:t xml:space="preserve"> production (%)</w:t>
      </w:r>
      <w:bookmarkEnd w:id="239"/>
    </w:p>
    <w:p>
      <w:pPr>
        <w:keepNext/>
        <w:rPr>
          <w:noProof/>
        </w:rPr>
      </w:pPr>
      <w:r>
        <w:rPr>
          <w:noProof/>
          <w:lang w:eastAsia="en-GB"/>
        </w:rPr>
        <w:drawing>
          <wp:inline distT="0" distB="0" distL="0" distR="0">
            <wp:extent cx="5719445" cy="3122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9445" cy="312293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240" w:name="_Ref524525311"/>
      <w:bookmarkStart w:id="241" w:name="_Toc526433570"/>
      <w:bookmarkStart w:id="242" w:name="_Toc526433887"/>
      <w:bookmarkStart w:id="243" w:name="_Toc526435829"/>
      <w:bookmarkStart w:id="244" w:name="_Toc527544710"/>
      <w:bookmarkStart w:id="245" w:name="_Toc530741739"/>
      <w:r>
        <w:t xml:space="preserve">Figure </w:t>
      </w:r>
      <w:r>
        <w:fldChar w:fldCharType="begin"/>
      </w:r>
      <w:r>
        <w:instrText xml:space="preserve"> SEQ Figure \* ARABIC </w:instrText>
      </w:r>
      <w:r>
        <w:fldChar w:fldCharType="separate"/>
      </w:r>
      <w:r>
        <w:t>46</w:t>
      </w:r>
      <w:r>
        <w:fldChar w:fldCharType="end"/>
      </w:r>
      <w:bookmarkEnd w:id="240"/>
      <w:r>
        <w:t>.</w:t>
      </w:r>
      <w:bookmarkEnd w:id="241"/>
      <w:r>
        <w:t xml:space="preserve"> </w:t>
      </w:r>
      <w:r>
        <w:rPr>
          <w:rFonts w:eastAsia="Times New Roman"/>
          <w:color w:val="000000"/>
          <w:lang w:eastAsia="en-GB"/>
        </w:rPr>
        <w:t xml:space="preserve">Electricity costs </w:t>
      </w:r>
      <w:r>
        <w:t xml:space="preserve">of </w:t>
      </w:r>
      <w:r>
        <w:rPr>
          <w:lang w:eastAsia="en-GB"/>
        </w:rPr>
        <w:t>brick and roof tile</w:t>
      </w:r>
      <w:r>
        <w:t xml:space="preserve"> production</w:t>
      </w:r>
      <w:r>
        <w:rPr>
          <w:rFonts w:eastAsia="Times New Roman"/>
          <w:color w:val="000000"/>
          <w:lang w:eastAsia="en-GB"/>
        </w:rPr>
        <w:t xml:space="preserve"> (€/MWh)</w:t>
      </w:r>
      <w:bookmarkEnd w:id="242"/>
      <w:bookmarkEnd w:id="243"/>
      <w:bookmarkEnd w:id="244"/>
      <w:bookmarkEnd w:id="245"/>
    </w:p>
    <w:p>
      <w:pPr>
        <w:keepNext/>
        <w:rPr>
          <w:noProof/>
        </w:rPr>
      </w:pPr>
      <w:r>
        <w:rPr>
          <w:noProof/>
          <w:lang w:eastAsia="en-GB"/>
        </w:rPr>
        <w:drawing>
          <wp:inline distT="0" distB="0" distL="0" distR="0">
            <wp:extent cx="5727700" cy="2743200"/>
            <wp:effectExtent l="0" t="0" r="6350" b="0"/>
            <wp:docPr id="1449026472" name="Picture 144902647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0"/>
                    <pic:cNvPicPr>
                      <a:picLocks noGrp="1" noRot="1" noChangeAspect="1" noMove="1" noResize="1" noEditPoints="1" noAdjustHandles="1" noChangeArrowheads="1" noChangeShapeType="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0" cy="274320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246" w:name="_Ref524525324"/>
      <w:bookmarkStart w:id="247" w:name="_Toc526433571"/>
      <w:bookmarkStart w:id="248" w:name="_Toc526433888"/>
      <w:bookmarkStart w:id="249" w:name="_Toc526435830"/>
      <w:bookmarkStart w:id="250" w:name="_Toc527544711"/>
      <w:bookmarkStart w:id="251" w:name="_Toc530741740"/>
      <w:r>
        <w:t xml:space="preserve">Figure </w:t>
      </w:r>
      <w:r>
        <w:fldChar w:fldCharType="begin"/>
      </w:r>
      <w:r>
        <w:instrText xml:space="preserve"> SEQ Figure \* ARABIC </w:instrText>
      </w:r>
      <w:r>
        <w:fldChar w:fldCharType="separate"/>
      </w:r>
      <w:r>
        <w:t>47</w:t>
      </w:r>
      <w:r>
        <w:fldChar w:fldCharType="end"/>
      </w:r>
      <w:bookmarkEnd w:id="246"/>
      <w:r>
        <w:t>.</w:t>
      </w:r>
      <w:bookmarkEnd w:id="247"/>
      <w:r>
        <w:t xml:space="preserve"> </w:t>
      </w:r>
      <w:r>
        <w:rPr>
          <w:rFonts w:eastAsia="Times New Roman"/>
          <w:color w:val="000000"/>
          <w:lang w:eastAsia="en-GB"/>
        </w:rPr>
        <w:t>Electricity costs</w:t>
      </w:r>
      <w:r>
        <w:t xml:space="preserve"> of </w:t>
      </w:r>
      <w:r>
        <w:rPr>
          <w:lang w:eastAsia="en-GB"/>
        </w:rPr>
        <w:t>brick and roof tile</w:t>
      </w:r>
      <w:r>
        <w:t xml:space="preserve"> production</w:t>
      </w:r>
      <w:r>
        <w:rPr>
          <w:rFonts w:eastAsia="Times New Roman"/>
          <w:color w:val="000000"/>
          <w:lang w:eastAsia="en-GB"/>
        </w:rPr>
        <w:t xml:space="preserve"> (€/tonne)</w:t>
      </w:r>
      <w:bookmarkEnd w:id="248"/>
      <w:bookmarkEnd w:id="249"/>
      <w:bookmarkEnd w:id="250"/>
      <w:bookmarkEnd w:id="251"/>
    </w:p>
    <w:p>
      <w:pPr>
        <w:keepNext/>
        <w:rPr>
          <w:noProof/>
        </w:rPr>
      </w:pPr>
      <w:r>
        <w:rPr>
          <w:noProof/>
          <w:lang w:eastAsia="en-GB"/>
        </w:rPr>
        <w:drawing>
          <wp:inline distT="0" distB="0" distL="0" distR="0">
            <wp:extent cx="5760720" cy="2521822"/>
            <wp:effectExtent l="0" t="0" r="0" b="0"/>
            <wp:docPr id="1449027012" name="Picture 144902701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
                    <pic:cNvPicPr>
                      <a:picLocks noGrp="1" noRot="1" noChangeAspect="1" noMove="1" noResize="1" noEditPoints="1" noAdjustHandles="1" noChangeArrowheads="1" noChangeShapeType="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rPr>
      </w:pPr>
      <w:bookmarkStart w:id="252" w:name="_Ref524525336"/>
      <w:bookmarkStart w:id="253" w:name="_Toc526433572"/>
      <w:bookmarkStart w:id="254" w:name="_Toc526433889"/>
      <w:bookmarkStart w:id="255" w:name="_Toc526435831"/>
      <w:bookmarkStart w:id="256" w:name="_Toc527544712"/>
      <w:bookmarkStart w:id="257" w:name="_Toc530741741"/>
      <w:r>
        <w:t xml:space="preserve">Figure </w:t>
      </w:r>
      <w:r>
        <w:fldChar w:fldCharType="begin"/>
      </w:r>
      <w:r>
        <w:instrText xml:space="preserve"> SEQ Figure \* ARABIC </w:instrText>
      </w:r>
      <w:r>
        <w:fldChar w:fldCharType="separate"/>
      </w:r>
      <w:r>
        <w:t>48</w:t>
      </w:r>
      <w:r>
        <w:fldChar w:fldCharType="end"/>
      </w:r>
      <w:bookmarkEnd w:id="252"/>
      <w:r>
        <w:t>.</w:t>
      </w:r>
      <w:bookmarkEnd w:id="253"/>
      <w:r>
        <w:t xml:space="preserve"> </w:t>
      </w:r>
      <w:r>
        <w:rPr>
          <w:rFonts w:eastAsia="Times New Roman"/>
          <w:color w:val="000000"/>
        </w:rPr>
        <w:t xml:space="preserve">Electricity intensity </w:t>
      </w:r>
      <w:r>
        <w:t>of brick and roof tile production</w:t>
      </w:r>
      <w:r>
        <w:rPr>
          <w:rFonts w:eastAsia="Times New Roman"/>
          <w:color w:val="000000"/>
        </w:rPr>
        <w:t xml:space="preserve"> (MWh/tonne)</w:t>
      </w:r>
      <w:bookmarkEnd w:id="254"/>
      <w:bookmarkEnd w:id="255"/>
      <w:bookmarkEnd w:id="256"/>
      <w:bookmarkEnd w:id="257"/>
    </w:p>
    <w:p>
      <w:pPr>
        <w:keepNext/>
        <w:rPr>
          <w:noProof/>
          <w:lang w:eastAsia="de-DE"/>
        </w:rPr>
      </w:pPr>
      <w:r>
        <w:rPr>
          <w:noProof/>
          <w:lang w:eastAsia="en-GB"/>
        </w:rPr>
        <w:drawing>
          <wp:inline distT="0" distB="0" distL="0" distR="0">
            <wp:extent cx="5764530" cy="2523490"/>
            <wp:effectExtent l="0" t="0" r="7620" b="0"/>
            <wp:docPr id="1449027013" name="Picture 144902701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6"/>
                    <pic:cNvPicPr>
                      <a:picLocks noGrp="1" noRot="1" noChangeAspect="1" noMove="1" noResize="1" noEditPoints="1" noAdjustHandles="1" noChangeArrowheads="1" noChangeShapeType="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453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258" w:name="_Ref524533195"/>
      <w:bookmarkStart w:id="259" w:name="_Toc526433355"/>
      <w:bookmarkStart w:id="260" w:name="_Toc526433623"/>
      <w:bookmarkStart w:id="261" w:name="_Toc526435565"/>
      <w:bookmarkStart w:id="262" w:name="_Toc527544793"/>
      <w:bookmarkStart w:id="263" w:name="_Toc530741811"/>
      <w:r>
        <w:t xml:space="preserve">Table </w:t>
      </w:r>
      <w:r>
        <w:fldChar w:fldCharType="begin"/>
      </w:r>
      <w:r>
        <w:instrText xml:space="preserve"> SEQ Table \* ARABIC </w:instrText>
      </w:r>
      <w:r>
        <w:fldChar w:fldCharType="separate"/>
      </w:r>
      <w:r>
        <w:t>18</w:t>
      </w:r>
      <w:r>
        <w:fldChar w:fldCharType="end"/>
      </w:r>
      <w:bookmarkEnd w:id="258"/>
      <w:r>
        <w:t>.</w:t>
      </w:r>
      <w:bookmarkEnd w:id="259"/>
      <w:r>
        <w:t xml:space="preserve"> Key natural gas indicators of </w:t>
      </w:r>
      <w:r>
        <w:rPr>
          <w:lang w:eastAsia="en-GB"/>
        </w:rPr>
        <w:t>brick and roof tile</w:t>
      </w:r>
      <w:r>
        <w:t xml:space="preserve"> production</w:t>
      </w:r>
      <w:r>
        <w:rPr>
          <w:rFonts w:eastAsia="Times New Roman"/>
          <w:color w:val="000000"/>
          <w:lang w:eastAsia="en-GB"/>
        </w:rPr>
        <w:t xml:space="preserve"> </w:t>
      </w:r>
      <w:r>
        <w:t>(EU averages)</w:t>
      </w:r>
      <w:bookmarkEnd w:id="260"/>
      <w:bookmarkEnd w:id="261"/>
      <w:bookmarkEnd w:id="262"/>
      <w:bookmarkEnd w:id="263"/>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30"/>
        <w:gridCol w:w="767"/>
        <w:gridCol w:w="767"/>
        <w:gridCol w:w="769"/>
        <w:gridCol w:w="769"/>
        <w:gridCol w:w="769"/>
        <w:gridCol w:w="769"/>
        <w:gridCol w:w="763"/>
      </w:tblGrid>
      <w:tr>
        <w:trPr>
          <w:trHeight w:val="244"/>
          <w:jc w:val="center"/>
        </w:trPr>
        <w:tc>
          <w:tcPr>
            <w:tcW w:w="1689"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6"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89"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6" w:type="pct"/>
            <w:shd w:val="clear" w:color="auto" w:fill="CEEBE6"/>
            <w:noWrap/>
            <w:vAlign w:val="center"/>
          </w:tcPr>
          <w:p>
            <w:pPr>
              <w:spacing w:before="60" w:after="60"/>
              <w:jc w:val="center"/>
              <w:rPr>
                <w:noProof/>
                <w:sz w:val="20"/>
                <w:szCs w:val="16"/>
                <w:lang w:eastAsia="it-IT"/>
              </w:rPr>
            </w:pPr>
            <w:r>
              <w:rPr>
                <w:bCs/>
                <w:noProof/>
                <w:color w:val="000000"/>
                <w:sz w:val="20"/>
                <w:szCs w:val="16"/>
              </w:rPr>
              <w:t>28.2</w:t>
            </w:r>
          </w:p>
        </w:tc>
        <w:tc>
          <w:tcPr>
            <w:tcW w:w="416" w:type="pct"/>
            <w:shd w:val="clear" w:color="auto" w:fill="CEEBE6"/>
            <w:noWrap/>
            <w:vAlign w:val="center"/>
          </w:tcPr>
          <w:p>
            <w:pPr>
              <w:spacing w:before="60" w:after="60"/>
              <w:jc w:val="center"/>
              <w:rPr>
                <w:noProof/>
                <w:sz w:val="20"/>
                <w:szCs w:val="16"/>
                <w:lang w:eastAsia="it-IT"/>
              </w:rPr>
            </w:pPr>
            <w:r>
              <w:rPr>
                <w:bCs/>
                <w:noProof/>
                <w:color w:val="000000"/>
                <w:sz w:val="20"/>
                <w:szCs w:val="16"/>
              </w:rPr>
              <w:t>26.8</w:t>
            </w:r>
          </w:p>
        </w:tc>
        <w:tc>
          <w:tcPr>
            <w:tcW w:w="416" w:type="pct"/>
            <w:shd w:val="clear" w:color="auto" w:fill="CEEBE6"/>
            <w:noWrap/>
            <w:vAlign w:val="center"/>
          </w:tcPr>
          <w:p>
            <w:pPr>
              <w:spacing w:before="60" w:after="60"/>
              <w:jc w:val="center"/>
              <w:rPr>
                <w:noProof/>
                <w:sz w:val="20"/>
                <w:szCs w:val="16"/>
                <w:lang w:eastAsia="it-IT"/>
              </w:rPr>
            </w:pPr>
            <w:r>
              <w:rPr>
                <w:bCs/>
                <w:noProof/>
                <w:color w:val="000000"/>
                <w:sz w:val="20"/>
                <w:szCs w:val="16"/>
              </w:rPr>
              <w:t>31.1</w:t>
            </w:r>
          </w:p>
        </w:tc>
        <w:tc>
          <w:tcPr>
            <w:tcW w:w="417" w:type="pct"/>
            <w:shd w:val="clear" w:color="auto" w:fill="CEEBE6"/>
            <w:noWrap/>
            <w:vAlign w:val="center"/>
          </w:tcPr>
          <w:p>
            <w:pPr>
              <w:spacing w:before="60" w:after="60"/>
              <w:jc w:val="center"/>
              <w:rPr>
                <w:noProof/>
                <w:sz w:val="20"/>
                <w:szCs w:val="16"/>
                <w:lang w:eastAsia="it-IT"/>
              </w:rPr>
            </w:pPr>
            <w:r>
              <w:rPr>
                <w:bCs/>
                <w:noProof/>
                <w:color w:val="000000"/>
                <w:sz w:val="20"/>
                <w:szCs w:val="16"/>
              </w:rPr>
              <w:t>31.8</w:t>
            </w:r>
          </w:p>
        </w:tc>
        <w:tc>
          <w:tcPr>
            <w:tcW w:w="417" w:type="pct"/>
            <w:shd w:val="clear" w:color="auto" w:fill="CEEBE6"/>
            <w:noWrap/>
            <w:vAlign w:val="center"/>
          </w:tcPr>
          <w:p>
            <w:pPr>
              <w:spacing w:before="60" w:after="60"/>
              <w:jc w:val="center"/>
              <w:rPr>
                <w:noProof/>
                <w:sz w:val="20"/>
                <w:szCs w:val="16"/>
                <w:lang w:eastAsia="it-IT"/>
              </w:rPr>
            </w:pPr>
            <w:r>
              <w:rPr>
                <w:bCs/>
                <w:noProof/>
                <w:color w:val="000000"/>
                <w:sz w:val="20"/>
                <w:szCs w:val="16"/>
              </w:rPr>
              <w:t>31.6</w:t>
            </w:r>
          </w:p>
        </w:tc>
        <w:tc>
          <w:tcPr>
            <w:tcW w:w="417" w:type="pct"/>
            <w:shd w:val="clear" w:color="auto" w:fill="CEEBE6"/>
            <w:noWrap/>
            <w:vAlign w:val="center"/>
          </w:tcPr>
          <w:p>
            <w:pPr>
              <w:spacing w:before="60" w:after="60"/>
              <w:jc w:val="center"/>
              <w:rPr>
                <w:noProof/>
                <w:sz w:val="20"/>
                <w:szCs w:val="16"/>
                <w:lang w:eastAsia="it-IT"/>
              </w:rPr>
            </w:pPr>
            <w:r>
              <w:rPr>
                <w:bCs/>
                <w:noProof/>
                <w:color w:val="000000"/>
                <w:sz w:val="20"/>
                <w:szCs w:val="16"/>
              </w:rPr>
              <w:t>29.6</w:t>
            </w:r>
          </w:p>
        </w:tc>
        <w:tc>
          <w:tcPr>
            <w:tcW w:w="417" w:type="pct"/>
            <w:shd w:val="clear" w:color="auto" w:fill="CEEBE6"/>
            <w:noWrap/>
            <w:vAlign w:val="center"/>
          </w:tcPr>
          <w:p>
            <w:pPr>
              <w:spacing w:before="60" w:after="60"/>
              <w:jc w:val="center"/>
              <w:rPr>
                <w:noProof/>
                <w:sz w:val="20"/>
                <w:szCs w:val="16"/>
                <w:lang w:eastAsia="it-IT"/>
              </w:rPr>
            </w:pPr>
            <w:r>
              <w:rPr>
                <w:bCs/>
                <w:noProof/>
                <w:color w:val="000000"/>
                <w:sz w:val="20"/>
                <w:szCs w:val="16"/>
              </w:rPr>
              <w:t>25.1</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22.9</w:t>
            </w:r>
          </w:p>
        </w:tc>
      </w:tr>
      <w:tr>
        <w:trPr>
          <w:trHeight w:val="244"/>
          <w:jc w:val="center"/>
        </w:trPr>
        <w:tc>
          <w:tcPr>
            <w:tcW w:w="1689"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20.7</w:t>
            </w:r>
          </w:p>
        </w:tc>
        <w:tc>
          <w:tcPr>
            <w:tcW w:w="41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17.8</w:t>
            </w:r>
          </w:p>
        </w:tc>
        <w:tc>
          <w:tcPr>
            <w:tcW w:w="416" w:type="pct"/>
            <w:shd w:val="clear" w:color="auto" w:fill="auto"/>
            <w:noWrap/>
            <w:vAlign w:val="center"/>
            <w:hideMark/>
          </w:tcPr>
          <w:p>
            <w:pPr>
              <w:spacing w:before="60" w:after="60"/>
              <w:jc w:val="center"/>
              <w:rPr>
                <w:noProof/>
                <w:sz w:val="20"/>
                <w:szCs w:val="16"/>
                <w:lang w:eastAsia="it-IT"/>
              </w:rPr>
            </w:pPr>
            <w:r>
              <w:rPr>
                <w:bCs/>
                <w:noProof/>
                <w:color w:val="000000"/>
                <w:sz w:val="20"/>
                <w:szCs w:val="16"/>
              </w:rPr>
              <w:t>20.1</w:t>
            </w:r>
          </w:p>
        </w:tc>
        <w:tc>
          <w:tcPr>
            <w:tcW w:w="41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21.0</w:t>
            </w:r>
          </w:p>
        </w:tc>
        <w:tc>
          <w:tcPr>
            <w:tcW w:w="41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20.9</w:t>
            </w:r>
          </w:p>
        </w:tc>
        <w:tc>
          <w:tcPr>
            <w:tcW w:w="41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18.7</w:t>
            </w:r>
          </w:p>
        </w:tc>
        <w:tc>
          <w:tcPr>
            <w:tcW w:w="417"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15.7</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14.4</w:t>
            </w:r>
          </w:p>
        </w:tc>
      </w:tr>
      <w:tr>
        <w:trPr>
          <w:trHeight w:val="244"/>
          <w:jc w:val="center"/>
        </w:trPr>
        <w:tc>
          <w:tcPr>
            <w:tcW w:w="1689" w:type="pct"/>
            <w:shd w:val="clear" w:color="auto" w:fill="CEEBE6"/>
            <w:noWrap/>
            <w:vAlign w:val="center"/>
          </w:tcPr>
          <w:p>
            <w:pPr>
              <w:keepNext/>
              <w:spacing w:before="60" w:after="60"/>
              <w:jc w:val="left"/>
              <w:rPr>
                <w:b/>
                <w:bCs/>
                <w:noProof/>
                <w:sz w:val="20"/>
                <w:szCs w:val="16"/>
              </w:rPr>
            </w:pPr>
            <w:r>
              <w:rPr>
                <w:bCs/>
                <w:noProof/>
                <w:sz w:val="20"/>
                <w:szCs w:val="16"/>
              </w:rPr>
              <w:t>Natural gas intensity (MWh/tonne)</w:t>
            </w:r>
          </w:p>
        </w:tc>
        <w:tc>
          <w:tcPr>
            <w:tcW w:w="39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0.69</w:t>
            </w:r>
          </w:p>
        </w:tc>
        <w:tc>
          <w:tcPr>
            <w:tcW w:w="41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0.62</w:t>
            </w:r>
          </w:p>
        </w:tc>
        <w:tc>
          <w:tcPr>
            <w:tcW w:w="416"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0.64</w:t>
            </w:r>
          </w:p>
        </w:tc>
        <w:tc>
          <w:tcPr>
            <w:tcW w:w="41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0.63</w:t>
            </w:r>
          </w:p>
        </w:tc>
        <w:tc>
          <w:tcPr>
            <w:tcW w:w="41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0.64</w:t>
            </w:r>
          </w:p>
        </w:tc>
        <w:tc>
          <w:tcPr>
            <w:tcW w:w="41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0.63</w:t>
            </w:r>
          </w:p>
        </w:tc>
        <w:tc>
          <w:tcPr>
            <w:tcW w:w="417"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0.64</w:t>
            </w:r>
          </w:p>
        </w:tc>
        <w:tc>
          <w:tcPr>
            <w:tcW w:w="414" w:type="pct"/>
            <w:shd w:val="clear" w:color="auto" w:fill="CEEBE6"/>
            <w:noWrap/>
            <w:vAlign w:val="center"/>
          </w:tcPr>
          <w:p>
            <w:pPr>
              <w:keepNext/>
              <w:spacing w:before="60" w:after="60"/>
              <w:jc w:val="center"/>
              <w:rPr>
                <w:noProof/>
                <w:sz w:val="20"/>
                <w:szCs w:val="16"/>
                <w:lang w:eastAsia="it-IT"/>
              </w:rPr>
            </w:pPr>
            <w:r>
              <w:rPr>
                <w:bCs/>
                <w:noProof/>
                <w:color w:val="000000"/>
                <w:sz w:val="20"/>
                <w:szCs w:val="16"/>
              </w:rPr>
              <w:t>0.65</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264" w:name="_Ref524525347"/>
      <w:bookmarkStart w:id="265" w:name="_Toc526433573"/>
      <w:bookmarkStart w:id="266" w:name="_Toc526433890"/>
      <w:bookmarkStart w:id="267" w:name="_Toc526435832"/>
      <w:bookmarkStart w:id="268" w:name="_Toc527544713"/>
      <w:bookmarkStart w:id="269" w:name="_Toc530741742"/>
      <w:r>
        <w:t xml:space="preserve">Figure </w:t>
      </w:r>
      <w:r>
        <w:fldChar w:fldCharType="begin"/>
      </w:r>
      <w:r>
        <w:instrText xml:space="preserve"> SEQ Figure \* ARABIC </w:instrText>
      </w:r>
      <w:r>
        <w:fldChar w:fldCharType="separate"/>
      </w:r>
      <w:r>
        <w:t>49</w:t>
      </w:r>
      <w:r>
        <w:fldChar w:fldCharType="end"/>
      </w:r>
      <w:bookmarkEnd w:id="264"/>
      <w:r>
        <w:t>.</w:t>
      </w:r>
      <w:bookmarkEnd w:id="265"/>
      <w:r>
        <w:t xml:space="preserve"> </w:t>
      </w:r>
      <w:r>
        <w:rPr>
          <w:rFonts w:eastAsia="Times New Roman"/>
          <w:color w:val="000000"/>
          <w:lang w:eastAsia="en-GB"/>
        </w:rPr>
        <w:t>Natural gas prices</w:t>
      </w:r>
      <w:r>
        <w:t xml:space="preserve"> of </w:t>
      </w:r>
      <w:r>
        <w:rPr>
          <w:lang w:eastAsia="en-GB"/>
        </w:rPr>
        <w:t>brick and roof tile</w:t>
      </w:r>
      <w:r>
        <w:t xml:space="preserve"> production</w:t>
      </w:r>
      <w:r>
        <w:rPr>
          <w:rFonts w:eastAsia="Times New Roman"/>
          <w:color w:val="000000"/>
          <w:lang w:eastAsia="en-GB"/>
        </w:rPr>
        <w:t xml:space="preserve"> (€/MWh)</w:t>
      </w:r>
      <w:bookmarkEnd w:id="266"/>
      <w:bookmarkEnd w:id="267"/>
      <w:bookmarkEnd w:id="268"/>
      <w:bookmarkEnd w:id="269"/>
    </w:p>
    <w:p>
      <w:pPr>
        <w:keepNext/>
        <w:rPr>
          <w:noProof/>
          <w:lang w:eastAsia="it-IT"/>
        </w:rPr>
      </w:pPr>
      <w:r>
        <w:rPr>
          <w:noProof/>
          <w:lang w:eastAsia="en-GB"/>
        </w:rPr>
        <w:drawing>
          <wp:inline distT="0" distB="0" distL="0" distR="0">
            <wp:extent cx="5764530" cy="2523490"/>
            <wp:effectExtent l="0" t="0" r="7620" b="0"/>
            <wp:docPr id="1449027014" name="Picture 1449027014"/>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7"/>
                    <pic:cNvPicPr>
                      <a:picLocks noGrp="1" noRot="1" noChangeAspect="1" noMove="1" noResize="1" noEditPoints="1" noAdjustHandles="1" noChangeArrowheads="1" noChangeShapeType="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453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270" w:name="_Ref529377471"/>
      <w:bookmarkStart w:id="271" w:name="_Toc530741743"/>
      <w:r>
        <w:t xml:space="preserve">Figure </w:t>
      </w:r>
      <w:r>
        <w:fldChar w:fldCharType="begin"/>
      </w:r>
      <w:r>
        <w:instrText xml:space="preserve"> SEQ Figure \* ARABIC </w:instrText>
      </w:r>
      <w:r>
        <w:fldChar w:fldCharType="separate"/>
      </w:r>
      <w:r>
        <w:t>50</w:t>
      </w:r>
      <w:r>
        <w:fldChar w:fldCharType="end"/>
      </w:r>
      <w:bookmarkEnd w:id="270"/>
      <w:r>
        <w:t xml:space="preserve">. Components of the EU average natural gas price for </w:t>
      </w:r>
      <w:r>
        <w:rPr>
          <w:lang w:eastAsia="en-GB"/>
        </w:rPr>
        <w:t>brick and roof tile</w:t>
      </w:r>
      <w:r>
        <w:t xml:space="preserve"> production (%)</w:t>
      </w:r>
      <w:bookmarkEnd w:id="271"/>
    </w:p>
    <w:p>
      <w:pPr>
        <w:keepNext/>
        <w:rPr>
          <w:noProof/>
        </w:rPr>
      </w:pPr>
      <w:r>
        <w:rPr>
          <w:noProof/>
          <w:lang w:eastAsia="en-GB"/>
        </w:rPr>
        <w:drawing>
          <wp:inline distT="0" distB="0" distL="0" distR="0">
            <wp:extent cx="5719445" cy="282067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9445" cy="282067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272" w:name="_Ref524525357"/>
      <w:bookmarkStart w:id="273" w:name="_Toc526433574"/>
      <w:bookmarkStart w:id="274" w:name="_Toc526433891"/>
      <w:bookmarkStart w:id="275" w:name="_Toc526435833"/>
      <w:bookmarkStart w:id="276" w:name="_Toc527544714"/>
      <w:bookmarkStart w:id="277" w:name="_Toc530741744"/>
      <w:r>
        <w:t xml:space="preserve">Figure </w:t>
      </w:r>
      <w:r>
        <w:fldChar w:fldCharType="begin"/>
      </w:r>
      <w:r>
        <w:instrText xml:space="preserve"> SEQ Figure \* ARABIC </w:instrText>
      </w:r>
      <w:r>
        <w:fldChar w:fldCharType="separate"/>
      </w:r>
      <w:r>
        <w:t>51</w:t>
      </w:r>
      <w:r>
        <w:fldChar w:fldCharType="end"/>
      </w:r>
      <w:bookmarkEnd w:id="272"/>
      <w:r>
        <w:t>.</w:t>
      </w:r>
      <w:bookmarkEnd w:id="273"/>
      <w:r>
        <w:t xml:space="preserve"> </w:t>
      </w:r>
      <w:r>
        <w:rPr>
          <w:rFonts w:eastAsia="Times New Roman"/>
          <w:color w:val="000000"/>
          <w:lang w:eastAsia="en-GB"/>
        </w:rPr>
        <w:t>Natural gas costs</w:t>
      </w:r>
      <w:r>
        <w:t xml:space="preserve"> of </w:t>
      </w:r>
      <w:r>
        <w:rPr>
          <w:lang w:eastAsia="en-GB"/>
        </w:rPr>
        <w:t>brick and roof tile</w:t>
      </w:r>
      <w:r>
        <w:t xml:space="preserve"> production</w:t>
      </w:r>
      <w:r>
        <w:rPr>
          <w:rFonts w:eastAsia="Times New Roman"/>
          <w:color w:val="000000"/>
          <w:lang w:eastAsia="en-GB"/>
        </w:rPr>
        <w:t xml:space="preserve"> (€/tonne)</w:t>
      </w:r>
      <w:bookmarkEnd w:id="274"/>
      <w:bookmarkEnd w:id="275"/>
      <w:bookmarkEnd w:id="276"/>
      <w:bookmarkEnd w:id="277"/>
    </w:p>
    <w:p>
      <w:pPr>
        <w:keepNext/>
        <w:rPr>
          <w:noProof/>
          <w:lang w:eastAsia="de-DE"/>
        </w:rPr>
      </w:pPr>
      <w:r>
        <w:rPr>
          <w:noProof/>
          <w:lang w:eastAsia="en-GB"/>
        </w:rPr>
        <w:drawing>
          <wp:inline distT="0" distB="0" distL="0" distR="0">
            <wp:extent cx="5764530" cy="2523490"/>
            <wp:effectExtent l="0" t="0" r="7620" b="0"/>
            <wp:docPr id="1449027015" name="Picture 144902701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1"/>
                    <pic:cNvPicPr>
                      <a:picLocks noGrp="1" noRot="1" noChangeAspect="1" noMove="1" noResize="1" noEditPoints="1" noAdjustHandles="1" noChangeArrowheads="1" noChangeShapeType="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453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rPr>
      </w:pPr>
      <w:bookmarkStart w:id="278" w:name="_Ref524525370"/>
      <w:bookmarkStart w:id="279" w:name="_Toc526433575"/>
      <w:bookmarkStart w:id="280" w:name="_Toc526433892"/>
      <w:bookmarkStart w:id="281" w:name="_Toc526435834"/>
      <w:bookmarkStart w:id="282" w:name="_Toc527544715"/>
      <w:bookmarkStart w:id="283" w:name="_Toc530741745"/>
      <w:r>
        <w:t xml:space="preserve">Figure </w:t>
      </w:r>
      <w:r>
        <w:fldChar w:fldCharType="begin"/>
      </w:r>
      <w:r>
        <w:instrText xml:space="preserve"> SEQ Figure \* ARABIC </w:instrText>
      </w:r>
      <w:r>
        <w:fldChar w:fldCharType="separate"/>
      </w:r>
      <w:r>
        <w:t>52</w:t>
      </w:r>
      <w:r>
        <w:fldChar w:fldCharType="end"/>
      </w:r>
      <w:bookmarkEnd w:id="278"/>
      <w:r>
        <w:t>.</w:t>
      </w:r>
      <w:bookmarkEnd w:id="279"/>
      <w:r>
        <w:t xml:space="preserve"> </w:t>
      </w:r>
      <w:r>
        <w:rPr>
          <w:rFonts w:eastAsia="Times New Roman"/>
          <w:color w:val="000000"/>
        </w:rPr>
        <w:t xml:space="preserve">Natural gas intensity </w:t>
      </w:r>
      <w:r>
        <w:t>of brick and roof tile production</w:t>
      </w:r>
      <w:r>
        <w:rPr>
          <w:rFonts w:eastAsia="Times New Roman"/>
          <w:color w:val="000000"/>
        </w:rPr>
        <w:t xml:space="preserve"> (MWh/tonne)</w:t>
      </w:r>
      <w:bookmarkEnd w:id="280"/>
      <w:bookmarkEnd w:id="281"/>
      <w:bookmarkEnd w:id="282"/>
      <w:bookmarkEnd w:id="283"/>
    </w:p>
    <w:p>
      <w:pPr>
        <w:keepNext/>
        <w:rPr>
          <w:noProof/>
          <w:lang w:eastAsia="de-DE"/>
        </w:rPr>
      </w:pPr>
      <w:r>
        <w:rPr>
          <w:noProof/>
          <w:lang w:eastAsia="en-GB"/>
        </w:rPr>
        <w:drawing>
          <wp:inline distT="0" distB="0" distL="0" distR="0">
            <wp:extent cx="5764530" cy="2523490"/>
            <wp:effectExtent l="0" t="0" r="7620" b="0"/>
            <wp:docPr id="1449027016" name="Picture 144902701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2"/>
                    <pic:cNvPicPr>
                      <a:picLocks noGrp="1" noRot="1" noChangeAspect="1" noMove="1" noResize="1" noEditPoints="1" noAdjustHandles="1" noChangeArrowheads="1" noChangeShapeType="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453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284" w:name="_Ref524525426"/>
      <w:bookmarkStart w:id="285" w:name="_Toc526433356"/>
      <w:bookmarkStart w:id="286" w:name="_Ref524525413"/>
      <w:bookmarkStart w:id="287" w:name="_Toc526433624"/>
      <w:bookmarkStart w:id="288" w:name="_Toc526435566"/>
      <w:bookmarkStart w:id="289" w:name="_Toc527544794"/>
      <w:bookmarkStart w:id="290" w:name="_Toc530741812"/>
      <w:r>
        <w:t xml:space="preserve">Table </w:t>
      </w:r>
      <w:r>
        <w:fldChar w:fldCharType="begin"/>
      </w:r>
      <w:r>
        <w:instrText xml:space="preserve"> SEQ Table \* ARABIC </w:instrText>
      </w:r>
      <w:r>
        <w:fldChar w:fldCharType="separate"/>
      </w:r>
      <w:r>
        <w:t>19</w:t>
      </w:r>
      <w:r>
        <w:fldChar w:fldCharType="end"/>
      </w:r>
      <w:bookmarkEnd w:id="284"/>
      <w:r>
        <w:t>.</w:t>
      </w:r>
      <w:bookmarkEnd w:id="285"/>
      <w:r>
        <w:t xml:space="preserve"> Key competitiveness indicators of </w:t>
      </w:r>
      <w:r>
        <w:rPr>
          <w:lang w:eastAsia="en-GB"/>
        </w:rPr>
        <w:t>brick and roof tile</w:t>
      </w:r>
      <w:r>
        <w:t xml:space="preserve"> production</w:t>
      </w:r>
      <w:r>
        <w:rPr>
          <w:rFonts w:eastAsia="Times New Roman"/>
          <w:color w:val="000000"/>
          <w:lang w:eastAsia="en-GB"/>
        </w:rPr>
        <w:t xml:space="preserve"> </w:t>
      </w:r>
      <w:r>
        <w:t>(EU averages)</w:t>
      </w:r>
      <w:bookmarkEnd w:id="286"/>
      <w:bookmarkEnd w:id="287"/>
      <w:bookmarkEnd w:id="288"/>
      <w:bookmarkEnd w:id="289"/>
      <w:bookmarkEnd w:id="290"/>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753"/>
        <w:gridCol w:w="753"/>
        <w:gridCol w:w="751"/>
        <w:gridCol w:w="751"/>
        <w:gridCol w:w="750"/>
        <w:gridCol w:w="750"/>
        <w:gridCol w:w="750"/>
        <w:gridCol w:w="750"/>
      </w:tblGrid>
      <w:tr>
        <w:trPr>
          <w:trHeight w:val="244"/>
          <w:tblHeader/>
          <w:jc w:val="center"/>
        </w:trPr>
        <w:tc>
          <w:tcPr>
            <w:tcW w:w="1651"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1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1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51"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19" w:type="pct"/>
            <w:shd w:val="clear" w:color="auto" w:fill="CEEBE6"/>
            <w:noWrap/>
            <w:vAlign w:val="center"/>
          </w:tcPr>
          <w:p>
            <w:pPr>
              <w:spacing w:before="60" w:after="60"/>
              <w:jc w:val="center"/>
              <w:rPr>
                <w:noProof/>
                <w:sz w:val="20"/>
                <w:szCs w:val="16"/>
              </w:rPr>
            </w:pPr>
            <w:r>
              <w:rPr>
                <w:noProof/>
                <w:sz w:val="20"/>
                <w:szCs w:val="16"/>
              </w:rPr>
              <w:t>6.2</w:t>
            </w:r>
          </w:p>
        </w:tc>
        <w:tc>
          <w:tcPr>
            <w:tcW w:w="419" w:type="pct"/>
            <w:shd w:val="clear" w:color="auto" w:fill="CEEBE6"/>
            <w:noWrap/>
            <w:vAlign w:val="center"/>
          </w:tcPr>
          <w:p>
            <w:pPr>
              <w:spacing w:before="60" w:after="60"/>
              <w:jc w:val="center"/>
              <w:rPr>
                <w:noProof/>
                <w:sz w:val="20"/>
                <w:szCs w:val="16"/>
              </w:rPr>
            </w:pPr>
            <w:r>
              <w:rPr>
                <w:noProof/>
                <w:sz w:val="20"/>
                <w:szCs w:val="16"/>
              </w:rPr>
              <w:t>6.5</w:t>
            </w:r>
          </w:p>
        </w:tc>
        <w:tc>
          <w:tcPr>
            <w:tcW w:w="418" w:type="pct"/>
            <w:shd w:val="clear" w:color="auto" w:fill="CEEBE6"/>
            <w:noWrap/>
            <w:vAlign w:val="center"/>
          </w:tcPr>
          <w:p>
            <w:pPr>
              <w:spacing w:before="60" w:after="60"/>
              <w:jc w:val="center"/>
              <w:rPr>
                <w:noProof/>
                <w:sz w:val="20"/>
                <w:szCs w:val="16"/>
              </w:rPr>
            </w:pPr>
            <w:r>
              <w:rPr>
                <w:noProof/>
                <w:sz w:val="20"/>
                <w:szCs w:val="16"/>
              </w:rPr>
              <w:t>7.9</w:t>
            </w:r>
          </w:p>
        </w:tc>
        <w:tc>
          <w:tcPr>
            <w:tcW w:w="418" w:type="pct"/>
            <w:shd w:val="clear" w:color="auto" w:fill="CEEBE6"/>
            <w:noWrap/>
            <w:vAlign w:val="center"/>
          </w:tcPr>
          <w:p>
            <w:pPr>
              <w:spacing w:before="60" w:after="60"/>
              <w:jc w:val="center"/>
              <w:rPr>
                <w:noProof/>
                <w:sz w:val="20"/>
                <w:szCs w:val="16"/>
              </w:rPr>
            </w:pPr>
            <w:r>
              <w:rPr>
                <w:noProof/>
                <w:sz w:val="20"/>
                <w:szCs w:val="16"/>
              </w:rPr>
              <w:t>9.1</w:t>
            </w:r>
          </w:p>
        </w:tc>
        <w:tc>
          <w:tcPr>
            <w:tcW w:w="418" w:type="pct"/>
            <w:shd w:val="clear" w:color="auto" w:fill="CEEBE6"/>
            <w:noWrap/>
            <w:vAlign w:val="center"/>
          </w:tcPr>
          <w:p>
            <w:pPr>
              <w:spacing w:before="60" w:after="60"/>
              <w:jc w:val="center"/>
              <w:rPr>
                <w:noProof/>
                <w:sz w:val="20"/>
                <w:szCs w:val="16"/>
              </w:rPr>
            </w:pPr>
            <w:r>
              <w:rPr>
                <w:noProof/>
                <w:sz w:val="20"/>
                <w:szCs w:val="16"/>
              </w:rPr>
              <w:t>7.8</w:t>
            </w:r>
          </w:p>
        </w:tc>
        <w:tc>
          <w:tcPr>
            <w:tcW w:w="418" w:type="pct"/>
            <w:shd w:val="clear" w:color="auto" w:fill="CEEBE6"/>
            <w:noWrap/>
            <w:vAlign w:val="center"/>
          </w:tcPr>
          <w:p>
            <w:pPr>
              <w:spacing w:before="60" w:after="60"/>
              <w:jc w:val="center"/>
              <w:rPr>
                <w:noProof/>
                <w:sz w:val="20"/>
                <w:szCs w:val="16"/>
              </w:rPr>
            </w:pPr>
            <w:r>
              <w:rPr>
                <w:noProof/>
                <w:sz w:val="20"/>
                <w:szCs w:val="16"/>
              </w:rPr>
              <w:t>6.1</w:t>
            </w:r>
          </w:p>
        </w:tc>
        <w:tc>
          <w:tcPr>
            <w:tcW w:w="418" w:type="pct"/>
            <w:shd w:val="clear" w:color="auto" w:fill="CEEBE6"/>
            <w:noWrap/>
            <w:vAlign w:val="center"/>
          </w:tcPr>
          <w:p>
            <w:pPr>
              <w:spacing w:before="60" w:after="60"/>
              <w:jc w:val="center"/>
              <w:rPr>
                <w:noProof/>
                <w:sz w:val="20"/>
                <w:szCs w:val="16"/>
              </w:rPr>
            </w:pPr>
            <w:r>
              <w:rPr>
                <w:noProof/>
                <w:sz w:val="20"/>
                <w:szCs w:val="16"/>
              </w:rPr>
              <w:t>5.4</w:t>
            </w:r>
          </w:p>
        </w:tc>
        <w:tc>
          <w:tcPr>
            <w:tcW w:w="418" w:type="pct"/>
            <w:shd w:val="clear" w:color="auto" w:fill="CEEBE6"/>
            <w:noWrap/>
            <w:vAlign w:val="center"/>
          </w:tcPr>
          <w:p>
            <w:pPr>
              <w:spacing w:before="60" w:after="60"/>
              <w:jc w:val="center"/>
              <w:rPr>
                <w:noProof/>
                <w:sz w:val="20"/>
                <w:szCs w:val="16"/>
              </w:rPr>
            </w:pPr>
            <w:r>
              <w:rPr>
                <w:noProof/>
                <w:sz w:val="20"/>
                <w:szCs w:val="16"/>
              </w:rPr>
              <w:t>7.1</w:t>
            </w:r>
          </w:p>
        </w:tc>
      </w:tr>
      <w:tr>
        <w:trPr>
          <w:trHeight w:val="244"/>
          <w:jc w:val="center"/>
        </w:trPr>
        <w:tc>
          <w:tcPr>
            <w:tcW w:w="1651"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19" w:type="pct"/>
            <w:shd w:val="clear" w:color="auto" w:fill="auto"/>
            <w:noWrap/>
            <w:vAlign w:val="center"/>
          </w:tcPr>
          <w:p>
            <w:pPr>
              <w:spacing w:before="60" w:after="60"/>
              <w:jc w:val="center"/>
              <w:rPr>
                <w:noProof/>
                <w:sz w:val="20"/>
                <w:szCs w:val="16"/>
              </w:rPr>
            </w:pPr>
            <w:r>
              <w:rPr>
                <w:noProof/>
                <w:sz w:val="20"/>
                <w:szCs w:val="16"/>
              </w:rPr>
              <w:t>21.9</w:t>
            </w:r>
          </w:p>
        </w:tc>
        <w:tc>
          <w:tcPr>
            <w:tcW w:w="419" w:type="pct"/>
            <w:shd w:val="clear" w:color="auto" w:fill="auto"/>
            <w:noWrap/>
            <w:vAlign w:val="center"/>
          </w:tcPr>
          <w:p>
            <w:pPr>
              <w:spacing w:before="60" w:after="60"/>
              <w:jc w:val="center"/>
              <w:rPr>
                <w:noProof/>
                <w:sz w:val="20"/>
                <w:szCs w:val="16"/>
              </w:rPr>
            </w:pPr>
            <w:r>
              <w:rPr>
                <w:noProof/>
                <w:sz w:val="20"/>
                <w:szCs w:val="16"/>
              </w:rPr>
              <w:t>21.3</w:t>
            </w:r>
          </w:p>
        </w:tc>
        <w:tc>
          <w:tcPr>
            <w:tcW w:w="418" w:type="pct"/>
            <w:shd w:val="clear" w:color="auto" w:fill="auto"/>
            <w:noWrap/>
            <w:vAlign w:val="center"/>
          </w:tcPr>
          <w:p>
            <w:pPr>
              <w:spacing w:before="60" w:after="60"/>
              <w:jc w:val="center"/>
              <w:rPr>
                <w:noProof/>
                <w:sz w:val="20"/>
                <w:szCs w:val="16"/>
              </w:rPr>
            </w:pPr>
            <w:r>
              <w:rPr>
                <w:noProof/>
                <w:sz w:val="20"/>
                <w:szCs w:val="16"/>
              </w:rPr>
              <w:t>23.6</w:t>
            </w:r>
          </w:p>
        </w:tc>
        <w:tc>
          <w:tcPr>
            <w:tcW w:w="418" w:type="pct"/>
            <w:shd w:val="clear" w:color="auto" w:fill="auto"/>
            <w:noWrap/>
            <w:vAlign w:val="center"/>
          </w:tcPr>
          <w:p>
            <w:pPr>
              <w:spacing w:before="60" w:after="60"/>
              <w:jc w:val="center"/>
              <w:rPr>
                <w:noProof/>
                <w:sz w:val="20"/>
                <w:szCs w:val="16"/>
              </w:rPr>
            </w:pPr>
            <w:r>
              <w:rPr>
                <w:noProof/>
                <w:sz w:val="20"/>
                <w:szCs w:val="16"/>
              </w:rPr>
              <w:t>27.0</w:t>
            </w:r>
          </w:p>
        </w:tc>
        <w:tc>
          <w:tcPr>
            <w:tcW w:w="418" w:type="pct"/>
            <w:shd w:val="clear" w:color="auto" w:fill="auto"/>
            <w:noWrap/>
            <w:vAlign w:val="center"/>
          </w:tcPr>
          <w:p>
            <w:pPr>
              <w:spacing w:before="60" w:after="60"/>
              <w:jc w:val="center"/>
              <w:rPr>
                <w:noProof/>
                <w:sz w:val="20"/>
                <w:szCs w:val="16"/>
              </w:rPr>
            </w:pPr>
            <w:r>
              <w:rPr>
                <w:noProof/>
                <w:sz w:val="20"/>
                <w:szCs w:val="16"/>
              </w:rPr>
              <w:t>23.5</w:t>
            </w:r>
          </w:p>
        </w:tc>
        <w:tc>
          <w:tcPr>
            <w:tcW w:w="418" w:type="pct"/>
            <w:shd w:val="clear" w:color="auto" w:fill="auto"/>
            <w:noWrap/>
            <w:vAlign w:val="center"/>
          </w:tcPr>
          <w:p>
            <w:pPr>
              <w:spacing w:before="60" w:after="60"/>
              <w:jc w:val="center"/>
              <w:rPr>
                <w:noProof/>
                <w:sz w:val="20"/>
                <w:szCs w:val="16"/>
              </w:rPr>
            </w:pPr>
            <w:r>
              <w:rPr>
                <w:noProof/>
                <w:sz w:val="20"/>
                <w:szCs w:val="16"/>
              </w:rPr>
              <w:t>17.6</w:t>
            </w:r>
          </w:p>
        </w:tc>
        <w:tc>
          <w:tcPr>
            <w:tcW w:w="418" w:type="pct"/>
            <w:shd w:val="clear" w:color="auto" w:fill="auto"/>
            <w:noWrap/>
            <w:vAlign w:val="center"/>
          </w:tcPr>
          <w:p>
            <w:pPr>
              <w:spacing w:before="60" w:after="60"/>
              <w:jc w:val="center"/>
              <w:rPr>
                <w:noProof/>
                <w:sz w:val="20"/>
                <w:szCs w:val="16"/>
              </w:rPr>
            </w:pPr>
            <w:r>
              <w:rPr>
                <w:noProof/>
                <w:sz w:val="20"/>
                <w:szCs w:val="16"/>
              </w:rPr>
              <w:t>13.6</w:t>
            </w:r>
          </w:p>
        </w:tc>
        <w:tc>
          <w:tcPr>
            <w:tcW w:w="418" w:type="pct"/>
            <w:shd w:val="clear" w:color="auto" w:fill="auto"/>
            <w:noWrap/>
            <w:vAlign w:val="center"/>
          </w:tcPr>
          <w:p>
            <w:pPr>
              <w:spacing w:before="60" w:after="60"/>
              <w:jc w:val="center"/>
              <w:rPr>
                <w:noProof/>
                <w:sz w:val="20"/>
                <w:szCs w:val="16"/>
              </w:rPr>
            </w:pPr>
            <w:r>
              <w:rPr>
                <w:noProof/>
                <w:sz w:val="20"/>
                <w:szCs w:val="16"/>
              </w:rPr>
              <w:t>17.0</w:t>
            </w:r>
          </w:p>
        </w:tc>
      </w:tr>
      <w:tr>
        <w:trPr>
          <w:trHeight w:val="244"/>
          <w:jc w:val="center"/>
        </w:trPr>
        <w:tc>
          <w:tcPr>
            <w:tcW w:w="1651" w:type="pct"/>
            <w:shd w:val="clear" w:color="auto" w:fill="CEEBE6"/>
            <w:noWrap/>
            <w:vAlign w:val="center"/>
          </w:tcPr>
          <w:p>
            <w:pPr>
              <w:spacing w:before="60" w:after="60"/>
              <w:jc w:val="left"/>
              <w:rPr>
                <w:bCs/>
                <w:noProof/>
                <w:sz w:val="20"/>
                <w:szCs w:val="16"/>
              </w:rPr>
            </w:pPr>
            <w:r>
              <w:rPr>
                <w:bCs/>
                <w:noProof/>
                <w:sz w:val="20"/>
                <w:szCs w:val="16"/>
              </w:rPr>
              <w:t>Share of total energy costs in production costs (%)</w:t>
            </w:r>
          </w:p>
        </w:tc>
        <w:tc>
          <w:tcPr>
            <w:tcW w:w="419" w:type="pct"/>
            <w:shd w:val="clear" w:color="auto" w:fill="CEEBE6"/>
            <w:noWrap/>
            <w:vAlign w:val="center"/>
          </w:tcPr>
          <w:p>
            <w:pPr>
              <w:spacing w:before="60" w:after="60"/>
              <w:jc w:val="center"/>
              <w:rPr>
                <w:noProof/>
                <w:sz w:val="20"/>
                <w:szCs w:val="16"/>
              </w:rPr>
            </w:pPr>
            <w:r>
              <w:rPr>
                <w:noProof/>
                <w:sz w:val="20"/>
                <w:szCs w:val="16"/>
              </w:rPr>
              <w:t>28.1</w:t>
            </w:r>
          </w:p>
        </w:tc>
        <w:tc>
          <w:tcPr>
            <w:tcW w:w="419" w:type="pct"/>
            <w:shd w:val="clear" w:color="auto" w:fill="CEEBE6"/>
            <w:noWrap/>
            <w:vAlign w:val="center"/>
          </w:tcPr>
          <w:p>
            <w:pPr>
              <w:spacing w:before="60" w:after="60"/>
              <w:jc w:val="center"/>
              <w:rPr>
                <w:noProof/>
                <w:sz w:val="20"/>
                <w:szCs w:val="16"/>
              </w:rPr>
            </w:pPr>
            <w:r>
              <w:rPr>
                <w:noProof/>
                <w:sz w:val="20"/>
                <w:szCs w:val="16"/>
              </w:rPr>
              <w:t>27.7</w:t>
            </w:r>
          </w:p>
        </w:tc>
        <w:tc>
          <w:tcPr>
            <w:tcW w:w="418" w:type="pct"/>
            <w:shd w:val="clear" w:color="auto" w:fill="CEEBE6"/>
            <w:noWrap/>
            <w:vAlign w:val="center"/>
          </w:tcPr>
          <w:p>
            <w:pPr>
              <w:spacing w:before="60" w:after="60"/>
              <w:jc w:val="center"/>
              <w:rPr>
                <w:noProof/>
                <w:sz w:val="20"/>
                <w:szCs w:val="16"/>
              </w:rPr>
            </w:pPr>
            <w:r>
              <w:rPr>
                <w:noProof/>
                <w:sz w:val="20"/>
                <w:szCs w:val="16"/>
              </w:rPr>
              <w:t>31.4</w:t>
            </w:r>
          </w:p>
        </w:tc>
        <w:tc>
          <w:tcPr>
            <w:tcW w:w="418" w:type="pct"/>
            <w:shd w:val="clear" w:color="auto" w:fill="CEEBE6"/>
            <w:noWrap/>
            <w:vAlign w:val="center"/>
          </w:tcPr>
          <w:p>
            <w:pPr>
              <w:spacing w:before="60" w:after="60"/>
              <w:jc w:val="center"/>
              <w:rPr>
                <w:noProof/>
                <w:sz w:val="20"/>
                <w:szCs w:val="16"/>
              </w:rPr>
            </w:pPr>
            <w:r>
              <w:rPr>
                <w:noProof/>
                <w:sz w:val="20"/>
                <w:szCs w:val="16"/>
              </w:rPr>
              <w:t>36.1</w:t>
            </w:r>
          </w:p>
        </w:tc>
        <w:tc>
          <w:tcPr>
            <w:tcW w:w="418" w:type="pct"/>
            <w:shd w:val="clear" w:color="auto" w:fill="CEEBE6"/>
            <w:noWrap/>
            <w:vAlign w:val="center"/>
          </w:tcPr>
          <w:p>
            <w:pPr>
              <w:spacing w:before="60" w:after="60"/>
              <w:jc w:val="center"/>
              <w:rPr>
                <w:noProof/>
                <w:sz w:val="20"/>
                <w:szCs w:val="16"/>
              </w:rPr>
            </w:pPr>
            <w:r>
              <w:rPr>
                <w:noProof/>
                <w:sz w:val="20"/>
                <w:szCs w:val="16"/>
              </w:rPr>
              <w:t>31.2</w:t>
            </w:r>
          </w:p>
        </w:tc>
        <w:tc>
          <w:tcPr>
            <w:tcW w:w="418" w:type="pct"/>
            <w:shd w:val="clear" w:color="auto" w:fill="CEEBE6"/>
            <w:noWrap/>
            <w:vAlign w:val="center"/>
          </w:tcPr>
          <w:p>
            <w:pPr>
              <w:spacing w:before="60" w:after="60"/>
              <w:jc w:val="center"/>
              <w:rPr>
                <w:noProof/>
                <w:sz w:val="20"/>
                <w:szCs w:val="16"/>
              </w:rPr>
            </w:pPr>
            <w:r>
              <w:rPr>
                <w:noProof/>
                <w:sz w:val="20"/>
                <w:szCs w:val="16"/>
              </w:rPr>
              <w:t>23.7</w:t>
            </w:r>
          </w:p>
        </w:tc>
        <w:tc>
          <w:tcPr>
            <w:tcW w:w="418" w:type="pct"/>
            <w:shd w:val="clear" w:color="auto" w:fill="CEEBE6"/>
            <w:noWrap/>
            <w:vAlign w:val="center"/>
          </w:tcPr>
          <w:p>
            <w:pPr>
              <w:spacing w:before="60" w:after="60"/>
              <w:jc w:val="center"/>
              <w:rPr>
                <w:noProof/>
                <w:sz w:val="20"/>
                <w:szCs w:val="16"/>
              </w:rPr>
            </w:pPr>
            <w:r>
              <w:rPr>
                <w:noProof/>
                <w:sz w:val="20"/>
                <w:szCs w:val="16"/>
              </w:rPr>
              <w:t>19.0</w:t>
            </w:r>
          </w:p>
        </w:tc>
        <w:tc>
          <w:tcPr>
            <w:tcW w:w="418" w:type="pct"/>
            <w:shd w:val="clear" w:color="auto" w:fill="CEEBE6"/>
            <w:noWrap/>
            <w:vAlign w:val="center"/>
          </w:tcPr>
          <w:p>
            <w:pPr>
              <w:spacing w:before="60" w:after="60"/>
              <w:jc w:val="center"/>
              <w:rPr>
                <w:noProof/>
                <w:sz w:val="20"/>
                <w:szCs w:val="16"/>
              </w:rPr>
            </w:pPr>
            <w:r>
              <w:rPr>
                <w:noProof/>
                <w:sz w:val="20"/>
                <w:szCs w:val="16"/>
              </w:rPr>
              <w:t>24.1</w:t>
            </w:r>
          </w:p>
        </w:tc>
      </w:tr>
      <w:tr>
        <w:trPr>
          <w:trHeight w:val="244"/>
          <w:jc w:val="center"/>
        </w:trPr>
        <w:tc>
          <w:tcPr>
            <w:tcW w:w="1651" w:type="pct"/>
            <w:shd w:val="clear" w:color="auto" w:fill="auto"/>
            <w:noWrap/>
            <w:vAlign w:val="center"/>
          </w:tcPr>
          <w:p>
            <w:pPr>
              <w:spacing w:before="60" w:after="60"/>
              <w:jc w:val="left"/>
              <w:rPr>
                <w:bCs/>
                <w:noProof/>
                <w:sz w:val="20"/>
                <w:szCs w:val="16"/>
              </w:rPr>
            </w:pPr>
            <w:r>
              <w:rPr>
                <w:bCs/>
                <w:noProof/>
                <w:sz w:val="20"/>
                <w:szCs w:val="16"/>
              </w:rPr>
              <w:t>Total energy costs (€/tonne)</w:t>
            </w:r>
          </w:p>
        </w:tc>
        <w:tc>
          <w:tcPr>
            <w:tcW w:w="419" w:type="pct"/>
            <w:shd w:val="clear" w:color="auto" w:fill="auto"/>
            <w:noWrap/>
            <w:vAlign w:val="center"/>
          </w:tcPr>
          <w:p>
            <w:pPr>
              <w:spacing w:before="60" w:after="60"/>
              <w:jc w:val="center"/>
              <w:rPr>
                <w:noProof/>
                <w:sz w:val="20"/>
                <w:szCs w:val="16"/>
              </w:rPr>
            </w:pPr>
            <w:r>
              <w:rPr>
                <w:noProof/>
                <w:sz w:val="20"/>
                <w:szCs w:val="16"/>
              </w:rPr>
              <w:t>26.6</w:t>
            </w:r>
          </w:p>
        </w:tc>
        <w:tc>
          <w:tcPr>
            <w:tcW w:w="419" w:type="pct"/>
            <w:shd w:val="clear" w:color="auto" w:fill="auto"/>
            <w:noWrap/>
            <w:vAlign w:val="center"/>
          </w:tcPr>
          <w:p>
            <w:pPr>
              <w:spacing w:before="60" w:after="60"/>
              <w:jc w:val="center"/>
              <w:rPr>
                <w:noProof/>
                <w:sz w:val="20"/>
                <w:szCs w:val="16"/>
              </w:rPr>
            </w:pPr>
            <w:r>
              <w:rPr>
                <w:noProof/>
                <w:sz w:val="20"/>
                <w:szCs w:val="16"/>
              </w:rPr>
              <w:t>23.2</w:t>
            </w:r>
          </w:p>
        </w:tc>
        <w:tc>
          <w:tcPr>
            <w:tcW w:w="418" w:type="pct"/>
            <w:shd w:val="clear" w:color="auto" w:fill="auto"/>
            <w:noWrap/>
            <w:vAlign w:val="center"/>
          </w:tcPr>
          <w:p>
            <w:pPr>
              <w:spacing w:before="60" w:after="60"/>
              <w:jc w:val="center"/>
              <w:rPr>
                <w:noProof/>
                <w:sz w:val="20"/>
                <w:szCs w:val="16"/>
              </w:rPr>
            </w:pPr>
            <w:r>
              <w:rPr>
                <w:noProof/>
                <w:sz w:val="20"/>
                <w:szCs w:val="16"/>
              </w:rPr>
              <w:t>26.9</w:t>
            </w:r>
          </w:p>
        </w:tc>
        <w:tc>
          <w:tcPr>
            <w:tcW w:w="418" w:type="pct"/>
            <w:shd w:val="clear" w:color="auto" w:fill="auto"/>
            <w:noWrap/>
            <w:vAlign w:val="center"/>
          </w:tcPr>
          <w:p>
            <w:pPr>
              <w:spacing w:before="60" w:after="60"/>
              <w:jc w:val="center"/>
              <w:rPr>
                <w:noProof/>
                <w:sz w:val="20"/>
                <w:szCs w:val="16"/>
              </w:rPr>
            </w:pPr>
            <w:r>
              <w:rPr>
                <w:noProof/>
                <w:sz w:val="20"/>
                <w:szCs w:val="16"/>
              </w:rPr>
              <w:t>28.2</w:t>
            </w:r>
          </w:p>
        </w:tc>
        <w:tc>
          <w:tcPr>
            <w:tcW w:w="418" w:type="pct"/>
            <w:shd w:val="clear" w:color="auto" w:fill="auto"/>
            <w:noWrap/>
            <w:vAlign w:val="center"/>
          </w:tcPr>
          <w:p>
            <w:pPr>
              <w:spacing w:before="60" w:after="60"/>
              <w:jc w:val="center"/>
              <w:rPr>
                <w:noProof/>
                <w:sz w:val="20"/>
                <w:szCs w:val="16"/>
              </w:rPr>
            </w:pPr>
            <w:r>
              <w:rPr>
                <w:noProof/>
                <w:sz w:val="20"/>
                <w:szCs w:val="16"/>
              </w:rPr>
              <w:t>27.7</w:t>
            </w:r>
          </w:p>
        </w:tc>
        <w:tc>
          <w:tcPr>
            <w:tcW w:w="418" w:type="pct"/>
            <w:shd w:val="clear" w:color="auto" w:fill="auto"/>
            <w:noWrap/>
            <w:vAlign w:val="center"/>
          </w:tcPr>
          <w:p>
            <w:pPr>
              <w:spacing w:before="60" w:after="60"/>
              <w:jc w:val="center"/>
              <w:rPr>
                <w:noProof/>
                <w:sz w:val="20"/>
                <w:szCs w:val="16"/>
              </w:rPr>
            </w:pPr>
            <w:r>
              <w:rPr>
                <w:noProof/>
                <w:sz w:val="20"/>
                <w:szCs w:val="16"/>
              </w:rPr>
              <w:t>25.1</w:t>
            </w:r>
          </w:p>
        </w:tc>
        <w:tc>
          <w:tcPr>
            <w:tcW w:w="418" w:type="pct"/>
            <w:shd w:val="clear" w:color="auto" w:fill="auto"/>
            <w:noWrap/>
            <w:vAlign w:val="center"/>
          </w:tcPr>
          <w:p>
            <w:pPr>
              <w:spacing w:before="60" w:after="60"/>
              <w:jc w:val="center"/>
              <w:rPr>
                <w:noProof/>
                <w:sz w:val="20"/>
                <w:szCs w:val="16"/>
              </w:rPr>
            </w:pPr>
            <w:r>
              <w:rPr>
                <w:noProof/>
                <w:sz w:val="20"/>
                <w:szCs w:val="16"/>
              </w:rPr>
              <w:t>21.9</w:t>
            </w:r>
          </w:p>
        </w:tc>
        <w:tc>
          <w:tcPr>
            <w:tcW w:w="418" w:type="pct"/>
            <w:shd w:val="clear" w:color="auto" w:fill="auto"/>
            <w:noWrap/>
            <w:vAlign w:val="center"/>
          </w:tcPr>
          <w:p>
            <w:pPr>
              <w:spacing w:before="60" w:after="60"/>
              <w:jc w:val="center"/>
              <w:rPr>
                <w:noProof/>
                <w:sz w:val="20"/>
                <w:szCs w:val="16"/>
              </w:rPr>
            </w:pPr>
            <w:r>
              <w:rPr>
                <w:noProof/>
                <w:sz w:val="20"/>
                <w:szCs w:val="16"/>
              </w:rPr>
              <w:t>20.4</w:t>
            </w:r>
          </w:p>
        </w:tc>
      </w:tr>
      <w:tr>
        <w:trPr>
          <w:trHeight w:val="244"/>
          <w:jc w:val="center"/>
        </w:trPr>
        <w:tc>
          <w:tcPr>
            <w:tcW w:w="1651" w:type="pct"/>
            <w:shd w:val="clear" w:color="auto" w:fill="CEEBE6"/>
            <w:noWrap/>
            <w:vAlign w:val="center"/>
          </w:tcPr>
          <w:p>
            <w:pPr>
              <w:spacing w:before="60" w:after="60"/>
              <w:jc w:val="left"/>
              <w:rPr>
                <w:bCs/>
                <w:noProof/>
                <w:sz w:val="20"/>
                <w:szCs w:val="16"/>
              </w:rPr>
            </w:pPr>
            <w:r>
              <w:rPr>
                <w:bCs/>
                <w:noProof/>
                <w:sz w:val="20"/>
                <w:szCs w:val="16"/>
              </w:rPr>
              <w:t>EBITDA (€/tonne)</w:t>
            </w:r>
          </w:p>
        </w:tc>
        <w:tc>
          <w:tcPr>
            <w:tcW w:w="419" w:type="pct"/>
            <w:shd w:val="clear" w:color="auto" w:fill="CEEBE6"/>
            <w:noWrap/>
            <w:vAlign w:val="center"/>
          </w:tcPr>
          <w:p>
            <w:pPr>
              <w:spacing w:before="60" w:after="60"/>
              <w:jc w:val="center"/>
              <w:rPr>
                <w:noProof/>
                <w:sz w:val="20"/>
                <w:szCs w:val="16"/>
              </w:rPr>
            </w:pPr>
            <w:r>
              <w:rPr>
                <w:noProof/>
                <w:sz w:val="20"/>
                <w:szCs w:val="16"/>
              </w:rPr>
              <w:t>17.2</w:t>
            </w:r>
          </w:p>
        </w:tc>
        <w:tc>
          <w:tcPr>
            <w:tcW w:w="419" w:type="pct"/>
            <w:shd w:val="clear" w:color="auto" w:fill="CEEBE6"/>
            <w:noWrap/>
            <w:vAlign w:val="center"/>
          </w:tcPr>
          <w:p>
            <w:pPr>
              <w:spacing w:before="60" w:after="60"/>
              <w:jc w:val="center"/>
              <w:rPr>
                <w:noProof/>
                <w:sz w:val="20"/>
                <w:szCs w:val="16"/>
              </w:rPr>
            </w:pPr>
            <w:r>
              <w:rPr>
                <w:noProof/>
                <w:sz w:val="20"/>
                <w:szCs w:val="16"/>
              </w:rPr>
              <w:t>10.7</w:t>
            </w:r>
          </w:p>
        </w:tc>
        <w:tc>
          <w:tcPr>
            <w:tcW w:w="418" w:type="pct"/>
            <w:shd w:val="clear" w:color="auto" w:fill="CEEBE6"/>
            <w:noWrap/>
            <w:vAlign w:val="center"/>
          </w:tcPr>
          <w:p>
            <w:pPr>
              <w:spacing w:before="60" w:after="60"/>
              <w:jc w:val="center"/>
              <w:rPr>
                <w:noProof/>
                <w:sz w:val="20"/>
                <w:szCs w:val="16"/>
              </w:rPr>
            </w:pPr>
            <w:r>
              <w:rPr>
                <w:noProof/>
                <w:sz w:val="20"/>
                <w:szCs w:val="16"/>
              </w:rPr>
              <w:t>7.8</w:t>
            </w:r>
          </w:p>
        </w:tc>
        <w:tc>
          <w:tcPr>
            <w:tcW w:w="418" w:type="pct"/>
            <w:shd w:val="clear" w:color="auto" w:fill="CEEBE6"/>
            <w:noWrap/>
            <w:vAlign w:val="center"/>
          </w:tcPr>
          <w:p>
            <w:pPr>
              <w:spacing w:before="60" w:after="60"/>
              <w:jc w:val="center"/>
              <w:rPr>
                <w:noProof/>
                <w:sz w:val="20"/>
                <w:szCs w:val="16"/>
              </w:rPr>
            </w:pPr>
            <w:r>
              <w:rPr>
                <w:noProof/>
                <w:sz w:val="20"/>
                <w:szCs w:val="16"/>
              </w:rPr>
              <w:t>7.2</w:t>
            </w:r>
          </w:p>
        </w:tc>
        <w:tc>
          <w:tcPr>
            <w:tcW w:w="418" w:type="pct"/>
            <w:shd w:val="clear" w:color="auto" w:fill="CEEBE6"/>
            <w:noWrap/>
            <w:vAlign w:val="center"/>
          </w:tcPr>
          <w:p>
            <w:pPr>
              <w:spacing w:before="60" w:after="60"/>
              <w:jc w:val="center"/>
              <w:rPr>
                <w:noProof/>
                <w:sz w:val="20"/>
                <w:szCs w:val="16"/>
              </w:rPr>
            </w:pPr>
            <w:r>
              <w:rPr>
                <w:noProof/>
                <w:sz w:val="20"/>
                <w:szCs w:val="16"/>
              </w:rPr>
              <w:t>8.3</w:t>
            </w:r>
          </w:p>
        </w:tc>
        <w:tc>
          <w:tcPr>
            <w:tcW w:w="418" w:type="pct"/>
            <w:shd w:val="clear" w:color="auto" w:fill="CEEBE6"/>
            <w:noWrap/>
            <w:vAlign w:val="center"/>
          </w:tcPr>
          <w:p>
            <w:pPr>
              <w:spacing w:before="60" w:after="60"/>
              <w:jc w:val="center"/>
              <w:rPr>
                <w:noProof/>
                <w:sz w:val="20"/>
                <w:szCs w:val="16"/>
              </w:rPr>
            </w:pPr>
            <w:r>
              <w:rPr>
                <w:noProof/>
                <w:sz w:val="20"/>
                <w:szCs w:val="16"/>
              </w:rPr>
              <w:t>6.3</w:t>
            </w:r>
          </w:p>
        </w:tc>
        <w:tc>
          <w:tcPr>
            <w:tcW w:w="418" w:type="pct"/>
            <w:shd w:val="clear" w:color="auto" w:fill="CEEBE6"/>
            <w:noWrap/>
            <w:vAlign w:val="center"/>
          </w:tcPr>
          <w:p>
            <w:pPr>
              <w:spacing w:before="60" w:after="60"/>
              <w:jc w:val="center"/>
              <w:rPr>
                <w:noProof/>
                <w:sz w:val="20"/>
                <w:szCs w:val="16"/>
              </w:rPr>
            </w:pPr>
            <w:r>
              <w:rPr>
                <w:noProof/>
                <w:sz w:val="20"/>
                <w:szCs w:val="16"/>
              </w:rPr>
              <w:t>15.5</w:t>
            </w:r>
          </w:p>
        </w:tc>
        <w:tc>
          <w:tcPr>
            <w:tcW w:w="418" w:type="pct"/>
            <w:shd w:val="clear" w:color="auto" w:fill="CEEBE6"/>
            <w:noWrap/>
            <w:vAlign w:val="center"/>
          </w:tcPr>
          <w:p>
            <w:pPr>
              <w:spacing w:before="60" w:after="60"/>
              <w:jc w:val="center"/>
              <w:rPr>
                <w:noProof/>
                <w:sz w:val="20"/>
                <w:szCs w:val="16"/>
              </w:rPr>
            </w:pPr>
            <w:r>
              <w:rPr>
                <w:noProof/>
                <w:sz w:val="20"/>
                <w:szCs w:val="16"/>
              </w:rPr>
              <w:t>17.1</w:t>
            </w:r>
          </w:p>
        </w:tc>
      </w:tr>
      <w:tr>
        <w:trPr>
          <w:trHeight w:val="244"/>
          <w:jc w:val="center"/>
        </w:trPr>
        <w:tc>
          <w:tcPr>
            <w:tcW w:w="1651" w:type="pct"/>
            <w:shd w:val="clear" w:color="auto" w:fill="auto"/>
            <w:noWrap/>
            <w:vAlign w:val="center"/>
          </w:tcPr>
          <w:p>
            <w:pPr>
              <w:keepNext/>
              <w:spacing w:before="60" w:after="60"/>
              <w:jc w:val="left"/>
              <w:rPr>
                <w:bCs/>
                <w:noProof/>
                <w:sz w:val="20"/>
                <w:szCs w:val="16"/>
              </w:rPr>
            </w:pPr>
            <w:r>
              <w:rPr>
                <w:bCs/>
                <w:noProof/>
                <w:sz w:val="20"/>
                <w:szCs w:val="16"/>
              </w:rPr>
              <w:t>Ratio of total energy costs to EBITDA</w:t>
            </w:r>
          </w:p>
        </w:tc>
        <w:tc>
          <w:tcPr>
            <w:tcW w:w="419" w:type="pct"/>
            <w:shd w:val="clear" w:color="auto" w:fill="auto"/>
            <w:noWrap/>
            <w:vAlign w:val="center"/>
          </w:tcPr>
          <w:p>
            <w:pPr>
              <w:spacing w:before="60" w:after="60"/>
              <w:jc w:val="center"/>
              <w:rPr>
                <w:noProof/>
                <w:sz w:val="20"/>
                <w:szCs w:val="16"/>
              </w:rPr>
            </w:pPr>
            <w:r>
              <w:rPr>
                <w:noProof/>
                <w:sz w:val="20"/>
                <w:szCs w:val="16"/>
              </w:rPr>
              <w:t>1.5</w:t>
            </w:r>
          </w:p>
        </w:tc>
        <w:tc>
          <w:tcPr>
            <w:tcW w:w="419" w:type="pct"/>
            <w:shd w:val="clear" w:color="auto" w:fill="auto"/>
            <w:noWrap/>
            <w:vAlign w:val="center"/>
          </w:tcPr>
          <w:p>
            <w:pPr>
              <w:spacing w:before="60" w:after="60"/>
              <w:jc w:val="center"/>
              <w:rPr>
                <w:noProof/>
                <w:sz w:val="20"/>
                <w:szCs w:val="16"/>
              </w:rPr>
            </w:pPr>
            <w:r>
              <w:rPr>
                <w:noProof/>
                <w:sz w:val="20"/>
                <w:szCs w:val="16"/>
              </w:rPr>
              <w:t>2.2</w:t>
            </w:r>
          </w:p>
        </w:tc>
        <w:tc>
          <w:tcPr>
            <w:tcW w:w="418" w:type="pct"/>
            <w:shd w:val="clear" w:color="auto" w:fill="auto"/>
            <w:noWrap/>
            <w:vAlign w:val="center"/>
          </w:tcPr>
          <w:p>
            <w:pPr>
              <w:spacing w:before="60" w:after="60"/>
              <w:jc w:val="center"/>
              <w:rPr>
                <w:noProof/>
                <w:sz w:val="20"/>
                <w:szCs w:val="16"/>
              </w:rPr>
            </w:pPr>
            <w:r>
              <w:rPr>
                <w:noProof/>
                <w:sz w:val="20"/>
                <w:szCs w:val="16"/>
              </w:rPr>
              <w:t>3.4</w:t>
            </w:r>
          </w:p>
        </w:tc>
        <w:tc>
          <w:tcPr>
            <w:tcW w:w="418" w:type="pct"/>
            <w:shd w:val="clear" w:color="auto" w:fill="auto"/>
            <w:noWrap/>
            <w:vAlign w:val="center"/>
          </w:tcPr>
          <w:p>
            <w:pPr>
              <w:spacing w:before="60" w:after="60"/>
              <w:jc w:val="center"/>
              <w:rPr>
                <w:noProof/>
                <w:sz w:val="20"/>
                <w:szCs w:val="16"/>
              </w:rPr>
            </w:pPr>
            <w:r>
              <w:rPr>
                <w:noProof/>
                <w:sz w:val="20"/>
                <w:szCs w:val="16"/>
              </w:rPr>
              <w:t>3.9</w:t>
            </w:r>
          </w:p>
        </w:tc>
        <w:tc>
          <w:tcPr>
            <w:tcW w:w="418" w:type="pct"/>
            <w:shd w:val="clear" w:color="auto" w:fill="auto"/>
            <w:noWrap/>
            <w:vAlign w:val="center"/>
          </w:tcPr>
          <w:p>
            <w:pPr>
              <w:spacing w:before="60" w:after="60"/>
              <w:jc w:val="center"/>
              <w:rPr>
                <w:noProof/>
                <w:sz w:val="20"/>
                <w:szCs w:val="16"/>
              </w:rPr>
            </w:pPr>
            <w:r>
              <w:rPr>
                <w:noProof/>
                <w:sz w:val="20"/>
                <w:szCs w:val="16"/>
              </w:rPr>
              <w:t>3.4</w:t>
            </w:r>
          </w:p>
        </w:tc>
        <w:tc>
          <w:tcPr>
            <w:tcW w:w="418" w:type="pct"/>
            <w:shd w:val="clear" w:color="auto" w:fill="auto"/>
            <w:noWrap/>
            <w:vAlign w:val="center"/>
          </w:tcPr>
          <w:p>
            <w:pPr>
              <w:spacing w:before="60" w:after="60"/>
              <w:jc w:val="center"/>
              <w:rPr>
                <w:noProof/>
                <w:sz w:val="20"/>
                <w:szCs w:val="16"/>
              </w:rPr>
            </w:pPr>
            <w:r>
              <w:rPr>
                <w:noProof/>
                <w:sz w:val="20"/>
                <w:szCs w:val="16"/>
              </w:rPr>
              <w:t>4.0</w:t>
            </w:r>
          </w:p>
        </w:tc>
        <w:tc>
          <w:tcPr>
            <w:tcW w:w="418" w:type="pct"/>
            <w:shd w:val="clear" w:color="auto" w:fill="auto"/>
            <w:noWrap/>
            <w:vAlign w:val="center"/>
          </w:tcPr>
          <w:p>
            <w:pPr>
              <w:spacing w:before="60" w:after="60"/>
              <w:jc w:val="center"/>
              <w:rPr>
                <w:noProof/>
                <w:sz w:val="20"/>
                <w:szCs w:val="16"/>
              </w:rPr>
            </w:pPr>
            <w:r>
              <w:rPr>
                <w:noProof/>
                <w:sz w:val="20"/>
                <w:szCs w:val="16"/>
              </w:rPr>
              <w:t>1.4</w:t>
            </w:r>
          </w:p>
        </w:tc>
        <w:tc>
          <w:tcPr>
            <w:tcW w:w="418" w:type="pct"/>
            <w:shd w:val="clear" w:color="auto" w:fill="auto"/>
            <w:noWrap/>
            <w:vAlign w:val="center"/>
          </w:tcPr>
          <w:p>
            <w:pPr>
              <w:spacing w:before="60" w:after="60"/>
              <w:jc w:val="center"/>
              <w:rPr>
                <w:noProof/>
                <w:sz w:val="20"/>
                <w:szCs w:val="16"/>
              </w:rPr>
            </w:pPr>
            <w:r>
              <w:rPr>
                <w:noProof/>
                <w:sz w:val="20"/>
                <w:szCs w:val="16"/>
              </w:rPr>
              <w:t>1.2</w:t>
            </w:r>
          </w:p>
        </w:tc>
      </w:tr>
    </w:tbl>
    <w:p>
      <w:pPr>
        <w:pStyle w:val="Sources"/>
        <w:tabs>
          <w:tab w:val="left" w:pos="142"/>
        </w:tabs>
        <w:rPr>
          <w:noProof/>
        </w:rPr>
      </w:pPr>
      <w:r>
        <w:rPr>
          <w:noProof/>
        </w:rPr>
        <w:tab/>
        <w:t>Source: CEPS/Ecofys.</w:t>
      </w:r>
    </w:p>
    <w:p>
      <w:pPr>
        <w:rPr>
          <w:noProof/>
          <w:lang w:val="fr-FR" w:eastAsia="it-IT"/>
        </w:rPr>
      </w:pPr>
    </w:p>
    <w:p>
      <w:pPr>
        <w:pStyle w:val="Caption"/>
        <w:rPr>
          <w:rFonts w:eastAsia="Times New Roman"/>
          <w:color w:val="000000"/>
        </w:rPr>
      </w:pPr>
      <w:bookmarkStart w:id="291" w:name="_Ref524525384"/>
      <w:bookmarkStart w:id="292" w:name="_Toc526433576"/>
      <w:bookmarkStart w:id="293" w:name="_Toc526433893"/>
      <w:bookmarkStart w:id="294" w:name="_Toc526435835"/>
      <w:bookmarkStart w:id="295" w:name="_Toc527544716"/>
      <w:bookmarkStart w:id="296" w:name="_Toc530741746"/>
      <w:r>
        <w:t xml:space="preserve">Figure </w:t>
      </w:r>
      <w:r>
        <w:fldChar w:fldCharType="begin"/>
      </w:r>
      <w:r>
        <w:instrText xml:space="preserve"> SEQ Figure \* ARABIC </w:instrText>
      </w:r>
      <w:r>
        <w:fldChar w:fldCharType="separate"/>
      </w:r>
      <w:r>
        <w:t>53</w:t>
      </w:r>
      <w:r>
        <w:fldChar w:fldCharType="end"/>
      </w:r>
      <w:bookmarkEnd w:id="291"/>
      <w:r>
        <w:t>.</w:t>
      </w:r>
      <w:bookmarkEnd w:id="292"/>
      <w:r>
        <w:t xml:space="preserve"> </w:t>
      </w:r>
      <w:r>
        <w:rPr>
          <w:rFonts w:eastAsia="Times New Roman"/>
          <w:color w:val="000000"/>
        </w:rPr>
        <w:t xml:space="preserve">Energy costs versus EBITDA </w:t>
      </w:r>
      <w:r>
        <w:t>of brick and roof tile production</w:t>
      </w:r>
      <w:r>
        <w:rPr>
          <w:rFonts w:eastAsia="Times New Roman"/>
          <w:color w:val="000000"/>
        </w:rPr>
        <w:t xml:space="preserve"> (€/tonne)</w:t>
      </w:r>
      <w:bookmarkEnd w:id="293"/>
      <w:bookmarkEnd w:id="294"/>
      <w:bookmarkEnd w:id="295"/>
      <w:bookmarkEnd w:id="296"/>
    </w:p>
    <w:p>
      <w:pPr>
        <w:pStyle w:val="Sources"/>
        <w:keepNext/>
        <w:rPr>
          <w:noProof/>
        </w:rPr>
      </w:pPr>
      <w:r>
        <w:rPr>
          <w:noProof/>
          <w:lang w:eastAsia="en-GB"/>
        </w:rPr>
        <w:drawing>
          <wp:inline distT="0" distB="0" distL="0" distR="0">
            <wp:extent cx="5760720" cy="3542711"/>
            <wp:effectExtent l="0" t="0" r="0" b="635"/>
            <wp:docPr id="1449027017" name="Picture 14490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542711"/>
                    </a:xfrm>
                    <a:prstGeom prst="rect">
                      <a:avLst/>
                    </a:prstGeom>
                    <a:noFill/>
                    <a:ln>
                      <a:noFill/>
                    </a:ln>
                  </pic:spPr>
                </pic:pic>
              </a:graphicData>
            </a:graphic>
          </wp:inline>
        </w:drawing>
      </w:r>
    </w:p>
    <w:p>
      <w:pPr>
        <w:pStyle w:val="Sources"/>
        <w:tabs>
          <w:tab w:val="left" w:pos="142"/>
        </w:tabs>
        <w:rPr>
          <w:noProof/>
        </w:rPr>
      </w:pPr>
      <w:r>
        <w:rPr>
          <w:noProof/>
        </w:rPr>
        <w:tab/>
        <w:t>Source: CEPS/Ecofys.</w:t>
      </w: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297" w:name="_Toc526434055"/>
      <w:bookmarkStart w:id="298" w:name="_Toc526435999"/>
      <w:bookmarkStart w:id="299" w:name="_Toc527544424"/>
      <w:bookmarkStart w:id="300" w:name="_Toc530741663"/>
      <w:r>
        <w:rPr>
          <w:noProof/>
          <w:lang w:eastAsia="en-GB"/>
        </w:rPr>
        <w:t>WALL AND FLOOR TILES</w:t>
      </w:r>
      <w:bookmarkEnd w:id="297"/>
      <w:bookmarkEnd w:id="298"/>
      <w:bookmarkEnd w:id="299"/>
      <w:bookmarkEnd w:id="300"/>
    </w:p>
    <w:p>
      <w:pPr>
        <w:pStyle w:val="Heading3"/>
        <w:rPr>
          <w:noProof/>
        </w:rPr>
      </w:pPr>
      <w:bookmarkStart w:id="301" w:name="_Toc526434056"/>
      <w:bookmarkStart w:id="302" w:name="_Toc526436000"/>
      <w:bookmarkStart w:id="303" w:name="_Toc527544425"/>
      <w:bookmarkStart w:id="304" w:name="_Toc530741664"/>
      <w:r>
        <w:rPr>
          <w:noProof/>
        </w:rPr>
        <w:t>General information and sample composition</w:t>
      </w:r>
      <w:bookmarkEnd w:id="301"/>
      <w:bookmarkEnd w:id="302"/>
      <w:bookmarkEnd w:id="303"/>
      <w:bookmarkEnd w:id="304"/>
    </w:p>
    <w:p>
      <w:pPr>
        <w:rPr>
          <w:noProof/>
        </w:rPr>
      </w:pPr>
      <w:r>
        <w:rPr>
          <w:noProof/>
        </w:rPr>
        <w:t xml:space="preserve">The </w:t>
      </w:r>
      <w:r>
        <w:rPr>
          <w:noProof/>
          <w:lang w:eastAsia="en-GB"/>
        </w:rPr>
        <w:t>wall and floor tiles</w:t>
      </w:r>
      <w:r>
        <w:rPr>
          <w:noProof/>
        </w:rPr>
        <w:t xml:space="preserve"> sector (sector 23.31 in NACE Rev. 2) includes manufacturers of ceramics tiles. The production is heterogeneous in terms of physical composition, dimension, weight, shape, surface and colour as well as use (covering and/or decorating both internal, e.g. kitchen and bathrooms, and external surfaces, e.g. swimming pools and public areas). Unlike bricks and roof tiles, wall and floor tiles are high value-added and highly tradable goods, more subject to international competition.</w:t>
      </w:r>
    </w:p>
    <w:p>
      <w:pPr>
        <w:rPr>
          <w:noProof/>
        </w:rPr>
      </w:pPr>
      <w:r>
        <w:rPr>
          <w:noProof/>
        </w:rPr>
        <w:t xml:space="preserve">The most common energy source used in </w:t>
      </w:r>
      <w:r>
        <w:rPr>
          <w:noProof/>
          <w:lang w:eastAsia="en-GB"/>
        </w:rPr>
        <w:t>wall and floor tile</w:t>
      </w:r>
      <w:r>
        <w:rPr>
          <w:noProof/>
        </w:rPr>
        <w:t xml:space="preserve"> production is natural gas. Electricity is used as a secondary energy source.</w:t>
      </w:r>
    </w:p>
    <w:p>
      <w:pPr>
        <w:rPr>
          <w:noProof/>
        </w:rPr>
      </w:pPr>
      <w:r>
        <w:rPr>
          <w:noProof/>
        </w:rPr>
        <w:t xml:space="preserve">The sector, which closely follows the economic trend of the construction sector (its main customer), has been severely hit by the crisis. Its production value declined by about 23% between 2008 and 2015. In 2015, there were 1,225 </w:t>
      </w:r>
      <w:r>
        <w:rPr>
          <w:noProof/>
          <w:lang w:eastAsia="en-GB"/>
        </w:rPr>
        <w:t>wall and floor tile</w:t>
      </w:r>
      <w:r>
        <w:rPr>
          <w:noProof/>
        </w:rPr>
        <w:t xml:space="preserve"> enterprises in the EU, mostly SMEs (the number of enterprises fell by almost 30% between 2008 and 2015). A notable difference with the bricks and roof tiles sector is that most EU </w:t>
      </w:r>
      <w:r>
        <w:rPr>
          <w:noProof/>
          <w:lang w:eastAsia="en-GB"/>
        </w:rPr>
        <w:t>wall and floor tile</w:t>
      </w:r>
      <w:r>
        <w:rPr>
          <w:noProof/>
        </w:rPr>
        <w:t xml:space="preserve"> production concentrates in two Member States only (based on 2016 production value): Italy (42%) and Spain (39%).</w:t>
      </w:r>
      <w:r>
        <w:rPr>
          <w:bCs/>
          <w:noProof/>
        </w:rPr>
        <w:t xml:space="preserve"> Poland completes the top three (9%).</w:t>
      </w:r>
    </w:p>
    <w:p>
      <w:pPr>
        <w:rPr>
          <w:noProof/>
        </w:rPr>
      </w:pPr>
      <w:r>
        <w:rPr>
          <w:noProof/>
        </w:rPr>
        <w:t xml:space="preserve">Overall, </w:t>
      </w:r>
      <w:r>
        <w:rPr>
          <w:bCs/>
          <w:noProof/>
        </w:rPr>
        <w:t xml:space="preserve">the EU is a net exporter of wall and floor tiles. Major EU export destinations include the </w:t>
      </w:r>
      <w:r>
        <w:rPr>
          <w:noProof/>
        </w:rPr>
        <w:t>United States</w:t>
      </w:r>
      <w:r>
        <w:rPr>
          <w:bCs/>
          <w:noProof/>
        </w:rPr>
        <w:t>, Switzerland, Saudi Arabia and Russia. EU imports come mainly from Turkey and, to a less extent, China and the United Arab Emirates.</w:t>
      </w:r>
    </w:p>
    <w:p>
      <w:pPr>
        <w:rPr>
          <w:noProof/>
        </w:rPr>
      </w:pPr>
      <w:r>
        <w:rPr>
          <w:noProof/>
        </w:rPr>
        <w:t>A typical wall and floor tile plant in the analysis has a natural gas intensity of 1.1-2.3 MWh/tonne and an electricity intensity of 0.1-0.3 MWh/tonne. The sample for 2016-2017 includes 22 plants across Europe (8 in CEE region, 4 in NWE region and 10 in SE region), representing about 12% of total EU production. The sample for 2008-2015 includes 18 plants across Europe, representing about 8% of the total EU production. In general, the SE region and SMEs are under-represented in the sample.</w:t>
      </w:r>
    </w:p>
    <w:p>
      <w:pPr>
        <w:rPr>
          <w:noProof/>
        </w:rPr>
      </w:pPr>
    </w:p>
    <w:p>
      <w:pPr>
        <w:pStyle w:val="Heading3"/>
        <w:rPr>
          <w:noProof/>
        </w:rPr>
      </w:pPr>
      <w:bookmarkStart w:id="305" w:name="_Toc526434057"/>
      <w:bookmarkStart w:id="306" w:name="_Toc526436001"/>
      <w:bookmarkStart w:id="307" w:name="_Toc527544426"/>
      <w:bookmarkStart w:id="308" w:name="_Toc530741665"/>
      <w:r>
        <w:rPr>
          <w:noProof/>
        </w:rPr>
        <w:t>Electricity prices, costs</w:t>
      </w:r>
      <w:bookmarkEnd w:id="305"/>
      <w:bookmarkEnd w:id="306"/>
      <w:bookmarkEnd w:id="307"/>
      <w:r>
        <w:rPr>
          <w:noProof/>
        </w:rPr>
        <w:t xml:space="preserve"> and intensity</w:t>
      </w:r>
      <w:bookmarkEnd w:id="308"/>
    </w:p>
    <w:p>
      <w:pPr>
        <w:rPr>
          <w:noProof/>
          <w:lang w:eastAsia="en-GB"/>
        </w:rPr>
      </w:pPr>
      <w:r>
        <w:rPr>
          <w:noProof/>
        </w:rPr>
        <w:t xml:space="preserve">Key electricity indicators for </w:t>
      </w:r>
      <w:r>
        <w:rPr>
          <w:noProof/>
          <w:lang w:eastAsia="en-GB"/>
        </w:rPr>
        <w:t>wall and floor tiles</w:t>
      </w:r>
      <w:r>
        <w:rPr>
          <w:noProof/>
        </w:rPr>
        <w:t xml:space="preserve"> are presented in </w:t>
      </w:r>
      <w:r>
        <w:rPr>
          <w:noProof/>
        </w:rPr>
        <w:fldChar w:fldCharType="begin"/>
      </w:r>
      <w:r>
        <w:rPr>
          <w:noProof/>
        </w:rPr>
        <w:instrText xml:space="preserve"> REF _Ref528681435 \h </w:instrText>
      </w:r>
      <w:r>
        <w:rPr>
          <w:noProof/>
        </w:rPr>
      </w:r>
      <w:r>
        <w:rPr>
          <w:noProof/>
        </w:rPr>
        <w:fldChar w:fldCharType="separate"/>
      </w:r>
      <w:r>
        <w:rPr>
          <w:noProof/>
        </w:rPr>
        <w:t>Table 20</w:t>
      </w:r>
      <w:r>
        <w:rPr>
          <w:noProof/>
        </w:rPr>
        <w:fldChar w:fldCharType="end"/>
      </w:r>
      <w:r>
        <w:rPr>
          <w:noProof/>
        </w:rPr>
        <w:t>.</w:t>
      </w:r>
    </w:p>
    <w:p>
      <w:pPr>
        <w:rPr>
          <w:noProof/>
          <w:lang w:eastAsia="en-GB"/>
        </w:rPr>
      </w:pPr>
      <w:r>
        <w:rPr>
          <w:noProof/>
          <w:lang w:eastAsia="en-GB"/>
        </w:rPr>
        <w:t>EU average electricity prices and costs (in EUR/MWh) remained quite stable between 2008 and 2017.</w:t>
      </w:r>
    </w:p>
    <w:p>
      <w:pPr>
        <w:rPr>
          <w:noProof/>
          <w:lang w:eastAsia="en-GB"/>
        </w:rPr>
      </w:pPr>
      <w:r>
        <w:rPr>
          <w:noProof/>
          <w:lang w:eastAsia="en-GB"/>
        </w:rPr>
        <w:t>EU average e</w:t>
      </w:r>
      <w:r>
        <w:rPr>
          <w:noProof/>
        </w:rPr>
        <w:t xml:space="preserve">lectricity prices </w:t>
      </w:r>
      <w:r>
        <w:rPr>
          <w:noProof/>
          <w:lang w:eastAsia="en-GB"/>
        </w:rPr>
        <w:t>fluctuated between 90 and 100 EUR/MWh. When looking at the</w:t>
      </w:r>
      <w:r>
        <w:rPr>
          <w:noProof/>
        </w:rPr>
        <w:t xml:space="preserve"> price</w:t>
      </w:r>
      <w:r>
        <w:rPr>
          <w:noProof/>
          <w:lang w:eastAsia="en-GB"/>
        </w:rPr>
        <w:t xml:space="preserve"> components (</w:t>
      </w:r>
      <w:r>
        <w:rPr>
          <w:noProof/>
          <w:lang w:eastAsia="en-GB"/>
        </w:rPr>
        <w:fldChar w:fldCharType="begin"/>
      </w:r>
      <w:r>
        <w:rPr>
          <w:noProof/>
          <w:lang w:eastAsia="en-GB"/>
        </w:rPr>
        <w:instrText xml:space="preserve"> REF _Ref529376649 \h </w:instrText>
      </w:r>
      <w:r>
        <w:rPr>
          <w:noProof/>
          <w:lang w:eastAsia="en-GB"/>
        </w:rPr>
      </w:r>
      <w:r>
        <w:rPr>
          <w:noProof/>
          <w:lang w:eastAsia="en-GB"/>
        </w:rPr>
        <w:fldChar w:fldCharType="separate"/>
      </w:r>
      <w:r>
        <w:rPr>
          <w:noProof/>
        </w:rPr>
        <w:t>Figure 54</w:t>
      </w:r>
      <w:r>
        <w:rPr>
          <w:noProof/>
          <w:lang w:eastAsia="en-GB"/>
        </w:rPr>
        <w:fldChar w:fldCharType="end"/>
      </w:r>
      <w:r>
        <w:rPr>
          <w:noProof/>
          <w:lang w:eastAsia="en-GB"/>
        </w:rPr>
        <w:t xml:space="preserve">), it </w:t>
      </w:r>
      <w:r>
        <w:rPr>
          <w:noProof/>
        </w:rPr>
        <w:t xml:space="preserve">appears that the energy component accounted for just half (50%) of the price in 2017, which is comparatively lower than in the other sectors analysed (except brick and roof tile production). Conversely, the network component increased over time and represented 25% of the price in 2017. </w:t>
      </w:r>
      <w:r>
        <w:rPr>
          <w:noProof/>
          <w:lang w:eastAsia="en-GB"/>
        </w:rPr>
        <w:t xml:space="preserve">Larger consumers </w:t>
      </w:r>
      <w:r>
        <w:rPr>
          <w:noProof/>
        </w:rPr>
        <w:t xml:space="preserve">faced </w:t>
      </w:r>
      <w:r>
        <w:rPr>
          <w:noProof/>
          <w:lang w:eastAsia="en-GB"/>
        </w:rPr>
        <w:t>lower electricity prices (weighted average by purchased electricity is significantly below simple average), because they: i) benefitted from stronger bargaining power when negotiating electricity prices (lower energy component); and ii) paid relatively less for network costs and other non-recoverable taxes/levies (this was not the case for RES levies). Only a few plants relied on the wholesale market to purchase electricity and these did not coincide with the largest consumers.</w:t>
      </w:r>
    </w:p>
    <w:p>
      <w:pPr>
        <w:rPr>
          <w:noProof/>
          <w:lang w:eastAsia="en-GB"/>
        </w:rPr>
      </w:pPr>
      <w:r>
        <w:rPr>
          <w:noProof/>
          <w:lang w:eastAsia="de-DE"/>
        </w:rPr>
        <w:t xml:space="preserve">EU average electricity costs </w:t>
      </w:r>
      <w:r>
        <w:rPr>
          <w:noProof/>
          <w:lang w:eastAsia="en-GB"/>
        </w:rPr>
        <w:t>in EUR/MWh (</w:t>
      </w:r>
      <w:r>
        <w:rPr>
          <w:noProof/>
          <w:lang w:eastAsia="en-GB"/>
        </w:rPr>
        <w:fldChar w:fldCharType="begin"/>
      </w:r>
      <w:r>
        <w:rPr>
          <w:noProof/>
          <w:lang w:eastAsia="en-GB"/>
        </w:rPr>
        <w:instrText xml:space="preserve"> REF _Ref524532729 \h </w:instrText>
      </w:r>
      <w:r>
        <w:rPr>
          <w:noProof/>
          <w:lang w:eastAsia="en-GB"/>
        </w:rPr>
      </w:r>
      <w:r>
        <w:rPr>
          <w:noProof/>
          <w:lang w:eastAsia="en-GB"/>
        </w:rPr>
        <w:fldChar w:fldCharType="separate"/>
      </w:r>
      <w:r>
        <w:rPr>
          <w:noProof/>
        </w:rPr>
        <w:t>Figure 55</w:t>
      </w:r>
      <w:r>
        <w:rPr>
          <w:noProof/>
          <w:lang w:eastAsia="en-GB"/>
        </w:rPr>
        <w:fldChar w:fldCharType="end"/>
      </w:r>
      <w:r>
        <w:rPr>
          <w:noProof/>
          <w:lang w:eastAsia="en-GB"/>
        </w:rPr>
        <w:t xml:space="preserve">) went from 96 EUR/MWh in 2008 to 86 EUR/MWh in 2017, with a peak in 2013 (105 EUR/MWh). The small difference between electricity prices and costs in EUR/MWh is due to: i) compensation received by two plants only for participating in flexibility schemes; ii) ex post reimbursements granted to two other sampled plants; and ii) self-generation of electricity by five plants. It also appears that larger consumers benefitted the most from flexibility schemes, self-generation and ex post reimbursement. </w:t>
      </w:r>
      <w:r>
        <w:rPr>
          <w:bCs/>
          <w:noProof/>
        </w:rPr>
        <w:t xml:space="preserve">EU average electricity costs in EUR/tonne </w:t>
      </w:r>
      <w:r>
        <w:rPr>
          <w:noProof/>
          <w:lang w:eastAsia="en-GB"/>
        </w:rPr>
        <w:t>(</w:t>
      </w:r>
      <w:r>
        <w:rPr>
          <w:noProof/>
          <w:lang w:eastAsia="en-GB"/>
        </w:rPr>
        <w:fldChar w:fldCharType="begin"/>
      </w:r>
      <w:r>
        <w:rPr>
          <w:noProof/>
          <w:lang w:eastAsia="en-GB"/>
        </w:rPr>
        <w:instrText xml:space="preserve"> REF _Ref524532740 \h </w:instrText>
      </w:r>
      <w:r>
        <w:rPr>
          <w:noProof/>
          <w:lang w:eastAsia="en-GB"/>
        </w:rPr>
      </w:r>
      <w:r>
        <w:rPr>
          <w:noProof/>
          <w:lang w:eastAsia="en-GB"/>
        </w:rPr>
        <w:fldChar w:fldCharType="separate"/>
      </w:r>
      <w:r>
        <w:rPr>
          <w:noProof/>
        </w:rPr>
        <w:t>Figure 56</w:t>
      </w:r>
      <w:r>
        <w:rPr>
          <w:noProof/>
          <w:lang w:eastAsia="en-GB"/>
        </w:rPr>
        <w:fldChar w:fldCharType="end"/>
      </w:r>
      <w:r>
        <w:rPr>
          <w:noProof/>
          <w:lang w:eastAsia="en-GB"/>
        </w:rPr>
        <w:t xml:space="preserve">) were equal to 21 EUR/tonne in 2008 and 19 EUR/tonne in 2017 and registered a peak in 2013 (22 EUR/tonne). Plants with higher production output registered slightly lower costs per tonne (weighted average by production output is slightly lower than simple average), mainly linked to better bargaining power when negotiating the energy component of the electricity price and relatively lower network costs and other </w:t>
      </w:r>
      <w:r>
        <w:rPr>
          <w:noProof/>
          <w:lang w:eastAsia="de-DE"/>
        </w:rPr>
        <w:t xml:space="preserve">non-recoverable </w:t>
      </w:r>
      <w:r>
        <w:rPr>
          <w:noProof/>
          <w:lang w:eastAsia="en-GB"/>
        </w:rPr>
        <w:t>taxes/levies.</w:t>
      </w:r>
    </w:p>
    <w:p>
      <w:pPr>
        <w:rPr>
          <w:noProof/>
          <w:lang w:eastAsia="en-GB"/>
        </w:rPr>
      </w:pPr>
      <w:r>
        <w:rPr>
          <w:noProof/>
          <w:lang w:eastAsia="en-GB"/>
        </w:rPr>
        <w:t>EU average electricity intensity of the production process (</w:t>
      </w:r>
      <w:r>
        <w:rPr>
          <w:noProof/>
          <w:lang w:eastAsia="en-GB"/>
        </w:rPr>
        <w:fldChar w:fldCharType="begin"/>
      </w:r>
      <w:r>
        <w:rPr>
          <w:noProof/>
          <w:lang w:eastAsia="en-GB"/>
        </w:rPr>
        <w:instrText xml:space="preserve"> REF _Ref524532747 \h </w:instrText>
      </w:r>
      <w:r>
        <w:rPr>
          <w:noProof/>
          <w:lang w:eastAsia="en-GB"/>
        </w:rPr>
      </w:r>
      <w:r>
        <w:rPr>
          <w:noProof/>
          <w:lang w:eastAsia="en-GB"/>
        </w:rPr>
        <w:fldChar w:fldCharType="separate"/>
      </w:r>
      <w:r>
        <w:rPr>
          <w:noProof/>
        </w:rPr>
        <w:t>Figure 57</w:t>
      </w:r>
      <w:r>
        <w:rPr>
          <w:noProof/>
          <w:lang w:eastAsia="en-GB"/>
        </w:rPr>
        <w:fldChar w:fldCharType="end"/>
      </w:r>
      <w:r>
        <w:rPr>
          <w:noProof/>
          <w:lang w:eastAsia="en-GB"/>
        </w:rPr>
        <w:t>) was quite stable throughout the period under observation, ranging between 0.21 and 0.25 MWh/tonne. In addition, economies of scale play a limited role for electricity (difference between simple and weighted average – by production output – electricity intensity is very limited).</w:t>
      </w:r>
    </w:p>
    <w:p>
      <w:pPr>
        <w:rPr>
          <w:noProof/>
          <w:lang w:eastAsia="en-GB"/>
        </w:rPr>
      </w:pPr>
    </w:p>
    <w:p>
      <w:pPr>
        <w:pStyle w:val="Heading3"/>
        <w:rPr>
          <w:noProof/>
        </w:rPr>
      </w:pPr>
      <w:bookmarkStart w:id="309" w:name="_Toc526434058"/>
      <w:bookmarkStart w:id="310" w:name="_Toc526436002"/>
      <w:bookmarkStart w:id="311" w:name="_Toc527544427"/>
      <w:bookmarkStart w:id="312" w:name="_Toc530741666"/>
      <w:r>
        <w:rPr>
          <w:noProof/>
        </w:rPr>
        <w:t>Natural gas prices, costs</w:t>
      </w:r>
      <w:bookmarkEnd w:id="309"/>
      <w:bookmarkEnd w:id="310"/>
      <w:bookmarkEnd w:id="311"/>
      <w:r>
        <w:rPr>
          <w:noProof/>
        </w:rPr>
        <w:t xml:space="preserve"> and intensity</w:t>
      </w:r>
      <w:bookmarkEnd w:id="312"/>
    </w:p>
    <w:p>
      <w:pPr>
        <w:rPr>
          <w:noProof/>
          <w:lang w:eastAsia="en-GB"/>
        </w:rPr>
      </w:pPr>
      <w:r>
        <w:rPr>
          <w:noProof/>
        </w:rPr>
        <w:t xml:space="preserve">Key natural gas indicators for </w:t>
      </w:r>
      <w:r>
        <w:rPr>
          <w:noProof/>
          <w:lang w:eastAsia="en-GB"/>
        </w:rPr>
        <w:t>wall and floor tiles</w:t>
      </w:r>
      <w:r>
        <w:rPr>
          <w:noProof/>
        </w:rPr>
        <w:t xml:space="preserve"> are presented in </w:t>
      </w:r>
      <w:r>
        <w:rPr>
          <w:noProof/>
        </w:rPr>
        <w:fldChar w:fldCharType="begin"/>
      </w:r>
      <w:r>
        <w:rPr>
          <w:noProof/>
        </w:rPr>
        <w:instrText xml:space="preserve"> REF _Ref528681456 \h </w:instrText>
      </w:r>
      <w:r>
        <w:rPr>
          <w:noProof/>
        </w:rPr>
      </w:r>
      <w:r>
        <w:rPr>
          <w:noProof/>
        </w:rPr>
        <w:fldChar w:fldCharType="separate"/>
      </w:r>
      <w:r>
        <w:rPr>
          <w:noProof/>
        </w:rPr>
        <w:t>Table 21</w:t>
      </w:r>
      <w:r>
        <w:rPr>
          <w:noProof/>
        </w:rPr>
        <w:fldChar w:fldCharType="end"/>
      </w:r>
      <w:r>
        <w:rPr>
          <w:noProof/>
        </w:rPr>
        <w:t>.</w:t>
      </w:r>
    </w:p>
    <w:p>
      <w:pPr>
        <w:rPr>
          <w:noProof/>
          <w:lang w:eastAsia="en-GB"/>
        </w:rPr>
      </w:pPr>
      <w:r>
        <w:rPr>
          <w:noProof/>
          <w:lang w:eastAsia="en-GB"/>
        </w:rPr>
        <w:t>Natural gas prices and costs fluctuated throughout the period under observation, declining significantly in 2016 and 2017 owing to a decrease (in absolute value) in the energy component of the gas price.</w:t>
      </w:r>
    </w:p>
    <w:p>
      <w:pPr>
        <w:rPr>
          <w:noProof/>
          <w:lang w:eastAsia="en-GB"/>
        </w:rPr>
      </w:pPr>
      <w:r>
        <w:rPr>
          <w:noProof/>
          <w:lang w:eastAsia="en-GB"/>
        </w:rPr>
        <w:t>After peaking in 2013 (33 EUR/MWh), EU average natural gas prices (</w:t>
      </w:r>
      <w:r>
        <w:rPr>
          <w:noProof/>
          <w:lang w:eastAsia="en-GB"/>
        </w:rPr>
        <w:fldChar w:fldCharType="begin"/>
      </w:r>
      <w:r>
        <w:rPr>
          <w:noProof/>
          <w:lang w:eastAsia="en-GB"/>
        </w:rPr>
        <w:instrText xml:space="preserve"> REF _Ref528682747 \h </w:instrText>
      </w:r>
      <w:r>
        <w:rPr>
          <w:noProof/>
          <w:lang w:eastAsia="en-GB"/>
        </w:rPr>
      </w:r>
      <w:r>
        <w:rPr>
          <w:noProof/>
          <w:lang w:eastAsia="en-GB"/>
        </w:rPr>
        <w:fldChar w:fldCharType="separate"/>
      </w:r>
      <w:r>
        <w:rPr>
          <w:noProof/>
        </w:rPr>
        <w:t>Figure 58</w:t>
      </w:r>
      <w:r>
        <w:rPr>
          <w:noProof/>
          <w:lang w:eastAsia="en-GB"/>
        </w:rPr>
        <w:fldChar w:fldCharType="end"/>
      </w:r>
      <w:r>
        <w:rPr>
          <w:noProof/>
          <w:lang w:eastAsia="en-GB"/>
        </w:rPr>
        <w:t xml:space="preserve">) decreased sharply down to about 22 EUR/MWh (in 2017). As shown in </w:t>
      </w:r>
      <w:r>
        <w:rPr>
          <w:noProof/>
          <w:lang w:eastAsia="en-GB"/>
        </w:rPr>
        <w:fldChar w:fldCharType="begin"/>
      </w:r>
      <w:r>
        <w:rPr>
          <w:noProof/>
          <w:lang w:eastAsia="en-GB"/>
        </w:rPr>
        <w:instrText xml:space="preserve"> REF _Ref529378027 \h </w:instrText>
      </w:r>
      <w:r>
        <w:rPr>
          <w:noProof/>
          <w:lang w:eastAsia="en-GB"/>
        </w:rPr>
      </w:r>
      <w:r>
        <w:rPr>
          <w:noProof/>
          <w:lang w:eastAsia="en-GB"/>
        </w:rPr>
        <w:fldChar w:fldCharType="separate"/>
      </w:r>
      <w:r>
        <w:rPr>
          <w:noProof/>
        </w:rPr>
        <w:t>Figure 59</w:t>
      </w:r>
      <w:r>
        <w:rPr>
          <w:noProof/>
          <w:lang w:eastAsia="en-GB"/>
        </w:rPr>
        <w:fldChar w:fldCharType="end"/>
      </w:r>
      <w:r>
        <w:rPr>
          <w:noProof/>
          <w:lang w:eastAsia="en-GB"/>
        </w:rPr>
        <w:t>, the natural gas price is made up mostly by the energy component (81% in 2017), though this share tends to decrease over time. Unlike in the bricks and roof tiles sector, larger consumers did not face lower natural gas prices. Only a few plants relied on the wholesale market to purchase natural gas. Given that there is no natural gas self-generation and only few plants participated in interruptibility schemes, with very limited compensation compared to total natural gas costs, it results that natural gas prices and costs in EUR/MWh are the same.</w:t>
      </w:r>
    </w:p>
    <w:p>
      <w:pPr>
        <w:rPr>
          <w:noProof/>
          <w:lang w:eastAsia="en-GB"/>
        </w:rPr>
      </w:pPr>
      <w:r>
        <w:rPr>
          <w:noProof/>
          <w:lang w:eastAsia="en-GB"/>
        </w:rPr>
        <w:t>EU average natural gas costs (in EUR/tonne) ranged between 36 and 51 EUR/tonne between 2008 and 2017 (</w:t>
      </w:r>
      <w:r>
        <w:rPr>
          <w:noProof/>
          <w:lang w:eastAsia="en-GB"/>
        </w:rPr>
        <w:fldChar w:fldCharType="begin"/>
      </w:r>
      <w:r>
        <w:rPr>
          <w:noProof/>
          <w:lang w:eastAsia="en-GB"/>
        </w:rPr>
        <w:instrText xml:space="preserve"> REF _Ref524532757 \h </w:instrText>
      </w:r>
      <w:r>
        <w:rPr>
          <w:noProof/>
          <w:lang w:eastAsia="en-GB"/>
        </w:rPr>
      </w:r>
      <w:r>
        <w:rPr>
          <w:noProof/>
          <w:lang w:eastAsia="en-GB"/>
        </w:rPr>
        <w:fldChar w:fldCharType="separate"/>
      </w:r>
      <w:r>
        <w:rPr>
          <w:noProof/>
        </w:rPr>
        <w:t>Figure 60</w:t>
      </w:r>
      <w:r>
        <w:rPr>
          <w:noProof/>
          <w:lang w:eastAsia="en-GB"/>
        </w:rPr>
        <w:fldChar w:fldCharType="end"/>
      </w:r>
      <w:r>
        <w:rPr>
          <w:noProof/>
          <w:lang w:eastAsia="en-GB"/>
        </w:rPr>
        <w:t>). They decreased sharply to less than 40 EUR/tonne in 2016 and 2017. It should be noted that larger plants actually incurred higher costs (weighted average by production output is slightly above simple average), which indicates that natural gas costs were mostly affected by plant-specific features (e.g. the type of output produced) rather than by economies of scale and/or bargaining power of larger consumers.</w:t>
      </w:r>
    </w:p>
    <w:p>
      <w:pPr>
        <w:rPr>
          <w:noProof/>
          <w:lang w:eastAsia="en-GB"/>
        </w:rPr>
      </w:pPr>
      <w:r>
        <w:rPr>
          <w:noProof/>
          <w:lang w:eastAsia="en-GB"/>
        </w:rPr>
        <w:t>EU average natural gas intensity in the wall and floor tiles sector (</w:t>
      </w:r>
      <w:r>
        <w:rPr>
          <w:noProof/>
          <w:lang w:eastAsia="en-GB"/>
        </w:rPr>
        <w:fldChar w:fldCharType="begin"/>
      </w:r>
      <w:r>
        <w:rPr>
          <w:noProof/>
          <w:lang w:eastAsia="en-GB"/>
        </w:rPr>
        <w:instrText xml:space="preserve"> REF _Ref524532764 \h </w:instrText>
      </w:r>
      <w:r>
        <w:rPr>
          <w:noProof/>
          <w:lang w:eastAsia="en-GB"/>
        </w:rPr>
      </w:r>
      <w:r>
        <w:rPr>
          <w:noProof/>
          <w:lang w:eastAsia="en-GB"/>
        </w:rPr>
        <w:fldChar w:fldCharType="separate"/>
      </w:r>
      <w:r>
        <w:rPr>
          <w:noProof/>
        </w:rPr>
        <w:t>Figure 61</w:t>
      </w:r>
      <w:r>
        <w:rPr>
          <w:noProof/>
          <w:lang w:eastAsia="en-GB"/>
        </w:rPr>
        <w:fldChar w:fldCharType="end"/>
      </w:r>
      <w:r>
        <w:rPr>
          <w:noProof/>
          <w:lang w:eastAsia="en-GB"/>
        </w:rPr>
        <w:t>) decreased over the 10 years, declining from 1.8 MWh/tonne in 2008 to 1.6 MWh/tonne in 2017 (apparent efficiency gain of 14% over 10 years). We do not observe any difference between smaller and larger producers in terms or natural gas intensity (no economies of scale linked to natural gas usage in this sector).</w:t>
      </w:r>
    </w:p>
    <w:p>
      <w:pPr>
        <w:rPr>
          <w:noProof/>
          <w:lang w:eastAsia="en-GB"/>
        </w:rPr>
      </w:pPr>
    </w:p>
    <w:p>
      <w:pPr>
        <w:pStyle w:val="Heading3"/>
        <w:rPr>
          <w:noProof/>
        </w:rPr>
      </w:pPr>
      <w:bookmarkStart w:id="313" w:name="_Toc526434059"/>
      <w:bookmarkStart w:id="314" w:name="_Toc526436003"/>
      <w:bookmarkStart w:id="315" w:name="_Toc527544428"/>
      <w:bookmarkStart w:id="316" w:name="_Toc530741667"/>
      <w:r>
        <w:rPr>
          <w:noProof/>
        </w:rPr>
        <w:t>Competitiveness</w:t>
      </w:r>
      <w:bookmarkEnd w:id="313"/>
      <w:bookmarkEnd w:id="314"/>
      <w:bookmarkEnd w:id="315"/>
      <w:bookmarkEnd w:id="316"/>
    </w:p>
    <w:p>
      <w:pPr>
        <w:rPr>
          <w:noProof/>
          <w:lang w:eastAsia="en-GB"/>
        </w:rPr>
      </w:pPr>
      <w:r>
        <w:rPr>
          <w:noProof/>
          <w:lang w:eastAsia="en-GB"/>
        </w:rPr>
        <w:t>Between 2008 and 2017, natural gas and electricity costs represented 7-17% and 4-7% of total production costs, respectively (</w:t>
      </w:r>
      <w:r>
        <w:rPr>
          <w:noProof/>
          <w:lang w:eastAsia="en-GB"/>
        </w:rPr>
        <w:fldChar w:fldCharType="begin"/>
      </w:r>
      <w:r>
        <w:rPr>
          <w:noProof/>
          <w:lang w:eastAsia="en-GB"/>
        </w:rPr>
        <w:instrText xml:space="preserve"> REF _Ref528681516 \h </w:instrText>
      </w:r>
      <w:r>
        <w:rPr>
          <w:noProof/>
          <w:lang w:eastAsia="en-GB"/>
        </w:rPr>
      </w:r>
      <w:r>
        <w:rPr>
          <w:noProof/>
          <w:lang w:eastAsia="en-GB"/>
        </w:rPr>
        <w:fldChar w:fldCharType="separate"/>
      </w:r>
      <w:r>
        <w:rPr>
          <w:noProof/>
        </w:rPr>
        <w:t>Table 22</w:t>
      </w:r>
      <w:r>
        <w:rPr>
          <w:noProof/>
          <w:lang w:eastAsia="en-GB"/>
        </w:rPr>
        <w:fldChar w:fldCharType="end"/>
      </w:r>
      <w:r>
        <w:rPr>
          <w:noProof/>
          <w:lang w:eastAsia="en-GB"/>
        </w:rPr>
        <w:t>). The share of total energy (natural gas + electricity) costs in production costs decreased from 25% in 2008 to 11% in 2017. This sharp decrease results from the fact that in absolute terms production costs per output followed a rising trend (+77%) whereas energy costs per output decreased (-23%) over the period. One key feature of this sector is that economies of scale play a limited role. Indeed the size of the wall and floor tile producers does not influence their energy costs per output (simple and weighted – by production output – averages are the same), whereas larger producers actually incur higher total production costs per output (weighted average by production output is higher than simple average). The output produced is quite diverse in this sector, leading to plant specific costs, which at the end may explain this counterintuitive result.</w:t>
      </w:r>
    </w:p>
    <w:p>
      <w:pPr>
        <w:rPr>
          <w:noProof/>
          <w:lang w:eastAsia="en-GB"/>
        </w:rPr>
      </w:pPr>
      <w:r>
        <w:rPr>
          <w:noProof/>
          <w:lang w:eastAsia="en-GB"/>
        </w:rPr>
        <w:t>It is not possible to draw conclusions on the impact of electricity and natural gas costs on profitability. We can observe a sharp increase in EBITDA in 2016 and 2017 (</w:t>
      </w:r>
      <w:r>
        <w:rPr>
          <w:noProof/>
          <w:lang w:eastAsia="en-GB"/>
        </w:rPr>
        <w:fldChar w:fldCharType="begin"/>
      </w:r>
      <w:r>
        <w:rPr>
          <w:noProof/>
          <w:lang w:eastAsia="en-GB"/>
        </w:rPr>
        <w:instrText xml:space="preserve"> REF _Ref524532783 \h </w:instrText>
      </w:r>
      <w:r>
        <w:rPr>
          <w:noProof/>
          <w:lang w:eastAsia="en-GB"/>
        </w:rPr>
      </w:r>
      <w:r>
        <w:rPr>
          <w:noProof/>
          <w:lang w:eastAsia="en-GB"/>
        </w:rPr>
        <w:fldChar w:fldCharType="separate"/>
      </w:r>
      <w:r>
        <w:rPr>
          <w:noProof/>
        </w:rPr>
        <w:t>Figure 62</w:t>
      </w:r>
      <w:r>
        <w:rPr>
          <w:noProof/>
          <w:lang w:eastAsia="en-GB"/>
        </w:rPr>
        <w:fldChar w:fldCharType="end"/>
      </w:r>
      <w:r>
        <w:rPr>
          <w:noProof/>
          <w:lang w:eastAsia="en-GB"/>
        </w:rPr>
        <w:t>), but this margin increase is partially influenced by the different composition of the sample in those years compared to the 2008-2015 period. It is worth emphasising that except between 2015-2017, energy costs were higher than EBITDA, which shows the importance of energy costs in this sector as regards competitiveness issues.</w:t>
      </w:r>
    </w:p>
    <w:p>
      <w:pPr>
        <w:rPr>
          <w:noProof/>
          <w:lang w:eastAsia="en-GB"/>
        </w:rPr>
      </w:pPr>
    </w:p>
    <w:p>
      <w:pPr>
        <w:spacing w:after="0"/>
        <w:jc w:val="left"/>
        <w:rPr>
          <w:rFonts w:eastAsia="Times New Roman"/>
          <w:b/>
          <w:bCs/>
          <w:noProof/>
          <w:color w:val="000000"/>
          <w:sz w:val="32"/>
          <w:szCs w:val="32"/>
          <w:lang w:eastAsia="en-GB"/>
        </w:rPr>
      </w:pPr>
      <w:bookmarkStart w:id="317" w:name="_Toc526434060"/>
      <w:bookmarkStart w:id="318" w:name="_Toc526436004"/>
      <w:bookmarkStart w:id="319" w:name="_Toc527544429"/>
      <w:r>
        <w:rPr>
          <w:noProof/>
          <w:lang w:eastAsia="en-GB"/>
        </w:rPr>
        <w:br w:type="page"/>
      </w:r>
    </w:p>
    <w:p>
      <w:pPr>
        <w:pStyle w:val="Heading3"/>
        <w:rPr>
          <w:noProof/>
        </w:rPr>
      </w:pPr>
      <w:bookmarkStart w:id="320" w:name="_Toc530741668"/>
      <w:r>
        <w:rPr>
          <w:noProof/>
        </w:rPr>
        <w:t>Tables and graphs</w:t>
      </w:r>
      <w:bookmarkEnd w:id="317"/>
      <w:bookmarkEnd w:id="318"/>
      <w:bookmarkEnd w:id="319"/>
      <w:bookmarkEnd w:id="320"/>
    </w:p>
    <w:p>
      <w:pPr>
        <w:rPr>
          <w:b/>
          <w:i/>
          <w:noProof/>
          <w:lang w:eastAsia="en-GB"/>
        </w:rPr>
      </w:pPr>
      <w:r>
        <w:rPr>
          <w:b/>
          <w:i/>
          <w:noProof/>
          <w:lang w:eastAsia="en-GB"/>
        </w:rPr>
        <w:t>Electricity</w:t>
      </w:r>
    </w:p>
    <w:p>
      <w:pPr>
        <w:pStyle w:val="Caption"/>
      </w:pPr>
      <w:bookmarkStart w:id="321" w:name="_Ref528681435"/>
      <w:bookmarkStart w:id="322" w:name="_Toc526433357"/>
      <w:bookmarkStart w:id="323" w:name="_Toc526433625"/>
      <w:bookmarkStart w:id="324" w:name="_Toc526435567"/>
      <w:bookmarkStart w:id="325" w:name="_Toc527544795"/>
      <w:bookmarkStart w:id="326" w:name="_Toc530741813"/>
      <w:r>
        <w:t xml:space="preserve">Table </w:t>
      </w:r>
      <w:r>
        <w:fldChar w:fldCharType="begin"/>
      </w:r>
      <w:r>
        <w:instrText xml:space="preserve"> SEQ Table \* ARABIC </w:instrText>
      </w:r>
      <w:r>
        <w:fldChar w:fldCharType="separate"/>
      </w:r>
      <w:r>
        <w:t>20</w:t>
      </w:r>
      <w:r>
        <w:fldChar w:fldCharType="end"/>
      </w:r>
      <w:bookmarkEnd w:id="321"/>
      <w:r>
        <w:t>.</w:t>
      </w:r>
      <w:bookmarkEnd w:id="322"/>
      <w:r>
        <w:t xml:space="preserve"> Key electricity indicators of </w:t>
      </w:r>
      <w:r>
        <w:rPr>
          <w:lang w:eastAsia="en-GB"/>
        </w:rPr>
        <w:t>wall and floor tile</w:t>
      </w:r>
      <w:r>
        <w:t xml:space="preserve"> production</w:t>
      </w:r>
      <w:r>
        <w:rPr>
          <w:rFonts w:eastAsia="Times New Roman"/>
          <w:color w:val="000000"/>
          <w:lang w:eastAsia="en-GB"/>
        </w:rPr>
        <w:t xml:space="preserve"> </w:t>
      </w:r>
      <w:r>
        <w:t>(EU averages)</w:t>
      </w:r>
      <w:bookmarkEnd w:id="323"/>
      <w:bookmarkEnd w:id="324"/>
      <w:bookmarkEnd w:id="325"/>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tblHeader/>
          <w:jc w:val="center"/>
        </w:trPr>
        <w:tc>
          <w:tcPr>
            <w:tcW w:w="86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39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67.4</w:t>
            </w:r>
          </w:p>
        </w:tc>
        <w:tc>
          <w:tcPr>
            <w:tcW w:w="43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68.9</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67.9</w:t>
            </w:r>
          </w:p>
        </w:tc>
        <w:tc>
          <w:tcPr>
            <w:tcW w:w="41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91.7</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83.1</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77.1</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69.7</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72.0</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66.5</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69.3</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393" w:type="pct"/>
            <w:shd w:val="clear" w:color="auto" w:fill="auto"/>
            <w:noWrap/>
            <w:vAlign w:val="center"/>
            <w:hideMark/>
          </w:tcPr>
          <w:p>
            <w:pPr>
              <w:spacing w:before="60" w:after="60"/>
              <w:jc w:val="center"/>
              <w:rPr>
                <w:noProof/>
                <w:sz w:val="20"/>
                <w:szCs w:val="16"/>
                <w:lang w:eastAsia="it-IT"/>
              </w:rPr>
            </w:pPr>
            <w:r>
              <w:rPr>
                <w:noProof/>
                <w:sz w:val="20"/>
                <w:szCs w:val="16"/>
              </w:rPr>
              <w:t>64.0</w:t>
            </w:r>
          </w:p>
        </w:tc>
        <w:tc>
          <w:tcPr>
            <w:tcW w:w="435" w:type="pct"/>
            <w:shd w:val="clear" w:color="auto" w:fill="auto"/>
            <w:noWrap/>
            <w:vAlign w:val="center"/>
            <w:hideMark/>
          </w:tcPr>
          <w:p>
            <w:pPr>
              <w:spacing w:before="60" w:after="60"/>
              <w:jc w:val="center"/>
              <w:rPr>
                <w:noProof/>
                <w:sz w:val="20"/>
                <w:szCs w:val="16"/>
                <w:lang w:eastAsia="it-IT"/>
              </w:rPr>
            </w:pPr>
            <w:r>
              <w:rPr>
                <w:noProof/>
                <w:sz w:val="20"/>
                <w:szCs w:val="16"/>
              </w:rPr>
              <w:t>67.9</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66.3</w:t>
            </w:r>
          </w:p>
        </w:tc>
        <w:tc>
          <w:tcPr>
            <w:tcW w:w="415" w:type="pct"/>
            <w:shd w:val="clear" w:color="auto" w:fill="auto"/>
            <w:noWrap/>
            <w:vAlign w:val="center"/>
            <w:hideMark/>
          </w:tcPr>
          <w:p>
            <w:pPr>
              <w:spacing w:before="60" w:after="60"/>
              <w:jc w:val="center"/>
              <w:rPr>
                <w:noProof/>
                <w:sz w:val="20"/>
                <w:szCs w:val="16"/>
                <w:lang w:eastAsia="it-IT"/>
              </w:rPr>
            </w:pPr>
            <w:r>
              <w:rPr>
                <w:noProof/>
                <w:sz w:val="20"/>
                <w:szCs w:val="16"/>
              </w:rPr>
              <w:t>73.4</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70.0</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75.0</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65.2</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64.7</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60.3</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65.2</w:t>
            </w:r>
          </w:p>
        </w:tc>
      </w:tr>
      <w:tr>
        <w:trPr>
          <w:trHeight w:val="244"/>
          <w:jc w:val="center"/>
        </w:trPr>
        <w:tc>
          <w:tcPr>
            <w:tcW w:w="862"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393" w:type="pct"/>
            <w:shd w:val="clear" w:color="auto" w:fill="CEEBE6"/>
            <w:noWrap/>
            <w:vAlign w:val="center"/>
            <w:hideMark/>
          </w:tcPr>
          <w:p>
            <w:pPr>
              <w:spacing w:before="60" w:after="60"/>
              <w:jc w:val="center"/>
              <w:rPr>
                <w:noProof/>
                <w:sz w:val="20"/>
                <w:szCs w:val="16"/>
                <w:lang w:eastAsia="it-IT"/>
              </w:rPr>
            </w:pPr>
            <w:r>
              <w:rPr>
                <w:noProof/>
                <w:sz w:val="20"/>
                <w:szCs w:val="16"/>
              </w:rPr>
              <w:t>12.0</w:t>
            </w:r>
          </w:p>
        </w:tc>
        <w:tc>
          <w:tcPr>
            <w:tcW w:w="435" w:type="pct"/>
            <w:shd w:val="clear" w:color="auto" w:fill="CEEBE6"/>
            <w:noWrap/>
            <w:vAlign w:val="center"/>
            <w:hideMark/>
          </w:tcPr>
          <w:p>
            <w:pPr>
              <w:spacing w:before="60" w:after="60"/>
              <w:jc w:val="center"/>
              <w:rPr>
                <w:noProof/>
                <w:sz w:val="20"/>
                <w:szCs w:val="16"/>
                <w:lang w:eastAsia="it-IT"/>
              </w:rPr>
            </w:pPr>
            <w:r>
              <w:rPr>
                <w:noProof/>
                <w:sz w:val="20"/>
                <w:szCs w:val="16"/>
              </w:rPr>
              <w:t>12.1</w:t>
            </w:r>
          </w:p>
        </w:tc>
        <w:tc>
          <w:tcPr>
            <w:tcW w:w="413" w:type="pct"/>
            <w:shd w:val="clear" w:color="auto" w:fill="CEEBE6"/>
            <w:noWrap/>
            <w:vAlign w:val="center"/>
            <w:hideMark/>
          </w:tcPr>
          <w:p>
            <w:pPr>
              <w:spacing w:before="60" w:after="60"/>
              <w:jc w:val="center"/>
              <w:rPr>
                <w:noProof/>
                <w:sz w:val="20"/>
                <w:szCs w:val="16"/>
                <w:lang w:eastAsia="it-IT"/>
              </w:rPr>
            </w:pPr>
            <w:r>
              <w:rPr>
                <w:noProof/>
                <w:sz w:val="20"/>
                <w:szCs w:val="16"/>
              </w:rPr>
              <w:t>11.1</w:t>
            </w:r>
          </w:p>
        </w:tc>
        <w:tc>
          <w:tcPr>
            <w:tcW w:w="415" w:type="pct"/>
            <w:shd w:val="clear" w:color="auto" w:fill="CEEBE6"/>
            <w:noWrap/>
            <w:vAlign w:val="center"/>
            <w:hideMark/>
          </w:tcPr>
          <w:p>
            <w:pPr>
              <w:spacing w:before="60" w:after="60"/>
              <w:jc w:val="center"/>
              <w:rPr>
                <w:noProof/>
                <w:sz w:val="20"/>
                <w:szCs w:val="16"/>
                <w:lang w:eastAsia="it-IT"/>
              </w:rPr>
            </w:pPr>
            <w:r>
              <w:rPr>
                <w:noProof/>
                <w:sz w:val="20"/>
                <w:szCs w:val="16"/>
              </w:rPr>
              <w:t>12.3</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11.8</w:t>
            </w:r>
          </w:p>
        </w:tc>
        <w:tc>
          <w:tcPr>
            <w:tcW w:w="413" w:type="pct"/>
            <w:shd w:val="clear" w:color="auto" w:fill="CEEBE6"/>
            <w:noWrap/>
            <w:vAlign w:val="center"/>
            <w:hideMark/>
          </w:tcPr>
          <w:p>
            <w:pPr>
              <w:spacing w:before="60" w:after="60"/>
              <w:jc w:val="center"/>
              <w:rPr>
                <w:noProof/>
                <w:sz w:val="20"/>
                <w:szCs w:val="16"/>
                <w:lang w:eastAsia="it-IT"/>
              </w:rPr>
            </w:pPr>
            <w:r>
              <w:rPr>
                <w:noProof/>
                <w:sz w:val="20"/>
                <w:szCs w:val="16"/>
              </w:rPr>
              <w:t>13.4</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11.3</w:t>
            </w:r>
          </w:p>
        </w:tc>
        <w:tc>
          <w:tcPr>
            <w:tcW w:w="413" w:type="pct"/>
            <w:shd w:val="clear" w:color="auto" w:fill="CEEBE6"/>
            <w:noWrap/>
            <w:vAlign w:val="center"/>
            <w:hideMark/>
          </w:tcPr>
          <w:p>
            <w:pPr>
              <w:spacing w:before="60" w:after="60"/>
              <w:jc w:val="center"/>
              <w:rPr>
                <w:noProof/>
                <w:sz w:val="20"/>
                <w:szCs w:val="16"/>
                <w:lang w:eastAsia="it-IT"/>
              </w:rPr>
            </w:pPr>
            <w:r>
              <w:rPr>
                <w:noProof/>
                <w:sz w:val="20"/>
                <w:szCs w:val="16"/>
              </w:rPr>
              <w:t>11.0</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11.4</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10.7</w:t>
            </w:r>
          </w:p>
        </w:tc>
      </w:tr>
      <w:tr>
        <w:trPr>
          <w:trHeight w:val="244"/>
          <w:jc w:val="center"/>
        </w:trPr>
        <w:tc>
          <w:tcPr>
            <w:tcW w:w="862"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393" w:type="pct"/>
            <w:shd w:val="clear" w:color="auto" w:fill="auto"/>
            <w:noWrap/>
            <w:vAlign w:val="center"/>
          </w:tcPr>
          <w:p>
            <w:pPr>
              <w:keepNext/>
              <w:spacing w:before="60" w:after="60"/>
              <w:jc w:val="center"/>
              <w:rPr>
                <w:noProof/>
                <w:sz w:val="20"/>
                <w:szCs w:val="16"/>
                <w:lang w:eastAsia="it-IT"/>
              </w:rPr>
            </w:pPr>
            <w:r>
              <w:rPr>
                <w:noProof/>
                <w:sz w:val="20"/>
                <w:szCs w:val="16"/>
              </w:rPr>
              <w:t>0.19</w:t>
            </w:r>
          </w:p>
        </w:tc>
        <w:tc>
          <w:tcPr>
            <w:tcW w:w="435" w:type="pct"/>
            <w:shd w:val="clear" w:color="auto" w:fill="auto"/>
            <w:noWrap/>
            <w:vAlign w:val="center"/>
          </w:tcPr>
          <w:p>
            <w:pPr>
              <w:keepNext/>
              <w:spacing w:before="60" w:after="60"/>
              <w:jc w:val="center"/>
              <w:rPr>
                <w:noProof/>
                <w:sz w:val="20"/>
                <w:szCs w:val="16"/>
                <w:lang w:eastAsia="it-IT"/>
              </w:rPr>
            </w:pPr>
            <w:r>
              <w:rPr>
                <w:noProof/>
                <w:sz w:val="20"/>
                <w:szCs w:val="16"/>
              </w:rPr>
              <w:t>0.18</w:t>
            </w:r>
          </w:p>
        </w:tc>
        <w:tc>
          <w:tcPr>
            <w:tcW w:w="413"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5"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3" w:type="pct"/>
            <w:shd w:val="clear" w:color="auto" w:fill="auto"/>
            <w:noWrap/>
            <w:vAlign w:val="center"/>
          </w:tcPr>
          <w:p>
            <w:pPr>
              <w:keepNext/>
              <w:spacing w:before="60" w:after="60"/>
              <w:jc w:val="center"/>
              <w:rPr>
                <w:noProof/>
                <w:sz w:val="20"/>
                <w:szCs w:val="16"/>
                <w:lang w:eastAsia="it-IT"/>
              </w:rPr>
            </w:pPr>
            <w:r>
              <w:rPr>
                <w:noProof/>
                <w:sz w:val="20"/>
                <w:szCs w:val="16"/>
              </w:rPr>
              <w:t>0.18</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3"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0.19</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0.18</w:t>
            </w:r>
          </w:p>
        </w:tc>
      </w:tr>
    </w:tbl>
    <w:p>
      <w:pPr>
        <w:pStyle w:val="Sources"/>
        <w:rPr>
          <w:noProof/>
        </w:rPr>
      </w:pPr>
      <w:r>
        <w:rPr>
          <w:noProof/>
        </w:rPr>
        <w:t>Source: CEPS/Ecofys.</w:t>
      </w:r>
    </w:p>
    <w:p>
      <w:pPr>
        <w:rPr>
          <w:noProof/>
        </w:rPr>
      </w:pPr>
    </w:p>
    <w:p>
      <w:pPr>
        <w:pStyle w:val="Caption"/>
        <w:rPr>
          <w:rFonts w:eastAsia="Times New Roman"/>
          <w:color w:val="000000"/>
          <w:lang w:eastAsia="en-GB"/>
        </w:rPr>
      </w:pPr>
      <w:bookmarkStart w:id="327" w:name="_Ref529376649"/>
      <w:bookmarkStart w:id="328" w:name="_Toc530741747"/>
      <w:r>
        <w:t xml:space="preserve">Figure </w:t>
      </w:r>
      <w:r>
        <w:fldChar w:fldCharType="begin"/>
      </w:r>
      <w:r>
        <w:instrText xml:space="preserve"> SEQ Figure \* ARABIC </w:instrText>
      </w:r>
      <w:r>
        <w:fldChar w:fldCharType="separate"/>
      </w:r>
      <w:r>
        <w:t>54</w:t>
      </w:r>
      <w:r>
        <w:fldChar w:fldCharType="end"/>
      </w:r>
      <w:bookmarkEnd w:id="327"/>
      <w:r>
        <w:t xml:space="preserve">. Components of the EU average electricity price for </w:t>
      </w:r>
      <w:r>
        <w:rPr>
          <w:lang w:eastAsia="en-GB"/>
        </w:rPr>
        <w:t>wall and floor tile</w:t>
      </w:r>
      <w:r>
        <w:t xml:space="preserve"> production (%)</w:t>
      </w:r>
      <w:bookmarkEnd w:id="328"/>
    </w:p>
    <w:p>
      <w:pPr>
        <w:keepNext/>
        <w:rPr>
          <w:noProof/>
        </w:rPr>
      </w:pPr>
      <w:r>
        <w:rPr>
          <w:noProof/>
          <w:lang w:eastAsia="en-GB"/>
        </w:rPr>
        <w:drawing>
          <wp:inline distT="0" distB="0" distL="0" distR="0">
            <wp:extent cx="5753735" cy="25190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329" w:name="_Ref524532729"/>
      <w:bookmarkStart w:id="330" w:name="_Toc526433577"/>
      <w:bookmarkStart w:id="331" w:name="_Toc526433894"/>
      <w:bookmarkStart w:id="332" w:name="_Toc526435836"/>
      <w:bookmarkStart w:id="333" w:name="_Toc527544717"/>
      <w:bookmarkStart w:id="334" w:name="_Toc530741748"/>
      <w:r>
        <w:t xml:space="preserve">Figure </w:t>
      </w:r>
      <w:r>
        <w:fldChar w:fldCharType="begin"/>
      </w:r>
      <w:r>
        <w:instrText xml:space="preserve"> SEQ Figure \* ARABIC </w:instrText>
      </w:r>
      <w:r>
        <w:fldChar w:fldCharType="separate"/>
      </w:r>
      <w:r>
        <w:t>55</w:t>
      </w:r>
      <w:r>
        <w:fldChar w:fldCharType="end"/>
      </w:r>
      <w:bookmarkEnd w:id="329"/>
      <w:r>
        <w:t>.</w:t>
      </w:r>
      <w:bookmarkEnd w:id="330"/>
      <w:r>
        <w:t xml:space="preserve"> </w:t>
      </w:r>
      <w:r>
        <w:rPr>
          <w:rFonts w:eastAsia="Times New Roman"/>
          <w:color w:val="000000"/>
          <w:lang w:eastAsia="en-GB"/>
        </w:rPr>
        <w:t xml:space="preserve">Electricity costs </w:t>
      </w:r>
      <w:r>
        <w:t xml:space="preserve">of </w:t>
      </w:r>
      <w:r>
        <w:rPr>
          <w:lang w:eastAsia="en-GB"/>
        </w:rPr>
        <w:t>wall and floor tile</w:t>
      </w:r>
      <w:r>
        <w:t xml:space="preserve"> production</w:t>
      </w:r>
      <w:r>
        <w:rPr>
          <w:rFonts w:eastAsia="Times New Roman"/>
          <w:color w:val="000000"/>
          <w:lang w:eastAsia="en-GB"/>
        </w:rPr>
        <w:t xml:space="preserve"> (€/MWh)</w:t>
      </w:r>
      <w:bookmarkEnd w:id="331"/>
      <w:bookmarkEnd w:id="332"/>
      <w:bookmarkEnd w:id="333"/>
      <w:bookmarkEnd w:id="334"/>
    </w:p>
    <w:p>
      <w:pPr>
        <w:keepNext/>
        <w:rPr>
          <w:noProof/>
        </w:rPr>
      </w:pPr>
      <w:r>
        <w:rPr>
          <w:noProof/>
          <w:lang w:eastAsia="en-GB"/>
        </w:rPr>
        <w:drawing>
          <wp:inline distT="0" distB="0" distL="0" distR="0">
            <wp:extent cx="5760720" cy="2521822"/>
            <wp:effectExtent l="0" t="0" r="0" b="0"/>
            <wp:docPr id="1449027018" name="Picture 144902701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9"/>
                    <pic:cNvPicPr>
                      <a:picLocks noGrp="1" noRot="1" noChangeAspect="1" noMove="1" noResize="1" noEditPoints="1" noAdjustHandles="1" noChangeArrowheads="1" noChangeShapeType="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335" w:name="_Ref524532740"/>
      <w:bookmarkStart w:id="336" w:name="_Toc526433578"/>
      <w:bookmarkStart w:id="337" w:name="_Toc526433895"/>
      <w:bookmarkStart w:id="338" w:name="_Toc526435837"/>
      <w:bookmarkStart w:id="339" w:name="_Toc527544718"/>
      <w:bookmarkStart w:id="340" w:name="_Toc530741749"/>
      <w:r>
        <w:t xml:space="preserve">Figure </w:t>
      </w:r>
      <w:r>
        <w:fldChar w:fldCharType="begin"/>
      </w:r>
      <w:r>
        <w:instrText xml:space="preserve"> SEQ Figure \* ARABIC </w:instrText>
      </w:r>
      <w:r>
        <w:fldChar w:fldCharType="separate"/>
      </w:r>
      <w:r>
        <w:t>56</w:t>
      </w:r>
      <w:r>
        <w:fldChar w:fldCharType="end"/>
      </w:r>
      <w:bookmarkEnd w:id="335"/>
      <w:r>
        <w:t>.</w:t>
      </w:r>
      <w:bookmarkEnd w:id="336"/>
      <w:r>
        <w:t xml:space="preserve"> </w:t>
      </w:r>
      <w:r>
        <w:rPr>
          <w:rFonts w:eastAsia="Times New Roman"/>
          <w:color w:val="000000"/>
          <w:lang w:eastAsia="en-GB"/>
        </w:rPr>
        <w:t>Electricity costs</w:t>
      </w:r>
      <w:r>
        <w:t xml:space="preserve"> of </w:t>
      </w:r>
      <w:r>
        <w:rPr>
          <w:lang w:eastAsia="en-GB"/>
        </w:rPr>
        <w:t>wall and floor tile</w:t>
      </w:r>
      <w:r>
        <w:t xml:space="preserve"> production</w:t>
      </w:r>
      <w:r>
        <w:rPr>
          <w:rFonts w:eastAsia="Times New Roman"/>
          <w:color w:val="000000"/>
          <w:lang w:eastAsia="en-GB"/>
        </w:rPr>
        <w:t xml:space="preserve"> (€/tonne)</w:t>
      </w:r>
      <w:bookmarkEnd w:id="337"/>
      <w:bookmarkEnd w:id="338"/>
      <w:bookmarkEnd w:id="339"/>
      <w:bookmarkEnd w:id="340"/>
    </w:p>
    <w:p>
      <w:pPr>
        <w:keepNext/>
        <w:rPr>
          <w:b/>
          <w:noProof/>
        </w:rPr>
      </w:pPr>
      <w:r>
        <w:rPr>
          <w:noProof/>
          <w:sz w:val="16"/>
          <w:lang w:eastAsia="en-GB"/>
        </w:rPr>
        <w:drawing>
          <wp:inline distT="0" distB="0" distL="0" distR="0">
            <wp:extent cx="5760720" cy="2521822"/>
            <wp:effectExtent l="0" t="0" r="0" b="0"/>
            <wp:docPr id="456" name="Picture 45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50"/>
                    <pic:cNvPicPr>
                      <a:picLocks noGrp="1" noRot="1" noChangeAspect="1" noMove="1" noResize="1" noEditPoints="1" noAdjustHandles="1" noChangeArrowheads="1" noChangeShapeType="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rPr>
      </w:pPr>
      <w:bookmarkStart w:id="341" w:name="_Ref524532747"/>
      <w:bookmarkStart w:id="342" w:name="_Toc526433579"/>
      <w:bookmarkStart w:id="343" w:name="_Toc526433896"/>
      <w:bookmarkStart w:id="344" w:name="_Toc526435838"/>
      <w:bookmarkStart w:id="345" w:name="_Toc527544719"/>
      <w:bookmarkStart w:id="346" w:name="_Toc530741750"/>
      <w:r>
        <w:t xml:space="preserve">Figure </w:t>
      </w:r>
      <w:r>
        <w:fldChar w:fldCharType="begin"/>
      </w:r>
      <w:r>
        <w:instrText xml:space="preserve"> SEQ Figure \* ARABIC </w:instrText>
      </w:r>
      <w:r>
        <w:fldChar w:fldCharType="separate"/>
      </w:r>
      <w:r>
        <w:t>57</w:t>
      </w:r>
      <w:r>
        <w:fldChar w:fldCharType="end"/>
      </w:r>
      <w:bookmarkEnd w:id="341"/>
      <w:r>
        <w:t>.</w:t>
      </w:r>
      <w:bookmarkEnd w:id="342"/>
      <w:r>
        <w:t xml:space="preserve"> </w:t>
      </w:r>
      <w:r>
        <w:rPr>
          <w:rFonts w:eastAsia="Times New Roman"/>
          <w:color w:val="000000"/>
        </w:rPr>
        <w:t xml:space="preserve">Electricity intensity </w:t>
      </w:r>
      <w:r>
        <w:t>of wall and floor tile production</w:t>
      </w:r>
      <w:r>
        <w:rPr>
          <w:rFonts w:eastAsia="Times New Roman"/>
          <w:color w:val="000000"/>
        </w:rPr>
        <w:t xml:space="preserve"> (MWh/tonne)</w:t>
      </w:r>
      <w:bookmarkEnd w:id="343"/>
      <w:bookmarkEnd w:id="344"/>
      <w:bookmarkEnd w:id="345"/>
      <w:bookmarkEnd w:id="346"/>
    </w:p>
    <w:p>
      <w:pPr>
        <w:keepNext/>
        <w:rPr>
          <w:b/>
          <w:bCs/>
          <w:noProof/>
        </w:rPr>
      </w:pPr>
      <w:r>
        <w:rPr>
          <w:noProof/>
          <w:sz w:val="16"/>
          <w:lang w:eastAsia="en-GB"/>
        </w:rPr>
        <w:drawing>
          <wp:inline distT="0" distB="0" distL="0" distR="0">
            <wp:extent cx="5760720" cy="2521822"/>
            <wp:effectExtent l="0" t="0" r="0" b="0"/>
            <wp:docPr id="1449027019" name="Picture 144902701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75"/>
                    <pic:cNvPicPr>
                      <a:picLocks noGrp="1" noRot="1" noChangeAspect="1" noMove="1" noResize="1" noEditPoints="1" noAdjustHandles="1" noChangeArrowheads="1" noChangeShapeType="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347" w:name="_Ref528681456"/>
      <w:bookmarkStart w:id="348" w:name="_Toc526433626"/>
      <w:bookmarkStart w:id="349" w:name="_Toc526435568"/>
      <w:bookmarkStart w:id="350" w:name="_Toc527544796"/>
      <w:bookmarkStart w:id="351" w:name="_Toc530741814"/>
      <w:r>
        <w:t xml:space="preserve">Table </w:t>
      </w:r>
      <w:r>
        <w:fldChar w:fldCharType="begin"/>
      </w:r>
      <w:r>
        <w:instrText xml:space="preserve"> SEQ Table \* ARABIC </w:instrText>
      </w:r>
      <w:r>
        <w:fldChar w:fldCharType="separate"/>
      </w:r>
      <w:r>
        <w:t>21</w:t>
      </w:r>
      <w:r>
        <w:fldChar w:fldCharType="end"/>
      </w:r>
      <w:bookmarkEnd w:id="347"/>
      <w:r>
        <w:t xml:space="preserve">. Key natural gas indicators of </w:t>
      </w:r>
      <w:r>
        <w:rPr>
          <w:lang w:eastAsia="en-GB"/>
        </w:rPr>
        <w:t>wall and floor tile</w:t>
      </w:r>
      <w:r>
        <w:t xml:space="preserve"> production</w:t>
      </w:r>
      <w:r>
        <w:rPr>
          <w:rFonts w:eastAsia="Times New Roman"/>
          <w:color w:val="000000"/>
          <w:lang w:eastAsia="en-GB"/>
        </w:rPr>
        <w:t xml:space="preserve"> </w:t>
      </w:r>
      <w:r>
        <w:t>(EU averages)</w:t>
      </w:r>
      <w:bookmarkEnd w:id="348"/>
      <w:bookmarkEnd w:id="349"/>
      <w:bookmarkEnd w:id="350"/>
      <w:bookmarkEnd w:id="3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jc w:val="center"/>
        </w:trPr>
        <w:tc>
          <w:tcPr>
            <w:tcW w:w="86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3" w:type="pct"/>
            <w:shd w:val="clear" w:color="auto" w:fill="CEEBE6"/>
            <w:noWrap/>
            <w:vAlign w:val="center"/>
          </w:tcPr>
          <w:p>
            <w:pPr>
              <w:spacing w:before="60" w:after="60"/>
              <w:jc w:val="center"/>
              <w:rPr>
                <w:noProof/>
                <w:sz w:val="20"/>
                <w:szCs w:val="16"/>
                <w:lang w:eastAsia="it-IT"/>
              </w:rPr>
            </w:pPr>
            <w:r>
              <w:rPr>
                <w:bCs/>
                <w:noProof/>
                <w:color w:val="000000"/>
                <w:sz w:val="20"/>
                <w:szCs w:val="16"/>
              </w:rPr>
              <w:t>30.7</w:t>
            </w:r>
          </w:p>
        </w:tc>
        <w:tc>
          <w:tcPr>
            <w:tcW w:w="435" w:type="pct"/>
            <w:shd w:val="clear" w:color="auto" w:fill="CEEBE6"/>
            <w:noWrap/>
            <w:vAlign w:val="center"/>
          </w:tcPr>
          <w:p>
            <w:pPr>
              <w:spacing w:before="60" w:after="60"/>
              <w:jc w:val="center"/>
              <w:rPr>
                <w:noProof/>
                <w:sz w:val="20"/>
                <w:szCs w:val="16"/>
                <w:lang w:eastAsia="it-IT"/>
              </w:rPr>
            </w:pPr>
            <w:r>
              <w:rPr>
                <w:bCs/>
                <w:noProof/>
                <w:color w:val="000000"/>
                <w:sz w:val="20"/>
                <w:szCs w:val="16"/>
              </w:rPr>
              <w:t>26.1</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26.5</w:t>
            </w:r>
          </w:p>
        </w:tc>
        <w:tc>
          <w:tcPr>
            <w:tcW w:w="415" w:type="pct"/>
            <w:shd w:val="clear" w:color="auto" w:fill="CEEBE6"/>
            <w:noWrap/>
            <w:vAlign w:val="center"/>
          </w:tcPr>
          <w:p>
            <w:pPr>
              <w:spacing w:before="60" w:after="60"/>
              <w:jc w:val="center"/>
              <w:rPr>
                <w:noProof/>
                <w:sz w:val="20"/>
                <w:szCs w:val="16"/>
                <w:lang w:eastAsia="it-IT"/>
              </w:rPr>
            </w:pPr>
            <w:r>
              <w:rPr>
                <w:bCs/>
                <w:noProof/>
                <w:color w:val="000000"/>
                <w:sz w:val="20"/>
                <w:szCs w:val="16"/>
              </w:rPr>
              <w:t>26.1</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32.5</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32.7</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30.9</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29.2</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24.1</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22.4</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50.7</w:t>
            </w:r>
          </w:p>
        </w:tc>
        <w:tc>
          <w:tcPr>
            <w:tcW w:w="43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41.8</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42.4</w:t>
            </w:r>
          </w:p>
        </w:tc>
        <w:tc>
          <w:tcPr>
            <w:tcW w:w="41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39.9</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48.8</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47.8</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45.0</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42.2</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39.5</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36.1</w:t>
            </w:r>
          </w:p>
        </w:tc>
      </w:tr>
      <w:tr>
        <w:trPr>
          <w:trHeight w:val="244"/>
          <w:jc w:val="center"/>
        </w:trPr>
        <w:tc>
          <w:tcPr>
            <w:tcW w:w="862" w:type="pct"/>
            <w:shd w:val="clear" w:color="auto" w:fill="CEEBE6"/>
            <w:noWrap/>
            <w:vAlign w:val="center"/>
          </w:tcPr>
          <w:p>
            <w:pPr>
              <w:keepNext/>
              <w:spacing w:before="60" w:after="60"/>
              <w:jc w:val="left"/>
              <w:rPr>
                <w:b/>
                <w:bCs/>
                <w:noProof/>
                <w:sz w:val="20"/>
                <w:szCs w:val="16"/>
              </w:rPr>
            </w:pPr>
            <w:r>
              <w:rPr>
                <w:bCs/>
                <w:noProof/>
                <w:sz w:val="20"/>
                <w:szCs w:val="16"/>
              </w:rPr>
              <w:t>Natural gas intensity (MWh/tonne)</w:t>
            </w:r>
          </w:p>
        </w:tc>
        <w:tc>
          <w:tcPr>
            <w:tcW w:w="393" w:type="pct"/>
            <w:shd w:val="clear" w:color="auto" w:fill="CEEBE6"/>
            <w:noWrap/>
            <w:vAlign w:val="center"/>
          </w:tcPr>
          <w:p>
            <w:pPr>
              <w:spacing w:before="60" w:after="60"/>
              <w:jc w:val="center"/>
              <w:rPr>
                <w:noProof/>
                <w:sz w:val="20"/>
                <w:szCs w:val="16"/>
                <w:lang w:eastAsia="it-IT"/>
              </w:rPr>
            </w:pPr>
            <w:r>
              <w:rPr>
                <w:bCs/>
                <w:noProof/>
                <w:color w:val="000000"/>
                <w:sz w:val="20"/>
                <w:szCs w:val="16"/>
              </w:rPr>
              <w:t>1.82</w:t>
            </w:r>
          </w:p>
        </w:tc>
        <w:tc>
          <w:tcPr>
            <w:tcW w:w="435" w:type="pct"/>
            <w:shd w:val="clear" w:color="auto" w:fill="CEEBE6"/>
            <w:noWrap/>
            <w:vAlign w:val="center"/>
          </w:tcPr>
          <w:p>
            <w:pPr>
              <w:spacing w:before="60" w:after="60"/>
              <w:jc w:val="center"/>
              <w:rPr>
                <w:noProof/>
                <w:sz w:val="20"/>
                <w:szCs w:val="16"/>
                <w:lang w:eastAsia="it-IT"/>
              </w:rPr>
            </w:pPr>
            <w:r>
              <w:rPr>
                <w:bCs/>
                <w:noProof/>
                <w:color w:val="000000"/>
                <w:sz w:val="20"/>
                <w:szCs w:val="16"/>
              </w:rPr>
              <w:t>1.75</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1.66</w:t>
            </w:r>
          </w:p>
        </w:tc>
        <w:tc>
          <w:tcPr>
            <w:tcW w:w="415" w:type="pct"/>
            <w:shd w:val="clear" w:color="auto" w:fill="CEEBE6"/>
            <w:noWrap/>
            <w:vAlign w:val="center"/>
          </w:tcPr>
          <w:p>
            <w:pPr>
              <w:spacing w:before="60" w:after="60"/>
              <w:jc w:val="center"/>
              <w:rPr>
                <w:noProof/>
                <w:sz w:val="20"/>
                <w:szCs w:val="16"/>
                <w:lang w:eastAsia="it-IT"/>
              </w:rPr>
            </w:pPr>
            <w:r>
              <w:rPr>
                <w:bCs/>
                <w:noProof/>
                <w:color w:val="000000"/>
                <w:sz w:val="20"/>
                <w:szCs w:val="16"/>
              </w:rPr>
              <w:t>1.72</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1.63</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1.58</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1.50</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1.48</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1.59</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1.57</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352" w:name="_Ref528682747"/>
      <w:bookmarkStart w:id="353" w:name="_Toc526433897"/>
      <w:bookmarkStart w:id="354" w:name="_Toc526435839"/>
      <w:bookmarkStart w:id="355" w:name="_Toc527544720"/>
      <w:bookmarkStart w:id="356" w:name="_Toc530741751"/>
      <w:r>
        <w:t xml:space="preserve">Figure </w:t>
      </w:r>
      <w:r>
        <w:fldChar w:fldCharType="begin"/>
      </w:r>
      <w:r>
        <w:instrText xml:space="preserve"> SEQ Figure \* ARABIC </w:instrText>
      </w:r>
      <w:r>
        <w:fldChar w:fldCharType="separate"/>
      </w:r>
      <w:r>
        <w:t>58</w:t>
      </w:r>
      <w:r>
        <w:fldChar w:fldCharType="end"/>
      </w:r>
      <w:bookmarkEnd w:id="352"/>
      <w:r>
        <w:t xml:space="preserve">. </w:t>
      </w:r>
      <w:r>
        <w:rPr>
          <w:rFonts w:eastAsia="Times New Roman"/>
          <w:color w:val="000000"/>
          <w:lang w:eastAsia="en-GB"/>
        </w:rPr>
        <w:t>Natural gas prices</w:t>
      </w:r>
      <w:r>
        <w:t xml:space="preserve"> of </w:t>
      </w:r>
      <w:r>
        <w:rPr>
          <w:lang w:eastAsia="en-GB"/>
        </w:rPr>
        <w:t>wall and floor tile</w:t>
      </w:r>
      <w:r>
        <w:t xml:space="preserve"> production</w:t>
      </w:r>
      <w:r>
        <w:rPr>
          <w:rFonts w:eastAsia="Times New Roman"/>
          <w:color w:val="000000"/>
          <w:lang w:eastAsia="en-GB"/>
        </w:rPr>
        <w:t xml:space="preserve"> (€/MWh)</w:t>
      </w:r>
      <w:bookmarkEnd w:id="353"/>
      <w:bookmarkEnd w:id="354"/>
      <w:bookmarkEnd w:id="355"/>
      <w:bookmarkEnd w:id="356"/>
    </w:p>
    <w:p>
      <w:pPr>
        <w:keepNext/>
        <w:rPr>
          <w:b/>
          <w:bCs/>
          <w:noProof/>
        </w:rPr>
      </w:pPr>
      <w:r>
        <w:rPr>
          <w:noProof/>
          <w:lang w:eastAsia="en-GB"/>
        </w:rPr>
        <w:drawing>
          <wp:inline distT="0" distB="0" distL="0" distR="0">
            <wp:extent cx="5760720" cy="2521822"/>
            <wp:effectExtent l="0" t="0" r="0" b="0"/>
            <wp:docPr id="363" name="Picture 36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85"/>
                    <pic:cNvPicPr>
                      <a:picLocks noGrp="1" noRot="1" noChangeAspect="1" noMove="1" noResize="1" noEditPoints="1" noAdjustHandles="1" noChangeArrowheads="1" noChangeShapeType="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bookmarkStart w:id="357" w:name="_Toc526433358"/>
    </w:p>
    <w:p>
      <w:pPr>
        <w:pStyle w:val="Caption"/>
        <w:rPr>
          <w:rFonts w:eastAsia="Times New Roman"/>
          <w:color w:val="000000"/>
          <w:lang w:eastAsia="en-GB"/>
        </w:rPr>
      </w:pPr>
      <w:bookmarkStart w:id="358" w:name="_Ref529378027"/>
      <w:bookmarkStart w:id="359" w:name="_Toc530741752"/>
      <w:r>
        <w:t xml:space="preserve">Figure </w:t>
      </w:r>
      <w:r>
        <w:fldChar w:fldCharType="begin"/>
      </w:r>
      <w:r>
        <w:instrText xml:space="preserve"> SEQ Figure \* ARABIC </w:instrText>
      </w:r>
      <w:r>
        <w:fldChar w:fldCharType="separate"/>
      </w:r>
      <w:r>
        <w:t>59</w:t>
      </w:r>
      <w:r>
        <w:fldChar w:fldCharType="end"/>
      </w:r>
      <w:bookmarkEnd w:id="358"/>
      <w:r>
        <w:t xml:space="preserve">. Components of the EU average natural gas price for </w:t>
      </w:r>
      <w:r>
        <w:rPr>
          <w:lang w:eastAsia="en-GB"/>
        </w:rPr>
        <w:t>wall and floor tile</w:t>
      </w:r>
      <w:r>
        <w:t xml:space="preserve"> production (%)</w:t>
      </w:r>
      <w:bookmarkEnd w:id="359"/>
    </w:p>
    <w:p>
      <w:pPr>
        <w:keepNext/>
        <w:rPr>
          <w:noProof/>
        </w:rPr>
      </w:pPr>
      <w:r>
        <w:rPr>
          <w:noProof/>
          <w:lang w:eastAsia="en-GB"/>
        </w:rPr>
        <w:drawing>
          <wp:inline distT="0" distB="0" distL="0" distR="0">
            <wp:extent cx="5753735" cy="251904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360" w:name="_Ref524532757"/>
      <w:bookmarkStart w:id="361" w:name="_Toc526433580"/>
      <w:bookmarkStart w:id="362" w:name="_Toc526433898"/>
      <w:bookmarkStart w:id="363" w:name="_Toc526435840"/>
      <w:bookmarkStart w:id="364" w:name="_Toc527544721"/>
      <w:bookmarkStart w:id="365" w:name="_Toc530741753"/>
      <w:bookmarkEnd w:id="357"/>
      <w:r>
        <w:t xml:space="preserve">Figure </w:t>
      </w:r>
      <w:r>
        <w:fldChar w:fldCharType="begin"/>
      </w:r>
      <w:r>
        <w:instrText xml:space="preserve"> SEQ Figure \* ARABIC </w:instrText>
      </w:r>
      <w:r>
        <w:fldChar w:fldCharType="separate"/>
      </w:r>
      <w:r>
        <w:t>60</w:t>
      </w:r>
      <w:r>
        <w:fldChar w:fldCharType="end"/>
      </w:r>
      <w:bookmarkEnd w:id="360"/>
      <w:r>
        <w:t>.</w:t>
      </w:r>
      <w:bookmarkEnd w:id="361"/>
      <w:r>
        <w:t xml:space="preserve"> </w:t>
      </w:r>
      <w:r>
        <w:rPr>
          <w:rFonts w:eastAsia="Times New Roman"/>
          <w:color w:val="000000"/>
          <w:lang w:eastAsia="en-GB"/>
        </w:rPr>
        <w:t>Natural gas costs</w:t>
      </w:r>
      <w:r>
        <w:t xml:space="preserve"> of </w:t>
      </w:r>
      <w:r>
        <w:rPr>
          <w:lang w:eastAsia="en-GB"/>
        </w:rPr>
        <w:t>wall and floor tile</w:t>
      </w:r>
      <w:r>
        <w:t xml:space="preserve"> production</w:t>
      </w:r>
      <w:r>
        <w:rPr>
          <w:rFonts w:eastAsia="Times New Roman"/>
          <w:color w:val="000000"/>
          <w:lang w:eastAsia="en-GB"/>
        </w:rPr>
        <w:t xml:space="preserve"> (€/tonne)</w:t>
      </w:r>
      <w:bookmarkEnd w:id="362"/>
      <w:bookmarkEnd w:id="363"/>
      <w:bookmarkEnd w:id="364"/>
      <w:bookmarkEnd w:id="365"/>
    </w:p>
    <w:p>
      <w:pPr>
        <w:keepNext/>
        <w:rPr>
          <w:noProof/>
          <w:lang w:eastAsia="de-DE"/>
        </w:rPr>
      </w:pPr>
      <w:r>
        <w:rPr>
          <w:noProof/>
          <w:lang w:eastAsia="en-GB"/>
        </w:rPr>
        <w:drawing>
          <wp:inline distT="0" distB="0" distL="0" distR="0">
            <wp:extent cx="5764530" cy="2523490"/>
            <wp:effectExtent l="0" t="0" r="7620" b="0"/>
            <wp:docPr id="1449027020" name="Picture 144902702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86"/>
                    <pic:cNvPicPr>
                      <a:picLocks noGrp="1" noRot="1" noChangeAspect="1" noMove="1" noResize="1" noEditPoints="1" noAdjustHandles="1" noChangeArrowheads="1" noChangeShapeType="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453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rPr>
      </w:pPr>
      <w:bookmarkStart w:id="366" w:name="_Ref524532764"/>
      <w:bookmarkStart w:id="367" w:name="_Toc526433581"/>
      <w:bookmarkStart w:id="368" w:name="_Toc526433899"/>
      <w:bookmarkStart w:id="369" w:name="_Toc526435841"/>
      <w:bookmarkStart w:id="370" w:name="_Toc527544722"/>
      <w:bookmarkStart w:id="371" w:name="_Toc530741754"/>
      <w:r>
        <w:t xml:space="preserve">Figure </w:t>
      </w:r>
      <w:r>
        <w:fldChar w:fldCharType="begin"/>
      </w:r>
      <w:r>
        <w:instrText xml:space="preserve"> SEQ Figure \* ARABIC </w:instrText>
      </w:r>
      <w:r>
        <w:fldChar w:fldCharType="separate"/>
      </w:r>
      <w:r>
        <w:t>61</w:t>
      </w:r>
      <w:r>
        <w:fldChar w:fldCharType="end"/>
      </w:r>
      <w:bookmarkStart w:id="372" w:name="_Toc526433582"/>
      <w:bookmarkEnd w:id="366"/>
      <w:r>
        <w:t>.</w:t>
      </w:r>
      <w:bookmarkEnd w:id="367"/>
      <w:bookmarkEnd w:id="372"/>
      <w:r>
        <w:t xml:space="preserve"> </w:t>
      </w:r>
      <w:r>
        <w:rPr>
          <w:rFonts w:eastAsia="Times New Roman"/>
          <w:color w:val="000000"/>
        </w:rPr>
        <w:t xml:space="preserve">Natural gas intensity </w:t>
      </w:r>
      <w:r>
        <w:t>of wall and floor tile production</w:t>
      </w:r>
      <w:r>
        <w:rPr>
          <w:rFonts w:eastAsia="Times New Roman"/>
          <w:color w:val="000000"/>
        </w:rPr>
        <w:t xml:space="preserve"> (MWh/tonne)</w:t>
      </w:r>
      <w:bookmarkEnd w:id="368"/>
      <w:bookmarkEnd w:id="369"/>
      <w:bookmarkEnd w:id="370"/>
      <w:bookmarkEnd w:id="371"/>
    </w:p>
    <w:p>
      <w:pPr>
        <w:keepNext/>
        <w:rPr>
          <w:b/>
          <w:bCs/>
          <w:noProof/>
          <w:lang w:eastAsia="it-IT"/>
        </w:rPr>
      </w:pPr>
      <w:r>
        <w:rPr>
          <w:noProof/>
          <w:lang w:eastAsia="en-GB"/>
        </w:rPr>
        <w:drawing>
          <wp:inline distT="0" distB="0" distL="0" distR="0">
            <wp:extent cx="5760720" cy="2521822"/>
            <wp:effectExtent l="0" t="0" r="0" b="0"/>
            <wp:docPr id="1449027021" name="Picture 144902702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0"/>
                    <pic:cNvPicPr>
                      <a:picLocks noGrp="1" noRot="1" noChangeAspect="1" noMove="1" noResize="1" noEditPoints="1" noAdjustHandles="1" noChangeArrowheads="1" noChangeShapeType="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373" w:name="_Ref528681516"/>
      <w:bookmarkStart w:id="374" w:name="_Toc526433627"/>
      <w:bookmarkStart w:id="375" w:name="_Toc526435569"/>
      <w:bookmarkStart w:id="376" w:name="_Toc527544797"/>
      <w:bookmarkStart w:id="377" w:name="_Toc530741815"/>
      <w:r>
        <w:t xml:space="preserve">Table </w:t>
      </w:r>
      <w:r>
        <w:fldChar w:fldCharType="begin"/>
      </w:r>
      <w:r>
        <w:instrText xml:space="preserve"> SEQ Table \* ARABIC </w:instrText>
      </w:r>
      <w:r>
        <w:fldChar w:fldCharType="separate"/>
      </w:r>
      <w:r>
        <w:t>22</w:t>
      </w:r>
      <w:r>
        <w:fldChar w:fldCharType="end"/>
      </w:r>
      <w:bookmarkEnd w:id="373"/>
      <w:r>
        <w:t xml:space="preserve">. Key competitiveness indicators of </w:t>
      </w:r>
      <w:r>
        <w:rPr>
          <w:lang w:eastAsia="en-GB"/>
        </w:rPr>
        <w:t>wall and floor tile</w:t>
      </w:r>
      <w:r>
        <w:t xml:space="preserve"> production</w:t>
      </w:r>
      <w:r>
        <w:rPr>
          <w:rFonts w:eastAsia="Times New Roman"/>
          <w:color w:val="000000"/>
          <w:lang w:eastAsia="en-GB"/>
        </w:rPr>
        <w:t xml:space="preserve"> </w:t>
      </w:r>
      <w:r>
        <w:t>(EU averages)</w:t>
      </w:r>
      <w:bookmarkEnd w:id="374"/>
      <w:bookmarkEnd w:id="375"/>
      <w:bookmarkEnd w:id="376"/>
      <w:bookmarkEnd w:id="377"/>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53"/>
        <w:gridCol w:w="753"/>
        <w:gridCol w:w="751"/>
        <w:gridCol w:w="751"/>
        <w:gridCol w:w="751"/>
        <w:gridCol w:w="751"/>
        <w:gridCol w:w="751"/>
        <w:gridCol w:w="751"/>
        <w:gridCol w:w="751"/>
        <w:gridCol w:w="749"/>
      </w:tblGrid>
      <w:tr>
        <w:trPr>
          <w:trHeight w:val="244"/>
          <w:tblHeader/>
          <w:jc w:val="center"/>
        </w:trPr>
        <w:tc>
          <w:tcPr>
            <w:tcW w:w="979" w:type="pct"/>
            <w:shd w:val="clear" w:color="auto" w:fill="317C6F"/>
            <w:noWrap/>
            <w:vAlign w:val="center"/>
            <w:hideMark/>
          </w:tcPr>
          <w:p>
            <w:pPr>
              <w:spacing w:before="60" w:after="60"/>
              <w:jc w:val="left"/>
              <w:rPr>
                <w:b/>
                <w:bCs/>
                <w:noProof/>
                <w:color w:val="FFFFFF"/>
                <w:sz w:val="20"/>
                <w:szCs w:val="16"/>
              </w:rPr>
            </w:pPr>
            <w:bookmarkStart w:id="378" w:name="_Toc526433359"/>
            <w:r>
              <w:rPr>
                <w:b/>
                <w:bCs/>
                <w:noProof/>
                <w:color w:val="FFFFFF"/>
                <w:sz w:val="20"/>
                <w:szCs w:val="16"/>
              </w:rPr>
              <w:t>Indicator</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0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7.3</w:t>
            </w:r>
          </w:p>
        </w:tc>
        <w:tc>
          <w:tcPr>
            <w:tcW w:w="403" w:type="pct"/>
            <w:shd w:val="clear" w:color="auto" w:fill="CEEBE6"/>
            <w:noWrap/>
            <w:vAlign w:val="center"/>
          </w:tcPr>
          <w:p>
            <w:pPr>
              <w:spacing w:before="60" w:after="60"/>
              <w:jc w:val="center"/>
              <w:rPr>
                <w:noProof/>
                <w:sz w:val="20"/>
                <w:szCs w:val="16"/>
              </w:rPr>
            </w:pPr>
            <w:r>
              <w:rPr>
                <w:noProof/>
                <w:sz w:val="20"/>
                <w:szCs w:val="16"/>
              </w:rPr>
              <w:t>5.4</w:t>
            </w:r>
          </w:p>
        </w:tc>
        <w:tc>
          <w:tcPr>
            <w:tcW w:w="402" w:type="pct"/>
            <w:shd w:val="clear" w:color="auto" w:fill="CEEBE6"/>
            <w:noWrap/>
            <w:vAlign w:val="center"/>
          </w:tcPr>
          <w:p>
            <w:pPr>
              <w:spacing w:before="60" w:after="60"/>
              <w:jc w:val="center"/>
              <w:rPr>
                <w:noProof/>
                <w:sz w:val="20"/>
                <w:szCs w:val="16"/>
              </w:rPr>
            </w:pPr>
            <w:r>
              <w:rPr>
                <w:noProof/>
                <w:sz w:val="20"/>
                <w:szCs w:val="16"/>
              </w:rPr>
              <w:t>6.9</w:t>
            </w:r>
          </w:p>
        </w:tc>
        <w:tc>
          <w:tcPr>
            <w:tcW w:w="402" w:type="pct"/>
            <w:shd w:val="clear" w:color="auto" w:fill="CEEBE6"/>
            <w:noWrap/>
            <w:vAlign w:val="center"/>
          </w:tcPr>
          <w:p>
            <w:pPr>
              <w:spacing w:before="60" w:after="60"/>
              <w:jc w:val="center"/>
              <w:rPr>
                <w:noProof/>
                <w:sz w:val="20"/>
                <w:szCs w:val="16"/>
              </w:rPr>
            </w:pPr>
            <w:r>
              <w:rPr>
                <w:noProof/>
                <w:sz w:val="20"/>
                <w:szCs w:val="16"/>
              </w:rPr>
              <w:t>6.3</w:t>
            </w:r>
          </w:p>
        </w:tc>
        <w:tc>
          <w:tcPr>
            <w:tcW w:w="402" w:type="pct"/>
            <w:shd w:val="clear" w:color="auto" w:fill="CEEBE6"/>
            <w:noWrap/>
            <w:vAlign w:val="center"/>
          </w:tcPr>
          <w:p>
            <w:pPr>
              <w:spacing w:before="60" w:after="60"/>
              <w:jc w:val="center"/>
              <w:rPr>
                <w:noProof/>
                <w:sz w:val="20"/>
                <w:szCs w:val="16"/>
              </w:rPr>
            </w:pPr>
            <w:r>
              <w:rPr>
                <w:noProof/>
                <w:sz w:val="20"/>
                <w:szCs w:val="16"/>
              </w:rPr>
              <w:t>6.4</w:t>
            </w:r>
          </w:p>
        </w:tc>
        <w:tc>
          <w:tcPr>
            <w:tcW w:w="402" w:type="pct"/>
            <w:shd w:val="clear" w:color="auto" w:fill="CEEBE6"/>
            <w:noWrap/>
            <w:vAlign w:val="center"/>
          </w:tcPr>
          <w:p>
            <w:pPr>
              <w:spacing w:before="60" w:after="60"/>
              <w:jc w:val="center"/>
              <w:rPr>
                <w:noProof/>
                <w:sz w:val="20"/>
                <w:szCs w:val="16"/>
              </w:rPr>
            </w:pPr>
            <w:r>
              <w:rPr>
                <w:noProof/>
                <w:sz w:val="20"/>
                <w:szCs w:val="16"/>
              </w:rPr>
              <w:t>7.0</w:t>
            </w:r>
          </w:p>
        </w:tc>
        <w:tc>
          <w:tcPr>
            <w:tcW w:w="402" w:type="pct"/>
            <w:shd w:val="clear" w:color="auto" w:fill="CEEBE6"/>
            <w:noWrap/>
            <w:vAlign w:val="center"/>
          </w:tcPr>
          <w:p>
            <w:pPr>
              <w:spacing w:before="60" w:after="60"/>
              <w:jc w:val="center"/>
              <w:rPr>
                <w:noProof/>
                <w:sz w:val="20"/>
                <w:szCs w:val="16"/>
              </w:rPr>
            </w:pPr>
            <w:r>
              <w:rPr>
                <w:noProof/>
                <w:sz w:val="20"/>
                <w:szCs w:val="16"/>
              </w:rPr>
              <w:t>6.3</w:t>
            </w:r>
          </w:p>
        </w:tc>
        <w:tc>
          <w:tcPr>
            <w:tcW w:w="402" w:type="pct"/>
            <w:shd w:val="clear" w:color="auto" w:fill="CEEBE6"/>
            <w:noWrap/>
            <w:vAlign w:val="center"/>
          </w:tcPr>
          <w:p>
            <w:pPr>
              <w:spacing w:before="60" w:after="60"/>
              <w:jc w:val="center"/>
              <w:rPr>
                <w:noProof/>
                <w:sz w:val="20"/>
                <w:szCs w:val="16"/>
              </w:rPr>
            </w:pPr>
            <w:r>
              <w:rPr>
                <w:noProof/>
                <w:sz w:val="20"/>
                <w:szCs w:val="16"/>
              </w:rPr>
              <w:t>6.1</w:t>
            </w:r>
          </w:p>
        </w:tc>
        <w:tc>
          <w:tcPr>
            <w:tcW w:w="402" w:type="pct"/>
            <w:shd w:val="clear" w:color="auto" w:fill="CEEBE6"/>
            <w:noWrap/>
            <w:vAlign w:val="center"/>
          </w:tcPr>
          <w:p>
            <w:pPr>
              <w:spacing w:before="60" w:after="60"/>
              <w:jc w:val="center"/>
              <w:rPr>
                <w:noProof/>
                <w:sz w:val="20"/>
                <w:szCs w:val="16"/>
              </w:rPr>
            </w:pPr>
            <w:r>
              <w:rPr>
                <w:noProof/>
                <w:sz w:val="20"/>
                <w:szCs w:val="16"/>
              </w:rPr>
              <w:t>5.2</w:t>
            </w:r>
          </w:p>
        </w:tc>
        <w:tc>
          <w:tcPr>
            <w:tcW w:w="401" w:type="pct"/>
            <w:shd w:val="clear" w:color="auto" w:fill="CEEBE6"/>
            <w:noWrap/>
            <w:vAlign w:val="center"/>
          </w:tcPr>
          <w:p>
            <w:pPr>
              <w:spacing w:before="60" w:after="60"/>
              <w:jc w:val="center"/>
              <w:rPr>
                <w:noProof/>
                <w:sz w:val="20"/>
                <w:szCs w:val="16"/>
              </w:rPr>
            </w:pPr>
            <w:r>
              <w:rPr>
                <w:noProof/>
                <w:sz w:val="20"/>
                <w:szCs w:val="16"/>
              </w:rPr>
              <w:t>3.8</w:t>
            </w:r>
          </w:p>
        </w:tc>
      </w:tr>
      <w:tr>
        <w:trPr>
          <w:trHeight w:val="244"/>
          <w:jc w:val="center"/>
        </w:trPr>
        <w:tc>
          <w:tcPr>
            <w:tcW w:w="979"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03" w:type="pct"/>
            <w:shd w:val="clear" w:color="auto" w:fill="auto"/>
            <w:noWrap/>
            <w:vAlign w:val="center"/>
          </w:tcPr>
          <w:p>
            <w:pPr>
              <w:spacing w:before="60" w:after="60"/>
              <w:jc w:val="center"/>
              <w:rPr>
                <w:noProof/>
                <w:sz w:val="20"/>
                <w:szCs w:val="16"/>
              </w:rPr>
            </w:pPr>
            <w:r>
              <w:rPr>
                <w:noProof/>
                <w:sz w:val="20"/>
                <w:szCs w:val="16"/>
              </w:rPr>
              <w:t>17.4</w:t>
            </w:r>
          </w:p>
        </w:tc>
        <w:tc>
          <w:tcPr>
            <w:tcW w:w="403" w:type="pct"/>
            <w:shd w:val="clear" w:color="auto" w:fill="auto"/>
            <w:noWrap/>
            <w:vAlign w:val="center"/>
          </w:tcPr>
          <w:p>
            <w:pPr>
              <w:spacing w:before="60" w:after="60"/>
              <w:jc w:val="center"/>
              <w:rPr>
                <w:noProof/>
                <w:sz w:val="20"/>
                <w:szCs w:val="16"/>
              </w:rPr>
            </w:pPr>
            <w:r>
              <w:rPr>
                <w:noProof/>
                <w:sz w:val="20"/>
                <w:szCs w:val="16"/>
              </w:rPr>
              <w:t>11.2</w:t>
            </w:r>
          </w:p>
        </w:tc>
        <w:tc>
          <w:tcPr>
            <w:tcW w:w="402" w:type="pct"/>
            <w:shd w:val="clear" w:color="auto" w:fill="auto"/>
            <w:noWrap/>
            <w:vAlign w:val="center"/>
          </w:tcPr>
          <w:p>
            <w:pPr>
              <w:spacing w:before="60" w:after="60"/>
              <w:jc w:val="center"/>
              <w:rPr>
                <w:noProof/>
                <w:sz w:val="20"/>
                <w:szCs w:val="16"/>
              </w:rPr>
            </w:pPr>
            <w:r>
              <w:rPr>
                <w:noProof/>
                <w:sz w:val="20"/>
                <w:szCs w:val="16"/>
              </w:rPr>
              <w:t>14.8</w:t>
            </w:r>
          </w:p>
        </w:tc>
        <w:tc>
          <w:tcPr>
            <w:tcW w:w="402" w:type="pct"/>
            <w:shd w:val="clear" w:color="auto" w:fill="auto"/>
            <w:noWrap/>
            <w:vAlign w:val="center"/>
          </w:tcPr>
          <w:p>
            <w:pPr>
              <w:spacing w:before="60" w:after="60"/>
              <w:jc w:val="center"/>
              <w:rPr>
                <w:noProof/>
                <w:sz w:val="20"/>
                <w:szCs w:val="16"/>
              </w:rPr>
            </w:pPr>
            <w:r>
              <w:rPr>
                <w:noProof/>
                <w:sz w:val="20"/>
                <w:szCs w:val="16"/>
              </w:rPr>
              <w:t>12.4</w:t>
            </w:r>
          </w:p>
        </w:tc>
        <w:tc>
          <w:tcPr>
            <w:tcW w:w="402" w:type="pct"/>
            <w:shd w:val="clear" w:color="auto" w:fill="auto"/>
            <w:noWrap/>
            <w:vAlign w:val="center"/>
          </w:tcPr>
          <w:p>
            <w:pPr>
              <w:spacing w:before="60" w:after="60"/>
              <w:jc w:val="center"/>
              <w:rPr>
                <w:noProof/>
                <w:sz w:val="20"/>
                <w:szCs w:val="16"/>
              </w:rPr>
            </w:pPr>
            <w:r>
              <w:rPr>
                <w:noProof/>
                <w:sz w:val="20"/>
                <w:szCs w:val="16"/>
              </w:rPr>
              <w:t>14.6</w:t>
            </w:r>
          </w:p>
        </w:tc>
        <w:tc>
          <w:tcPr>
            <w:tcW w:w="402" w:type="pct"/>
            <w:shd w:val="clear" w:color="auto" w:fill="auto"/>
            <w:noWrap/>
            <w:vAlign w:val="center"/>
          </w:tcPr>
          <w:p>
            <w:pPr>
              <w:spacing w:before="60" w:after="60"/>
              <w:jc w:val="center"/>
              <w:rPr>
                <w:noProof/>
                <w:sz w:val="20"/>
                <w:szCs w:val="16"/>
              </w:rPr>
            </w:pPr>
            <w:r>
              <w:rPr>
                <w:noProof/>
                <w:sz w:val="20"/>
                <w:szCs w:val="16"/>
              </w:rPr>
              <w:t>15.4</w:t>
            </w:r>
          </w:p>
        </w:tc>
        <w:tc>
          <w:tcPr>
            <w:tcW w:w="402" w:type="pct"/>
            <w:shd w:val="clear" w:color="auto" w:fill="auto"/>
            <w:noWrap/>
            <w:vAlign w:val="center"/>
          </w:tcPr>
          <w:p>
            <w:pPr>
              <w:spacing w:before="60" w:after="60"/>
              <w:jc w:val="center"/>
              <w:rPr>
                <w:noProof/>
                <w:sz w:val="20"/>
                <w:szCs w:val="16"/>
              </w:rPr>
            </w:pPr>
            <w:r>
              <w:rPr>
                <w:noProof/>
                <w:sz w:val="20"/>
                <w:szCs w:val="16"/>
              </w:rPr>
              <w:t>14.4</w:t>
            </w:r>
          </w:p>
        </w:tc>
        <w:tc>
          <w:tcPr>
            <w:tcW w:w="402" w:type="pct"/>
            <w:shd w:val="clear" w:color="auto" w:fill="auto"/>
            <w:noWrap/>
            <w:vAlign w:val="center"/>
          </w:tcPr>
          <w:p>
            <w:pPr>
              <w:spacing w:before="60" w:after="60"/>
              <w:jc w:val="center"/>
              <w:rPr>
                <w:noProof/>
                <w:sz w:val="20"/>
                <w:szCs w:val="16"/>
              </w:rPr>
            </w:pPr>
            <w:r>
              <w:rPr>
                <w:noProof/>
                <w:sz w:val="20"/>
                <w:szCs w:val="16"/>
              </w:rPr>
              <w:t>13.3</w:t>
            </w:r>
          </w:p>
        </w:tc>
        <w:tc>
          <w:tcPr>
            <w:tcW w:w="402" w:type="pct"/>
            <w:shd w:val="clear" w:color="auto" w:fill="auto"/>
            <w:noWrap/>
            <w:vAlign w:val="center"/>
          </w:tcPr>
          <w:p>
            <w:pPr>
              <w:spacing w:before="60" w:after="60"/>
              <w:jc w:val="center"/>
              <w:rPr>
                <w:noProof/>
                <w:sz w:val="20"/>
                <w:szCs w:val="16"/>
              </w:rPr>
            </w:pPr>
            <w:r>
              <w:rPr>
                <w:noProof/>
                <w:sz w:val="20"/>
                <w:szCs w:val="16"/>
              </w:rPr>
              <w:t>10.4</w:t>
            </w:r>
          </w:p>
        </w:tc>
        <w:tc>
          <w:tcPr>
            <w:tcW w:w="401" w:type="pct"/>
            <w:shd w:val="clear" w:color="auto" w:fill="auto"/>
            <w:noWrap/>
            <w:vAlign w:val="center"/>
          </w:tcPr>
          <w:p>
            <w:pPr>
              <w:spacing w:before="60" w:after="60"/>
              <w:jc w:val="center"/>
              <w:rPr>
                <w:noProof/>
                <w:sz w:val="20"/>
                <w:szCs w:val="16"/>
              </w:rPr>
            </w:pPr>
            <w:r>
              <w:rPr>
                <w:noProof/>
                <w:sz w:val="20"/>
                <w:szCs w:val="16"/>
              </w:rPr>
              <w:t>7.0</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total energy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24.7</w:t>
            </w:r>
          </w:p>
        </w:tc>
        <w:tc>
          <w:tcPr>
            <w:tcW w:w="403" w:type="pct"/>
            <w:shd w:val="clear" w:color="auto" w:fill="CEEBE6"/>
            <w:noWrap/>
            <w:vAlign w:val="center"/>
          </w:tcPr>
          <w:p>
            <w:pPr>
              <w:spacing w:before="60" w:after="60"/>
              <w:jc w:val="center"/>
              <w:rPr>
                <w:noProof/>
                <w:sz w:val="20"/>
                <w:szCs w:val="16"/>
              </w:rPr>
            </w:pPr>
            <w:r>
              <w:rPr>
                <w:noProof/>
                <w:sz w:val="20"/>
                <w:szCs w:val="16"/>
              </w:rPr>
              <w:t>16.6</w:t>
            </w:r>
          </w:p>
        </w:tc>
        <w:tc>
          <w:tcPr>
            <w:tcW w:w="402" w:type="pct"/>
            <w:shd w:val="clear" w:color="auto" w:fill="CEEBE6"/>
            <w:noWrap/>
            <w:vAlign w:val="center"/>
          </w:tcPr>
          <w:p>
            <w:pPr>
              <w:spacing w:before="60" w:after="60"/>
              <w:jc w:val="center"/>
              <w:rPr>
                <w:noProof/>
                <w:sz w:val="20"/>
                <w:szCs w:val="16"/>
              </w:rPr>
            </w:pPr>
            <w:r>
              <w:rPr>
                <w:noProof/>
                <w:sz w:val="20"/>
                <w:szCs w:val="16"/>
              </w:rPr>
              <w:t>21.6</w:t>
            </w:r>
          </w:p>
        </w:tc>
        <w:tc>
          <w:tcPr>
            <w:tcW w:w="402" w:type="pct"/>
            <w:shd w:val="clear" w:color="auto" w:fill="CEEBE6"/>
            <w:noWrap/>
            <w:vAlign w:val="center"/>
          </w:tcPr>
          <w:p>
            <w:pPr>
              <w:spacing w:before="60" w:after="60"/>
              <w:jc w:val="center"/>
              <w:rPr>
                <w:noProof/>
                <w:sz w:val="20"/>
                <w:szCs w:val="16"/>
              </w:rPr>
            </w:pPr>
            <w:r>
              <w:rPr>
                <w:noProof/>
                <w:sz w:val="20"/>
                <w:szCs w:val="16"/>
              </w:rPr>
              <w:t>18.7</w:t>
            </w:r>
          </w:p>
        </w:tc>
        <w:tc>
          <w:tcPr>
            <w:tcW w:w="402" w:type="pct"/>
            <w:shd w:val="clear" w:color="auto" w:fill="CEEBE6"/>
            <w:noWrap/>
            <w:vAlign w:val="center"/>
          </w:tcPr>
          <w:p>
            <w:pPr>
              <w:spacing w:before="60" w:after="60"/>
              <w:jc w:val="center"/>
              <w:rPr>
                <w:noProof/>
                <w:sz w:val="20"/>
                <w:szCs w:val="16"/>
              </w:rPr>
            </w:pPr>
            <w:r>
              <w:rPr>
                <w:noProof/>
                <w:sz w:val="20"/>
                <w:szCs w:val="16"/>
              </w:rPr>
              <w:t>21.0</w:t>
            </w:r>
          </w:p>
        </w:tc>
        <w:tc>
          <w:tcPr>
            <w:tcW w:w="402" w:type="pct"/>
            <w:shd w:val="clear" w:color="auto" w:fill="CEEBE6"/>
            <w:noWrap/>
            <w:vAlign w:val="center"/>
          </w:tcPr>
          <w:p>
            <w:pPr>
              <w:spacing w:before="60" w:after="60"/>
              <w:jc w:val="center"/>
              <w:rPr>
                <w:noProof/>
                <w:sz w:val="20"/>
                <w:szCs w:val="16"/>
              </w:rPr>
            </w:pPr>
            <w:r>
              <w:rPr>
                <w:noProof/>
                <w:sz w:val="20"/>
                <w:szCs w:val="16"/>
              </w:rPr>
              <w:t>22.4</w:t>
            </w:r>
          </w:p>
        </w:tc>
        <w:tc>
          <w:tcPr>
            <w:tcW w:w="402" w:type="pct"/>
            <w:shd w:val="clear" w:color="auto" w:fill="CEEBE6"/>
            <w:noWrap/>
            <w:vAlign w:val="center"/>
          </w:tcPr>
          <w:p>
            <w:pPr>
              <w:spacing w:before="60" w:after="60"/>
              <w:jc w:val="center"/>
              <w:rPr>
                <w:noProof/>
                <w:sz w:val="20"/>
                <w:szCs w:val="16"/>
              </w:rPr>
            </w:pPr>
            <w:r>
              <w:rPr>
                <w:noProof/>
                <w:sz w:val="20"/>
                <w:szCs w:val="16"/>
              </w:rPr>
              <w:t>20.7</w:t>
            </w:r>
          </w:p>
        </w:tc>
        <w:tc>
          <w:tcPr>
            <w:tcW w:w="402" w:type="pct"/>
            <w:shd w:val="clear" w:color="auto" w:fill="CEEBE6"/>
            <w:noWrap/>
            <w:vAlign w:val="center"/>
          </w:tcPr>
          <w:p>
            <w:pPr>
              <w:spacing w:before="60" w:after="60"/>
              <w:jc w:val="center"/>
              <w:rPr>
                <w:noProof/>
                <w:sz w:val="20"/>
                <w:szCs w:val="16"/>
              </w:rPr>
            </w:pPr>
            <w:r>
              <w:rPr>
                <w:noProof/>
                <w:sz w:val="20"/>
                <w:szCs w:val="16"/>
              </w:rPr>
              <w:t>19.4</w:t>
            </w:r>
          </w:p>
        </w:tc>
        <w:tc>
          <w:tcPr>
            <w:tcW w:w="402" w:type="pct"/>
            <w:shd w:val="clear" w:color="auto" w:fill="CEEBE6"/>
            <w:noWrap/>
            <w:vAlign w:val="center"/>
          </w:tcPr>
          <w:p>
            <w:pPr>
              <w:spacing w:before="60" w:after="60"/>
              <w:jc w:val="center"/>
              <w:rPr>
                <w:noProof/>
                <w:sz w:val="20"/>
                <w:szCs w:val="16"/>
              </w:rPr>
            </w:pPr>
            <w:r>
              <w:rPr>
                <w:noProof/>
                <w:sz w:val="20"/>
                <w:szCs w:val="16"/>
              </w:rPr>
              <w:t>15.6</w:t>
            </w:r>
          </w:p>
        </w:tc>
        <w:tc>
          <w:tcPr>
            <w:tcW w:w="401" w:type="pct"/>
            <w:shd w:val="clear" w:color="auto" w:fill="CEEBE6"/>
            <w:noWrap/>
            <w:vAlign w:val="center"/>
          </w:tcPr>
          <w:p>
            <w:pPr>
              <w:spacing w:before="60" w:after="60"/>
              <w:jc w:val="center"/>
              <w:rPr>
                <w:noProof/>
                <w:sz w:val="20"/>
                <w:szCs w:val="16"/>
              </w:rPr>
            </w:pPr>
            <w:r>
              <w:rPr>
                <w:noProof/>
                <w:sz w:val="20"/>
                <w:szCs w:val="16"/>
              </w:rPr>
              <w:t>10.8</w:t>
            </w:r>
          </w:p>
        </w:tc>
      </w:tr>
      <w:tr>
        <w:trPr>
          <w:trHeight w:val="244"/>
          <w:jc w:val="center"/>
        </w:trPr>
        <w:tc>
          <w:tcPr>
            <w:tcW w:w="979" w:type="pct"/>
            <w:shd w:val="clear" w:color="auto" w:fill="auto"/>
            <w:noWrap/>
            <w:vAlign w:val="center"/>
          </w:tcPr>
          <w:p>
            <w:pPr>
              <w:spacing w:before="60" w:after="60"/>
              <w:jc w:val="left"/>
              <w:rPr>
                <w:bCs/>
                <w:noProof/>
                <w:sz w:val="20"/>
                <w:szCs w:val="16"/>
                <w:lang w:val="fr-FR"/>
              </w:rPr>
            </w:pPr>
            <w:r>
              <w:rPr>
                <w:bCs/>
                <w:noProof/>
                <w:sz w:val="20"/>
                <w:szCs w:val="16"/>
              </w:rPr>
              <w:t>Total energy costs (€/tonne)</w:t>
            </w:r>
          </w:p>
        </w:tc>
        <w:tc>
          <w:tcPr>
            <w:tcW w:w="403" w:type="pct"/>
            <w:shd w:val="clear" w:color="auto" w:fill="auto"/>
            <w:noWrap/>
            <w:vAlign w:val="center"/>
          </w:tcPr>
          <w:p>
            <w:pPr>
              <w:spacing w:before="60" w:after="60"/>
              <w:jc w:val="center"/>
              <w:rPr>
                <w:noProof/>
                <w:sz w:val="20"/>
                <w:szCs w:val="16"/>
              </w:rPr>
            </w:pPr>
            <w:r>
              <w:rPr>
                <w:noProof/>
                <w:sz w:val="20"/>
                <w:szCs w:val="16"/>
              </w:rPr>
              <w:t>72.1</w:t>
            </w:r>
          </w:p>
        </w:tc>
        <w:tc>
          <w:tcPr>
            <w:tcW w:w="403" w:type="pct"/>
            <w:shd w:val="clear" w:color="auto" w:fill="auto"/>
            <w:noWrap/>
            <w:vAlign w:val="center"/>
          </w:tcPr>
          <w:p>
            <w:pPr>
              <w:spacing w:before="60" w:after="60"/>
              <w:jc w:val="center"/>
              <w:rPr>
                <w:noProof/>
                <w:sz w:val="20"/>
                <w:szCs w:val="16"/>
              </w:rPr>
            </w:pPr>
            <w:r>
              <w:rPr>
                <w:noProof/>
                <w:sz w:val="20"/>
                <w:szCs w:val="16"/>
              </w:rPr>
              <w:t>61.9</w:t>
            </w:r>
          </w:p>
        </w:tc>
        <w:tc>
          <w:tcPr>
            <w:tcW w:w="402" w:type="pct"/>
            <w:shd w:val="clear" w:color="auto" w:fill="auto"/>
            <w:noWrap/>
            <w:vAlign w:val="center"/>
          </w:tcPr>
          <w:p>
            <w:pPr>
              <w:spacing w:before="60" w:after="60"/>
              <w:jc w:val="center"/>
              <w:rPr>
                <w:noProof/>
                <w:sz w:val="20"/>
                <w:szCs w:val="16"/>
              </w:rPr>
            </w:pPr>
            <w:r>
              <w:rPr>
                <w:noProof/>
                <w:sz w:val="20"/>
                <w:szCs w:val="16"/>
              </w:rPr>
              <w:t>62.1</w:t>
            </w:r>
          </w:p>
        </w:tc>
        <w:tc>
          <w:tcPr>
            <w:tcW w:w="402" w:type="pct"/>
            <w:shd w:val="clear" w:color="auto" w:fill="auto"/>
            <w:noWrap/>
            <w:vAlign w:val="center"/>
          </w:tcPr>
          <w:p>
            <w:pPr>
              <w:spacing w:before="60" w:after="60"/>
              <w:jc w:val="center"/>
              <w:rPr>
                <w:noProof/>
                <w:sz w:val="20"/>
                <w:szCs w:val="16"/>
              </w:rPr>
            </w:pPr>
            <w:r>
              <w:rPr>
                <w:noProof/>
                <w:sz w:val="20"/>
                <w:szCs w:val="16"/>
              </w:rPr>
              <w:t>60.0</w:t>
            </w:r>
          </w:p>
        </w:tc>
        <w:tc>
          <w:tcPr>
            <w:tcW w:w="402" w:type="pct"/>
            <w:shd w:val="clear" w:color="auto" w:fill="auto"/>
            <w:noWrap/>
            <w:vAlign w:val="center"/>
          </w:tcPr>
          <w:p>
            <w:pPr>
              <w:spacing w:before="60" w:after="60"/>
              <w:jc w:val="center"/>
              <w:rPr>
                <w:noProof/>
                <w:sz w:val="20"/>
                <w:szCs w:val="16"/>
              </w:rPr>
            </w:pPr>
            <w:r>
              <w:rPr>
                <w:noProof/>
                <w:sz w:val="20"/>
                <w:szCs w:val="16"/>
              </w:rPr>
              <w:t>70.0</w:t>
            </w:r>
          </w:p>
        </w:tc>
        <w:tc>
          <w:tcPr>
            <w:tcW w:w="402" w:type="pct"/>
            <w:shd w:val="clear" w:color="auto" w:fill="auto"/>
            <w:noWrap/>
            <w:vAlign w:val="center"/>
          </w:tcPr>
          <w:p>
            <w:pPr>
              <w:spacing w:before="60" w:after="60"/>
              <w:jc w:val="center"/>
              <w:rPr>
                <w:noProof/>
                <w:sz w:val="20"/>
                <w:szCs w:val="16"/>
              </w:rPr>
            </w:pPr>
            <w:r>
              <w:rPr>
                <w:noProof/>
                <w:sz w:val="20"/>
                <w:szCs w:val="16"/>
              </w:rPr>
              <w:t>69.3</w:t>
            </w:r>
          </w:p>
        </w:tc>
        <w:tc>
          <w:tcPr>
            <w:tcW w:w="402" w:type="pct"/>
            <w:shd w:val="clear" w:color="auto" w:fill="auto"/>
            <w:noWrap/>
            <w:vAlign w:val="center"/>
          </w:tcPr>
          <w:p>
            <w:pPr>
              <w:spacing w:before="60" w:after="60"/>
              <w:jc w:val="center"/>
              <w:rPr>
                <w:noProof/>
                <w:sz w:val="20"/>
                <w:szCs w:val="16"/>
              </w:rPr>
            </w:pPr>
            <w:r>
              <w:rPr>
                <w:noProof/>
                <w:sz w:val="20"/>
                <w:szCs w:val="16"/>
              </w:rPr>
              <w:t>64.8</w:t>
            </w:r>
          </w:p>
        </w:tc>
        <w:tc>
          <w:tcPr>
            <w:tcW w:w="402" w:type="pct"/>
            <w:shd w:val="clear" w:color="auto" w:fill="auto"/>
            <w:noWrap/>
            <w:vAlign w:val="center"/>
          </w:tcPr>
          <w:p>
            <w:pPr>
              <w:spacing w:before="60" w:after="60"/>
              <w:jc w:val="center"/>
              <w:rPr>
                <w:noProof/>
                <w:sz w:val="20"/>
                <w:szCs w:val="16"/>
              </w:rPr>
            </w:pPr>
            <w:r>
              <w:rPr>
                <w:noProof/>
                <w:sz w:val="20"/>
                <w:szCs w:val="16"/>
              </w:rPr>
              <w:t>61.4</w:t>
            </w:r>
          </w:p>
        </w:tc>
        <w:tc>
          <w:tcPr>
            <w:tcW w:w="402" w:type="pct"/>
            <w:shd w:val="clear" w:color="auto" w:fill="auto"/>
            <w:noWrap/>
            <w:vAlign w:val="center"/>
          </w:tcPr>
          <w:p>
            <w:pPr>
              <w:spacing w:before="60" w:after="60"/>
              <w:jc w:val="center"/>
              <w:rPr>
                <w:noProof/>
                <w:sz w:val="20"/>
                <w:szCs w:val="16"/>
              </w:rPr>
            </w:pPr>
            <w:r>
              <w:rPr>
                <w:noProof/>
                <w:sz w:val="20"/>
                <w:szCs w:val="16"/>
              </w:rPr>
              <w:t>59.4</w:t>
            </w:r>
          </w:p>
        </w:tc>
        <w:tc>
          <w:tcPr>
            <w:tcW w:w="401" w:type="pct"/>
            <w:shd w:val="clear" w:color="auto" w:fill="auto"/>
            <w:noWrap/>
            <w:vAlign w:val="center"/>
          </w:tcPr>
          <w:p>
            <w:pPr>
              <w:spacing w:before="60" w:after="60"/>
              <w:jc w:val="center"/>
              <w:rPr>
                <w:noProof/>
                <w:sz w:val="20"/>
                <w:szCs w:val="16"/>
              </w:rPr>
            </w:pPr>
            <w:r>
              <w:rPr>
                <w:noProof/>
                <w:sz w:val="20"/>
                <w:szCs w:val="16"/>
              </w:rPr>
              <w:t>55.4</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EBITDA (€/tonne)</w:t>
            </w:r>
          </w:p>
        </w:tc>
        <w:tc>
          <w:tcPr>
            <w:tcW w:w="403" w:type="pct"/>
            <w:shd w:val="clear" w:color="auto" w:fill="CEEBE6"/>
            <w:noWrap/>
            <w:vAlign w:val="center"/>
          </w:tcPr>
          <w:p>
            <w:pPr>
              <w:spacing w:before="60" w:after="60"/>
              <w:jc w:val="center"/>
              <w:rPr>
                <w:noProof/>
                <w:sz w:val="20"/>
                <w:szCs w:val="16"/>
              </w:rPr>
            </w:pPr>
            <w:r>
              <w:rPr>
                <w:noProof/>
                <w:sz w:val="20"/>
                <w:szCs w:val="16"/>
              </w:rPr>
              <w:t>44.5</w:t>
            </w:r>
          </w:p>
        </w:tc>
        <w:tc>
          <w:tcPr>
            <w:tcW w:w="403" w:type="pct"/>
            <w:shd w:val="clear" w:color="auto" w:fill="CEEBE6"/>
            <w:noWrap/>
            <w:vAlign w:val="center"/>
          </w:tcPr>
          <w:p>
            <w:pPr>
              <w:spacing w:before="60" w:after="60"/>
              <w:jc w:val="center"/>
              <w:rPr>
                <w:noProof/>
                <w:sz w:val="20"/>
                <w:szCs w:val="16"/>
              </w:rPr>
            </w:pPr>
            <w:r>
              <w:rPr>
                <w:noProof/>
                <w:sz w:val="20"/>
                <w:szCs w:val="16"/>
              </w:rPr>
              <w:t>38.7</w:t>
            </w:r>
          </w:p>
        </w:tc>
        <w:tc>
          <w:tcPr>
            <w:tcW w:w="402" w:type="pct"/>
            <w:shd w:val="clear" w:color="auto" w:fill="CEEBE6"/>
            <w:noWrap/>
            <w:vAlign w:val="center"/>
          </w:tcPr>
          <w:p>
            <w:pPr>
              <w:spacing w:before="60" w:after="60"/>
              <w:jc w:val="center"/>
              <w:rPr>
                <w:noProof/>
                <w:sz w:val="20"/>
                <w:szCs w:val="16"/>
              </w:rPr>
            </w:pPr>
            <w:r>
              <w:rPr>
                <w:noProof/>
                <w:sz w:val="20"/>
                <w:szCs w:val="16"/>
              </w:rPr>
              <w:t>41.2</w:t>
            </w:r>
          </w:p>
        </w:tc>
        <w:tc>
          <w:tcPr>
            <w:tcW w:w="402" w:type="pct"/>
            <w:shd w:val="clear" w:color="auto" w:fill="CEEBE6"/>
            <w:noWrap/>
            <w:vAlign w:val="center"/>
          </w:tcPr>
          <w:p>
            <w:pPr>
              <w:spacing w:before="60" w:after="60"/>
              <w:jc w:val="center"/>
              <w:rPr>
                <w:noProof/>
                <w:sz w:val="20"/>
                <w:szCs w:val="16"/>
              </w:rPr>
            </w:pPr>
            <w:r>
              <w:rPr>
                <w:noProof/>
                <w:sz w:val="20"/>
                <w:szCs w:val="16"/>
              </w:rPr>
              <w:t>50.1</w:t>
            </w:r>
          </w:p>
        </w:tc>
        <w:tc>
          <w:tcPr>
            <w:tcW w:w="402" w:type="pct"/>
            <w:shd w:val="clear" w:color="auto" w:fill="CEEBE6"/>
            <w:noWrap/>
            <w:vAlign w:val="center"/>
          </w:tcPr>
          <w:p>
            <w:pPr>
              <w:spacing w:before="60" w:after="60"/>
              <w:jc w:val="center"/>
              <w:rPr>
                <w:noProof/>
                <w:sz w:val="20"/>
                <w:szCs w:val="16"/>
              </w:rPr>
            </w:pPr>
            <w:r>
              <w:rPr>
                <w:noProof/>
                <w:sz w:val="20"/>
                <w:szCs w:val="16"/>
              </w:rPr>
              <w:t>35.5</w:t>
            </w:r>
          </w:p>
        </w:tc>
        <w:tc>
          <w:tcPr>
            <w:tcW w:w="402" w:type="pct"/>
            <w:shd w:val="clear" w:color="auto" w:fill="CEEBE6"/>
            <w:noWrap/>
            <w:vAlign w:val="center"/>
          </w:tcPr>
          <w:p>
            <w:pPr>
              <w:spacing w:before="60" w:after="60"/>
              <w:jc w:val="center"/>
              <w:rPr>
                <w:noProof/>
                <w:sz w:val="20"/>
                <w:szCs w:val="16"/>
              </w:rPr>
            </w:pPr>
            <w:r>
              <w:rPr>
                <w:noProof/>
                <w:sz w:val="20"/>
                <w:szCs w:val="16"/>
              </w:rPr>
              <w:t>52.6</w:t>
            </w:r>
          </w:p>
        </w:tc>
        <w:tc>
          <w:tcPr>
            <w:tcW w:w="402" w:type="pct"/>
            <w:shd w:val="clear" w:color="auto" w:fill="CEEBE6"/>
            <w:noWrap/>
            <w:vAlign w:val="center"/>
          </w:tcPr>
          <w:p>
            <w:pPr>
              <w:spacing w:before="60" w:after="60"/>
              <w:jc w:val="center"/>
              <w:rPr>
                <w:noProof/>
                <w:sz w:val="20"/>
                <w:szCs w:val="16"/>
              </w:rPr>
            </w:pPr>
            <w:r>
              <w:rPr>
                <w:noProof/>
                <w:sz w:val="20"/>
                <w:szCs w:val="16"/>
              </w:rPr>
              <w:t>59.7</w:t>
            </w:r>
          </w:p>
        </w:tc>
        <w:tc>
          <w:tcPr>
            <w:tcW w:w="402" w:type="pct"/>
            <w:shd w:val="clear" w:color="auto" w:fill="CEEBE6"/>
            <w:noWrap/>
            <w:vAlign w:val="center"/>
          </w:tcPr>
          <w:p>
            <w:pPr>
              <w:spacing w:before="60" w:after="60"/>
              <w:jc w:val="center"/>
              <w:rPr>
                <w:noProof/>
                <w:sz w:val="20"/>
                <w:szCs w:val="16"/>
              </w:rPr>
            </w:pPr>
            <w:r>
              <w:rPr>
                <w:noProof/>
                <w:sz w:val="20"/>
                <w:szCs w:val="16"/>
              </w:rPr>
              <w:t>70.8</w:t>
            </w:r>
          </w:p>
        </w:tc>
        <w:tc>
          <w:tcPr>
            <w:tcW w:w="402" w:type="pct"/>
            <w:shd w:val="clear" w:color="auto" w:fill="CEEBE6"/>
            <w:noWrap/>
            <w:vAlign w:val="center"/>
          </w:tcPr>
          <w:p>
            <w:pPr>
              <w:spacing w:before="60" w:after="60"/>
              <w:jc w:val="center"/>
              <w:rPr>
                <w:noProof/>
                <w:sz w:val="20"/>
                <w:szCs w:val="16"/>
              </w:rPr>
            </w:pPr>
            <w:r>
              <w:rPr>
                <w:noProof/>
                <w:sz w:val="20"/>
                <w:szCs w:val="16"/>
              </w:rPr>
              <w:t>121.4</w:t>
            </w:r>
          </w:p>
        </w:tc>
        <w:tc>
          <w:tcPr>
            <w:tcW w:w="401" w:type="pct"/>
            <w:shd w:val="clear" w:color="auto" w:fill="CEEBE6"/>
            <w:noWrap/>
            <w:vAlign w:val="center"/>
          </w:tcPr>
          <w:p>
            <w:pPr>
              <w:spacing w:before="60" w:after="60"/>
              <w:jc w:val="center"/>
              <w:rPr>
                <w:noProof/>
                <w:sz w:val="20"/>
                <w:szCs w:val="16"/>
              </w:rPr>
            </w:pPr>
            <w:r>
              <w:rPr>
                <w:noProof/>
                <w:sz w:val="20"/>
                <w:szCs w:val="16"/>
              </w:rPr>
              <w:t>192.9</w:t>
            </w:r>
          </w:p>
        </w:tc>
      </w:tr>
      <w:tr>
        <w:trPr>
          <w:trHeight w:val="244"/>
          <w:jc w:val="center"/>
        </w:trPr>
        <w:tc>
          <w:tcPr>
            <w:tcW w:w="979" w:type="pct"/>
            <w:shd w:val="clear" w:color="auto" w:fill="auto"/>
            <w:noWrap/>
            <w:vAlign w:val="center"/>
          </w:tcPr>
          <w:p>
            <w:pPr>
              <w:keepNext/>
              <w:spacing w:before="60" w:after="60"/>
              <w:jc w:val="left"/>
              <w:rPr>
                <w:bCs/>
                <w:noProof/>
                <w:sz w:val="20"/>
                <w:szCs w:val="16"/>
              </w:rPr>
            </w:pPr>
            <w:r>
              <w:rPr>
                <w:noProof/>
                <w:sz w:val="20"/>
              </w:rPr>
              <w:t>Ratio of total energy costs to EBITDA</w:t>
            </w:r>
          </w:p>
        </w:tc>
        <w:tc>
          <w:tcPr>
            <w:tcW w:w="403" w:type="pct"/>
            <w:shd w:val="clear" w:color="auto" w:fill="auto"/>
            <w:noWrap/>
            <w:vAlign w:val="center"/>
          </w:tcPr>
          <w:p>
            <w:pPr>
              <w:keepNext/>
              <w:spacing w:before="60" w:after="60"/>
              <w:jc w:val="center"/>
              <w:rPr>
                <w:noProof/>
                <w:sz w:val="20"/>
                <w:szCs w:val="16"/>
              </w:rPr>
            </w:pPr>
            <w:r>
              <w:rPr>
                <w:noProof/>
                <w:sz w:val="20"/>
                <w:szCs w:val="16"/>
              </w:rPr>
              <w:t>1.6</w:t>
            </w:r>
          </w:p>
        </w:tc>
        <w:tc>
          <w:tcPr>
            <w:tcW w:w="403" w:type="pct"/>
            <w:shd w:val="clear" w:color="auto" w:fill="auto"/>
            <w:noWrap/>
            <w:vAlign w:val="center"/>
          </w:tcPr>
          <w:p>
            <w:pPr>
              <w:keepNext/>
              <w:spacing w:before="60" w:after="60"/>
              <w:jc w:val="center"/>
              <w:rPr>
                <w:noProof/>
                <w:sz w:val="20"/>
                <w:szCs w:val="16"/>
              </w:rPr>
            </w:pPr>
            <w:r>
              <w:rPr>
                <w:noProof/>
                <w:sz w:val="20"/>
                <w:szCs w:val="16"/>
              </w:rPr>
              <w:t>1.6</w:t>
            </w:r>
          </w:p>
        </w:tc>
        <w:tc>
          <w:tcPr>
            <w:tcW w:w="402" w:type="pct"/>
            <w:shd w:val="clear" w:color="auto" w:fill="auto"/>
            <w:noWrap/>
            <w:vAlign w:val="center"/>
          </w:tcPr>
          <w:p>
            <w:pPr>
              <w:keepNext/>
              <w:spacing w:before="60" w:after="60"/>
              <w:jc w:val="center"/>
              <w:rPr>
                <w:noProof/>
                <w:sz w:val="20"/>
                <w:szCs w:val="16"/>
              </w:rPr>
            </w:pPr>
            <w:r>
              <w:rPr>
                <w:noProof/>
                <w:sz w:val="20"/>
                <w:szCs w:val="16"/>
              </w:rPr>
              <w:t>1.5</w:t>
            </w:r>
          </w:p>
        </w:tc>
        <w:tc>
          <w:tcPr>
            <w:tcW w:w="402" w:type="pct"/>
            <w:shd w:val="clear" w:color="auto" w:fill="auto"/>
            <w:noWrap/>
            <w:vAlign w:val="center"/>
          </w:tcPr>
          <w:p>
            <w:pPr>
              <w:keepNext/>
              <w:spacing w:before="60" w:after="60"/>
              <w:jc w:val="center"/>
              <w:rPr>
                <w:noProof/>
                <w:sz w:val="20"/>
                <w:szCs w:val="16"/>
              </w:rPr>
            </w:pPr>
            <w:r>
              <w:rPr>
                <w:noProof/>
                <w:sz w:val="20"/>
                <w:szCs w:val="16"/>
              </w:rPr>
              <w:t>1.2</w:t>
            </w:r>
          </w:p>
        </w:tc>
        <w:tc>
          <w:tcPr>
            <w:tcW w:w="402" w:type="pct"/>
            <w:shd w:val="clear" w:color="auto" w:fill="auto"/>
            <w:noWrap/>
            <w:vAlign w:val="center"/>
          </w:tcPr>
          <w:p>
            <w:pPr>
              <w:keepNext/>
              <w:spacing w:before="60" w:after="60"/>
              <w:jc w:val="center"/>
              <w:rPr>
                <w:noProof/>
                <w:sz w:val="20"/>
                <w:szCs w:val="16"/>
              </w:rPr>
            </w:pPr>
            <w:r>
              <w:rPr>
                <w:noProof/>
                <w:sz w:val="20"/>
                <w:szCs w:val="16"/>
              </w:rPr>
              <w:t>2.0</w:t>
            </w:r>
          </w:p>
        </w:tc>
        <w:tc>
          <w:tcPr>
            <w:tcW w:w="402" w:type="pct"/>
            <w:shd w:val="clear" w:color="auto" w:fill="auto"/>
            <w:noWrap/>
            <w:vAlign w:val="center"/>
          </w:tcPr>
          <w:p>
            <w:pPr>
              <w:keepNext/>
              <w:spacing w:before="60" w:after="60"/>
              <w:jc w:val="center"/>
              <w:rPr>
                <w:noProof/>
                <w:sz w:val="20"/>
                <w:szCs w:val="16"/>
              </w:rPr>
            </w:pPr>
            <w:r>
              <w:rPr>
                <w:noProof/>
                <w:sz w:val="20"/>
                <w:szCs w:val="16"/>
              </w:rPr>
              <w:t>1.3</w:t>
            </w:r>
          </w:p>
        </w:tc>
        <w:tc>
          <w:tcPr>
            <w:tcW w:w="402" w:type="pct"/>
            <w:shd w:val="clear" w:color="auto" w:fill="auto"/>
            <w:noWrap/>
            <w:vAlign w:val="center"/>
          </w:tcPr>
          <w:p>
            <w:pPr>
              <w:keepNext/>
              <w:spacing w:before="60" w:after="60"/>
              <w:jc w:val="center"/>
              <w:rPr>
                <w:noProof/>
                <w:sz w:val="20"/>
                <w:szCs w:val="16"/>
              </w:rPr>
            </w:pPr>
            <w:r>
              <w:rPr>
                <w:noProof/>
                <w:sz w:val="20"/>
                <w:szCs w:val="16"/>
              </w:rPr>
              <w:t>1.1</w:t>
            </w:r>
          </w:p>
        </w:tc>
        <w:tc>
          <w:tcPr>
            <w:tcW w:w="402" w:type="pct"/>
            <w:shd w:val="clear" w:color="auto" w:fill="auto"/>
            <w:noWrap/>
            <w:vAlign w:val="center"/>
          </w:tcPr>
          <w:p>
            <w:pPr>
              <w:keepNext/>
              <w:spacing w:before="60" w:after="60"/>
              <w:jc w:val="center"/>
              <w:rPr>
                <w:noProof/>
                <w:sz w:val="20"/>
                <w:szCs w:val="16"/>
              </w:rPr>
            </w:pPr>
            <w:r>
              <w:rPr>
                <w:noProof/>
                <w:sz w:val="20"/>
                <w:szCs w:val="16"/>
              </w:rPr>
              <w:t>0.9</w:t>
            </w:r>
          </w:p>
        </w:tc>
        <w:tc>
          <w:tcPr>
            <w:tcW w:w="402" w:type="pct"/>
            <w:shd w:val="clear" w:color="auto" w:fill="auto"/>
            <w:noWrap/>
            <w:vAlign w:val="center"/>
          </w:tcPr>
          <w:p>
            <w:pPr>
              <w:keepNext/>
              <w:spacing w:before="60" w:after="60"/>
              <w:jc w:val="center"/>
              <w:rPr>
                <w:noProof/>
                <w:sz w:val="20"/>
                <w:szCs w:val="16"/>
              </w:rPr>
            </w:pPr>
            <w:r>
              <w:rPr>
                <w:noProof/>
                <w:sz w:val="20"/>
                <w:szCs w:val="16"/>
              </w:rPr>
              <w:t>0.5</w:t>
            </w:r>
          </w:p>
        </w:tc>
        <w:tc>
          <w:tcPr>
            <w:tcW w:w="401" w:type="pct"/>
            <w:shd w:val="clear" w:color="auto" w:fill="auto"/>
            <w:noWrap/>
            <w:vAlign w:val="center"/>
          </w:tcPr>
          <w:p>
            <w:pPr>
              <w:keepNext/>
              <w:spacing w:before="60" w:after="60"/>
              <w:jc w:val="center"/>
              <w:rPr>
                <w:noProof/>
                <w:sz w:val="20"/>
                <w:szCs w:val="16"/>
              </w:rPr>
            </w:pPr>
            <w:r>
              <w:rPr>
                <w:noProof/>
                <w:sz w:val="20"/>
                <w:szCs w:val="16"/>
              </w:rPr>
              <w:t>0.3</w:t>
            </w:r>
          </w:p>
        </w:tc>
      </w:tr>
    </w:tbl>
    <w:p>
      <w:pPr>
        <w:pStyle w:val="Sources"/>
        <w:rPr>
          <w:noProof/>
        </w:rPr>
      </w:pPr>
      <w:r>
        <w:rPr>
          <w:noProof/>
        </w:rPr>
        <w:t>S</w:t>
      </w:r>
      <w:bookmarkEnd w:id="378"/>
      <w:r>
        <w:rPr>
          <w:noProof/>
        </w:rPr>
        <w:t>ource: CEPS/Ecofys.</w:t>
      </w:r>
    </w:p>
    <w:p>
      <w:pPr>
        <w:rPr>
          <w:noProof/>
          <w:lang w:eastAsia="it-IT"/>
        </w:rPr>
      </w:pPr>
    </w:p>
    <w:p>
      <w:pPr>
        <w:pStyle w:val="Caption"/>
        <w:rPr>
          <w:rFonts w:eastAsia="Times New Roman"/>
          <w:color w:val="000000"/>
        </w:rPr>
      </w:pPr>
      <w:bookmarkStart w:id="379" w:name="_Ref524532783"/>
      <w:bookmarkStart w:id="380" w:name="_Toc526433583"/>
      <w:bookmarkStart w:id="381" w:name="_Toc526433900"/>
      <w:bookmarkStart w:id="382" w:name="_Toc526435842"/>
      <w:bookmarkStart w:id="383" w:name="_Toc527544723"/>
      <w:bookmarkStart w:id="384" w:name="_Toc530741755"/>
      <w:r>
        <w:t xml:space="preserve">Figure </w:t>
      </w:r>
      <w:r>
        <w:fldChar w:fldCharType="begin"/>
      </w:r>
      <w:r>
        <w:instrText xml:space="preserve"> SEQ Figure \* ARABIC </w:instrText>
      </w:r>
      <w:r>
        <w:fldChar w:fldCharType="separate"/>
      </w:r>
      <w:r>
        <w:t>62</w:t>
      </w:r>
      <w:r>
        <w:fldChar w:fldCharType="end"/>
      </w:r>
      <w:bookmarkEnd w:id="379"/>
      <w:r>
        <w:t>.</w:t>
      </w:r>
      <w:bookmarkEnd w:id="380"/>
      <w:r>
        <w:t xml:space="preserve"> </w:t>
      </w:r>
      <w:r>
        <w:rPr>
          <w:rFonts w:eastAsia="Times New Roman"/>
          <w:color w:val="000000"/>
        </w:rPr>
        <w:t xml:space="preserve">Energy costs versus EBITDA </w:t>
      </w:r>
      <w:r>
        <w:t>of wall and floor tile production</w:t>
      </w:r>
      <w:r>
        <w:rPr>
          <w:rFonts w:eastAsia="Times New Roman"/>
          <w:color w:val="000000"/>
        </w:rPr>
        <w:t xml:space="preserve"> (€/tonne)</w:t>
      </w:r>
      <w:bookmarkEnd w:id="381"/>
      <w:bookmarkEnd w:id="382"/>
      <w:bookmarkEnd w:id="383"/>
      <w:bookmarkEnd w:id="384"/>
    </w:p>
    <w:p>
      <w:pPr>
        <w:keepNext/>
        <w:rPr>
          <w:rFonts w:eastAsia="Times New Roman"/>
          <w:bCs/>
          <w:noProof/>
          <w:color w:val="000000"/>
          <w:szCs w:val="24"/>
          <w:lang w:eastAsia="en-GB"/>
        </w:rPr>
      </w:pPr>
      <w:r>
        <w:rPr>
          <w:noProof/>
          <w:lang w:eastAsia="en-GB"/>
        </w:rPr>
        <w:drawing>
          <wp:inline distT="0" distB="0" distL="0" distR="0">
            <wp:extent cx="5760720" cy="3542711"/>
            <wp:effectExtent l="0" t="0" r="0"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3542711"/>
                    </a:xfrm>
                    <a:prstGeom prst="rect">
                      <a:avLst/>
                    </a:prstGeom>
                    <a:noFill/>
                    <a:ln>
                      <a:noFill/>
                    </a:ln>
                  </pic:spPr>
                </pic:pic>
              </a:graphicData>
            </a:graphic>
          </wp:inline>
        </w:drawing>
      </w:r>
    </w:p>
    <w:p>
      <w:pPr>
        <w:pStyle w:val="Sources"/>
        <w:tabs>
          <w:tab w:val="left" w:pos="142"/>
        </w:tabs>
        <w:rPr>
          <w:noProof/>
        </w:rPr>
      </w:pPr>
      <w:r>
        <w:rPr>
          <w:noProof/>
        </w:rPr>
        <w:tab/>
        <w:t>Source: CEPS/Ecofys.</w:t>
      </w: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385" w:name="_Toc526434061"/>
      <w:bookmarkStart w:id="386" w:name="_Toc526436005"/>
      <w:bookmarkStart w:id="387" w:name="_Toc527544430"/>
      <w:bookmarkStart w:id="388" w:name="_Toc530741669"/>
      <w:r>
        <w:rPr>
          <w:noProof/>
          <w:lang w:eastAsia="en-GB"/>
        </w:rPr>
        <w:t>GLASS TABLEWARE</w:t>
      </w:r>
      <w:bookmarkEnd w:id="385"/>
      <w:bookmarkEnd w:id="386"/>
      <w:bookmarkEnd w:id="387"/>
      <w:bookmarkEnd w:id="388"/>
    </w:p>
    <w:p>
      <w:pPr>
        <w:pStyle w:val="Heading3"/>
        <w:rPr>
          <w:noProof/>
        </w:rPr>
      </w:pPr>
      <w:bookmarkStart w:id="389" w:name="_Toc526434062"/>
      <w:bookmarkStart w:id="390" w:name="_Toc526436006"/>
      <w:bookmarkStart w:id="391" w:name="_Toc527544431"/>
      <w:bookmarkStart w:id="392" w:name="_Toc530741670"/>
      <w:r>
        <w:rPr>
          <w:noProof/>
        </w:rPr>
        <w:t>General information and sample composition</w:t>
      </w:r>
      <w:bookmarkEnd w:id="389"/>
      <w:bookmarkEnd w:id="390"/>
      <w:bookmarkEnd w:id="391"/>
      <w:bookmarkEnd w:id="392"/>
    </w:p>
    <w:p>
      <w:pPr>
        <w:rPr>
          <w:noProof/>
        </w:rPr>
      </w:pPr>
      <w:r>
        <w:rPr>
          <w:noProof/>
        </w:rPr>
        <w:t>Glass tableware, as packaging glass, is part of the hollow glass sector (sector 23.13 in NACE Rev. 2). Glass tableware production is quite heterogeneous: it includes a large variety of products (e.g. drinking glasses, pitchers, jugs, bowls, dishes, etc.), different qualities of products (e.g. champagne flute versus standard water glassware) and different types of production plants (small plants focusing on high value added products versus large plants focusing on mass production). It should be noted that glass tableware, in general, has a much higher value-to-weight ratio and is much more tradable than packaging glass.</w:t>
      </w:r>
    </w:p>
    <w:p>
      <w:pPr>
        <w:rPr>
          <w:noProof/>
        </w:rPr>
      </w:pPr>
      <w:r>
        <w:rPr>
          <w:noProof/>
        </w:rPr>
        <w:t>The sector uses both electricity and natural gas as energy sources.</w:t>
      </w:r>
    </w:p>
    <w:p>
      <w:pPr>
        <w:rPr>
          <w:noProof/>
        </w:rPr>
      </w:pPr>
      <w:r>
        <w:rPr>
          <w:noProof/>
        </w:rPr>
        <w:t>Unlike packaging glass, glass tableware production is still far from the pre-crisis level. After the 2009 crisis, it additionally registered a contraction between 2012 and 2015 and just started to partially recover in 2016. In 2015, there were 35 glass tableware plants, mostly part of large companies owning one or more production sites in the EU. Top five European producing countries are (based on 2016 production value): Italy (32%), France (17%), Poland (16%), Czech Republic (12%) and Spain (10%)</w:t>
      </w:r>
      <w:r>
        <w:rPr>
          <w:bCs/>
          <w:noProof/>
        </w:rPr>
        <w:t>.</w:t>
      </w:r>
    </w:p>
    <w:p>
      <w:pPr>
        <w:rPr>
          <w:noProof/>
        </w:rPr>
      </w:pPr>
      <w:r>
        <w:rPr>
          <w:noProof/>
        </w:rPr>
        <w:t xml:space="preserve">Overall, the EU is a net exporter of glass tableware. Major </w:t>
      </w:r>
      <w:r>
        <w:rPr>
          <w:bCs/>
          <w:noProof/>
        </w:rPr>
        <w:t xml:space="preserve">EU export destinations include the </w:t>
      </w:r>
      <w:r>
        <w:rPr>
          <w:noProof/>
        </w:rPr>
        <w:t xml:space="preserve">United States, Russia, China, Switzerland and Japan. </w:t>
      </w:r>
      <w:r>
        <w:rPr>
          <w:bCs/>
          <w:noProof/>
        </w:rPr>
        <w:t xml:space="preserve">EU imports come mostly from </w:t>
      </w:r>
      <w:r>
        <w:rPr>
          <w:noProof/>
        </w:rPr>
        <w:t>China and, to a less extent, Turkey</w:t>
      </w:r>
      <w:r>
        <w:rPr>
          <w:bCs/>
          <w:noProof/>
        </w:rPr>
        <w:t>.</w:t>
      </w:r>
    </w:p>
    <w:p>
      <w:pPr>
        <w:rPr>
          <w:noProof/>
        </w:rPr>
      </w:pPr>
      <w:r>
        <w:rPr>
          <w:bCs/>
          <w:noProof/>
        </w:rPr>
        <w:t xml:space="preserve">A typical glass tableware plant in the analysis shows </w:t>
      </w:r>
      <w:r>
        <w:rPr>
          <w:noProof/>
        </w:rPr>
        <w:t xml:space="preserve">electricity and </w:t>
      </w:r>
      <w:r>
        <w:rPr>
          <w:bCs/>
          <w:noProof/>
        </w:rPr>
        <w:t>n</w:t>
      </w:r>
      <w:r>
        <w:rPr>
          <w:noProof/>
        </w:rPr>
        <w:t>atural gas intensities in the range of 0.6-3.9 MWh/tonne</w:t>
      </w:r>
      <w:r>
        <w:rPr>
          <w:bCs/>
          <w:noProof/>
        </w:rPr>
        <w:t xml:space="preserve"> and </w:t>
      </w:r>
      <w:r>
        <w:rPr>
          <w:noProof/>
        </w:rPr>
        <w:t xml:space="preserve">3.4.-7.6 MWh/tonne, respectively. The sample includes 12 plants across Europe (two in CEE region, four in NWE region and six in SE region), representing </w:t>
      </w:r>
      <w:r>
        <w:rPr>
          <w:noProof/>
          <w:lang w:eastAsia="de-DE"/>
        </w:rPr>
        <w:t xml:space="preserve">more than 90% of </w:t>
      </w:r>
      <w:r>
        <w:rPr>
          <w:noProof/>
        </w:rPr>
        <w:t>total EU production (2016).</w:t>
      </w:r>
    </w:p>
    <w:p>
      <w:pPr>
        <w:rPr>
          <w:rFonts w:eastAsia="Times New Roman"/>
          <w:bCs/>
          <w:noProof/>
          <w:color w:val="000000"/>
          <w:szCs w:val="24"/>
          <w:lang w:eastAsia="en-GB"/>
        </w:rPr>
      </w:pPr>
    </w:p>
    <w:p>
      <w:pPr>
        <w:pStyle w:val="Heading3"/>
        <w:rPr>
          <w:noProof/>
        </w:rPr>
      </w:pPr>
      <w:bookmarkStart w:id="393" w:name="_Toc526434063"/>
      <w:bookmarkStart w:id="394" w:name="_Toc526436007"/>
      <w:bookmarkStart w:id="395" w:name="_Toc527544432"/>
      <w:bookmarkStart w:id="396" w:name="_Toc530741671"/>
      <w:r>
        <w:rPr>
          <w:noProof/>
        </w:rPr>
        <w:t>Electricity prices, costs</w:t>
      </w:r>
      <w:bookmarkEnd w:id="393"/>
      <w:bookmarkEnd w:id="394"/>
      <w:bookmarkEnd w:id="395"/>
      <w:r>
        <w:rPr>
          <w:noProof/>
        </w:rPr>
        <w:t xml:space="preserve"> and intensity</w:t>
      </w:r>
      <w:bookmarkEnd w:id="396"/>
    </w:p>
    <w:p>
      <w:pPr>
        <w:rPr>
          <w:noProof/>
        </w:rPr>
      </w:pPr>
      <w:r>
        <w:rPr>
          <w:noProof/>
        </w:rPr>
        <w:t xml:space="preserve">Key electricity indicators for glass tableware are presented in </w:t>
      </w:r>
      <w:r>
        <w:rPr>
          <w:noProof/>
        </w:rPr>
        <w:fldChar w:fldCharType="begin"/>
      </w:r>
      <w:r>
        <w:rPr>
          <w:noProof/>
        </w:rPr>
        <w:instrText xml:space="preserve"> REF _Ref524534610 \h </w:instrText>
      </w:r>
      <w:r>
        <w:rPr>
          <w:noProof/>
        </w:rPr>
      </w:r>
      <w:r>
        <w:rPr>
          <w:noProof/>
        </w:rPr>
        <w:fldChar w:fldCharType="separate"/>
      </w:r>
      <w:r>
        <w:rPr>
          <w:noProof/>
        </w:rPr>
        <w:t>Table 23</w:t>
      </w:r>
      <w:r>
        <w:rPr>
          <w:noProof/>
        </w:rPr>
        <w:fldChar w:fldCharType="end"/>
      </w:r>
      <w:r>
        <w:rPr>
          <w:noProof/>
        </w:rPr>
        <w:t>.</w:t>
      </w:r>
    </w:p>
    <w:p>
      <w:pPr>
        <w:rPr>
          <w:noProof/>
          <w:lang w:eastAsia="en-GB"/>
        </w:rPr>
      </w:pPr>
      <w:r>
        <w:rPr>
          <w:noProof/>
        </w:rPr>
        <w:t>E</w:t>
      </w:r>
      <w:r>
        <w:rPr>
          <w:noProof/>
          <w:lang w:eastAsia="en-GB"/>
        </w:rPr>
        <w:t>lectricity prices and costs in EUR/MWh increased between 2008 and 2017, mainly due to a rise (in absolute value) in network costs and RES levies.</w:t>
      </w:r>
    </w:p>
    <w:p>
      <w:pPr>
        <w:rPr>
          <w:noProof/>
          <w:lang w:eastAsia="en-GB"/>
        </w:rPr>
      </w:pPr>
      <w:r>
        <w:rPr>
          <w:noProof/>
          <w:lang w:eastAsia="en-GB"/>
        </w:rPr>
        <w:t xml:space="preserve">EU average electricity prices rose from 72 EUR/MWh in 2008 to 91 EUR/MWh in 2017, with a peak in 2013 (100 EUR/MWh). When looking at the </w:t>
      </w:r>
      <w:r>
        <w:rPr>
          <w:noProof/>
        </w:rPr>
        <w:t xml:space="preserve">price </w:t>
      </w:r>
      <w:r>
        <w:rPr>
          <w:noProof/>
          <w:lang w:eastAsia="en-GB"/>
        </w:rPr>
        <w:t>components (</w:t>
      </w:r>
      <w:r>
        <w:rPr>
          <w:noProof/>
          <w:lang w:eastAsia="en-GB"/>
        </w:rPr>
        <w:fldChar w:fldCharType="begin"/>
      </w:r>
      <w:r>
        <w:rPr>
          <w:noProof/>
          <w:lang w:eastAsia="en-GB"/>
        </w:rPr>
        <w:instrText xml:space="preserve"> REF _Ref529443245 \h </w:instrText>
      </w:r>
      <w:r>
        <w:rPr>
          <w:noProof/>
          <w:lang w:eastAsia="en-GB"/>
        </w:rPr>
      </w:r>
      <w:r>
        <w:rPr>
          <w:noProof/>
          <w:lang w:eastAsia="en-GB"/>
        </w:rPr>
        <w:fldChar w:fldCharType="separate"/>
      </w:r>
      <w:r>
        <w:rPr>
          <w:noProof/>
        </w:rPr>
        <w:t>Figure 63</w:t>
      </w:r>
      <w:r>
        <w:rPr>
          <w:noProof/>
          <w:lang w:eastAsia="en-GB"/>
        </w:rPr>
        <w:fldChar w:fldCharType="end"/>
      </w:r>
      <w:r>
        <w:rPr>
          <w:noProof/>
          <w:lang w:eastAsia="en-GB"/>
        </w:rPr>
        <w:t xml:space="preserve">), the energy component still represents the highest share of the price (59% in 2017), though this share has decreased over time. In contrast, network costs and RES levies significantly increased over the period, both in relative and absolute terms (they accounted in 2017 for 28% and 11% of the price, respectively). It is striking that in most recent years larger consumers faced much lower electricity prices (weighted average by purchased electricity is well below simple average) by: i) benefitting from stronger bargaining power when negotiating electricity prices (lower energy component); and ii) paying relatively less for network costs and </w:t>
      </w:r>
      <w:r>
        <w:rPr>
          <w:noProof/>
          <w:lang w:eastAsia="de-DE"/>
        </w:rPr>
        <w:t xml:space="preserve">non-recoverable </w:t>
      </w:r>
      <w:r>
        <w:rPr>
          <w:noProof/>
          <w:lang w:eastAsia="en-GB"/>
        </w:rPr>
        <w:t>taxes/levies, including RES levies. This gap between large consumers and small consumers increased recently, most likely because the former benefitted from larger exemptions on regulatory components than in previous years. Very few plants relied on the wholesale market to purchase electricity.</w:t>
      </w:r>
    </w:p>
    <w:p>
      <w:pPr>
        <w:rPr>
          <w:noProof/>
          <w:lang w:eastAsia="en-GB"/>
        </w:rPr>
      </w:pPr>
      <w:r>
        <w:rPr>
          <w:noProof/>
          <w:lang w:eastAsia="en-GB"/>
        </w:rPr>
        <w:t>EU average electricity costs in EUR/MWh (</w:t>
      </w:r>
      <w:r>
        <w:rPr>
          <w:noProof/>
          <w:lang w:eastAsia="en-GB"/>
        </w:rPr>
        <w:fldChar w:fldCharType="begin"/>
      </w:r>
      <w:r>
        <w:rPr>
          <w:noProof/>
          <w:lang w:eastAsia="en-GB"/>
        </w:rPr>
        <w:instrText xml:space="preserve"> REF _Ref524534524 \h </w:instrText>
      </w:r>
      <w:r>
        <w:rPr>
          <w:noProof/>
          <w:lang w:eastAsia="en-GB"/>
        </w:rPr>
      </w:r>
      <w:r>
        <w:rPr>
          <w:noProof/>
          <w:lang w:eastAsia="en-GB"/>
        </w:rPr>
        <w:fldChar w:fldCharType="separate"/>
      </w:r>
      <w:r>
        <w:rPr>
          <w:noProof/>
        </w:rPr>
        <w:t>Figure 64</w:t>
      </w:r>
      <w:r>
        <w:rPr>
          <w:noProof/>
          <w:lang w:eastAsia="en-GB"/>
        </w:rPr>
        <w:fldChar w:fldCharType="end"/>
      </w:r>
      <w:r>
        <w:rPr>
          <w:noProof/>
          <w:lang w:eastAsia="en-GB"/>
        </w:rPr>
        <w:t>) increased from 69 EUR/MWh in 2008 to 85 EUR/MWh in 2017, with a peak in 2013 (99 EUR/MWh). The difference between electricity prices and costs in EUR/MWh can be explained by the following factors: i) a few plants participated in flexibility schemes (but the compensation is relatively small compared to their electricity costs); and ii) most of the plants were reimbursed ex post for some components of their electricity price (especially RES levies). There is not electricity self-generation in the sector. EU average electricity costs in EUR/tonne (</w:t>
      </w:r>
      <w:r>
        <w:rPr>
          <w:noProof/>
          <w:lang w:eastAsia="en-GB"/>
        </w:rPr>
        <w:fldChar w:fldCharType="begin"/>
      </w:r>
      <w:r>
        <w:rPr>
          <w:noProof/>
          <w:lang w:eastAsia="en-GB"/>
        </w:rPr>
        <w:instrText xml:space="preserve"> REF _Ref524534533 \h </w:instrText>
      </w:r>
      <w:r>
        <w:rPr>
          <w:noProof/>
          <w:lang w:eastAsia="en-GB"/>
        </w:rPr>
      </w:r>
      <w:r>
        <w:rPr>
          <w:noProof/>
          <w:lang w:eastAsia="en-GB"/>
        </w:rPr>
        <w:fldChar w:fldCharType="separate"/>
      </w:r>
      <w:r>
        <w:rPr>
          <w:noProof/>
        </w:rPr>
        <w:t>Figure 65</w:t>
      </w:r>
      <w:r>
        <w:rPr>
          <w:noProof/>
          <w:lang w:eastAsia="en-GB"/>
        </w:rPr>
        <w:fldChar w:fldCharType="end"/>
      </w:r>
      <w:r>
        <w:rPr>
          <w:noProof/>
          <w:lang w:eastAsia="en-GB"/>
        </w:rPr>
        <w:t>) halved over the last ten years, going from 205 EUR/tonne in 2008 to 108 EUR/tonne in 2017.</w:t>
      </w:r>
    </w:p>
    <w:p>
      <w:pPr>
        <w:rPr>
          <w:noProof/>
          <w:lang w:eastAsia="en-GB"/>
        </w:rPr>
      </w:pPr>
      <w:r>
        <w:rPr>
          <w:noProof/>
          <w:lang w:eastAsia="en-GB"/>
        </w:rPr>
        <w:t>The sharp decrease in energy costs can be mainly explained by the significant reduction of electricity intensity (especially in smaller plants). EU average electricity intensity (</w:t>
      </w:r>
      <w:r>
        <w:rPr>
          <w:noProof/>
          <w:lang w:eastAsia="en-GB"/>
        </w:rPr>
        <w:fldChar w:fldCharType="begin"/>
      </w:r>
      <w:r>
        <w:rPr>
          <w:noProof/>
          <w:lang w:eastAsia="en-GB"/>
        </w:rPr>
        <w:instrText xml:space="preserve"> REF _Ref524534540 \h </w:instrText>
      </w:r>
      <w:r>
        <w:rPr>
          <w:noProof/>
          <w:lang w:eastAsia="en-GB"/>
        </w:rPr>
      </w:r>
      <w:r>
        <w:rPr>
          <w:noProof/>
          <w:lang w:eastAsia="en-GB"/>
        </w:rPr>
        <w:fldChar w:fldCharType="separate"/>
      </w:r>
      <w:r>
        <w:rPr>
          <w:noProof/>
        </w:rPr>
        <w:t>Figure 66</w:t>
      </w:r>
      <w:r>
        <w:rPr>
          <w:noProof/>
          <w:lang w:eastAsia="en-GB"/>
        </w:rPr>
        <w:fldChar w:fldCharType="end"/>
      </w:r>
      <w:r>
        <w:rPr>
          <w:noProof/>
          <w:lang w:eastAsia="en-GB"/>
        </w:rPr>
        <w:t>) fell from 2.1 MWh/tonne in 2008 to 1.3 MWh/tonne in 2017. It interesting to note that especially in this sector, besides facing lower electricity prices, larger producers were more electricity efficient (weighted average – by production output – electricity intensity is significantly below simple average one) by benefitting from economies of scale and not using electric heated/boosted furnaces (while smaller plants did).</w:t>
      </w:r>
    </w:p>
    <w:p>
      <w:pPr>
        <w:rPr>
          <w:noProof/>
          <w:lang w:eastAsia="en-GB"/>
        </w:rPr>
      </w:pPr>
    </w:p>
    <w:p>
      <w:pPr>
        <w:pStyle w:val="Heading3"/>
        <w:rPr>
          <w:noProof/>
        </w:rPr>
      </w:pPr>
      <w:bookmarkStart w:id="397" w:name="_Toc526434064"/>
      <w:bookmarkStart w:id="398" w:name="_Toc526436008"/>
      <w:bookmarkStart w:id="399" w:name="_Toc527544433"/>
      <w:bookmarkStart w:id="400" w:name="_Toc530741672"/>
      <w:r>
        <w:rPr>
          <w:noProof/>
        </w:rPr>
        <w:t>Natural gas prices, costs</w:t>
      </w:r>
      <w:bookmarkEnd w:id="397"/>
      <w:bookmarkEnd w:id="398"/>
      <w:bookmarkEnd w:id="399"/>
      <w:r>
        <w:rPr>
          <w:noProof/>
        </w:rPr>
        <w:t xml:space="preserve"> and intensity</w:t>
      </w:r>
      <w:bookmarkEnd w:id="400"/>
    </w:p>
    <w:p>
      <w:pPr>
        <w:rPr>
          <w:noProof/>
        </w:rPr>
      </w:pPr>
      <w:r>
        <w:rPr>
          <w:noProof/>
        </w:rPr>
        <w:t xml:space="preserve">Key natural gas indicators for glass tableware are presented in </w:t>
      </w:r>
      <w:r>
        <w:rPr>
          <w:noProof/>
        </w:rPr>
        <w:fldChar w:fldCharType="begin"/>
      </w:r>
      <w:r>
        <w:rPr>
          <w:noProof/>
        </w:rPr>
        <w:instrText xml:space="preserve"> REF _Ref524534623 \h </w:instrText>
      </w:r>
      <w:r>
        <w:rPr>
          <w:noProof/>
        </w:rPr>
      </w:r>
      <w:r>
        <w:rPr>
          <w:noProof/>
        </w:rPr>
        <w:fldChar w:fldCharType="separate"/>
      </w:r>
      <w:r>
        <w:rPr>
          <w:noProof/>
        </w:rPr>
        <w:t>Table 24</w:t>
      </w:r>
      <w:r>
        <w:rPr>
          <w:noProof/>
        </w:rPr>
        <w:fldChar w:fldCharType="end"/>
      </w:r>
      <w:r>
        <w:rPr>
          <w:noProof/>
        </w:rPr>
        <w:t>.</w:t>
      </w:r>
    </w:p>
    <w:p>
      <w:pPr>
        <w:rPr>
          <w:noProof/>
        </w:rPr>
      </w:pPr>
      <w:r>
        <w:rPr>
          <w:noProof/>
        </w:rPr>
        <w:t>Natural gas prices and costs fluctuated between 2008 and 2015, before registering a sharp decline in 2016 and 2017, mainly due to a decrease (in absolute value) in the energy component of the gas price.</w:t>
      </w:r>
    </w:p>
    <w:p>
      <w:pPr>
        <w:rPr>
          <w:noProof/>
        </w:rPr>
      </w:pPr>
      <w:r>
        <w:rPr>
          <w:noProof/>
        </w:rPr>
        <w:t xml:space="preserve">After peaking in 2013 (32 EUR/MWh), </w:t>
      </w:r>
      <w:r>
        <w:rPr>
          <w:noProof/>
          <w:lang w:eastAsia="en-GB"/>
        </w:rPr>
        <w:t>EU average natural gas prices (</w:t>
      </w:r>
      <w:r>
        <w:rPr>
          <w:noProof/>
          <w:lang w:eastAsia="en-GB"/>
        </w:rPr>
        <w:fldChar w:fldCharType="begin"/>
      </w:r>
      <w:r>
        <w:rPr>
          <w:noProof/>
          <w:lang w:eastAsia="en-GB"/>
        </w:rPr>
        <w:instrText xml:space="preserve"> REF _Ref524534551 \h </w:instrText>
      </w:r>
      <w:r>
        <w:rPr>
          <w:noProof/>
          <w:lang w:eastAsia="en-GB"/>
        </w:rPr>
      </w:r>
      <w:r>
        <w:rPr>
          <w:noProof/>
          <w:lang w:eastAsia="en-GB"/>
        </w:rPr>
        <w:fldChar w:fldCharType="separate"/>
      </w:r>
      <w:r>
        <w:rPr>
          <w:noProof/>
        </w:rPr>
        <w:t>Figure 67</w:t>
      </w:r>
      <w:r>
        <w:rPr>
          <w:noProof/>
          <w:lang w:eastAsia="en-GB"/>
        </w:rPr>
        <w:fldChar w:fldCharType="end"/>
      </w:r>
      <w:r>
        <w:rPr>
          <w:noProof/>
          <w:lang w:eastAsia="en-GB"/>
        </w:rPr>
        <w:t xml:space="preserve">) </w:t>
      </w:r>
      <w:r>
        <w:rPr>
          <w:noProof/>
        </w:rPr>
        <w:t xml:space="preserve">decreased sharply down to about 22 EUR/MWh (2017). </w:t>
      </w:r>
      <w:r>
        <w:rPr>
          <w:noProof/>
          <w:lang w:eastAsia="en-GB"/>
        </w:rPr>
        <w:t xml:space="preserve">As shown in </w:t>
      </w:r>
      <w:r>
        <w:rPr>
          <w:noProof/>
          <w:lang w:eastAsia="en-GB"/>
        </w:rPr>
        <w:fldChar w:fldCharType="begin"/>
      </w:r>
      <w:r>
        <w:rPr>
          <w:noProof/>
          <w:lang w:eastAsia="en-GB"/>
        </w:rPr>
        <w:instrText xml:space="preserve"> REF _Ref529457886 \h </w:instrText>
      </w:r>
      <w:r>
        <w:rPr>
          <w:noProof/>
          <w:lang w:eastAsia="en-GB"/>
        </w:rPr>
      </w:r>
      <w:r>
        <w:rPr>
          <w:noProof/>
          <w:lang w:eastAsia="en-GB"/>
        </w:rPr>
        <w:fldChar w:fldCharType="separate"/>
      </w:r>
      <w:r>
        <w:rPr>
          <w:noProof/>
        </w:rPr>
        <w:t>Figure 68</w:t>
      </w:r>
      <w:r>
        <w:rPr>
          <w:noProof/>
          <w:lang w:eastAsia="en-GB"/>
        </w:rPr>
        <w:fldChar w:fldCharType="end"/>
      </w:r>
      <w:r>
        <w:rPr>
          <w:noProof/>
          <w:lang w:eastAsia="en-GB"/>
        </w:rPr>
        <w:t>, the natural gas price is made up mostly by the energy component (90% in 2017), the remaining coming from the network component (</w:t>
      </w:r>
      <w:r>
        <w:rPr>
          <w:noProof/>
        </w:rPr>
        <w:t>non-recoverable</w:t>
      </w:r>
      <w:r>
        <w:rPr>
          <w:noProof/>
          <w:lang w:eastAsia="en-GB"/>
        </w:rPr>
        <w:t xml:space="preserve"> taxes/levies play here a very minor role). Overall, </w:t>
      </w:r>
      <w:r>
        <w:rPr>
          <w:noProof/>
        </w:rPr>
        <w:t xml:space="preserve">larger plants tend to </w:t>
      </w:r>
      <w:r>
        <w:rPr>
          <w:noProof/>
          <w:lang w:eastAsia="en-GB"/>
        </w:rPr>
        <w:t xml:space="preserve">face lower natural gas prices (weighted average by purchased natural gas is generally below simple average), mostly because they </w:t>
      </w:r>
      <w:r>
        <w:rPr>
          <w:noProof/>
        </w:rPr>
        <w:t>paid relatively lower network costs and non-recoverable taxes/levies. But the natural gas price difference between larger and smaller plants is much less pronounced than in the case of electricity (quantity discounts and exemptions on regulatory components are less relevant for natural gas). Plants generally do not buy natural gas on the wholesale market. Natural gas costs in EUR/MWh are the same as prices (no natural gas self-generation and no plant taking part in interruptibility schemes).</w:t>
      </w:r>
    </w:p>
    <w:p>
      <w:pPr>
        <w:rPr>
          <w:noProof/>
        </w:rPr>
      </w:pPr>
      <w:r>
        <w:rPr>
          <w:noProof/>
          <w:lang w:eastAsia="en-GB"/>
        </w:rPr>
        <w:t xml:space="preserve">EU average natural gas costs (in EUR/tonne) </w:t>
      </w:r>
      <w:r>
        <w:rPr>
          <w:noProof/>
        </w:rPr>
        <w:t xml:space="preserve">ranged between 144 and 170 EUR/tonne between 2008 and 2015 </w:t>
      </w:r>
      <w:r>
        <w:rPr>
          <w:noProof/>
          <w:lang w:eastAsia="en-GB"/>
        </w:rPr>
        <w:t>(</w:t>
      </w:r>
      <w:r>
        <w:rPr>
          <w:noProof/>
          <w:lang w:eastAsia="en-GB"/>
        </w:rPr>
        <w:fldChar w:fldCharType="begin"/>
      </w:r>
      <w:r>
        <w:rPr>
          <w:noProof/>
          <w:lang w:eastAsia="en-GB"/>
        </w:rPr>
        <w:instrText xml:space="preserve"> REF _Ref524534559 \h </w:instrText>
      </w:r>
      <w:r>
        <w:rPr>
          <w:noProof/>
          <w:lang w:eastAsia="en-GB"/>
        </w:rPr>
      </w:r>
      <w:r>
        <w:rPr>
          <w:noProof/>
          <w:lang w:eastAsia="en-GB"/>
        </w:rPr>
        <w:fldChar w:fldCharType="separate"/>
      </w:r>
      <w:r>
        <w:rPr>
          <w:noProof/>
        </w:rPr>
        <w:t>Figure 69</w:t>
      </w:r>
      <w:r>
        <w:rPr>
          <w:noProof/>
          <w:lang w:eastAsia="en-GB"/>
        </w:rPr>
        <w:fldChar w:fldCharType="end"/>
      </w:r>
      <w:r>
        <w:rPr>
          <w:noProof/>
          <w:lang w:eastAsia="en-GB"/>
        </w:rPr>
        <w:t>)</w:t>
      </w:r>
      <w:r>
        <w:rPr>
          <w:noProof/>
        </w:rPr>
        <w:t>. They decreased in recent years, falling to around 130 EUR/tonne in 2016 and 2017. Larger plants incurred significant lower costs (weighted average by production output is well below simple average), which can be mainly due to economies of scale (quantity discounts and exemptions seem to play a minor role here).</w:t>
      </w:r>
    </w:p>
    <w:p>
      <w:pPr>
        <w:rPr>
          <w:noProof/>
        </w:rPr>
      </w:pPr>
      <w:r>
        <w:rPr>
          <w:noProof/>
          <w:lang w:eastAsia="en-GB"/>
        </w:rPr>
        <w:t>EU average natural gas intensity (</w:t>
      </w:r>
      <w:r>
        <w:rPr>
          <w:noProof/>
          <w:lang w:eastAsia="en-GB"/>
        </w:rPr>
        <w:fldChar w:fldCharType="begin"/>
      </w:r>
      <w:r>
        <w:rPr>
          <w:noProof/>
          <w:lang w:eastAsia="en-GB"/>
        </w:rPr>
        <w:instrText xml:space="preserve"> REF _Ref524534568 \h </w:instrText>
      </w:r>
      <w:r>
        <w:rPr>
          <w:noProof/>
          <w:lang w:eastAsia="en-GB"/>
        </w:rPr>
      </w:r>
      <w:r>
        <w:rPr>
          <w:noProof/>
          <w:lang w:eastAsia="en-GB"/>
        </w:rPr>
        <w:fldChar w:fldCharType="separate"/>
      </w:r>
      <w:r>
        <w:rPr>
          <w:noProof/>
        </w:rPr>
        <w:t>Figure 70</w:t>
      </w:r>
      <w:r>
        <w:rPr>
          <w:noProof/>
          <w:lang w:eastAsia="en-GB"/>
        </w:rPr>
        <w:fldChar w:fldCharType="end"/>
      </w:r>
      <w:r>
        <w:rPr>
          <w:noProof/>
          <w:lang w:eastAsia="en-GB"/>
        </w:rPr>
        <w:t xml:space="preserve">) </w:t>
      </w:r>
      <w:r>
        <w:rPr>
          <w:noProof/>
        </w:rPr>
        <w:t>ranged between 5 and 6 MWh/tonne over the last ten years. We can see a growing trend from 2013 but this can be attributed to a switch from electricity to natural gas. When considering the overall energy (electricity + natural gas) consumption, the energy intensity of the production process actually decreased between 2008 and 2017, from about 8 MWh/tonne to about 7 MWh/tonne.</w:t>
      </w:r>
      <w:r>
        <w:rPr>
          <w:noProof/>
          <w:lang w:eastAsia="en-GB"/>
        </w:rPr>
        <w:t xml:space="preserve"> It should also be noted that larger plants are more natural gas efficient (weighted average – by production output – natural gas intensity is below simple average one).</w:t>
      </w:r>
    </w:p>
    <w:p>
      <w:pPr>
        <w:rPr>
          <w:noProof/>
          <w:lang w:eastAsia="en-GB"/>
        </w:rPr>
      </w:pPr>
    </w:p>
    <w:p>
      <w:pPr>
        <w:pStyle w:val="Heading3"/>
        <w:rPr>
          <w:noProof/>
        </w:rPr>
      </w:pPr>
      <w:bookmarkStart w:id="401" w:name="_Toc526434065"/>
      <w:bookmarkStart w:id="402" w:name="_Toc526436009"/>
      <w:bookmarkStart w:id="403" w:name="_Toc527544434"/>
      <w:bookmarkStart w:id="404" w:name="_Toc530741673"/>
      <w:r>
        <w:rPr>
          <w:noProof/>
        </w:rPr>
        <w:t>Competitiveness</w:t>
      </w:r>
      <w:bookmarkEnd w:id="401"/>
      <w:bookmarkEnd w:id="402"/>
      <w:bookmarkEnd w:id="403"/>
      <w:bookmarkEnd w:id="404"/>
    </w:p>
    <w:p>
      <w:pPr>
        <w:rPr>
          <w:noProof/>
          <w:lang w:eastAsia="en-GB"/>
        </w:rPr>
      </w:pPr>
      <w:r>
        <w:rPr>
          <w:noProof/>
          <w:lang w:eastAsia="en-GB"/>
        </w:rPr>
        <w:t xml:space="preserve">As shown in </w:t>
      </w:r>
      <w:r>
        <w:rPr>
          <w:noProof/>
          <w:lang w:eastAsia="en-GB"/>
        </w:rPr>
        <w:fldChar w:fldCharType="begin"/>
      </w:r>
      <w:r>
        <w:rPr>
          <w:noProof/>
          <w:lang w:eastAsia="en-GB"/>
        </w:rPr>
        <w:instrText xml:space="preserve"> REF _Ref524534639 \h </w:instrText>
      </w:r>
      <w:r>
        <w:rPr>
          <w:noProof/>
          <w:lang w:eastAsia="en-GB"/>
        </w:rPr>
      </w:r>
      <w:r>
        <w:rPr>
          <w:noProof/>
          <w:lang w:eastAsia="en-GB"/>
        </w:rPr>
        <w:fldChar w:fldCharType="separate"/>
      </w:r>
      <w:r>
        <w:rPr>
          <w:noProof/>
        </w:rPr>
        <w:t>Table 25</w:t>
      </w:r>
      <w:r>
        <w:rPr>
          <w:noProof/>
          <w:lang w:eastAsia="en-GB"/>
        </w:rPr>
        <w:fldChar w:fldCharType="end"/>
      </w:r>
      <w:r>
        <w:rPr>
          <w:noProof/>
          <w:lang w:eastAsia="en-GB"/>
        </w:rPr>
        <w:t>, over the period, the share of electricity costs in total production costs declined, from 9% (2008) to about 6% (2017), while the share of natural gas costs in total production costs increased from around 7% (2008) to about 8% (2017). Overall, the share of total energy (electricity + natural gas) costs in production costs slightly decreased from 16% in 2008 to 14% in 2017.</w:t>
      </w:r>
    </w:p>
    <w:p>
      <w:pPr>
        <w:rPr>
          <w:noProof/>
          <w:lang w:eastAsia="en-GB"/>
        </w:rPr>
      </w:pPr>
      <w:r>
        <w:rPr>
          <w:noProof/>
          <w:lang w:eastAsia="en-GB"/>
        </w:rPr>
        <w:t xml:space="preserve">It is not possible to draw conclusions on the impact of electricity and natural gas costs on profitability. As shown in </w:t>
      </w:r>
      <w:r>
        <w:rPr>
          <w:noProof/>
          <w:lang w:eastAsia="en-GB"/>
        </w:rPr>
        <w:fldChar w:fldCharType="begin"/>
      </w:r>
      <w:r>
        <w:rPr>
          <w:noProof/>
          <w:lang w:eastAsia="en-GB"/>
        </w:rPr>
        <w:instrText xml:space="preserve"> REF _Ref524534578 \h </w:instrText>
      </w:r>
      <w:r>
        <w:rPr>
          <w:noProof/>
          <w:lang w:eastAsia="en-GB"/>
        </w:rPr>
      </w:r>
      <w:r>
        <w:rPr>
          <w:noProof/>
          <w:lang w:eastAsia="en-GB"/>
        </w:rPr>
        <w:fldChar w:fldCharType="separate"/>
      </w:r>
      <w:r>
        <w:rPr>
          <w:noProof/>
        </w:rPr>
        <w:t>Figure 71</w:t>
      </w:r>
      <w:r>
        <w:rPr>
          <w:noProof/>
          <w:lang w:eastAsia="en-GB"/>
        </w:rPr>
        <w:fldChar w:fldCharType="end"/>
      </w:r>
      <w:r>
        <w:rPr>
          <w:noProof/>
          <w:lang w:eastAsia="en-GB"/>
        </w:rPr>
        <w:t>, in absolute terms, EU average energy costs per tonne decreased significantly over the period, from 354 </w:t>
      </w:r>
      <w:r>
        <w:rPr>
          <w:noProof/>
        </w:rPr>
        <w:t xml:space="preserve">EUR/tonne (2008) to 235 EUR/tonne (2017), while EU average </w:t>
      </w:r>
      <w:r>
        <w:rPr>
          <w:noProof/>
          <w:lang w:eastAsia="en-GB"/>
        </w:rPr>
        <w:t>EBITDA per tonne was very volatile (range of 78-278 </w:t>
      </w:r>
      <w:r>
        <w:rPr>
          <w:noProof/>
        </w:rPr>
        <w:t>EUR/tonne</w:t>
      </w:r>
      <w:r>
        <w:rPr>
          <w:noProof/>
          <w:lang w:eastAsia="en-GB"/>
        </w:rPr>
        <w:t>), including some bad years (2009, 2015 and 2016) and better years (e.g. 2010 and 2011). It is still worth underlining that energy costs were always higher than EBITDA, which confirms the importance of energy costs in this sector as regards competitiveness issues.</w:t>
      </w:r>
    </w:p>
    <w:p>
      <w:pPr>
        <w:rPr>
          <w:noProof/>
          <w:lang w:eastAsia="en-GB"/>
        </w:rPr>
      </w:pPr>
    </w:p>
    <w:p>
      <w:pPr>
        <w:pStyle w:val="Heading3"/>
        <w:rPr>
          <w:noProof/>
        </w:rPr>
      </w:pPr>
      <w:bookmarkStart w:id="405" w:name="_Toc526434066"/>
      <w:bookmarkStart w:id="406" w:name="_Toc526436010"/>
      <w:bookmarkStart w:id="407" w:name="_Toc527544435"/>
      <w:bookmarkStart w:id="408" w:name="_Toc530741674"/>
      <w:r>
        <w:rPr>
          <w:noProof/>
        </w:rPr>
        <w:t>Tables and graphs</w:t>
      </w:r>
      <w:bookmarkEnd w:id="405"/>
      <w:bookmarkEnd w:id="406"/>
      <w:bookmarkEnd w:id="407"/>
      <w:bookmarkEnd w:id="408"/>
    </w:p>
    <w:p>
      <w:pPr>
        <w:rPr>
          <w:b/>
          <w:i/>
          <w:noProof/>
          <w:lang w:eastAsia="en-GB"/>
        </w:rPr>
      </w:pPr>
      <w:r>
        <w:rPr>
          <w:b/>
          <w:i/>
          <w:noProof/>
          <w:lang w:eastAsia="en-GB"/>
        </w:rPr>
        <w:t>Electricity</w:t>
      </w:r>
    </w:p>
    <w:p>
      <w:pPr>
        <w:pStyle w:val="Caption"/>
      </w:pPr>
      <w:bookmarkStart w:id="409" w:name="_Ref524534610"/>
      <w:bookmarkStart w:id="410" w:name="_Toc526433628"/>
      <w:bookmarkStart w:id="411" w:name="_Toc526435570"/>
      <w:bookmarkStart w:id="412" w:name="_Toc527544798"/>
      <w:bookmarkStart w:id="413" w:name="_Toc530741816"/>
      <w:r>
        <w:t xml:space="preserve">Table </w:t>
      </w:r>
      <w:r>
        <w:fldChar w:fldCharType="begin"/>
      </w:r>
      <w:r>
        <w:instrText xml:space="preserve"> SEQ Table \* ARABIC </w:instrText>
      </w:r>
      <w:r>
        <w:fldChar w:fldCharType="separate"/>
      </w:r>
      <w:r>
        <w:t>23</w:t>
      </w:r>
      <w:r>
        <w:fldChar w:fldCharType="end"/>
      </w:r>
      <w:bookmarkEnd w:id="409"/>
      <w:r>
        <w:t>. Key electricity indicators of glass tableware production</w:t>
      </w:r>
      <w:r>
        <w:rPr>
          <w:rFonts w:eastAsia="Times New Roman"/>
          <w:color w:val="000000"/>
          <w:lang w:eastAsia="en-GB"/>
        </w:rPr>
        <w:t xml:space="preserve"> </w:t>
      </w:r>
      <w:r>
        <w:t>(EU averages)</w:t>
      </w:r>
      <w:bookmarkEnd w:id="410"/>
      <w:bookmarkEnd w:id="411"/>
      <w:bookmarkEnd w:id="412"/>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tblHeader/>
          <w:jc w:val="center"/>
        </w:trPr>
        <w:tc>
          <w:tcPr>
            <w:tcW w:w="86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393"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71.5</w:t>
            </w:r>
          </w:p>
        </w:tc>
        <w:tc>
          <w:tcPr>
            <w:tcW w:w="435"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77.7</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79.3</w:t>
            </w:r>
          </w:p>
        </w:tc>
        <w:tc>
          <w:tcPr>
            <w:tcW w:w="415"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83.1</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94.4</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100.1</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97.4</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96.6</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92.4</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bCs/>
                <w:noProof/>
                <w:color w:val="000000"/>
                <w:sz w:val="20"/>
                <w:szCs w:val="16"/>
              </w:rPr>
              <w:t>91.3</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39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69.2</w:t>
            </w:r>
          </w:p>
        </w:tc>
        <w:tc>
          <w:tcPr>
            <w:tcW w:w="43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76.2</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77.7</w:t>
            </w:r>
          </w:p>
        </w:tc>
        <w:tc>
          <w:tcPr>
            <w:tcW w:w="41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81.8</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93.2</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98.9</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92.6</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90.1</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85.8</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85.1</w:t>
            </w:r>
          </w:p>
        </w:tc>
      </w:tr>
      <w:tr>
        <w:trPr>
          <w:trHeight w:val="244"/>
          <w:jc w:val="center"/>
        </w:trPr>
        <w:tc>
          <w:tcPr>
            <w:tcW w:w="862"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393"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204.8</w:t>
            </w:r>
          </w:p>
        </w:tc>
        <w:tc>
          <w:tcPr>
            <w:tcW w:w="435"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203.2</w:t>
            </w:r>
          </w:p>
        </w:tc>
        <w:tc>
          <w:tcPr>
            <w:tcW w:w="413"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140.8</w:t>
            </w:r>
          </w:p>
        </w:tc>
        <w:tc>
          <w:tcPr>
            <w:tcW w:w="415"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140.9</w:t>
            </w:r>
          </w:p>
        </w:tc>
        <w:tc>
          <w:tcPr>
            <w:tcW w:w="414"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161.4</w:t>
            </w:r>
          </w:p>
        </w:tc>
        <w:tc>
          <w:tcPr>
            <w:tcW w:w="413"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152.3</w:t>
            </w:r>
          </w:p>
        </w:tc>
        <w:tc>
          <w:tcPr>
            <w:tcW w:w="414"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119.4</w:t>
            </w:r>
          </w:p>
        </w:tc>
        <w:tc>
          <w:tcPr>
            <w:tcW w:w="413"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120.4</w:t>
            </w:r>
          </w:p>
        </w:tc>
        <w:tc>
          <w:tcPr>
            <w:tcW w:w="414"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108.5</w:t>
            </w:r>
          </w:p>
        </w:tc>
        <w:tc>
          <w:tcPr>
            <w:tcW w:w="414" w:type="pct"/>
            <w:shd w:val="clear" w:color="auto" w:fill="CEEBE6"/>
            <w:noWrap/>
            <w:vAlign w:val="center"/>
            <w:hideMark/>
          </w:tcPr>
          <w:p>
            <w:pPr>
              <w:spacing w:before="60" w:after="60"/>
              <w:jc w:val="center"/>
              <w:rPr>
                <w:noProof/>
                <w:sz w:val="20"/>
                <w:szCs w:val="16"/>
                <w:lang w:eastAsia="it-IT"/>
              </w:rPr>
            </w:pPr>
            <w:r>
              <w:rPr>
                <w:bCs/>
                <w:noProof/>
                <w:color w:val="000000"/>
                <w:sz w:val="20"/>
                <w:szCs w:val="16"/>
              </w:rPr>
              <w:t>107.7</w:t>
            </w:r>
          </w:p>
        </w:tc>
      </w:tr>
      <w:tr>
        <w:trPr>
          <w:trHeight w:val="244"/>
          <w:jc w:val="center"/>
        </w:trPr>
        <w:tc>
          <w:tcPr>
            <w:tcW w:w="862"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393" w:type="pct"/>
            <w:shd w:val="clear" w:color="auto" w:fill="auto"/>
            <w:noWrap/>
            <w:vAlign w:val="center"/>
          </w:tcPr>
          <w:p>
            <w:pPr>
              <w:spacing w:before="60" w:after="60"/>
              <w:jc w:val="center"/>
              <w:rPr>
                <w:noProof/>
                <w:sz w:val="20"/>
                <w:szCs w:val="16"/>
                <w:lang w:eastAsia="it-IT"/>
              </w:rPr>
            </w:pPr>
            <w:r>
              <w:rPr>
                <w:bCs/>
                <w:noProof/>
                <w:color w:val="000000"/>
                <w:sz w:val="20"/>
                <w:szCs w:val="16"/>
              </w:rPr>
              <w:t>2.1</w:t>
            </w:r>
          </w:p>
        </w:tc>
        <w:tc>
          <w:tcPr>
            <w:tcW w:w="435" w:type="pct"/>
            <w:shd w:val="clear" w:color="auto" w:fill="auto"/>
            <w:noWrap/>
            <w:vAlign w:val="center"/>
          </w:tcPr>
          <w:p>
            <w:pPr>
              <w:spacing w:before="60" w:after="60"/>
              <w:jc w:val="center"/>
              <w:rPr>
                <w:noProof/>
                <w:sz w:val="20"/>
                <w:szCs w:val="16"/>
                <w:lang w:eastAsia="it-IT"/>
              </w:rPr>
            </w:pPr>
            <w:r>
              <w:rPr>
                <w:bCs/>
                <w:noProof/>
                <w:color w:val="000000"/>
                <w:sz w:val="20"/>
                <w:szCs w:val="16"/>
              </w:rPr>
              <w:t>2.3</w:t>
            </w:r>
          </w:p>
        </w:tc>
        <w:tc>
          <w:tcPr>
            <w:tcW w:w="413" w:type="pct"/>
            <w:shd w:val="clear" w:color="auto" w:fill="auto"/>
            <w:noWrap/>
            <w:vAlign w:val="center"/>
          </w:tcPr>
          <w:p>
            <w:pPr>
              <w:spacing w:before="60" w:after="60"/>
              <w:jc w:val="center"/>
              <w:rPr>
                <w:noProof/>
                <w:sz w:val="20"/>
                <w:szCs w:val="16"/>
                <w:lang w:eastAsia="it-IT"/>
              </w:rPr>
            </w:pPr>
            <w:r>
              <w:rPr>
                <w:bCs/>
                <w:noProof/>
                <w:color w:val="000000"/>
                <w:sz w:val="20"/>
                <w:szCs w:val="16"/>
              </w:rPr>
              <w:t>1.7</w:t>
            </w:r>
          </w:p>
        </w:tc>
        <w:tc>
          <w:tcPr>
            <w:tcW w:w="415" w:type="pct"/>
            <w:shd w:val="clear" w:color="auto" w:fill="auto"/>
            <w:noWrap/>
            <w:vAlign w:val="center"/>
          </w:tcPr>
          <w:p>
            <w:pPr>
              <w:spacing w:before="60" w:after="60"/>
              <w:jc w:val="center"/>
              <w:rPr>
                <w:noProof/>
                <w:sz w:val="20"/>
                <w:szCs w:val="16"/>
                <w:lang w:eastAsia="it-IT"/>
              </w:rPr>
            </w:pPr>
            <w:r>
              <w:rPr>
                <w:bCs/>
                <w:noProof/>
                <w:color w:val="000000"/>
                <w:sz w:val="20"/>
                <w:szCs w:val="16"/>
              </w:rPr>
              <w:t>1.7</w:t>
            </w:r>
          </w:p>
        </w:tc>
        <w:tc>
          <w:tcPr>
            <w:tcW w:w="414" w:type="pct"/>
            <w:shd w:val="clear" w:color="auto" w:fill="auto"/>
            <w:noWrap/>
            <w:vAlign w:val="center"/>
          </w:tcPr>
          <w:p>
            <w:pPr>
              <w:spacing w:before="60" w:after="60"/>
              <w:jc w:val="center"/>
              <w:rPr>
                <w:noProof/>
                <w:sz w:val="20"/>
                <w:szCs w:val="16"/>
                <w:lang w:eastAsia="it-IT"/>
              </w:rPr>
            </w:pPr>
            <w:r>
              <w:rPr>
                <w:bCs/>
                <w:noProof/>
                <w:color w:val="000000"/>
                <w:sz w:val="20"/>
                <w:szCs w:val="16"/>
              </w:rPr>
              <w:t>1.7</w:t>
            </w:r>
          </w:p>
        </w:tc>
        <w:tc>
          <w:tcPr>
            <w:tcW w:w="413" w:type="pct"/>
            <w:shd w:val="clear" w:color="auto" w:fill="auto"/>
            <w:noWrap/>
            <w:vAlign w:val="center"/>
          </w:tcPr>
          <w:p>
            <w:pPr>
              <w:spacing w:before="60" w:after="60"/>
              <w:jc w:val="center"/>
              <w:rPr>
                <w:noProof/>
                <w:sz w:val="20"/>
                <w:szCs w:val="16"/>
                <w:lang w:eastAsia="it-IT"/>
              </w:rPr>
            </w:pPr>
            <w:r>
              <w:rPr>
                <w:bCs/>
                <w:noProof/>
                <w:color w:val="000000"/>
                <w:sz w:val="20"/>
                <w:szCs w:val="16"/>
              </w:rPr>
              <w:t>1.5</w:t>
            </w:r>
          </w:p>
        </w:tc>
        <w:tc>
          <w:tcPr>
            <w:tcW w:w="414" w:type="pct"/>
            <w:shd w:val="clear" w:color="auto" w:fill="auto"/>
            <w:noWrap/>
            <w:vAlign w:val="center"/>
          </w:tcPr>
          <w:p>
            <w:pPr>
              <w:spacing w:before="60" w:after="60"/>
              <w:jc w:val="center"/>
              <w:rPr>
                <w:noProof/>
                <w:sz w:val="20"/>
                <w:szCs w:val="16"/>
                <w:lang w:eastAsia="it-IT"/>
              </w:rPr>
            </w:pPr>
            <w:r>
              <w:rPr>
                <w:bCs/>
                <w:noProof/>
                <w:color w:val="000000"/>
                <w:sz w:val="20"/>
                <w:szCs w:val="16"/>
              </w:rPr>
              <w:t>1.3</w:t>
            </w:r>
          </w:p>
        </w:tc>
        <w:tc>
          <w:tcPr>
            <w:tcW w:w="413" w:type="pct"/>
            <w:shd w:val="clear" w:color="auto" w:fill="auto"/>
            <w:noWrap/>
            <w:vAlign w:val="center"/>
          </w:tcPr>
          <w:p>
            <w:pPr>
              <w:spacing w:before="60" w:after="60"/>
              <w:jc w:val="center"/>
              <w:rPr>
                <w:noProof/>
                <w:sz w:val="20"/>
                <w:szCs w:val="16"/>
                <w:lang w:eastAsia="it-IT"/>
              </w:rPr>
            </w:pPr>
            <w:r>
              <w:rPr>
                <w:bCs/>
                <w:noProof/>
                <w:color w:val="000000"/>
                <w:sz w:val="20"/>
                <w:szCs w:val="16"/>
              </w:rPr>
              <w:t>1.4</w:t>
            </w:r>
          </w:p>
        </w:tc>
        <w:tc>
          <w:tcPr>
            <w:tcW w:w="414" w:type="pct"/>
            <w:shd w:val="clear" w:color="auto" w:fill="auto"/>
            <w:noWrap/>
            <w:vAlign w:val="center"/>
          </w:tcPr>
          <w:p>
            <w:pPr>
              <w:spacing w:before="60" w:after="60"/>
              <w:jc w:val="center"/>
              <w:rPr>
                <w:noProof/>
                <w:sz w:val="20"/>
                <w:szCs w:val="16"/>
                <w:lang w:eastAsia="it-IT"/>
              </w:rPr>
            </w:pPr>
            <w:r>
              <w:rPr>
                <w:bCs/>
                <w:noProof/>
                <w:color w:val="000000"/>
                <w:sz w:val="20"/>
                <w:szCs w:val="16"/>
              </w:rPr>
              <w:t>1.3</w:t>
            </w:r>
          </w:p>
        </w:tc>
        <w:tc>
          <w:tcPr>
            <w:tcW w:w="414" w:type="pct"/>
            <w:shd w:val="clear" w:color="auto" w:fill="auto"/>
            <w:noWrap/>
            <w:vAlign w:val="center"/>
          </w:tcPr>
          <w:p>
            <w:pPr>
              <w:spacing w:before="60" w:after="60"/>
              <w:jc w:val="center"/>
              <w:rPr>
                <w:noProof/>
                <w:sz w:val="20"/>
                <w:szCs w:val="16"/>
                <w:lang w:eastAsia="it-IT"/>
              </w:rPr>
            </w:pPr>
            <w:r>
              <w:rPr>
                <w:bCs/>
                <w:noProof/>
                <w:color w:val="000000"/>
                <w:sz w:val="20"/>
                <w:szCs w:val="16"/>
              </w:rPr>
              <w:t>1.3</w:t>
            </w:r>
          </w:p>
        </w:tc>
      </w:tr>
    </w:tbl>
    <w:p>
      <w:pPr>
        <w:pStyle w:val="Sources"/>
        <w:rPr>
          <w:noProof/>
        </w:rPr>
      </w:pPr>
      <w:r>
        <w:rPr>
          <w:noProof/>
        </w:rPr>
        <w:t>Source: CEPS/Ecofys.</w:t>
      </w:r>
    </w:p>
    <w:p>
      <w:pPr>
        <w:rPr>
          <w:noProof/>
        </w:rPr>
      </w:pPr>
    </w:p>
    <w:p>
      <w:pPr>
        <w:pStyle w:val="Caption"/>
        <w:rPr>
          <w:rFonts w:eastAsia="Times New Roman"/>
          <w:color w:val="000000"/>
          <w:lang w:eastAsia="en-GB"/>
        </w:rPr>
      </w:pPr>
      <w:bookmarkStart w:id="414" w:name="_Ref529443245"/>
      <w:bookmarkStart w:id="415" w:name="_Toc530741756"/>
      <w:r>
        <w:t xml:space="preserve">Figure </w:t>
      </w:r>
      <w:r>
        <w:fldChar w:fldCharType="begin"/>
      </w:r>
      <w:r>
        <w:instrText xml:space="preserve"> SEQ Figure \* ARABIC </w:instrText>
      </w:r>
      <w:r>
        <w:fldChar w:fldCharType="separate"/>
      </w:r>
      <w:r>
        <w:t>63</w:t>
      </w:r>
      <w:r>
        <w:fldChar w:fldCharType="end"/>
      </w:r>
      <w:bookmarkEnd w:id="414"/>
      <w:r>
        <w:t>. Components of the EU average electricity price for glass tableware production (%)</w:t>
      </w:r>
      <w:bookmarkEnd w:id="415"/>
    </w:p>
    <w:p>
      <w:pPr>
        <w:keepNext/>
        <w:rPr>
          <w:noProof/>
          <w:lang w:eastAsia="it-IT"/>
        </w:rPr>
      </w:pPr>
      <w:r>
        <w:rPr>
          <w:noProof/>
          <w:lang w:eastAsia="en-GB"/>
        </w:rPr>
        <w:drawing>
          <wp:inline distT="0" distB="0" distL="0" distR="0">
            <wp:extent cx="5761355" cy="2519045"/>
            <wp:effectExtent l="0" t="0" r="0" b="0"/>
            <wp:docPr id="1449026557" name="Chart 14490265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Sources"/>
        <w:tabs>
          <w:tab w:val="left" w:pos="142"/>
        </w:tabs>
        <w:rPr>
          <w:noProof/>
        </w:rPr>
      </w:pPr>
      <w:r>
        <w:rPr>
          <w:noProof/>
        </w:rPr>
        <w:tab/>
        <w:t>Source: CEPS/Ecofys.</w:t>
      </w:r>
    </w:p>
    <w:p>
      <w:pPr>
        <w:rPr>
          <w:noProof/>
          <w:lang w:eastAsia="en-GB"/>
        </w:rPr>
      </w:pPr>
    </w:p>
    <w:p>
      <w:pPr>
        <w:pStyle w:val="Caption"/>
        <w:rPr>
          <w:rFonts w:eastAsia="Times New Roman"/>
          <w:color w:val="000000"/>
          <w:lang w:eastAsia="en-GB"/>
        </w:rPr>
      </w:pPr>
      <w:bookmarkStart w:id="416" w:name="_Ref524534524"/>
      <w:bookmarkStart w:id="417" w:name="_Toc526433901"/>
      <w:bookmarkStart w:id="418" w:name="_Toc526435843"/>
      <w:bookmarkStart w:id="419" w:name="_Toc527544724"/>
      <w:bookmarkStart w:id="420" w:name="_Toc530741757"/>
      <w:r>
        <w:t xml:space="preserve">Figure </w:t>
      </w:r>
      <w:r>
        <w:fldChar w:fldCharType="begin"/>
      </w:r>
      <w:r>
        <w:instrText xml:space="preserve"> SEQ Figure \* ARABIC </w:instrText>
      </w:r>
      <w:r>
        <w:fldChar w:fldCharType="separate"/>
      </w:r>
      <w:r>
        <w:t>64</w:t>
      </w:r>
      <w:r>
        <w:fldChar w:fldCharType="end"/>
      </w:r>
      <w:bookmarkEnd w:id="416"/>
      <w:r>
        <w:t xml:space="preserve">. </w:t>
      </w:r>
      <w:r>
        <w:rPr>
          <w:rFonts w:eastAsia="Times New Roman"/>
          <w:color w:val="000000"/>
          <w:lang w:eastAsia="en-GB"/>
        </w:rPr>
        <w:t xml:space="preserve">Electricity costs </w:t>
      </w:r>
      <w:r>
        <w:t>of glass tableware production</w:t>
      </w:r>
      <w:r>
        <w:rPr>
          <w:rFonts w:eastAsia="Times New Roman"/>
          <w:color w:val="000000"/>
          <w:lang w:eastAsia="en-GB"/>
        </w:rPr>
        <w:t xml:space="preserve"> (€/MWh)</w:t>
      </w:r>
      <w:bookmarkEnd w:id="417"/>
      <w:bookmarkEnd w:id="418"/>
      <w:bookmarkEnd w:id="419"/>
      <w:bookmarkEnd w:id="420"/>
    </w:p>
    <w:p>
      <w:pPr>
        <w:keepNext/>
        <w:rPr>
          <w:noProof/>
        </w:rPr>
      </w:pPr>
      <w:r>
        <w:rPr>
          <w:noProof/>
          <w:lang w:eastAsia="en-GB"/>
        </w:rPr>
        <w:drawing>
          <wp:inline distT="0" distB="0" distL="0" distR="0">
            <wp:extent cx="5760720" cy="2471056"/>
            <wp:effectExtent l="0" t="0" r="0" b="5715"/>
            <wp:docPr id="1449027022" name="Picture 144902702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54"/>
                    <pic:cNvPicPr>
                      <a:picLocks noGrp="1" noRot="1" noChangeAspect="1" noMove="1" noResize="1" noEditPoints="1" noAdjustHandles="1" noChangeArrowheads="1" noChangeShapeType="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2471056"/>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421" w:name="_Ref524534533"/>
      <w:bookmarkStart w:id="422" w:name="_Toc526433902"/>
      <w:bookmarkStart w:id="423" w:name="_Toc526435844"/>
      <w:bookmarkStart w:id="424" w:name="_Toc527544725"/>
      <w:bookmarkStart w:id="425" w:name="_Toc530741758"/>
      <w:r>
        <w:t xml:space="preserve">Figure </w:t>
      </w:r>
      <w:r>
        <w:fldChar w:fldCharType="begin"/>
      </w:r>
      <w:r>
        <w:instrText xml:space="preserve"> SEQ Figure \* ARABIC </w:instrText>
      </w:r>
      <w:r>
        <w:fldChar w:fldCharType="separate"/>
      </w:r>
      <w:r>
        <w:t>65</w:t>
      </w:r>
      <w:r>
        <w:fldChar w:fldCharType="end"/>
      </w:r>
      <w:bookmarkEnd w:id="421"/>
      <w:r>
        <w:t xml:space="preserve">. </w:t>
      </w:r>
      <w:r>
        <w:rPr>
          <w:rFonts w:eastAsia="Times New Roman"/>
          <w:color w:val="000000"/>
          <w:lang w:eastAsia="en-GB"/>
        </w:rPr>
        <w:t>Electricity costs</w:t>
      </w:r>
      <w:r>
        <w:t xml:space="preserve"> of glass tableware production</w:t>
      </w:r>
      <w:r>
        <w:rPr>
          <w:rFonts w:eastAsia="Times New Roman"/>
          <w:color w:val="000000"/>
          <w:lang w:eastAsia="en-GB"/>
        </w:rPr>
        <w:t xml:space="preserve"> (€/tonne)</w:t>
      </w:r>
      <w:bookmarkEnd w:id="422"/>
      <w:bookmarkEnd w:id="423"/>
      <w:bookmarkEnd w:id="424"/>
      <w:bookmarkEnd w:id="425"/>
    </w:p>
    <w:p>
      <w:pPr>
        <w:keepNext/>
        <w:rPr>
          <w:b/>
          <w:noProof/>
        </w:rPr>
      </w:pPr>
      <w:r>
        <w:rPr>
          <w:noProof/>
          <w:lang w:eastAsia="en-GB"/>
        </w:rPr>
        <w:drawing>
          <wp:inline distT="0" distB="0" distL="0" distR="0">
            <wp:extent cx="5760720" cy="2521822"/>
            <wp:effectExtent l="0" t="0" r="0" b="0"/>
            <wp:docPr id="1449027023" name="Picture 144902702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55"/>
                    <pic:cNvPicPr>
                      <a:picLocks noGrp="1" noRot="1" noChangeAspect="1" noMove="1" noResize="1" noEditPoints="1" noAdjustHandles="1" noChangeArrowheads="1" noChangeShapeType="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426" w:name="_Ref524534540"/>
      <w:bookmarkStart w:id="427" w:name="_Toc526433903"/>
      <w:bookmarkStart w:id="428" w:name="_Toc526435845"/>
      <w:bookmarkStart w:id="429" w:name="_Toc527544726"/>
      <w:bookmarkStart w:id="430" w:name="_Toc530741759"/>
      <w:r>
        <w:t xml:space="preserve">Figure </w:t>
      </w:r>
      <w:r>
        <w:fldChar w:fldCharType="begin"/>
      </w:r>
      <w:r>
        <w:instrText xml:space="preserve"> SEQ Figure \* ARABIC </w:instrText>
      </w:r>
      <w:r>
        <w:fldChar w:fldCharType="separate"/>
      </w:r>
      <w:r>
        <w:t>66</w:t>
      </w:r>
      <w:r>
        <w:fldChar w:fldCharType="end"/>
      </w:r>
      <w:bookmarkEnd w:id="426"/>
      <w:r>
        <w:t xml:space="preserve">. </w:t>
      </w:r>
      <w:r>
        <w:rPr>
          <w:rFonts w:eastAsia="Times New Roman"/>
          <w:color w:val="000000"/>
          <w:lang w:eastAsia="en-GB"/>
        </w:rPr>
        <w:t xml:space="preserve">Electricity intensity </w:t>
      </w:r>
      <w:r>
        <w:t>of glass tableware production</w:t>
      </w:r>
      <w:r>
        <w:rPr>
          <w:rFonts w:eastAsia="Times New Roman"/>
          <w:color w:val="000000"/>
          <w:lang w:eastAsia="en-GB"/>
        </w:rPr>
        <w:t xml:space="preserve"> (MWh/tonne)</w:t>
      </w:r>
      <w:bookmarkEnd w:id="427"/>
      <w:bookmarkEnd w:id="428"/>
      <w:bookmarkEnd w:id="429"/>
      <w:bookmarkEnd w:id="430"/>
    </w:p>
    <w:p>
      <w:pPr>
        <w:keepNext/>
        <w:rPr>
          <w:b/>
          <w:bCs/>
          <w:noProof/>
        </w:rPr>
      </w:pPr>
      <w:r>
        <w:rPr>
          <w:noProof/>
          <w:lang w:eastAsia="en-GB"/>
        </w:rPr>
        <w:drawing>
          <wp:inline distT="0" distB="0" distL="0" distR="0">
            <wp:extent cx="5760720" cy="2521822"/>
            <wp:effectExtent l="0" t="0" r="0" b="0"/>
            <wp:docPr id="1449027024" name="Picture 1449027024"/>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56"/>
                    <pic:cNvPicPr>
                      <a:picLocks noGrp="1" noRot="1" noChangeAspect="1" noMove="1" noResize="1" noEditPoints="1" noAdjustHandles="1" noChangeArrowheads="1" noChangeShapeType="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431" w:name="_Ref524534623"/>
      <w:bookmarkStart w:id="432" w:name="_Toc526433629"/>
      <w:bookmarkStart w:id="433" w:name="_Toc526435571"/>
      <w:bookmarkStart w:id="434" w:name="_Toc527544799"/>
      <w:bookmarkStart w:id="435" w:name="_Toc530741817"/>
      <w:r>
        <w:t xml:space="preserve">Table </w:t>
      </w:r>
      <w:r>
        <w:fldChar w:fldCharType="begin"/>
      </w:r>
      <w:r>
        <w:instrText xml:space="preserve"> SEQ Table \* ARABIC </w:instrText>
      </w:r>
      <w:r>
        <w:fldChar w:fldCharType="separate"/>
      </w:r>
      <w:r>
        <w:t>24</w:t>
      </w:r>
      <w:r>
        <w:fldChar w:fldCharType="end"/>
      </w:r>
      <w:bookmarkEnd w:id="431"/>
      <w:r>
        <w:t>. Key natural gas indicators of glass tableware production</w:t>
      </w:r>
      <w:r>
        <w:rPr>
          <w:rFonts w:eastAsia="Times New Roman"/>
          <w:color w:val="000000"/>
          <w:lang w:eastAsia="en-GB"/>
        </w:rPr>
        <w:t xml:space="preserve"> </w:t>
      </w:r>
      <w:r>
        <w:t>(EU averages)</w:t>
      </w:r>
      <w:bookmarkEnd w:id="432"/>
      <w:bookmarkEnd w:id="433"/>
      <w:bookmarkEnd w:id="434"/>
      <w:bookmarkEnd w:id="4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jc w:val="center"/>
        </w:trPr>
        <w:tc>
          <w:tcPr>
            <w:tcW w:w="86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3" w:type="pct"/>
            <w:shd w:val="clear" w:color="auto" w:fill="CEEBE6"/>
            <w:noWrap/>
            <w:vAlign w:val="center"/>
          </w:tcPr>
          <w:p>
            <w:pPr>
              <w:spacing w:before="60" w:after="60"/>
              <w:jc w:val="center"/>
              <w:rPr>
                <w:noProof/>
                <w:sz w:val="20"/>
                <w:szCs w:val="16"/>
                <w:lang w:eastAsia="it-IT"/>
              </w:rPr>
            </w:pPr>
            <w:r>
              <w:rPr>
                <w:bCs/>
                <w:noProof/>
                <w:color w:val="000000"/>
                <w:sz w:val="20"/>
                <w:szCs w:val="16"/>
              </w:rPr>
              <w:t>26.2</w:t>
            </w:r>
          </w:p>
        </w:tc>
        <w:tc>
          <w:tcPr>
            <w:tcW w:w="435" w:type="pct"/>
            <w:shd w:val="clear" w:color="auto" w:fill="CEEBE6"/>
            <w:noWrap/>
            <w:vAlign w:val="center"/>
          </w:tcPr>
          <w:p>
            <w:pPr>
              <w:spacing w:before="60" w:after="60"/>
              <w:jc w:val="center"/>
              <w:rPr>
                <w:noProof/>
                <w:sz w:val="20"/>
                <w:szCs w:val="16"/>
                <w:lang w:eastAsia="it-IT"/>
              </w:rPr>
            </w:pPr>
            <w:r>
              <w:rPr>
                <w:bCs/>
                <w:noProof/>
                <w:color w:val="000000"/>
                <w:sz w:val="20"/>
                <w:szCs w:val="16"/>
              </w:rPr>
              <w:t>28.6</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26.9</w:t>
            </w:r>
          </w:p>
        </w:tc>
        <w:tc>
          <w:tcPr>
            <w:tcW w:w="415" w:type="pct"/>
            <w:shd w:val="clear" w:color="auto" w:fill="CEEBE6"/>
            <w:noWrap/>
            <w:vAlign w:val="center"/>
          </w:tcPr>
          <w:p>
            <w:pPr>
              <w:spacing w:before="60" w:after="60"/>
              <w:jc w:val="center"/>
              <w:rPr>
                <w:noProof/>
                <w:sz w:val="20"/>
                <w:szCs w:val="16"/>
                <w:lang w:eastAsia="it-IT"/>
              </w:rPr>
            </w:pPr>
            <w:r>
              <w:rPr>
                <w:bCs/>
                <w:noProof/>
                <w:color w:val="000000"/>
                <w:sz w:val="20"/>
                <w:szCs w:val="16"/>
              </w:rPr>
              <w:t>28.4</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32.0</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32.2</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31.5</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28.7</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23.8</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22.3</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149.7</w:t>
            </w:r>
          </w:p>
        </w:tc>
        <w:tc>
          <w:tcPr>
            <w:tcW w:w="43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170.5</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144.1</w:t>
            </w:r>
          </w:p>
        </w:tc>
        <w:tc>
          <w:tcPr>
            <w:tcW w:w="415"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146.0</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162.7</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163.4</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168.8</w:t>
            </w:r>
          </w:p>
        </w:tc>
        <w:tc>
          <w:tcPr>
            <w:tcW w:w="413"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159.9</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131.9</w:t>
            </w:r>
          </w:p>
        </w:tc>
        <w:tc>
          <w:tcPr>
            <w:tcW w:w="414" w:type="pct"/>
            <w:shd w:val="clear" w:color="auto" w:fill="auto"/>
            <w:noWrap/>
            <w:vAlign w:val="center"/>
            <w:hideMark/>
          </w:tcPr>
          <w:p>
            <w:pPr>
              <w:spacing w:before="60" w:after="60"/>
              <w:jc w:val="center"/>
              <w:rPr>
                <w:noProof/>
                <w:sz w:val="20"/>
                <w:szCs w:val="16"/>
                <w:lang w:eastAsia="it-IT"/>
              </w:rPr>
            </w:pPr>
            <w:r>
              <w:rPr>
                <w:bCs/>
                <w:noProof/>
                <w:color w:val="000000"/>
                <w:sz w:val="20"/>
                <w:szCs w:val="16"/>
              </w:rPr>
              <w:t>127.5</w:t>
            </w:r>
          </w:p>
        </w:tc>
      </w:tr>
      <w:tr>
        <w:trPr>
          <w:trHeight w:val="244"/>
          <w:jc w:val="center"/>
        </w:trPr>
        <w:tc>
          <w:tcPr>
            <w:tcW w:w="862" w:type="pct"/>
            <w:shd w:val="clear" w:color="auto" w:fill="CEEBE6"/>
            <w:noWrap/>
            <w:vAlign w:val="center"/>
          </w:tcPr>
          <w:p>
            <w:pPr>
              <w:keepNext/>
              <w:spacing w:before="60" w:after="60"/>
              <w:jc w:val="left"/>
              <w:rPr>
                <w:b/>
                <w:bCs/>
                <w:noProof/>
                <w:sz w:val="20"/>
                <w:szCs w:val="16"/>
              </w:rPr>
            </w:pPr>
            <w:r>
              <w:rPr>
                <w:bCs/>
                <w:noProof/>
                <w:sz w:val="20"/>
                <w:szCs w:val="16"/>
              </w:rPr>
              <w:t>Natural gas intensity (MWh/tonne)</w:t>
            </w:r>
          </w:p>
        </w:tc>
        <w:tc>
          <w:tcPr>
            <w:tcW w:w="393" w:type="pct"/>
            <w:shd w:val="clear" w:color="auto" w:fill="CEEBE6"/>
            <w:noWrap/>
            <w:vAlign w:val="center"/>
          </w:tcPr>
          <w:p>
            <w:pPr>
              <w:spacing w:before="60" w:after="60"/>
              <w:jc w:val="center"/>
              <w:rPr>
                <w:noProof/>
                <w:sz w:val="20"/>
                <w:szCs w:val="16"/>
                <w:lang w:eastAsia="it-IT"/>
              </w:rPr>
            </w:pPr>
            <w:r>
              <w:rPr>
                <w:bCs/>
                <w:noProof/>
                <w:color w:val="000000"/>
                <w:sz w:val="20"/>
                <w:szCs w:val="16"/>
              </w:rPr>
              <w:t>5.6</w:t>
            </w:r>
          </w:p>
        </w:tc>
        <w:tc>
          <w:tcPr>
            <w:tcW w:w="435" w:type="pct"/>
            <w:shd w:val="clear" w:color="auto" w:fill="CEEBE6"/>
            <w:noWrap/>
            <w:vAlign w:val="center"/>
          </w:tcPr>
          <w:p>
            <w:pPr>
              <w:spacing w:before="60" w:after="60"/>
              <w:jc w:val="center"/>
              <w:rPr>
                <w:noProof/>
                <w:sz w:val="20"/>
                <w:szCs w:val="16"/>
                <w:lang w:eastAsia="it-IT"/>
              </w:rPr>
            </w:pPr>
            <w:r>
              <w:rPr>
                <w:bCs/>
                <w:noProof/>
                <w:color w:val="000000"/>
                <w:sz w:val="20"/>
                <w:szCs w:val="16"/>
              </w:rPr>
              <w:t>6.2</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5.5</w:t>
            </w:r>
          </w:p>
        </w:tc>
        <w:tc>
          <w:tcPr>
            <w:tcW w:w="415" w:type="pct"/>
            <w:shd w:val="clear" w:color="auto" w:fill="CEEBE6"/>
            <w:noWrap/>
            <w:vAlign w:val="center"/>
          </w:tcPr>
          <w:p>
            <w:pPr>
              <w:spacing w:before="60" w:after="60"/>
              <w:jc w:val="center"/>
              <w:rPr>
                <w:noProof/>
                <w:sz w:val="20"/>
                <w:szCs w:val="16"/>
                <w:lang w:eastAsia="it-IT"/>
              </w:rPr>
            </w:pPr>
            <w:r>
              <w:rPr>
                <w:bCs/>
                <w:noProof/>
                <w:color w:val="000000"/>
                <w:sz w:val="20"/>
                <w:szCs w:val="16"/>
              </w:rPr>
              <w:t>5.2</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5.2</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5.1</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5.4</w:t>
            </w:r>
          </w:p>
        </w:tc>
        <w:tc>
          <w:tcPr>
            <w:tcW w:w="413" w:type="pct"/>
            <w:shd w:val="clear" w:color="auto" w:fill="CEEBE6"/>
            <w:noWrap/>
            <w:vAlign w:val="center"/>
          </w:tcPr>
          <w:p>
            <w:pPr>
              <w:spacing w:before="60" w:after="60"/>
              <w:jc w:val="center"/>
              <w:rPr>
                <w:noProof/>
                <w:sz w:val="20"/>
                <w:szCs w:val="16"/>
                <w:lang w:eastAsia="it-IT"/>
              </w:rPr>
            </w:pPr>
            <w:r>
              <w:rPr>
                <w:bCs/>
                <w:noProof/>
                <w:color w:val="000000"/>
                <w:sz w:val="20"/>
                <w:szCs w:val="16"/>
              </w:rPr>
              <w:t>5.5</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5.3</w:t>
            </w:r>
          </w:p>
        </w:tc>
        <w:tc>
          <w:tcPr>
            <w:tcW w:w="414" w:type="pct"/>
            <w:shd w:val="clear" w:color="auto" w:fill="CEEBE6"/>
            <w:noWrap/>
            <w:vAlign w:val="center"/>
          </w:tcPr>
          <w:p>
            <w:pPr>
              <w:spacing w:before="60" w:after="60"/>
              <w:jc w:val="center"/>
              <w:rPr>
                <w:noProof/>
                <w:sz w:val="20"/>
                <w:szCs w:val="16"/>
                <w:lang w:eastAsia="it-IT"/>
              </w:rPr>
            </w:pPr>
            <w:r>
              <w:rPr>
                <w:bCs/>
                <w:noProof/>
                <w:color w:val="000000"/>
                <w:sz w:val="20"/>
                <w:szCs w:val="16"/>
              </w:rPr>
              <w:t>5.5</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436" w:name="_Ref524534551"/>
      <w:bookmarkStart w:id="437" w:name="_Toc526433904"/>
      <w:bookmarkStart w:id="438" w:name="_Toc526435846"/>
      <w:bookmarkStart w:id="439" w:name="_Toc527544727"/>
      <w:bookmarkStart w:id="440" w:name="_Toc530741760"/>
      <w:r>
        <w:t xml:space="preserve">Figure </w:t>
      </w:r>
      <w:r>
        <w:fldChar w:fldCharType="begin"/>
      </w:r>
      <w:r>
        <w:instrText xml:space="preserve"> SEQ Figure \* ARABIC </w:instrText>
      </w:r>
      <w:r>
        <w:fldChar w:fldCharType="separate"/>
      </w:r>
      <w:r>
        <w:t>67</w:t>
      </w:r>
      <w:r>
        <w:fldChar w:fldCharType="end"/>
      </w:r>
      <w:bookmarkEnd w:id="436"/>
      <w:r>
        <w:t xml:space="preserve">. </w:t>
      </w:r>
      <w:r>
        <w:rPr>
          <w:rFonts w:eastAsia="Times New Roman"/>
          <w:color w:val="000000"/>
          <w:lang w:eastAsia="en-GB"/>
        </w:rPr>
        <w:t>Natural gas prices</w:t>
      </w:r>
      <w:r>
        <w:t xml:space="preserve"> of glass tableware production</w:t>
      </w:r>
      <w:r>
        <w:rPr>
          <w:rFonts w:eastAsia="Times New Roman"/>
          <w:color w:val="000000"/>
          <w:lang w:eastAsia="en-GB"/>
        </w:rPr>
        <w:t xml:space="preserve"> (€/MWh)</w:t>
      </w:r>
      <w:bookmarkEnd w:id="437"/>
      <w:bookmarkEnd w:id="438"/>
      <w:bookmarkEnd w:id="439"/>
      <w:bookmarkEnd w:id="440"/>
    </w:p>
    <w:p>
      <w:pPr>
        <w:keepNext/>
        <w:rPr>
          <w:b/>
          <w:bCs/>
          <w:noProof/>
        </w:rPr>
      </w:pPr>
      <w:r>
        <w:rPr>
          <w:noProof/>
          <w:lang w:eastAsia="en-GB"/>
        </w:rPr>
        <w:drawing>
          <wp:inline distT="0" distB="0" distL="0" distR="0">
            <wp:extent cx="5760720" cy="2521822"/>
            <wp:effectExtent l="0" t="0" r="0" b="0"/>
            <wp:docPr id="1449027025" name="Picture 144902702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57"/>
                    <pic:cNvPicPr>
                      <a:picLocks noGrp="1" noRot="1" noChangeAspect="1" noMove="1" noResize="1" noEditPoints="1" noAdjustHandles="1" noChangeArrowheads="1" noChangeShapeType="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441" w:name="_Ref529457886"/>
      <w:bookmarkStart w:id="442" w:name="_Toc530741761"/>
      <w:r>
        <w:t xml:space="preserve">Figure </w:t>
      </w:r>
      <w:r>
        <w:fldChar w:fldCharType="begin"/>
      </w:r>
      <w:r>
        <w:instrText xml:space="preserve"> SEQ Figure \* ARABIC </w:instrText>
      </w:r>
      <w:r>
        <w:fldChar w:fldCharType="separate"/>
      </w:r>
      <w:r>
        <w:t>68</w:t>
      </w:r>
      <w:r>
        <w:fldChar w:fldCharType="end"/>
      </w:r>
      <w:bookmarkEnd w:id="441"/>
      <w:r>
        <w:t>. Components of the EU average natural gas price for glass tableware production (%)</w:t>
      </w:r>
      <w:bookmarkEnd w:id="442"/>
    </w:p>
    <w:p>
      <w:pPr>
        <w:keepNext/>
        <w:rPr>
          <w:noProof/>
        </w:rPr>
      </w:pPr>
      <w:r>
        <w:rPr>
          <w:noProof/>
          <w:lang w:eastAsia="en-GB"/>
        </w:rPr>
        <w:drawing>
          <wp:inline distT="0" distB="0" distL="0" distR="0">
            <wp:extent cx="5753735" cy="251904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443" w:name="_Ref524534559"/>
      <w:bookmarkStart w:id="444" w:name="_Toc526433905"/>
      <w:bookmarkStart w:id="445" w:name="_Toc526435847"/>
      <w:bookmarkStart w:id="446" w:name="_Toc527544728"/>
      <w:bookmarkStart w:id="447" w:name="_Toc530741762"/>
      <w:r>
        <w:t xml:space="preserve">Figure </w:t>
      </w:r>
      <w:r>
        <w:fldChar w:fldCharType="begin"/>
      </w:r>
      <w:r>
        <w:instrText xml:space="preserve"> SEQ Figure \* ARABIC </w:instrText>
      </w:r>
      <w:r>
        <w:fldChar w:fldCharType="separate"/>
      </w:r>
      <w:r>
        <w:t>69</w:t>
      </w:r>
      <w:r>
        <w:fldChar w:fldCharType="end"/>
      </w:r>
      <w:bookmarkEnd w:id="443"/>
      <w:r>
        <w:t xml:space="preserve">. </w:t>
      </w:r>
      <w:r>
        <w:rPr>
          <w:rFonts w:eastAsia="Times New Roman"/>
          <w:color w:val="000000"/>
          <w:lang w:eastAsia="en-GB"/>
        </w:rPr>
        <w:t>Natural gas costs</w:t>
      </w:r>
      <w:r>
        <w:t xml:space="preserve"> of glass tableware production</w:t>
      </w:r>
      <w:r>
        <w:rPr>
          <w:rFonts w:eastAsia="Times New Roman"/>
          <w:color w:val="000000"/>
          <w:lang w:eastAsia="en-GB"/>
        </w:rPr>
        <w:t xml:space="preserve"> (€/tonne)</w:t>
      </w:r>
      <w:bookmarkEnd w:id="444"/>
      <w:bookmarkEnd w:id="445"/>
      <w:bookmarkEnd w:id="446"/>
      <w:bookmarkEnd w:id="447"/>
    </w:p>
    <w:p>
      <w:pPr>
        <w:keepNext/>
        <w:rPr>
          <w:noProof/>
          <w:lang w:eastAsia="de-DE"/>
        </w:rPr>
      </w:pPr>
      <w:r>
        <w:rPr>
          <w:noProof/>
          <w:lang w:eastAsia="en-GB"/>
        </w:rPr>
        <w:drawing>
          <wp:inline distT="0" distB="0" distL="0" distR="0">
            <wp:extent cx="5760720" cy="2521822"/>
            <wp:effectExtent l="0" t="0" r="0" b="0"/>
            <wp:docPr id="1449027026" name="Picture 144902702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32"/>
                    <pic:cNvPicPr>
                      <a:picLocks noGrp="1" noRot="1" noChangeAspect="1" noMove="1" noResize="1" noEditPoints="1" noAdjustHandles="1" noChangeArrowheads="1" noChangeShapeType="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448" w:name="_Ref524534568"/>
      <w:bookmarkStart w:id="449" w:name="_Toc526433906"/>
      <w:bookmarkStart w:id="450" w:name="_Toc526435848"/>
      <w:bookmarkStart w:id="451" w:name="_Toc527544729"/>
      <w:bookmarkStart w:id="452" w:name="_Toc530741763"/>
      <w:r>
        <w:t xml:space="preserve">Figure </w:t>
      </w:r>
      <w:r>
        <w:fldChar w:fldCharType="begin"/>
      </w:r>
      <w:r>
        <w:instrText xml:space="preserve"> SEQ Figure \* ARABIC </w:instrText>
      </w:r>
      <w:r>
        <w:fldChar w:fldCharType="separate"/>
      </w:r>
      <w:r>
        <w:t>70</w:t>
      </w:r>
      <w:r>
        <w:fldChar w:fldCharType="end"/>
      </w:r>
      <w:bookmarkEnd w:id="448"/>
      <w:r>
        <w:t xml:space="preserve">. </w:t>
      </w:r>
      <w:r>
        <w:rPr>
          <w:rFonts w:eastAsia="Times New Roman"/>
          <w:color w:val="000000"/>
          <w:lang w:eastAsia="en-GB"/>
        </w:rPr>
        <w:t xml:space="preserve">Natural gas intensity </w:t>
      </w:r>
      <w:r>
        <w:t>of glass tableware production</w:t>
      </w:r>
      <w:r>
        <w:rPr>
          <w:rFonts w:eastAsia="Times New Roman"/>
          <w:color w:val="000000"/>
          <w:lang w:eastAsia="en-GB"/>
        </w:rPr>
        <w:t xml:space="preserve"> (MWh/tonne)</w:t>
      </w:r>
      <w:bookmarkEnd w:id="449"/>
      <w:bookmarkEnd w:id="450"/>
      <w:bookmarkEnd w:id="451"/>
      <w:bookmarkEnd w:id="452"/>
    </w:p>
    <w:p>
      <w:pPr>
        <w:keepNext/>
        <w:rPr>
          <w:b/>
          <w:bCs/>
          <w:noProof/>
          <w:lang w:eastAsia="it-IT"/>
        </w:rPr>
      </w:pPr>
      <w:r>
        <w:rPr>
          <w:noProof/>
          <w:sz w:val="16"/>
          <w:szCs w:val="16"/>
          <w:lang w:eastAsia="en-GB"/>
        </w:rPr>
        <w:drawing>
          <wp:inline distT="0" distB="0" distL="0" distR="0">
            <wp:extent cx="5760720" cy="2521822"/>
            <wp:effectExtent l="0" t="0" r="0" b="0"/>
            <wp:docPr id="1449027027" name="Picture 144902702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38"/>
                    <pic:cNvPicPr>
                      <a:picLocks noGrp="1" noRot="1" noChangeAspect="1" noMove="1" noResize="1" noEditPoints="1" noAdjustHandles="1" noChangeArrowheads="1" noChangeShapeType="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453" w:name="_Ref524534639"/>
      <w:bookmarkStart w:id="454" w:name="_Toc526433630"/>
      <w:bookmarkStart w:id="455" w:name="_Toc526435572"/>
      <w:bookmarkStart w:id="456" w:name="_Toc527544800"/>
      <w:bookmarkStart w:id="457" w:name="_Toc530741818"/>
      <w:r>
        <w:t xml:space="preserve">Table </w:t>
      </w:r>
      <w:r>
        <w:fldChar w:fldCharType="begin"/>
      </w:r>
      <w:r>
        <w:instrText xml:space="preserve"> SEQ Table \* ARABIC </w:instrText>
      </w:r>
      <w:r>
        <w:fldChar w:fldCharType="separate"/>
      </w:r>
      <w:r>
        <w:t>25</w:t>
      </w:r>
      <w:r>
        <w:fldChar w:fldCharType="end"/>
      </w:r>
      <w:bookmarkEnd w:id="453"/>
      <w:r>
        <w:t>. Key competitiveness indicators of glass tableware production</w:t>
      </w:r>
      <w:r>
        <w:rPr>
          <w:rFonts w:eastAsia="Times New Roman"/>
          <w:color w:val="000000"/>
          <w:lang w:eastAsia="en-GB"/>
        </w:rPr>
        <w:t xml:space="preserve"> </w:t>
      </w:r>
      <w:r>
        <w:t>(EU averages)</w:t>
      </w:r>
      <w:bookmarkEnd w:id="454"/>
      <w:bookmarkEnd w:id="455"/>
      <w:bookmarkEnd w:id="456"/>
      <w:bookmarkEnd w:id="457"/>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53"/>
        <w:gridCol w:w="753"/>
        <w:gridCol w:w="751"/>
        <w:gridCol w:w="751"/>
        <w:gridCol w:w="751"/>
        <w:gridCol w:w="751"/>
        <w:gridCol w:w="751"/>
        <w:gridCol w:w="751"/>
        <w:gridCol w:w="751"/>
        <w:gridCol w:w="749"/>
      </w:tblGrid>
      <w:tr>
        <w:trPr>
          <w:trHeight w:val="244"/>
          <w:tblHeader/>
          <w:jc w:val="center"/>
        </w:trPr>
        <w:tc>
          <w:tcPr>
            <w:tcW w:w="979"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0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9.3</w:t>
            </w:r>
          </w:p>
        </w:tc>
        <w:tc>
          <w:tcPr>
            <w:tcW w:w="403" w:type="pct"/>
            <w:shd w:val="clear" w:color="auto" w:fill="CEEBE6"/>
            <w:noWrap/>
            <w:vAlign w:val="center"/>
          </w:tcPr>
          <w:p>
            <w:pPr>
              <w:spacing w:before="60" w:after="60"/>
              <w:jc w:val="center"/>
              <w:rPr>
                <w:noProof/>
                <w:sz w:val="20"/>
                <w:szCs w:val="16"/>
              </w:rPr>
            </w:pPr>
            <w:r>
              <w:rPr>
                <w:noProof/>
                <w:sz w:val="20"/>
                <w:szCs w:val="16"/>
              </w:rPr>
              <w:t>8.6</w:t>
            </w:r>
          </w:p>
        </w:tc>
        <w:tc>
          <w:tcPr>
            <w:tcW w:w="402" w:type="pct"/>
            <w:shd w:val="clear" w:color="auto" w:fill="CEEBE6"/>
            <w:noWrap/>
            <w:vAlign w:val="center"/>
          </w:tcPr>
          <w:p>
            <w:pPr>
              <w:spacing w:before="60" w:after="60"/>
              <w:jc w:val="center"/>
              <w:rPr>
                <w:noProof/>
                <w:sz w:val="20"/>
                <w:szCs w:val="16"/>
              </w:rPr>
            </w:pPr>
            <w:r>
              <w:rPr>
                <w:noProof/>
                <w:sz w:val="20"/>
                <w:szCs w:val="16"/>
              </w:rPr>
              <w:t>6.2</w:t>
            </w:r>
          </w:p>
        </w:tc>
        <w:tc>
          <w:tcPr>
            <w:tcW w:w="402" w:type="pct"/>
            <w:shd w:val="clear" w:color="auto" w:fill="CEEBE6"/>
            <w:noWrap/>
            <w:vAlign w:val="center"/>
          </w:tcPr>
          <w:p>
            <w:pPr>
              <w:spacing w:before="60" w:after="60"/>
              <w:jc w:val="center"/>
              <w:rPr>
                <w:noProof/>
                <w:sz w:val="20"/>
                <w:szCs w:val="16"/>
              </w:rPr>
            </w:pPr>
            <w:r>
              <w:rPr>
                <w:noProof/>
                <w:sz w:val="20"/>
                <w:szCs w:val="16"/>
              </w:rPr>
              <w:t>6.8</w:t>
            </w:r>
          </w:p>
        </w:tc>
        <w:tc>
          <w:tcPr>
            <w:tcW w:w="402" w:type="pct"/>
            <w:shd w:val="clear" w:color="auto" w:fill="CEEBE6"/>
            <w:noWrap/>
            <w:vAlign w:val="center"/>
          </w:tcPr>
          <w:p>
            <w:pPr>
              <w:spacing w:before="60" w:after="60"/>
              <w:jc w:val="center"/>
              <w:rPr>
                <w:noProof/>
                <w:sz w:val="20"/>
                <w:szCs w:val="16"/>
              </w:rPr>
            </w:pPr>
            <w:r>
              <w:rPr>
                <w:noProof/>
                <w:sz w:val="20"/>
                <w:szCs w:val="16"/>
              </w:rPr>
              <w:t>7.2</w:t>
            </w:r>
          </w:p>
        </w:tc>
        <w:tc>
          <w:tcPr>
            <w:tcW w:w="402" w:type="pct"/>
            <w:shd w:val="clear" w:color="auto" w:fill="CEEBE6"/>
            <w:noWrap/>
            <w:vAlign w:val="center"/>
          </w:tcPr>
          <w:p>
            <w:pPr>
              <w:spacing w:before="60" w:after="60"/>
              <w:jc w:val="center"/>
              <w:rPr>
                <w:noProof/>
                <w:sz w:val="20"/>
                <w:szCs w:val="16"/>
              </w:rPr>
            </w:pPr>
            <w:r>
              <w:rPr>
                <w:noProof/>
                <w:sz w:val="20"/>
                <w:szCs w:val="16"/>
              </w:rPr>
              <w:t>7.8</w:t>
            </w:r>
          </w:p>
        </w:tc>
        <w:tc>
          <w:tcPr>
            <w:tcW w:w="402" w:type="pct"/>
            <w:shd w:val="clear" w:color="auto" w:fill="CEEBE6"/>
            <w:noWrap/>
            <w:vAlign w:val="center"/>
          </w:tcPr>
          <w:p>
            <w:pPr>
              <w:spacing w:before="60" w:after="60"/>
              <w:jc w:val="center"/>
              <w:rPr>
                <w:noProof/>
                <w:sz w:val="20"/>
                <w:szCs w:val="16"/>
              </w:rPr>
            </w:pPr>
            <w:r>
              <w:rPr>
                <w:noProof/>
                <w:sz w:val="20"/>
                <w:szCs w:val="16"/>
              </w:rPr>
              <w:t>6.7</w:t>
            </w:r>
          </w:p>
        </w:tc>
        <w:tc>
          <w:tcPr>
            <w:tcW w:w="402" w:type="pct"/>
            <w:shd w:val="clear" w:color="auto" w:fill="CEEBE6"/>
            <w:noWrap/>
            <w:vAlign w:val="center"/>
          </w:tcPr>
          <w:p>
            <w:pPr>
              <w:spacing w:before="60" w:after="60"/>
              <w:jc w:val="center"/>
              <w:rPr>
                <w:noProof/>
                <w:sz w:val="20"/>
                <w:szCs w:val="16"/>
              </w:rPr>
            </w:pPr>
            <w:r>
              <w:rPr>
                <w:noProof/>
                <w:sz w:val="20"/>
                <w:szCs w:val="16"/>
              </w:rPr>
              <w:t>6.4</w:t>
            </w:r>
          </w:p>
        </w:tc>
        <w:tc>
          <w:tcPr>
            <w:tcW w:w="402" w:type="pct"/>
            <w:shd w:val="clear" w:color="auto" w:fill="CEEBE6"/>
            <w:noWrap/>
            <w:vAlign w:val="center"/>
          </w:tcPr>
          <w:p>
            <w:pPr>
              <w:spacing w:before="60" w:after="60"/>
              <w:jc w:val="center"/>
              <w:rPr>
                <w:noProof/>
                <w:sz w:val="20"/>
                <w:szCs w:val="16"/>
              </w:rPr>
            </w:pPr>
            <w:r>
              <w:rPr>
                <w:noProof/>
                <w:sz w:val="20"/>
                <w:szCs w:val="16"/>
              </w:rPr>
              <w:t>6.2</w:t>
            </w:r>
          </w:p>
        </w:tc>
        <w:tc>
          <w:tcPr>
            <w:tcW w:w="401" w:type="pct"/>
            <w:shd w:val="clear" w:color="auto" w:fill="CEEBE6"/>
            <w:noWrap/>
            <w:vAlign w:val="center"/>
          </w:tcPr>
          <w:p>
            <w:pPr>
              <w:spacing w:before="60" w:after="60"/>
              <w:jc w:val="center"/>
              <w:rPr>
                <w:noProof/>
                <w:sz w:val="20"/>
                <w:szCs w:val="16"/>
              </w:rPr>
            </w:pPr>
            <w:r>
              <w:rPr>
                <w:noProof/>
                <w:sz w:val="20"/>
                <w:szCs w:val="16"/>
              </w:rPr>
              <w:t>6.5</w:t>
            </w:r>
          </w:p>
        </w:tc>
      </w:tr>
      <w:tr>
        <w:trPr>
          <w:trHeight w:val="244"/>
          <w:jc w:val="center"/>
        </w:trPr>
        <w:tc>
          <w:tcPr>
            <w:tcW w:w="979"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03" w:type="pct"/>
            <w:shd w:val="clear" w:color="auto" w:fill="auto"/>
            <w:noWrap/>
            <w:vAlign w:val="center"/>
          </w:tcPr>
          <w:p>
            <w:pPr>
              <w:spacing w:before="60" w:after="60"/>
              <w:jc w:val="center"/>
              <w:rPr>
                <w:noProof/>
                <w:sz w:val="20"/>
                <w:szCs w:val="16"/>
              </w:rPr>
            </w:pPr>
            <w:r>
              <w:rPr>
                <w:noProof/>
                <w:sz w:val="20"/>
                <w:szCs w:val="16"/>
              </w:rPr>
              <w:t>6.8</w:t>
            </w:r>
          </w:p>
        </w:tc>
        <w:tc>
          <w:tcPr>
            <w:tcW w:w="403" w:type="pct"/>
            <w:shd w:val="clear" w:color="auto" w:fill="auto"/>
            <w:noWrap/>
            <w:vAlign w:val="center"/>
          </w:tcPr>
          <w:p>
            <w:pPr>
              <w:spacing w:before="60" w:after="60"/>
              <w:jc w:val="center"/>
              <w:rPr>
                <w:noProof/>
                <w:sz w:val="20"/>
                <w:szCs w:val="16"/>
              </w:rPr>
            </w:pPr>
            <w:r>
              <w:rPr>
                <w:noProof/>
                <w:sz w:val="20"/>
                <w:szCs w:val="16"/>
              </w:rPr>
              <w:t>7.2</w:t>
            </w:r>
          </w:p>
        </w:tc>
        <w:tc>
          <w:tcPr>
            <w:tcW w:w="402" w:type="pct"/>
            <w:shd w:val="clear" w:color="auto" w:fill="auto"/>
            <w:noWrap/>
            <w:vAlign w:val="center"/>
          </w:tcPr>
          <w:p>
            <w:pPr>
              <w:spacing w:before="60" w:after="60"/>
              <w:jc w:val="center"/>
              <w:rPr>
                <w:noProof/>
                <w:sz w:val="20"/>
                <w:szCs w:val="16"/>
              </w:rPr>
            </w:pPr>
            <w:r>
              <w:rPr>
                <w:noProof/>
                <w:sz w:val="20"/>
                <w:szCs w:val="16"/>
              </w:rPr>
              <w:t>6.3</w:t>
            </w:r>
          </w:p>
        </w:tc>
        <w:tc>
          <w:tcPr>
            <w:tcW w:w="402" w:type="pct"/>
            <w:shd w:val="clear" w:color="auto" w:fill="auto"/>
            <w:noWrap/>
            <w:vAlign w:val="center"/>
          </w:tcPr>
          <w:p>
            <w:pPr>
              <w:spacing w:before="60" w:after="60"/>
              <w:jc w:val="center"/>
              <w:rPr>
                <w:noProof/>
                <w:sz w:val="20"/>
                <w:szCs w:val="16"/>
              </w:rPr>
            </w:pPr>
            <w:r>
              <w:rPr>
                <w:noProof/>
                <w:sz w:val="20"/>
                <w:szCs w:val="16"/>
              </w:rPr>
              <w:t>7.0</w:t>
            </w:r>
          </w:p>
        </w:tc>
        <w:tc>
          <w:tcPr>
            <w:tcW w:w="402" w:type="pct"/>
            <w:shd w:val="clear" w:color="auto" w:fill="auto"/>
            <w:noWrap/>
            <w:vAlign w:val="center"/>
          </w:tcPr>
          <w:p>
            <w:pPr>
              <w:spacing w:before="60" w:after="60"/>
              <w:jc w:val="center"/>
              <w:rPr>
                <w:noProof/>
                <w:sz w:val="20"/>
                <w:szCs w:val="16"/>
              </w:rPr>
            </w:pPr>
            <w:r>
              <w:rPr>
                <w:noProof/>
                <w:sz w:val="20"/>
                <w:szCs w:val="16"/>
              </w:rPr>
              <w:t>7.3</w:t>
            </w:r>
          </w:p>
        </w:tc>
        <w:tc>
          <w:tcPr>
            <w:tcW w:w="402" w:type="pct"/>
            <w:shd w:val="clear" w:color="auto" w:fill="auto"/>
            <w:noWrap/>
            <w:vAlign w:val="center"/>
          </w:tcPr>
          <w:p>
            <w:pPr>
              <w:spacing w:before="60" w:after="60"/>
              <w:jc w:val="center"/>
              <w:rPr>
                <w:noProof/>
                <w:sz w:val="20"/>
                <w:szCs w:val="16"/>
              </w:rPr>
            </w:pPr>
            <w:r>
              <w:rPr>
                <w:noProof/>
                <w:sz w:val="20"/>
                <w:szCs w:val="16"/>
              </w:rPr>
              <w:t>8.3</w:t>
            </w:r>
          </w:p>
        </w:tc>
        <w:tc>
          <w:tcPr>
            <w:tcW w:w="402" w:type="pct"/>
            <w:shd w:val="clear" w:color="auto" w:fill="auto"/>
            <w:noWrap/>
            <w:vAlign w:val="center"/>
          </w:tcPr>
          <w:p>
            <w:pPr>
              <w:spacing w:before="60" w:after="60"/>
              <w:jc w:val="center"/>
              <w:rPr>
                <w:noProof/>
                <w:sz w:val="20"/>
                <w:szCs w:val="16"/>
              </w:rPr>
            </w:pPr>
            <w:r>
              <w:rPr>
                <w:noProof/>
                <w:sz w:val="20"/>
                <w:szCs w:val="16"/>
              </w:rPr>
              <w:t>9.4</w:t>
            </w:r>
          </w:p>
        </w:tc>
        <w:tc>
          <w:tcPr>
            <w:tcW w:w="402" w:type="pct"/>
            <w:shd w:val="clear" w:color="auto" w:fill="auto"/>
            <w:noWrap/>
            <w:vAlign w:val="center"/>
          </w:tcPr>
          <w:p>
            <w:pPr>
              <w:spacing w:before="60" w:after="60"/>
              <w:jc w:val="center"/>
              <w:rPr>
                <w:noProof/>
                <w:sz w:val="20"/>
                <w:szCs w:val="16"/>
              </w:rPr>
            </w:pPr>
            <w:r>
              <w:rPr>
                <w:noProof/>
                <w:sz w:val="20"/>
                <w:szCs w:val="16"/>
              </w:rPr>
              <w:t>8.5</w:t>
            </w:r>
          </w:p>
        </w:tc>
        <w:tc>
          <w:tcPr>
            <w:tcW w:w="402" w:type="pct"/>
            <w:shd w:val="clear" w:color="auto" w:fill="auto"/>
            <w:noWrap/>
            <w:vAlign w:val="center"/>
          </w:tcPr>
          <w:p>
            <w:pPr>
              <w:spacing w:before="60" w:after="60"/>
              <w:jc w:val="center"/>
              <w:rPr>
                <w:noProof/>
                <w:sz w:val="20"/>
                <w:szCs w:val="16"/>
              </w:rPr>
            </w:pPr>
            <w:r>
              <w:rPr>
                <w:noProof/>
                <w:sz w:val="20"/>
                <w:szCs w:val="16"/>
              </w:rPr>
              <w:t>7.5</w:t>
            </w:r>
          </w:p>
        </w:tc>
        <w:tc>
          <w:tcPr>
            <w:tcW w:w="401" w:type="pct"/>
            <w:shd w:val="clear" w:color="auto" w:fill="auto"/>
            <w:noWrap/>
            <w:vAlign w:val="center"/>
          </w:tcPr>
          <w:p>
            <w:pPr>
              <w:spacing w:before="60" w:after="60"/>
              <w:jc w:val="center"/>
              <w:rPr>
                <w:noProof/>
                <w:sz w:val="20"/>
                <w:szCs w:val="16"/>
              </w:rPr>
            </w:pPr>
            <w:r>
              <w:rPr>
                <w:noProof/>
                <w:sz w:val="20"/>
                <w:szCs w:val="16"/>
              </w:rPr>
              <w:t>7.7</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total energy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16.1</w:t>
            </w:r>
          </w:p>
        </w:tc>
        <w:tc>
          <w:tcPr>
            <w:tcW w:w="403" w:type="pct"/>
            <w:shd w:val="clear" w:color="auto" w:fill="CEEBE6"/>
            <w:noWrap/>
            <w:vAlign w:val="center"/>
          </w:tcPr>
          <w:p>
            <w:pPr>
              <w:spacing w:before="60" w:after="60"/>
              <w:jc w:val="center"/>
              <w:rPr>
                <w:noProof/>
                <w:sz w:val="20"/>
                <w:szCs w:val="16"/>
              </w:rPr>
            </w:pPr>
            <w:r>
              <w:rPr>
                <w:noProof/>
                <w:sz w:val="20"/>
                <w:szCs w:val="16"/>
              </w:rPr>
              <w:t>15.8</w:t>
            </w:r>
          </w:p>
        </w:tc>
        <w:tc>
          <w:tcPr>
            <w:tcW w:w="402" w:type="pct"/>
            <w:shd w:val="clear" w:color="auto" w:fill="CEEBE6"/>
            <w:noWrap/>
            <w:vAlign w:val="center"/>
          </w:tcPr>
          <w:p>
            <w:pPr>
              <w:spacing w:before="60" w:after="60"/>
              <w:jc w:val="center"/>
              <w:rPr>
                <w:noProof/>
                <w:sz w:val="20"/>
                <w:szCs w:val="16"/>
              </w:rPr>
            </w:pPr>
            <w:r>
              <w:rPr>
                <w:noProof/>
                <w:sz w:val="20"/>
                <w:szCs w:val="16"/>
              </w:rPr>
              <w:t>12.5</w:t>
            </w:r>
          </w:p>
        </w:tc>
        <w:tc>
          <w:tcPr>
            <w:tcW w:w="402" w:type="pct"/>
            <w:shd w:val="clear" w:color="auto" w:fill="CEEBE6"/>
            <w:noWrap/>
            <w:vAlign w:val="center"/>
          </w:tcPr>
          <w:p>
            <w:pPr>
              <w:spacing w:before="60" w:after="60"/>
              <w:jc w:val="center"/>
              <w:rPr>
                <w:noProof/>
                <w:sz w:val="20"/>
                <w:szCs w:val="16"/>
              </w:rPr>
            </w:pPr>
            <w:r>
              <w:rPr>
                <w:noProof/>
                <w:sz w:val="20"/>
                <w:szCs w:val="16"/>
              </w:rPr>
              <w:t>13.8</w:t>
            </w:r>
          </w:p>
        </w:tc>
        <w:tc>
          <w:tcPr>
            <w:tcW w:w="402" w:type="pct"/>
            <w:shd w:val="clear" w:color="auto" w:fill="CEEBE6"/>
            <w:noWrap/>
            <w:vAlign w:val="center"/>
          </w:tcPr>
          <w:p>
            <w:pPr>
              <w:spacing w:before="60" w:after="60"/>
              <w:jc w:val="center"/>
              <w:rPr>
                <w:noProof/>
                <w:sz w:val="20"/>
                <w:szCs w:val="16"/>
              </w:rPr>
            </w:pPr>
            <w:r>
              <w:rPr>
                <w:noProof/>
                <w:sz w:val="20"/>
                <w:szCs w:val="16"/>
              </w:rPr>
              <w:t>14.5</w:t>
            </w:r>
          </w:p>
        </w:tc>
        <w:tc>
          <w:tcPr>
            <w:tcW w:w="402" w:type="pct"/>
            <w:shd w:val="clear" w:color="auto" w:fill="CEEBE6"/>
            <w:noWrap/>
            <w:vAlign w:val="center"/>
          </w:tcPr>
          <w:p>
            <w:pPr>
              <w:spacing w:before="60" w:after="60"/>
              <w:jc w:val="center"/>
              <w:rPr>
                <w:noProof/>
                <w:sz w:val="20"/>
                <w:szCs w:val="16"/>
              </w:rPr>
            </w:pPr>
            <w:r>
              <w:rPr>
                <w:noProof/>
                <w:sz w:val="20"/>
                <w:szCs w:val="16"/>
              </w:rPr>
              <w:t>16.1</w:t>
            </w:r>
          </w:p>
        </w:tc>
        <w:tc>
          <w:tcPr>
            <w:tcW w:w="402" w:type="pct"/>
            <w:shd w:val="clear" w:color="auto" w:fill="CEEBE6"/>
            <w:noWrap/>
            <w:vAlign w:val="center"/>
          </w:tcPr>
          <w:p>
            <w:pPr>
              <w:spacing w:before="60" w:after="60"/>
              <w:jc w:val="center"/>
              <w:rPr>
                <w:noProof/>
                <w:sz w:val="20"/>
                <w:szCs w:val="16"/>
              </w:rPr>
            </w:pPr>
            <w:r>
              <w:rPr>
                <w:noProof/>
                <w:sz w:val="20"/>
                <w:szCs w:val="16"/>
              </w:rPr>
              <w:t>16.1</w:t>
            </w:r>
          </w:p>
        </w:tc>
        <w:tc>
          <w:tcPr>
            <w:tcW w:w="402" w:type="pct"/>
            <w:shd w:val="clear" w:color="auto" w:fill="CEEBE6"/>
            <w:noWrap/>
            <w:vAlign w:val="center"/>
          </w:tcPr>
          <w:p>
            <w:pPr>
              <w:spacing w:before="60" w:after="60"/>
              <w:jc w:val="center"/>
              <w:rPr>
                <w:noProof/>
                <w:sz w:val="20"/>
                <w:szCs w:val="16"/>
              </w:rPr>
            </w:pPr>
            <w:r>
              <w:rPr>
                <w:noProof/>
                <w:sz w:val="20"/>
                <w:szCs w:val="16"/>
              </w:rPr>
              <w:t>14.8</w:t>
            </w:r>
          </w:p>
        </w:tc>
        <w:tc>
          <w:tcPr>
            <w:tcW w:w="402" w:type="pct"/>
            <w:shd w:val="clear" w:color="auto" w:fill="CEEBE6"/>
            <w:noWrap/>
            <w:vAlign w:val="center"/>
          </w:tcPr>
          <w:p>
            <w:pPr>
              <w:spacing w:before="60" w:after="60"/>
              <w:jc w:val="center"/>
              <w:rPr>
                <w:noProof/>
                <w:sz w:val="20"/>
                <w:szCs w:val="16"/>
              </w:rPr>
            </w:pPr>
            <w:r>
              <w:rPr>
                <w:noProof/>
                <w:sz w:val="20"/>
                <w:szCs w:val="16"/>
              </w:rPr>
              <w:t>13.7</w:t>
            </w:r>
          </w:p>
        </w:tc>
        <w:tc>
          <w:tcPr>
            <w:tcW w:w="401" w:type="pct"/>
            <w:shd w:val="clear" w:color="auto" w:fill="CEEBE6"/>
            <w:noWrap/>
            <w:vAlign w:val="center"/>
          </w:tcPr>
          <w:p>
            <w:pPr>
              <w:spacing w:before="60" w:after="60"/>
              <w:jc w:val="center"/>
              <w:rPr>
                <w:noProof/>
                <w:sz w:val="20"/>
                <w:szCs w:val="16"/>
              </w:rPr>
            </w:pPr>
            <w:r>
              <w:rPr>
                <w:noProof/>
                <w:sz w:val="20"/>
                <w:szCs w:val="16"/>
              </w:rPr>
              <w:t>14.2</w:t>
            </w:r>
          </w:p>
        </w:tc>
      </w:tr>
      <w:tr>
        <w:trPr>
          <w:trHeight w:val="244"/>
          <w:jc w:val="center"/>
        </w:trPr>
        <w:tc>
          <w:tcPr>
            <w:tcW w:w="979" w:type="pct"/>
            <w:shd w:val="clear" w:color="auto" w:fill="auto"/>
            <w:noWrap/>
            <w:vAlign w:val="center"/>
          </w:tcPr>
          <w:p>
            <w:pPr>
              <w:spacing w:before="60" w:after="60"/>
              <w:jc w:val="left"/>
              <w:rPr>
                <w:bCs/>
                <w:noProof/>
                <w:sz w:val="20"/>
                <w:szCs w:val="16"/>
                <w:lang w:val="fr-FR"/>
              </w:rPr>
            </w:pPr>
            <w:r>
              <w:rPr>
                <w:bCs/>
                <w:noProof/>
                <w:sz w:val="20"/>
                <w:szCs w:val="16"/>
              </w:rPr>
              <w:t>Total energy costs (€/tonne)</w:t>
            </w:r>
          </w:p>
        </w:tc>
        <w:tc>
          <w:tcPr>
            <w:tcW w:w="403" w:type="pct"/>
            <w:shd w:val="clear" w:color="auto" w:fill="auto"/>
            <w:noWrap/>
            <w:vAlign w:val="center"/>
          </w:tcPr>
          <w:p>
            <w:pPr>
              <w:spacing w:before="60" w:after="60"/>
              <w:jc w:val="center"/>
              <w:rPr>
                <w:noProof/>
                <w:sz w:val="20"/>
                <w:szCs w:val="16"/>
              </w:rPr>
            </w:pPr>
            <w:r>
              <w:rPr>
                <w:noProof/>
                <w:sz w:val="20"/>
                <w:szCs w:val="16"/>
              </w:rPr>
              <w:t>354.4</w:t>
            </w:r>
          </w:p>
        </w:tc>
        <w:tc>
          <w:tcPr>
            <w:tcW w:w="403" w:type="pct"/>
            <w:shd w:val="clear" w:color="auto" w:fill="auto"/>
            <w:noWrap/>
            <w:vAlign w:val="center"/>
          </w:tcPr>
          <w:p>
            <w:pPr>
              <w:spacing w:before="60" w:after="60"/>
              <w:jc w:val="center"/>
              <w:rPr>
                <w:noProof/>
                <w:sz w:val="20"/>
                <w:szCs w:val="16"/>
              </w:rPr>
            </w:pPr>
            <w:r>
              <w:rPr>
                <w:noProof/>
                <w:sz w:val="20"/>
                <w:szCs w:val="16"/>
              </w:rPr>
              <w:t>373.7</w:t>
            </w:r>
          </w:p>
        </w:tc>
        <w:tc>
          <w:tcPr>
            <w:tcW w:w="402" w:type="pct"/>
            <w:shd w:val="clear" w:color="auto" w:fill="auto"/>
            <w:noWrap/>
            <w:vAlign w:val="center"/>
          </w:tcPr>
          <w:p>
            <w:pPr>
              <w:spacing w:before="60" w:after="60"/>
              <w:jc w:val="center"/>
              <w:rPr>
                <w:noProof/>
                <w:sz w:val="20"/>
                <w:szCs w:val="16"/>
              </w:rPr>
            </w:pPr>
            <w:r>
              <w:rPr>
                <w:noProof/>
                <w:sz w:val="20"/>
                <w:szCs w:val="16"/>
              </w:rPr>
              <w:t>284.9</w:t>
            </w:r>
          </w:p>
        </w:tc>
        <w:tc>
          <w:tcPr>
            <w:tcW w:w="402" w:type="pct"/>
            <w:shd w:val="clear" w:color="auto" w:fill="auto"/>
            <w:noWrap/>
            <w:vAlign w:val="center"/>
          </w:tcPr>
          <w:p>
            <w:pPr>
              <w:spacing w:before="60" w:after="60"/>
              <w:jc w:val="center"/>
              <w:rPr>
                <w:noProof/>
                <w:sz w:val="20"/>
                <w:szCs w:val="16"/>
              </w:rPr>
            </w:pPr>
            <w:r>
              <w:rPr>
                <w:noProof/>
                <w:sz w:val="20"/>
                <w:szCs w:val="16"/>
              </w:rPr>
              <w:t>286.9</w:t>
            </w:r>
          </w:p>
        </w:tc>
        <w:tc>
          <w:tcPr>
            <w:tcW w:w="402" w:type="pct"/>
            <w:shd w:val="clear" w:color="auto" w:fill="auto"/>
            <w:noWrap/>
            <w:vAlign w:val="center"/>
          </w:tcPr>
          <w:p>
            <w:pPr>
              <w:spacing w:before="60" w:after="60"/>
              <w:jc w:val="center"/>
              <w:rPr>
                <w:noProof/>
                <w:sz w:val="20"/>
                <w:szCs w:val="16"/>
              </w:rPr>
            </w:pPr>
            <w:r>
              <w:rPr>
                <w:noProof/>
                <w:sz w:val="20"/>
                <w:szCs w:val="16"/>
              </w:rPr>
              <w:t>324.1</w:t>
            </w:r>
          </w:p>
        </w:tc>
        <w:tc>
          <w:tcPr>
            <w:tcW w:w="402" w:type="pct"/>
            <w:shd w:val="clear" w:color="auto" w:fill="auto"/>
            <w:noWrap/>
            <w:vAlign w:val="center"/>
          </w:tcPr>
          <w:p>
            <w:pPr>
              <w:spacing w:before="60" w:after="60"/>
              <w:jc w:val="center"/>
              <w:rPr>
                <w:noProof/>
                <w:sz w:val="20"/>
                <w:szCs w:val="16"/>
              </w:rPr>
            </w:pPr>
            <w:r>
              <w:rPr>
                <w:noProof/>
                <w:sz w:val="20"/>
                <w:szCs w:val="16"/>
              </w:rPr>
              <w:t>315.7</w:t>
            </w:r>
          </w:p>
        </w:tc>
        <w:tc>
          <w:tcPr>
            <w:tcW w:w="402" w:type="pct"/>
            <w:shd w:val="clear" w:color="auto" w:fill="auto"/>
            <w:noWrap/>
            <w:vAlign w:val="center"/>
          </w:tcPr>
          <w:p>
            <w:pPr>
              <w:spacing w:before="60" w:after="60"/>
              <w:jc w:val="center"/>
              <w:rPr>
                <w:noProof/>
                <w:sz w:val="20"/>
                <w:szCs w:val="16"/>
              </w:rPr>
            </w:pPr>
            <w:r>
              <w:rPr>
                <w:noProof/>
                <w:sz w:val="20"/>
                <w:szCs w:val="16"/>
              </w:rPr>
              <w:t>288.2</w:t>
            </w:r>
          </w:p>
        </w:tc>
        <w:tc>
          <w:tcPr>
            <w:tcW w:w="402" w:type="pct"/>
            <w:shd w:val="clear" w:color="auto" w:fill="auto"/>
            <w:noWrap/>
            <w:vAlign w:val="center"/>
          </w:tcPr>
          <w:p>
            <w:pPr>
              <w:spacing w:before="60" w:after="60"/>
              <w:jc w:val="center"/>
              <w:rPr>
                <w:noProof/>
                <w:sz w:val="20"/>
                <w:szCs w:val="16"/>
              </w:rPr>
            </w:pPr>
            <w:r>
              <w:rPr>
                <w:noProof/>
                <w:sz w:val="20"/>
                <w:szCs w:val="16"/>
              </w:rPr>
              <w:t>280.3</w:t>
            </w:r>
          </w:p>
        </w:tc>
        <w:tc>
          <w:tcPr>
            <w:tcW w:w="402" w:type="pct"/>
            <w:shd w:val="clear" w:color="auto" w:fill="auto"/>
            <w:noWrap/>
            <w:vAlign w:val="center"/>
          </w:tcPr>
          <w:p>
            <w:pPr>
              <w:spacing w:before="60" w:after="60"/>
              <w:jc w:val="center"/>
              <w:rPr>
                <w:noProof/>
                <w:sz w:val="20"/>
                <w:szCs w:val="16"/>
              </w:rPr>
            </w:pPr>
            <w:r>
              <w:rPr>
                <w:noProof/>
                <w:sz w:val="20"/>
                <w:szCs w:val="16"/>
              </w:rPr>
              <w:t>240.4</w:t>
            </w:r>
          </w:p>
        </w:tc>
        <w:tc>
          <w:tcPr>
            <w:tcW w:w="401" w:type="pct"/>
            <w:shd w:val="clear" w:color="auto" w:fill="auto"/>
            <w:noWrap/>
            <w:vAlign w:val="center"/>
          </w:tcPr>
          <w:p>
            <w:pPr>
              <w:spacing w:before="60" w:after="60"/>
              <w:jc w:val="center"/>
              <w:rPr>
                <w:noProof/>
                <w:sz w:val="20"/>
                <w:szCs w:val="16"/>
              </w:rPr>
            </w:pPr>
            <w:r>
              <w:rPr>
                <w:noProof/>
                <w:sz w:val="20"/>
                <w:szCs w:val="16"/>
              </w:rPr>
              <w:t>235.2</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EBITDA (€/tonne)</w:t>
            </w:r>
          </w:p>
        </w:tc>
        <w:tc>
          <w:tcPr>
            <w:tcW w:w="403" w:type="pct"/>
            <w:shd w:val="clear" w:color="auto" w:fill="CEEBE6"/>
            <w:noWrap/>
            <w:vAlign w:val="center"/>
          </w:tcPr>
          <w:p>
            <w:pPr>
              <w:spacing w:before="60" w:after="60"/>
              <w:jc w:val="center"/>
              <w:rPr>
                <w:noProof/>
                <w:sz w:val="20"/>
                <w:szCs w:val="16"/>
              </w:rPr>
            </w:pPr>
            <w:r>
              <w:rPr>
                <w:noProof/>
                <w:sz w:val="20"/>
                <w:szCs w:val="16"/>
              </w:rPr>
              <w:t>165.4</w:t>
            </w:r>
          </w:p>
        </w:tc>
        <w:tc>
          <w:tcPr>
            <w:tcW w:w="403" w:type="pct"/>
            <w:shd w:val="clear" w:color="auto" w:fill="CEEBE6"/>
            <w:noWrap/>
            <w:vAlign w:val="center"/>
          </w:tcPr>
          <w:p>
            <w:pPr>
              <w:spacing w:before="60" w:after="60"/>
              <w:jc w:val="center"/>
              <w:rPr>
                <w:noProof/>
                <w:sz w:val="20"/>
                <w:szCs w:val="16"/>
              </w:rPr>
            </w:pPr>
            <w:r>
              <w:rPr>
                <w:noProof/>
                <w:sz w:val="20"/>
                <w:szCs w:val="16"/>
              </w:rPr>
              <w:t>89.8</w:t>
            </w:r>
          </w:p>
        </w:tc>
        <w:tc>
          <w:tcPr>
            <w:tcW w:w="402" w:type="pct"/>
            <w:shd w:val="clear" w:color="auto" w:fill="CEEBE6"/>
            <w:noWrap/>
            <w:vAlign w:val="center"/>
          </w:tcPr>
          <w:p>
            <w:pPr>
              <w:spacing w:before="60" w:after="60"/>
              <w:jc w:val="center"/>
              <w:rPr>
                <w:noProof/>
                <w:sz w:val="20"/>
                <w:szCs w:val="16"/>
              </w:rPr>
            </w:pPr>
            <w:r>
              <w:rPr>
                <w:noProof/>
                <w:sz w:val="20"/>
                <w:szCs w:val="16"/>
              </w:rPr>
              <w:t>278.2</w:t>
            </w:r>
          </w:p>
        </w:tc>
        <w:tc>
          <w:tcPr>
            <w:tcW w:w="402" w:type="pct"/>
            <w:shd w:val="clear" w:color="auto" w:fill="CEEBE6"/>
            <w:noWrap/>
            <w:vAlign w:val="center"/>
          </w:tcPr>
          <w:p>
            <w:pPr>
              <w:spacing w:before="60" w:after="60"/>
              <w:jc w:val="center"/>
              <w:rPr>
                <w:noProof/>
                <w:sz w:val="20"/>
                <w:szCs w:val="16"/>
              </w:rPr>
            </w:pPr>
            <w:r>
              <w:rPr>
                <w:noProof/>
                <w:sz w:val="20"/>
                <w:szCs w:val="16"/>
              </w:rPr>
              <w:t>285.2</w:t>
            </w:r>
          </w:p>
        </w:tc>
        <w:tc>
          <w:tcPr>
            <w:tcW w:w="402" w:type="pct"/>
            <w:shd w:val="clear" w:color="auto" w:fill="CEEBE6"/>
            <w:noWrap/>
            <w:vAlign w:val="center"/>
          </w:tcPr>
          <w:p>
            <w:pPr>
              <w:spacing w:before="60" w:after="60"/>
              <w:jc w:val="center"/>
              <w:rPr>
                <w:noProof/>
                <w:sz w:val="20"/>
                <w:szCs w:val="16"/>
              </w:rPr>
            </w:pPr>
            <w:r>
              <w:rPr>
                <w:noProof/>
                <w:sz w:val="20"/>
                <w:szCs w:val="16"/>
              </w:rPr>
              <w:t>265.6</w:t>
            </w:r>
          </w:p>
        </w:tc>
        <w:tc>
          <w:tcPr>
            <w:tcW w:w="402" w:type="pct"/>
            <w:shd w:val="clear" w:color="auto" w:fill="CEEBE6"/>
            <w:noWrap/>
            <w:vAlign w:val="center"/>
          </w:tcPr>
          <w:p>
            <w:pPr>
              <w:spacing w:before="60" w:after="60"/>
              <w:jc w:val="center"/>
              <w:rPr>
                <w:noProof/>
                <w:sz w:val="20"/>
                <w:szCs w:val="16"/>
              </w:rPr>
            </w:pPr>
            <w:r>
              <w:rPr>
                <w:noProof/>
                <w:sz w:val="20"/>
                <w:szCs w:val="16"/>
              </w:rPr>
              <w:t>198.6</w:t>
            </w:r>
          </w:p>
        </w:tc>
        <w:tc>
          <w:tcPr>
            <w:tcW w:w="402" w:type="pct"/>
            <w:shd w:val="clear" w:color="auto" w:fill="CEEBE6"/>
            <w:noWrap/>
            <w:vAlign w:val="center"/>
          </w:tcPr>
          <w:p>
            <w:pPr>
              <w:spacing w:before="60" w:after="60"/>
              <w:jc w:val="center"/>
              <w:rPr>
                <w:noProof/>
                <w:sz w:val="20"/>
                <w:szCs w:val="16"/>
              </w:rPr>
            </w:pPr>
            <w:r>
              <w:rPr>
                <w:noProof/>
                <w:sz w:val="20"/>
                <w:szCs w:val="16"/>
              </w:rPr>
              <w:t>218.6</w:t>
            </w:r>
          </w:p>
        </w:tc>
        <w:tc>
          <w:tcPr>
            <w:tcW w:w="402" w:type="pct"/>
            <w:shd w:val="clear" w:color="auto" w:fill="CEEBE6"/>
            <w:noWrap/>
            <w:vAlign w:val="center"/>
          </w:tcPr>
          <w:p>
            <w:pPr>
              <w:spacing w:before="60" w:after="60"/>
              <w:jc w:val="center"/>
              <w:rPr>
                <w:noProof/>
                <w:sz w:val="20"/>
                <w:szCs w:val="16"/>
              </w:rPr>
            </w:pPr>
            <w:r>
              <w:rPr>
                <w:noProof/>
                <w:sz w:val="20"/>
                <w:szCs w:val="16"/>
              </w:rPr>
              <w:t>78.2</w:t>
            </w:r>
          </w:p>
        </w:tc>
        <w:tc>
          <w:tcPr>
            <w:tcW w:w="402" w:type="pct"/>
            <w:shd w:val="clear" w:color="auto" w:fill="CEEBE6"/>
            <w:noWrap/>
            <w:vAlign w:val="center"/>
          </w:tcPr>
          <w:p>
            <w:pPr>
              <w:spacing w:before="60" w:after="60"/>
              <w:jc w:val="center"/>
              <w:rPr>
                <w:noProof/>
                <w:sz w:val="20"/>
                <w:szCs w:val="16"/>
              </w:rPr>
            </w:pPr>
            <w:r>
              <w:rPr>
                <w:noProof/>
                <w:sz w:val="20"/>
                <w:szCs w:val="16"/>
              </w:rPr>
              <w:t>121.8</w:t>
            </w:r>
          </w:p>
        </w:tc>
        <w:tc>
          <w:tcPr>
            <w:tcW w:w="401" w:type="pct"/>
            <w:shd w:val="clear" w:color="auto" w:fill="CEEBE6"/>
            <w:noWrap/>
            <w:vAlign w:val="center"/>
          </w:tcPr>
          <w:p>
            <w:pPr>
              <w:spacing w:before="60" w:after="60"/>
              <w:jc w:val="center"/>
              <w:rPr>
                <w:noProof/>
                <w:sz w:val="20"/>
                <w:szCs w:val="16"/>
              </w:rPr>
            </w:pPr>
            <w:r>
              <w:rPr>
                <w:noProof/>
                <w:sz w:val="20"/>
                <w:szCs w:val="16"/>
              </w:rPr>
              <w:t>138.2</w:t>
            </w:r>
          </w:p>
        </w:tc>
      </w:tr>
      <w:tr>
        <w:trPr>
          <w:trHeight w:val="244"/>
          <w:jc w:val="center"/>
        </w:trPr>
        <w:tc>
          <w:tcPr>
            <w:tcW w:w="979" w:type="pct"/>
            <w:shd w:val="clear" w:color="auto" w:fill="auto"/>
            <w:noWrap/>
            <w:vAlign w:val="center"/>
          </w:tcPr>
          <w:p>
            <w:pPr>
              <w:keepNext/>
              <w:spacing w:before="60" w:after="60"/>
              <w:jc w:val="left"/>
              <w:rPr>
                <w:bCs/>
                <w:noProof/>
                <w:sz w:val="20"/>
                <w:szCs w:val="16"/>
              </w:rPr>
            </w:pPr>
            <w:r>
              <w:rPr>
                <w:noProof/>
                <w:sz w:val="20"/>
              </w:rPr>
              <w:t>Ratio of total energy costs to EBITDA</w:t>
            </w:r>
          </w:p>
        </w:tc>
        <w:tc>
          <w:tcPr>
            <w:tcW w:w="403" w:type="pct"/>
            <w:shd w:val="clear" w:color="auto" w:fill="auto"/>
            <w:noWrap/>
            <w:vAlign w:val="center"/>
          </w:tcPr>
          <w:p>
            <w:pPr>
              <w:keepNext/>
              <w:spacing w:before="60" w:after="60"/>
              <w:jc w:val="center"/>
              <w:rPr>
                <w:noProof/>
                <w:sz w:val="20"/>
                <w:szCs w:val="16"/>
              </w:rPr>
            </w:pPr>
            <w:r>
              <w:rPr>
                <w:noProof/>
                <w:sz w:val="20"/>
                <w:szCs w:val="16"/>
              </w:rPr>
              <w:t>2.1</w:t>
            </w:r>
          </w:p>
        </w:tc>
        <w:tc>
          <w:tcPr>
            <w:tcW w:w="403" w:type="pct"/>
            <w:shd w:val="clear" w:color="auto" w:fill="auto"/>
            <w:noWrap/>
            <w:vAlign w:val="center"/>
          </w:tcPr>
          <w:p>
            <w:pPr>
              <w:keepNext/>
              <w:spacing w:before="60" w:after="60"/>
              <w:jc w:val="center"/>
              <w:rPr>
                <w:noProof/>
                <w:sz w:val="20"/>
                <w:szCs w:val="16"/>
              </w:rPr>
            </w:pPr>
            <w:r>
              <w:rPr>
                <w:noProof/>
                <w:sz w:val="20"/>
                <w:szCs w:val="16"/>
              </w:rPr>
              <w:t>4.2</w:t>
            </w:r>
          </w:p>
        </w:tc>
        <w:tc>
          <w:tcPr>
            <w:tcW w:w="402" w:type="pct"/>
            <w:shd w:val="clear" w:color="auto" w:fill="auto"/>
            <w:noWrap/>
            <w:vAlign w:val="center"/>
          </w:tcPr>
          <w:p>
            <w:pPr>
              <w:keepNext/>
              <w:spacing w:before="60" w:after="60"/>
              <w:jc w:val="center"/>
              <w:rPr>
                <w:noProof/>
                <w:sz w:val="20"/>
                <w:szCs w:val="16"/>
              </w:rPr>
            </w:pPr>
            <w:r>
              <w:rPr>
                <w:noProof/>
                <w:sz w:val="20"/>
                <w:szCs w:val="16"/>
              </w:rPr>
              <w:t>1.0</w:t>
            </w:r>
          </w:p>
        </w:tc>
        <w:tc>
          <w:tcPr>
            <w:tcW w:w="402" w:type="pct"/>
            <w:shd w:val="clear" w:color="auto" w:fill="auto"/>
            <w:noWrap/>
            <w:vAlign w:val="center"/>
          </w:tcPr>
          <w:p>
            <w:pPr>
              <w:keepNext/>
              <w:spacing w:before="60" w:after="60"/>
              <w:jc w:val="center"/>
              <w:rPr>
                <w:noProof/>
                <w:sz w:val="20"/>
                <w:szCs w:val="16"/>
              </w:rPr>
            </w:pPr>
            <w:r>
              <w:rPr>
                <w:noProof/>
                <w:sz w:val="20"/>
                <w:szCs w:val="16"/>
              </w:rPr>
              <w:t>1.0</w:t>
            </w:r>
          </w:p>
        </w:tc>
        <w:tc>
          <w:tcPr>
            <w:tcW w:w="402" w:type="pct"/>
            <w:shd w:val="clear" w:color="auto" w:fill="auto"/>
            <w:noWrap/>
            <w:vAlign w:val="center"/>
          </w:tcPr>
          <w:p>
            <w:pPr>
              <w:keepNext/>
              <w:spacing w:before="60" w:after="60"/>
              <w:jc w:val="center"/>
              <w:rPr>
                <w:noProof/>
                <w:sz w:val="20"/>
                <w:szCs w:val="16"/>
              </w:rPr>
            </w:pPr>
            <w:r>
              <w:rPr>
                <w:noProof/>
                <w:sz w:val="20"/>
                <w:szCs w:val="16"/>
              </w:rPr>
              <w:t>1.2</w:t>
            </w:r>
          </w:p>
        </w:tc>
        <w:tc>
          <w:tcPr>
            <w:tcW w:w="402" w:type="pct"/>
            <w:shd w:val="clear" w:color="auto" w:fill="auto"/>
            <w:noWrap/>
            <w:vAlign w:val="center"/>
          </w:tcPr>
          <w:p>
            <w:pPr>
              <w:keepNext/>
              <w:spacing w:before="60" w:after="60"/>
              <w:jc w:val="center"/>
              <w:rPr>
                <w:noProof/>
                <w:sz w:val="20"/>
                <w:szCs w:val="16"/>
              </w:rPr>
            </w:pPr>
            <w:r>
              <w:rPr>
                <w:noProof/>
                <w:sz w:val="20"/>
                <w:szCs w:val="16"/>
              </w:rPr>
              <w:t>1.6</w:t>
            </w:r>
          </w:p>
        </w:tc>
        <w:tc>
          <w:tcPr>
            <w:tcW w:w="402" w:type="pct"/>
            <w:shd w:val="clear" w:color="auto" w:fill="auto"/>
            <w:noWrap/>
            <w:vAlign w:val="center"/>
          </w:tcPr>
          <w:p>
            <w:pPr>
              <w:keepNext/>
              <w:spacing w:before="60" w:after="60"/>
              <w:jc w:val="center"/>
              <w:rPr>
                <w:noProof/>
                <w:sz w:val="20"/>
                <w:szCs w:val="16"/>
              </w:rPr>
            </w:pPr>
            <w:r>
              <w:rPr>
                <w:noProof/>
                <w:sz w:val="20"/>
                <w:szCs w:val="16"/>
              </w:rPr>
              <w:t>1.3</w:t>
            </w:r>
          </w:p>
        </w:tc>
        <w:tc>
          <w:tcPr>
            <w:tcW w:w="402" w:type="pct"/>
            <w:shd w:val="clear" w:color="auto" w:fill="auto"/>
            <w:noWrap/>
            <w:vAlign w:val="center"/>
          </w:tcPr>
          <w:p>
            <w:pPr>
              <w:keepNext/>
              <w:spacing w:before="60" w:after="60"/>
              <w:jc w:val="center"/>
              <w:rPr>
                <w:noProof/>
                <w:sz w:val="20"/>
                <w:szCs w:val="16"/>
              </w:rPr>
            </w:pPr>
            <w:r>
              <w:rPr>
                <w:noProof/>
                <w:sz w:val="20"/>
                <w:szCs w:val="16"/>
              </w:rPr>
              <w:t>3.6</w:t>
            </w:r>
          </w:p>
        </w:tc>
        <w:tc>
          <w:tcPr>
            <w:tcW w:w="402" w:type="pct"/>
            <w:shd w:val="clear" w:color="auto" w:fill="auto"/>
            <w:noWrap/>
            <w:vAlign w:val="center"/>
          </w:tcPr>
          <w:p>
            <w:pPr>
              <w:keepNext/>
              <w:spacing w:before="60" w:after="60"/>
              <w:jc w:val="center"/>
              <w:rPr>
                <w:noProof/>
                <w:sz w:val="20"/>
                <w:szCs w:val="16"/>
              </w:rPr>
            </w:pPr>
            <w:r>
              <w:rPr>
                <w:noProof/>
                <w:sz w:val="20"/>
                <w:szCs w:val="16"/>
              </w:rPr>
              <w:t>2.0</w:t>
            </w:r>
          </w:p>
        </w:tc>
        <w:tc>
          <w:tcPr>
            <w:tcW w:w="401" w:type="pct"/>
            <w:shd w:val="clear" w:color="auto" w:fill="auto"/>
            <w:noWrap/>
            <w:vAlign w:val="center"/>
          </w:tcPr>
          <w:p>
            <w:pPr>
              <w:keepNext/>
              <w:spacing w:before="60" w:after="60"/>
              <w:jc w:val="center"/>
              <w:rPr>
                <w:noProof/>
                <w:sz w:val="20"/>
                <w:szCs w:val="16"/>
              </w:rPr>
            </w:pPr>
            <w:r>
              <w:rPr>
                <w:noProof/>
                <w:sz w:val="20"/>
                <w:szCs w:val="16"/>
              </w:rPr>
              <w:t>1.7</w:t>
            </w:r>
          </w:p>
        </w:tc>
      </w:tr>
    </w:tbl>
    <w:p>
      <w:pPr>
        <w:pStyle w:val="Sources"/>
        <w:rPr>
          <w:noProof/>
        </w:rPr>
      </w:pPr>
      <w:r>
        <w:rPr>
          <w:noProof/>
        </w:rPr>
        <w:t>Source: CEPS/Ecofys.</w:t>
      </w:r>
    </w:p>
    <w:p>
      <w:pPr>
        <w:rPr>
          <w:noProof/>
          <w:lang w:eastAsia="it-IT"/>
        </w:rPr>
      </w:pPr>
    </w:p>
    <w:p>
      <w:pPr>
        <w:pStyle w:val="Caption"/>
        <w:rPr>
          <w:rFonts w:eastAsia="Times New Roman"/>
          <w:color w:val="000000"/>
          <w:lang w:eastAsia="en-GB"/>
        </w:rPr>
      </w:pPr>
      <w:bookmarkStart w:id="458" w:name="_Ref524534578"/>
      <w:bookmarkStart w:id="459" w:name="_Toc526433907"/>
      <w:bookmarkStart w:id="460" w:name="_Toc526435849"/>
      <w:bookmarkStart w:id="461" w:name="_Toc527544730"/>
      <w:bookmarkStart w:id="462" w:name="_Toc530741764"/>
      <w:r>
        <w:t xml:space="preserve">Figure </w:t>
      </w:r>
      <w:r>
        <w:fldChar w:fldCharType="begin"/>
      </w:r>
      <w:r>
        <w:instrText xml:space="preserve"> SEQ Figure \* ARABIC </w:instrText>
      </w:r>
      <w:r>
        <w:fldChar w:fldCharType="separate"/>
      </w:r>
      <w:r>
        <w:t>71</w:t>
      </w:r>
      <w:r>
        <w:fldChar w:fldCharType="end"/>
      </w:r>
      <w:bookmarkEnd w:id="458"/>
      <w:r>
        <w:t xml:space="preserve">. </w:t>
      </w:r>
      <w:r>
        <w:rPr>
          <w:rFonts w:eastAsia="Times New Roman"/>
          <w:color w:val="000000"/>
          <w:lang w:eastAsia="en-GB"/>
        </w:rPr>
        <w:t xml:space="preserve">Energy costs versus EBITDA </w:t>
      </w:r>
      <w:r>
        <w:t>of glass tableware production</w:t>
      </w:r>
      <w:r>
        <w:rPr>
          <w:rFonts w:eastAsia="Times New Roman"/>
          <w:color w:val="000000"/>
          <w:lang w:eastAsia="en-GB"/>
        </w:rPr>
        <w:t xml:space="preserve"> (€/tonne)</w:t>
      </w:r>
      <w:bookmarkEnd w:id="459"/>
      <w:bookmarkEnd w:id="460"/>
      <w:bookmarkEnd w:id="461"/>
      <w:bookmarkEnd w:id="462"/>
    </w:p>
    <w:p>
      <w:pPr>
        <w:keepNext/>
        <w:rPr>
          <w:rFonts w:eastAsia="Times New Roman"/>
          <w:bCs/>
          <w:noProof/>
          <w:color w:val="000000"/>
          <w:szCs w:val="24"/>
          <w:lang w:eastAsia="en-GB"/>
        </w:rPr>
      </w:pPr>
      <w:r>
        <w:rPr>
          <w:noProof/>
          <w:lang w:eastAsia="en-GB"/>
        </w:rPr>
        <w:drawing>
          <wp:inline distT="0" distB="0" distL="0" distR="0">
            <wp:extent cx="5760720" cy="3542711"/>
            <wp:effectExtent l="0" t="0" r="0" b="635"/>
            <wp:docPr id="1449027028" name="Picture 144902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720" cy="3542711"/>
                    </a:xfrm>
                    <a:prstGeom prst="rect">
                      <a:avLst/>
                    </a:prstGeom>
                    <a:noFill/>
                    <a:ln>
                      <a:noFill/>
                    </a:ln>
                  </pic:spPr>
                </pic:pic>
              </a:graphicData>
            </a:graphic>
          </wp:inline>
        </w:drawing>
      </w:r>
    </w:p>
    <w:p>
      <w:pPr>
        <w:pStyle w:val="Sources"/>
        <w:tabs>
          <w:tab w:val="left" w:pos="142"/>
        </w:tabs>
        <w:rPr>
          <w:noProof/>
        </w:rPr>
      </w:pPr>
      <w:r>
        <w:rPr>
          <w:noProof/>
        </w:rPr>
        <w:tab/>
        <w:t>Source: CEPS/Ecofys.</w:t>
      </w:r>
    </w:p>
    <w:p>
      <w:pPr>
        <w:spacing w:after="0"/>
        <w:jc w:val="left"/>
        <w:rPr>
          <w:rFonts w:eastAsia="Times New Roman"/>
          <w:b/>
          <w:bCs/>
          <w:noProof/>
          <w:color w:val="000000"/>
          <w:sz w:val="26"/>
          <w:szCs w:val="32"/>
          <w:lang w:eastAsia="en-GB"/>
        </w:rPr>
      </w:pPr>
      <w:r>
        <w:rPr>
          <w:noProof/>
          <w:lang w:eastAsia="en-GB"/>
        </w:rPr>
        <w:br w:type="page"/>
      </w:r>
    </w:p>
    <w:p>
      <w:pPr>
        <w:pStyle w:val="Heading2"/>
        <w:numPr>
          <w:ilvl w:val="1"/>
          <w:numId w:val="3"/>
        </w:numPr>
        <w:rPr>
          <w:noProof/>
          <w:lang w:eastAsia="en-GB"/>
        </w:rPr>
      </w:pPr>
      <w:bookmarkStart w:id="463" w:name="_Toc526434067"/>
      <w:bookmarkStart w:id="464" w:name="_Toc526436011"/>
      <w:bookmarkStart w:id="465" w:name="_Toc527544436"/>
      <w:bookmarkStart w:id="466" w:name="_Toc530741675"/>
      <w:r>
        <w:rPr>
          <w:noProof/>
          <w:lang w:eastAsia="en-GB"/>
        </w:rPr>
        <w:t>PACKAGING GLASS</w:t>
      </w:r>
      <w:bookmarkEnd w:id="463"/>
      <w:bookmarkEnd w:id="464"/>
      <w:bookmarkEnd w:id="465"/>
      <w:bookmarkEnd w:id="466"/>
    </w:p>
    <w:p>
      <w:pPr>
        <w:pStyle w:val="Heading3"/>
        <w:rPr>
          <w:noProof/>
        </w:rPr>
      </w:pPr>
      <w:bookmarkStart w:id="467" w:name="_Toc526434068"/>
      <w:bookmarkStart w:id="468" w:name="_Toc526436012"/>
      <w:bookmarkStart w:id="469" w:name="_Toc527544437"/>
      <w:bookmarkStart w:id="470" w:name="_Toc530741676"/>
      <w:r>
        <w:rPr>
          <w:noProof/>
        </w:rPr>
        <w:t>General information and sample composition</w:t>
      </w:r>
      <w:bookmarkEnd w:id="467"/>
      <w:bookmarkEnd w:id="468"/>
      <w:bookmarkEnd w:id="469"/>
      <w:bookmarkEnd w:id="470"/>
    </w:p>
    <w:p>
      <w:pPr>
        <w:rPr>
          <w:noProof/>
        </w:rPr>
      </w:pPr>
      <w:r>
        <w:rPr>
          <w:noProof/>
        </w:rPr>
        <w:t>Packaging glass, as glass tableware, is part of the hollow glass sector (sector 23.13 in NACE Rev. 2). Packaging glass production includes bottles, jars and other containers, which come in different colours and shapes. Compared to glass tableware, packaging glass has low value-to-weight ratio and is less tradable.</w:t>
      </w:r>
    </w:p>
    <w:p>
      <w:pPr>
        <w:rPr>
          <w:noProof/>
        </w:rPr>
      </w:pPr>
      <w:r>
        <w:rPr>
          <w:noProof/>
        </w:rPr>
        <w:t>The sector uses natural gas as main energy source and electricity as secondary source.</w:t>
      </w:r>
    </w:p>
    <w:p>
      <w:pPr>
        <w:rPr>
          <w:noProof/>
        </w:rPr>
      </w:pPr>
      <w:r>
        <w:rPr>
          <w:noProof/>
        </w:rPr>
        <w:t xml:space="preserve">Unlike glass tableware, </w:t>
      </w:r>
      <w:r>
        <w:rPr>
          <w:noProof/>
          <w:lang w:eastAsia="it-IT"/>
        </w:rPr>
        <w:t xml:space="preserve">EU packaging glass production has recovered pre-crisis level. </w:t>
      </w:r>
      <w:r>
        <w:rPr>
          <w:noProof/>
        </w:rPr>
        <w:t>In 2016, there were a bit less than 200 plants in Europe, mostly composed of large companies owning multiple production sites in the EU and third countries. Top five European producing countries are (based on 2016 production value): Italy (21%), France (21%), Germany (19%), the United Kingdom (11%) and Spain (11%)</w:t>
      </w:r>
      <w:r>
        <w:rPr>
          <w:bCs/>
          <w:noProof/>
        </w:rPr>
        <w:t>.</w:t>
      </w:r>
    </w:p>
    <w:p>
      <w:pPr>
        <w:rPr>
          <w:noProof/>
        </w:rPr>
      </w:pPr>
      <w:r>
        <w:rPr>
          <w:noProof/>
        </w:rPr>
        <w:t xml:space="preserve">Overall, the EU is a net exporter of packaging glass. Major </w:t>
      </w:r>
      <w:r>
        <w:rPr>
          <w:bCs/>
          <w:noProof/>
        </w:rPr>
        <w:t>EU export destinations include</w:t>
      </w:r>
      <w:r>
        <w:rPr>
          <w:noProof/>
        </w:rPr>
        <w:t xml:space="preserve"> the United States and Switzerland. </w:t>
      </w:r>
      <w:r>
        <w:rPr>
          <w:bCs/>
          <w:noProof/>
        </w:rPr>
        <w:t xml:space="preserve">EU imports come mainly from </w:t>
      </w:r>
      <w:r>
        <w:rPr>
          <w:noProof/>
        </w:rPr>
        <w:t>China and, to a less extent, Ukraine, Switzerland, India and the United Arab Emirates</w:t>
      </w:r>
      <w:r>
        <w:rPr>
          <w:bCs/>
          <w:noProof/>
        </w:rPr>
        <w:t>.</w:t>
      </w:r>
    </w:p>
    <w:p>
      <w:pPr>
        <w:rPr>
          <w:noProof/>
        </w:rPr>
      </w:pPr>
      <w:r>
        <w:rPr>
          <w:bCs/>
          <w:noProof/>
        </w:rPr>
        <w:t xml:space="preserve">A typical </w:t>
      </w:r>
      <w:r>
        <w:rPr>
          <w:noProof/>
        </w:rPr>
        <w:t>packaging glass</w:t>
      </w:r>
      <w:r>
        <w:rPr>
          <w:bCs/>
          <w:noProof/>
        </w:rPr>
        <w:t xml:space="preserve"> plant in the analysis has a n</w:t>
      </w:r>
      <w:r>
        <w:rPr>
          <w:noProof/>
        </w:rPr>
        <w:t>atural gas intensity of 1.4-2.1 MWh/tonne and an electricity intensity of 0.3-0.4 MWh/tonne.</w:t>
      </w:r>
      <w:r>
        <w:rPr>
          <w:bCs/>
          <w:noProof/>
        </w:rPr>
        <w:t xml:space="preserve"> </w:t>
      </w:r>
      <w:r>
        <w:rPr>
          <w:noProof/>
        </w:rPr>
        <w:t>The sample includes 24 plants across Europe (eight in each region), representing around 17</w:t>
      </w:r>
      <w:r>
        <w:rPr>
          <w:noProof/>
          <w:lang w:eastAsia="de-DE"/>
        </w:rPr>
        <w:t xml:space="preserve">% of </w:t>
      </w:r>
      <w:r>
        <w:rPr>
          <w:noProof/>
        </w:rPr>
        <w:t>total EU production.</w:t>
      </w:r>
    </w:p>
    <w:p>
      <w:pPr>
        <w:rPr>
          <w:rFonts w:eastAsia="Times New Roman"/>
          <w:bCs/>
          <w:noProof/>
          <w:color w:val="000000"/>
          <w:szCs w:val="24"/>
          <w:lang w:eastAsia="en-GB"/>
        </w:rPr>
      </w:pPr>
    </w:p>
    <w:p>
      <w:pPr>
        <w:pStyle w:val="Heading3"/>
        <w:rPr>
          <w:noProof/>
        </w:rPr>
      </w:pPr>
      <w:bookmarkStart w:id="471" w:name="_Toc526434069"/>
      <w:bookmarkStart w:id="472" w:name="_Toc526436013"/>
      <w:bookmarkStart w:id="473" w:name="_Toc527544438"/>
      <w:bookmarkStart w:id="474" w:name="_Toc530741677"/>
      <w:r>
        <w:rPr>
          <w:noProof/>
        </w:rPr>
        <w:t>Electricity prices, costs</w:t>
      </w:r>
      <w:bookmarkEnd w:id="471"/>
      <w:bookmarkEnd w:id="472"/>
      <w:bookmarkEnd w:id="473"/>
      <w:r>
        <w:rPr>
          <w:noProof/>
        </w:rPr>
        <w:t xml:space="preserve"> and intensity</w:t>
      </w:r>
      <w:bookmarkEnd w:id="474"/>
    </w:p>
    <w:p>
      <w:pPr>
        <w:rPr>
          <w:noProof/>
        </w:rPr>
      </w:pPr>
      <w:r>
        <w:rPr>
          <w:noProof/>
        </w:rPr>
        <w:t xml:space="preserve">Key electricity indicators for packaging glass are presented in </w:t>
      </w:r>
      <w:r>
        <w:rPr>
          <w:noProof/>
        </w:rPr>
        <w:fldChar w:fldCharType="begin"/>
      </w:r>
      <w:r>
        <w:rPr>
          <w:noProof/>
        </w:rPr>
        <w:instrText xml:space="preserve"> REF _Ref524538470 \h </w:instrText>
      </w:r>
      <w:r>
        <w:rPr>
          <w:noProof/>
        </w:rPr>
      </w:r>
      <w:r>
        <w:rPr>
          <w:noProof/>
        </w:rPr>
        <w:fldChar w:fldCharType="separate"/>
      </w:r>
      <w:r>
        <w:rPr>
          <w:noProof/>
        </w:rPr>
        <w:t>Table 26</w:t>
      </w:r>
      <w:r>
        <w:rPr>
          <w:noProof/>
        </w:rPr>
        <w:fldChar w:fldCharType="end"/>
      </w:r>
      <w:r>
        <w:rPr>
          <w:noProof/>
        </w:rPr>
        <w:t>.</w:t>
      </w:r>
    </w:p>
    <w:p>
      <w:pPr>
        <w:rPr>
          <w:noProof/>
        </w:rPr>
      </w:pPr>
      <w:r>
        <w:rPr>
          <w:noProof/>
        </w:rPr>
        <w:t>Electricity prices and costs in EUR/MWh saw a fluctuating trend between 2008 and 2015, before registering a decrease in 2016 and 2017, mainly due to a decline (in absolute value) in the energy component of the electricity price.</w:t>
      </w:r>
    </w:p>
    <w:p>
      <w:pPr>
        <w:rPr>
          <w:noProof/>
        </w:rPr>
      </w:pPr>
      <w:r>
        <w:rPr>
          <w:noProof/>
          <w:lang w:eastAsia="en-GB"/>
        </w:rPr>
        <w:t xml:space="preserve">EU average electricity prices </w:t>
      </w:r>
      <w:r>
        <w:rPr>
          <w:noProof/>
        </w:rPr>
        <w:t>went from 77 EUR/MWh in 2008 to 75 EUR/MWh in 2017, with a peak in 2012 at 83 EUR/MWh. When looking at the price components (</w:t>
      </w:r>
      <w:r>
        <w:rPr>
          <w:noProof/>
        </w:rPr>
        <w:fldChar w:fldCharType="begin"/>
      </w:r>
      <w:r>
        <w:rPr>
          <w:noProof/>
        </w:rPr>
        <w:instrText xml:space="preserve"> REF _Ref529456237 \h </w:instrText>
      </w:r>
      <w:r>
        <w:rPr>
          <w:noProof/>
        </w:rPr>
      </w:r>
      <w:r>
        <w:rPr>
          <w:noProof/>
        </w:rPr>
        <w:fldChar w:fldCharType="separate"/>
      </w:r>
      <w:r>
        <w:rPr>
          <w:noProof/>
        </w:rPr>
        <w:t>Figure 72</w:t>
      </w:r>
      <w:r>
        <w:rPr>
          <w:noProof/>
        </w:rPr>
        <w:fldChar w:fldCharType="end"/>
      </w:r>
      <w:r>
        <w:rPr>
          <w:noProof/>
        </w:rPr>
        <w:t xml:space="preserve">), </w:t>
      </w:r>
      <w:r>
        <w:rPr>
          <w:noProof/>
          <w:lang w:eastAsia="en-GB"/>
        </w:rPr>
        <w:t>the energy component still represents the highest share of the price (56% in 2017), though this share has decreased over time. In contrast, network costs and RES levies significantly increased over the period, both in relative and absolute terms (they accounted in 2017 for 25% and 17% of the price, respectively).</w:t>
      </w:r>
      <w:r>
        <w:rPr>
          <w:noProof/>
        </w:rPr>
        <w:t xml:space="preserve"> Larger consumers </w:t>
      </w:r>
      <w:r>
        <w:rPr>
          <w:noProof/>
          <w:lang w:eastAsia="en-GB"/>
        </w:rPr>
        <w:t xml:space="preserve">faced lower electricity prices (weighted average by purchased electricity is below simple average) by paying </w:t>
      </w:r>
      <w:r>
        <w:rPr>
          <w:noProof/>
        </w:rPr>
        <w:t>relatively less for network costs and RES levies (</w:t>
      </w:r>
      <w:r>
        <w:rPr>
          <w:noProof/>
          <w:lang w:eastAsia="en-GB"/>
        </w:rPr>
        <w:t>note that they did not pay less for the other price components, i.e. network costs and other non-recoverable taxes/levies</w:t>
      </w:r>
      <w:r>
        <w:rPr>
          <w:noProof/>
        </w:rPr>
        <w:t>). This gap between large consumers and small consumers increased recently, most likely because the former benefitted from larger exemptions on regulatory components than in previous years. No plant bought electricity directly on the wholesale market.</w:t>
      </w:r>
    </w:p>
    <w:p>
      <w:pPr>
        <w:rPr>
          <w:noProof/>
        </w:rPr>
      </w:pPr>
      <w:r>
        <w:rPr>
          <w:noProof/>
          <w:lang w:eastAsia="en-GB"/>
        </w:rPr>
        <w:t>EU average electricity costs in EUR/MWh (</w:t>
      </w:r>
      <w:r>
        <w:rPr>
          <w:noProof/>
          <w:lang w:eastAsia="en-GB"/>
        </w:rPr>
        <w:fldChar w:fldCharType="begin"/>
      </w:r>
      <w:r>
        <w:rPr>
          <w:noProof/>
          <w:lang w:eastAsia="en-GB"/>
        </w:rPr>
        <w:instrText xml:space="preserve"> REF _Ref525743383 \h </w:instrText>
      </w:r>
      <w:r>
        <w:rPr>
          <w:noProof/>
          <w:lang w:eastAsia="en-GB"/>
        </w:rPr>
      </w:r>
      <w:r>
        <w:rPr>
          <w:noProof/>
          <w:lang w:eastAsia="en-GB"/>
        </w:rPr>
        <w:fldChar w:fldCharType="separate"/>
      </w:r>
      <w:r>
        <w:rPr>
          <w:noProof/>
        </w:rPr>
        <w:t>Figure 73</w:t>
      </w:r>
      <w:r>
        <w:rPr>
          <w:noProof/>
          <w:lang w:eastAsia="en-GB"/>
        </w:rPr>
        <w:fldChar w:fldCharType="end"/>
      </w:r>
      <w:r>
        <w:rPr>
          <w:noProof/>
          <w:lang w:eastAsia="en-GB"/>
        </w:rPr>
        <w:t>)</w:t>
      </w:r>
      <w:r>
        <w:rPr>
          <w:noProof/>
        </w:rPr>
        <w:t xml:space="preserve"> increased from 75 EUR/MWh in 2008 to 79 EUR/MWh in 2012 and then decreased to 65 EUR/MWh in 2017. The increasing difference between electricity prices and costs (rising up to 10 EUR/MWh in 2017) can be explained by the participation of plants in flexibility schemes and ex post reimbursement for some components of their electricity price (mainly RES levies and other </w:t>
      </w:r>
      <w:r>
        <w:rPr>
          <w:noProof/>
          <w:lang w:eastAsia="de-DE"/>
        </w:rPr>
        <w:t xml:space="preserve">non-recoverable </w:t>
      </w:r>
      <w:r>
        <w:rPr>
          <w:noProof/>
        </w:rPr>
        <w:t xml:space="preserve">taxes/levies). Both compensation for flexibility schemes and ex post reimbursement grew in the most recent years. </w:t>
      </w:r>
      <w:r>
        <w:rPr>
          <w:noProof/>
          <w:lang w:eastAsia="en-GB"/>
        </w:rPr>
        <w:t>There is not electricity self-generation in the sector. EU average electricity costs in EUR/tonne (</w:t>
      </w:r>
      <w:r>
        <w:rPr>
          <w:noProof/>
          <w:lang w:eastAsia="en-GB"/>
        </w:rPr>
        <w:fldChar w:fldCharType="begin"/>
      </w:r>
      <w:r>
        <w:rPr>
          <w:noProof/>
          <w:lang w:eastAsia="en-GB"/>
        </w:rPr>
        <w:instrText xml:space="preserve"> REF _Ref525743645 \h </w:instrText>
      </w:r>
      <w:r>
        <w:rPr>
          <w:noProof/>
          <w:lang w:eastAsia="en-GB"/>
        </w:rPr>
      </w:r>
      <w:r>
        <w:rPr>
          <w:noProof/>
          <w:lang w:eastAsia="en-GB"/>
        </w:rPr>
        <w:fldChar w:fldCharType="separate"/>
      </w:r>
      <w:r>
        <w:rPr>
          <w:noProof/>
        </w:rPr>
        <w:t>Figure 74</w:t>
      </w:r>
      <w:r>
        <w:rPr>
          <w:noProof/>
          <w:lang w:eastAsia="en-GB"/>
        </w:rPr>
        <w:fldChar w:fldCharType="end"/>
      </w:r>
      <w:r>
        <w:rPr>
          <w:noProof/>
          <w:lang w:eastAsia="en-GB"/>
        </w:rPr>
        <w:t>)</w:t>
      </w:r>
      <w:r>
        <w:rPr>
          <w:noProof/>
        </w:rPr>
        <w:t xml:space="preserve"> also increased from 24 EUR/tonne in 2008 to 26 EUR/tonne in 2012 and, subsequently, declined to 21 EUR/tonne in 2017.</w:t>
      </w:r>
    </w:p>
    <w:p>
      <w:pPr>
        <w:rPr>
          <w:noProof/>
        </w:rPr>
      </w:pPr>
      <w:r>
        <w:rPr>
          <w:noProof/>
          <w:lang w:eastAsia="en-GB"/>
        </w:rPr>
        <w:t>EU average electricity intensity (</w:t>
      </w:r>
      <w:r>
        <w:rPr>
          <w:noProof/>
          <w:lang w:eastAsia="en-GB"/>
        </w:rPr>
        <w:fldChar w:fldCharType="begin"/>
      </w:r>
      <w:r>
        <w:rPr>
          <w:noProof/>
          <w:lang w:eastAsia="en-GB"/>
        </w:rPr>
        <w:instrText xml:space="preserve"> REF _Ref525743743 \h </w:instrText>
      </w:r>
      <w:r>
        <w:rPr>
          <w:noProof/>
          <w:lang w:eastAsia="en-GB"/>
        </w:rPr>
      </w:r>
      <w:r>
        <w:rPr>
          <w:noProof/>
          <w:lang w:eastAsia="en-GB"/>
        </w:rPr>
        <w:fldChar w:fldCharType="separate"/>
      </w:r>
      <w:r>
        <w:rPr>
          <w:noProof/>
        </w:rPr>
        <w:t>Figure 75</w:t>
      </w:r>
      <w:r>
        <w:rPr>
          <w:noProof/>
          <w:lang w:eastAsia="en-GB"/>
        </w:rPr>
        <w:fldChar w:fldCharType="end"/>
      </w:r>
      <w:r>
        <w:rPr>
          <w:noProof/>
          <w:lang w:eastAsia="en-GB"/>
        </w:rPr>
        <w:t xml:space="preserve">) </w:t>
      </w:r>
      <w:r>
        <w:rPr>
          <w:noProof/>
        </w:rPr>
        <w:t xml:space="preserve">remained stable over the 10-year period, ranging between 0.32-0.34 MWh/tonne. </w:t>
      </w:r>
      <w:r>
        <w:rPr>
          <w:bCs/>
          <w:noProof/>
          <w:lang w:eastAsia="de-DE"/>
        </w:rPr>
        <w:t xml:space="preserve">Larger producers benefitted from small economies of scale (weighted average </w:t>
      </w:r>
      <w:r>
        <w:rPr>
          <w:noProof/>
          <w:lang w:eastAsia="en-GB"/>
        </w:rPr>
        <w:t xml:space="preserve">– </w:t>
      </w:r>
      <w:r>
        <w:rPr>
          <w:noProof/>
        </w:rPr>
        <w:t>by production output</w:t>
      </w:r>
      <w:r>
        <w:rPr>
          <w:bCs/>
          <w:noProof/>
          <w:lang w:eastAsia="de-DE"/>
        </w:rPr>
        <w:t xml:space="preserve"> </w:t>
      </w:r>
      <w:r>
        <w:rPr>
          <w:noProof/>
          <w:lang w:eastAsia="en-GB"/>
        </w:rPr>
        <w:t xml:space="preserve">– electricity intensity </w:t>
      </w:r>
      <w:r>
        <w:rPr>
          <w:bCs/>
          <w:noProof/>
          <w:lang w:eastAsia="de-DE"/>
        </w:rPr>
        <w:t>is slightly below simple average one).</w:t>
      </w:r>
    </w:p>
    <w:p>
      <w:pPr>
        <w:rPr>
          <w:noProof/>
        </w:rPr>
      </w:pPr>
    </w:p>
    <w:p>
      <w:pPr>
        <w:pStyle w:val="Heading3"/>
        <w:rPr>
          <w:noProof/>
        </w:rPr>
      </w:pPr>
      <w:bookmarkStart w:id="475" w:name="_Toc526434070"/>
      <w:bookmarkStart w:id="476" w:name="_Toc526436014"/>
      <w:bookmarkStart w:id="477" w:name="_Toc527544439"/>
      <w:bookmarkStart w:id="478" w:name="_Toc530741678"/>
      <w:r>
        <w:rPr>
          <w:noProof/>
        </w:rPr>
        <w:t>Natural gas prices, costs</w:t>
      </w:r>
      <w:bookmarkEnd w:id="475"/>
      <w:bookmarkEnd w:id="476"/>
      <w:bookmarkEnd w:id="477"/>
      <w:r>
        <w:rPr>
          <w:noProof/>
        </w:rPr>
        <w:t xml:space="preserve"> and intensity</w:t>
      </w:r>
      <w:bookmarkEnd w:id="478"/>
    </w:p>
    <w:p>
      <w:pPr>
        <w:rPr>
          <w:noProof/>
        </w:rPr>
      </w:pPr>
      <w:r>
        <w:rPr>
          <w:noProof/>
        </w:rPr>
        <w:t xml:space="preserve">Key natural gas indicators for packaging glass are presented in </w:t>
      </w:r>
      <w:r>
        <w:rPr>
          <w:noProof/>
        </w:rPr>
        <w:fldChar w:fldCharType="begin"/>
      </w:r>
      <w:r>
        <w:rPr>
          <w:noProof/>
        </w:rPr>
        <w:instrText xml:space="preserve"> REF _Ref524538478 \h </w:instrText>
      </w:r>
      <w:r>
        <w:rPr>
          <w:noProof/>
        </w:rPr>
      </w:r>
      <w:r>
        <w:rPr>
          <w:noProof/>
        </w:rPr>
        <w:fldChar w:fldCharType="separate"/>
      </w:r>
      <w:r>
        <w:rPr>
          <w:noProof/>
        </w:rPr>
        <w:t>Table 27</w:t>
      </w:r>
      <w:r>
        <w:rPr>
          <w:noProof/>
        </w:rPr>
        <w:fldChar w:fldCharType="end"/>
      </w:r>
      <w:r>
        <w:rPr>
          <w:noProof/>
        </w:rPr>
        <w:t>.</w:t>
      </w:r>
    </w:p>
    <w:p>
      <w:pPr>
        <w:rPr>
          <w:noProof/>
        </w:rPr>
      </w:pPr>
      <w:r>
        <w:rPr>
          <w:noProof/>
        </w:rPr>
        <w:t>Natural gas prices and costs fluctuated between 2008 and 2015, before registering a sharp decline in 2016 and 2017, mainly due to a decrease (in absolute value) in the energy component of the gas price.</w:t>
      </w:r>
    </w:p>
    <w:p>
      <w:pPr>
        <w:rPr>
          <w:noProof/>
        </w:rPr>
      </w:pPr>
      <w:r>
        <w:rPr>
          <w:noProof/>
        </w:rPr>
        <w:t xml:space="preserve">After peaking in 2012 (32 EUR/MWh), </w:t>
      </w:r>
      <w:r>
        <w:rPr>
          <w:noProof/>
          <w:lang w:eastAsia="en-GB"/>
        </w:rPr>
        <w:t>EU average natural gas prices (</w:t>
      </w:r>
      <w:r>
        <w:rPr>
          <w:noProof/>
          <w:lang w:eastAsia="en-GB"/>
        </w:rPr>
        <w:fldChar w:fldCharType="begin"/>
      </w:r>
      <w:r>
        <w:rPr>
          <w:noProof/>
          <w:lang w:eastAsia="en-GB"/>
        </w:rPr>
        <w:instrText xml:space="preserve"> REF _Ref525745369 \h </w:instrText>
      </w:r>
      <w:r>
        <w:rPr>
          <w:noProof/>
          <w:lang w:eastAsia="en-GB"/>
        </w:rPr>
      </w:r>
      <w:r>
        <w:rPr>
          <w:noProof/>
          <w:lang w:eastAsia="en-GB"/>
        </w:rPr>
        <w:fldChar w:fldCharType="separate"/>
      </w:r>
      <w:r>
        <w:rPr>
          <w:noProof/>
        </w:rPr>
        <w:t>Figure 76</w:t>
      </w:r>
      <w:r>
        <w:rPr>
          <w:noProof/>
          <w:lang w:eastAsia="en-GB"/>
        </w:rPr>
        <w:fldChar w:fldCharType="end"/>
      </w:r>
      <w:r>
        <w:rPr>
          <w:noProof/>
          <w:lang w:eastAsia="en-GB"/>
        </w:rPr>
        <w:t xml:space="preserve">) </w:t>
      </w:r>
      <w:r>
        <w:rPr>
          <w:noProof/>
        </w:rPr>
        <w:t xml:space="preserve">decreased sharply down to 21 EUR/MWh in 2017. </w:t>
      </w:r>
      <w:r>
        <w:rPr>
          <w:noProof/>
          <w:lang w:eastAsia="en-GB"/>
        </w:rPr>
        <w:t xml:space="preserve">As shown in </w:t>
      </w:r>
      <w:r>
        <w:rPr>
          <w:noProof/>
          <w:lang w:eastAsia="en-GB"/>
        </w:rPr>
        <w:fldChar w:fldCharType="begin"/>
      </w:r>
      <w:r>
        <w:rPr>
          <w:noProof/>
          <w:lang w:eastAsia="en-GB"/>
        </w:rPr>
        <w:instrText xml:space="preserve"> REF _Ref529458765 \h </w:instrText>
      </w:r>
      <w:r>
        <w:rPr>
          <w:noProof/>
          <w:lang w:eastAsia="en-GB"/>
        </w:rPr>
      </w:r>
      <w:r>
        <w:rPr>
          <w:noProof/>
          <w:lang w:eastAsia="en-GB"/>
        </w:rPr>
        <w:fldChar w:fldCharType="separate"/>
      </w:r>
      <w:r>
        <w:rPr>
          <w:noProof/>
        </w:rPr>
        <w:t>Figure 77</w:t>
      </w:r>
      <w:r>
        <w:rPr>
          <w:noProof/>
          <w:lang w:eastAsia="en-GB"/>
        </w:rPr>
        <w:fldChar w:fldCharType="end"/>
      </w:r>
      <w:r>
        <w:rPr>
          <w:noProof/>
          <w:lang w:eastAsia="en-GB"/>
        </w:rPr>
        <w:t xml:space="preserve">, the natural gas price is made up mostly by the energy component (88% in 2017), the remaining coming from the network component (note that </w:t>
      </w:r>
      <w:r>
        <w:rPr>
          <w:noProof/>
        </w:rPr>
        <w:t>non-recoverable</w:t>
      </w:r>
      <w:r>
        <w:rPr>
          <w:noProof/>
          <w:lang w:eastAsia="en-GB"/>
        </w:rPr>
        <w:t xml:space="preserve"> taxes/levies are marginal, less than 1% in 2017). </w:t>
      </w:r>
      <w:r>
        <w:rPr>
          <w:noProof/>
        </w:rPr>
        <w:t>Large and small consumers paid the same price (</w:t>
      </w:r>
      <w:r>
        <w:rPr>
          <w:noProof/>
          <w:lang w:eastAsia="en-GB"/>
        </w:rPr>
        <w:t xml:space="preserve">weighted average by </w:t>
      </w:r>
      <w:r>
        <w:rPr>
          <w:noProof/>
        </w:rPr>
        <w:t>purchased natural gas</w:t>
      </w:r>
      <w:r>
        <w:rPr>
          <w:noProof/>
          <w:lang w:eastAsia="en-GB"/>
        </w:rPr>
        <w:t xml:space="preserve"> and simple average are the same)</w:t>
      </w:r>
      <w:r>
        <w:rPr>
          <w:noProof/>
        </w:rPr>
        <w:t>.</w:t>
      </w:r>
    </w:p>
    <w:p>
      <w:pPr>
        <w:rPr>
          <w:noProof/>
        </w:rPr>
      </w:pPr>
      <w:r>
        <w:rPr>
          <w:noProof/>
          <w:lang w:eastAsia="en-GB"/>
        </w:rPr>
        <w:t xml:space="preserve">EU average natural gas costs (in EUR/tonne) </w:t>
      </w:r>
      <w:r>
        <w:rPr>
          <w:noProof/>
        </w:rPr>
        <w:t>ranged between 44 and 53 EUR/tonne between 2008 and 2015 (</w:t>
      </w:r>
      <w:r>
        <w:rPr>
          <w:noProof/>
        </w:rPr>
        <w:fldChar w:fldCharType="begin"/>
      </w:r>
      <w:r>
        <w:rPr>
          <w:noProof/>
        </w:rPr>
        <w:instrText xml:space="preserve"> REF _Ref525745599 \h </w:instrText>
      </w:r>
      <w:r>
        <w:rPr>
          <w:noProof/>
        </w:rPr>
      </w:r>
      <w:r>
        <w:rPr>
          <w:noProof/>
        </w:rPr>
        <w:fldChar w:fldCharType="separate"/>
      </w:r>
      <w:r>
        <w:rPr>
          <w:noProof/>
        </w:rPr>
        <w:t>Figure 78</w:t>
      </w:r>
      <w:r>
        <w:rPr>
          <w:noProof/>
        </w:rPr>
        <w:fldChar w:fldCharType="end"/>
      </w:r>
      <w:r>
        <w:rPr>
          <w:noProof/>
        </w:rPr>
        <w:t>). They decreased in recent years, falling to around 35 EUR/tonne in 2016 and 2017.</w:t>
      </w:r>
    </w:p>
    <w:p>
      <w:pPr>
        <w:rPr>
          <w:noProof/>
        </w:rPr>
      </w:pPr>
      <w:r>
        <w:rPr>
          <w:noProof/>
          <w:lang w:eastAsia="en-GB"/>
        </w:rPr>
        <w:t>EU average natural gas intensity (</w:t>
      </w:r>
      <w:r>
        <w:rPr>
          <w:noProof/>
          <w:lang w:eastAsia="en-GB"/>
        </w:rPr>
        <w:fldChar w:fldCharType="begin"/>
      </w:r>
      <w:r>
        <w:rPr>
          <w:noProof/>
          <w:lang w:eastAsia="en-GB"/>
        </w:rPr>
        <w:instrText xml:space="preserve"> REF _Ref525745657 \h </w:instrText>
      </w:r>
      <w:r>
        <w:rPr>
          <w:noProof/>
          <w:lang w:eastAsia="en-GB"/>
        </w:rPr>
      </w:r>
      <w:r>
        <w:rPr>
          <w:noProof/>
          <w:lang w:eastAsia="en-GB"/>
        </w:rPr>
        <w:fldChar w:fldCharType="separate"/>
      </w:r>
      <w:r>
        <w:rPr>
          <w:noProof/>
        </w:rPr>
        <w:t>Figure 79</w:t>
      </w:r>
      <w:r>
        <w:rPr>
          <w:noProof/>
          <w:lang w:eastAsia="en-GB"/>
        </w:rPr>
        <w:fldChar w:fldCharType="end"/>
      </w:r>
      <w:r>
        <w:rPr>
          <w:noProof/>
          <w:lang w:eastAsia="en-GB"/>
        </w:rPr>
        <w:t xml:space="preserve">) </w:t>
      </w:r>
      <w:r>
        <w:rPr>
          <w:noProof/>
        </w:rPr>
        <w:t xml:space="preserve">recorded a decreasing trend from above 1.8 MWh/tonne (in 2008) to below 1.7 MWh/tonne (in 2017), indicating increased energy efficiency in the production process. </w:t>
      </w:r>
      <w:r>
        <w:rPr>
          <w:bCs/>
          <w:noProof/>
          <w:lang w:eastAsia="de-DE"/>
        </w:rPr>
        <w:t xml:space="preserve">Larger producers benefitted from small economies of scale (weighted average </w:t>
      </w:r>
      <w:r>
        <w:rPr>
          <w:noProof/>
          <w:lang w:eastAsia="en-GB"/>
        </w:rPr>
        <w:t xml:space="preserve">– </w:t>
      </w:r>
      <w:r>
        <w:rPr>
          <w:noProof/>
        </w:rPr>
        <w:t>by production output</w:t>
      </w:r>
      <w:r>
        <w:rPr>
          <w:bCs/>
          <w:noProof/>
          <w:lang w:eastAsia="de-DE"/>
        </w:rPr>
        <w:t xml:space="preserve"> </w:t>
      </w:r>
      <w:r>
        <w:rPr>
          <w:noProof/>
          <w:lang w:eastAsia="en-GB"/>
        </w:rPr>
        <w:t xml:space="preserve">– natural gas intensity </w:t>
      </w:r>
      <w:r>
        <w:rPr>
          <w:bCs/>
          <w:noProof/>
          <w:lang w:eastAsia="de-DE"/>
        </w:rPr>
        <w:t>is slightly below simple average one).</w:t>
      </w:r>
    </w:p>
    <w:p>
      <w:pPr>
        <w:rPr>
          <w:noProof/>
        </w:rPr>
      </w:pPr>
    </w:p>
    <w:p>
      <w:pPr>
        <w:pStyle w:val="Heading3"/>
        <w:rPr>
          <w:noProof/>
        </w:rPr>
      </w:pPr>
      <w:bookmarkStart w:id="479" w:name="_Toc526434071"/>
      <w:bookmarkStart w:id="480" w:name="_Toc526436015"/>
      <w:bookmarkStart w:id="481" w:name="_Toc527544440"/>
      <w:bookmarkStart w:id="482" w:name="_Toc530741679"/>
      <w:r>
        <w:rPr>
          <w:noProof/>
        </w:rPr>
        <w:t>Competitiveness</w:t>
      </w:r>
      <w:bookmarkEnd w:id="479"/>
      <w:bookmarkEnd w:id="480"/>
      <w:bookmarkEnd w:id="481"/>
      <w:bookmarkEnd w:id="482"/>
    </w:p>
    <w:p>
      <w:pPr>
        <w:rPr>
          <w:noProof/>
          <w:lang w:eastAsia="en-GB"/>
        </w:rPr>
      </w:pPr>
      <w:r>
        <w:rPr>
          <w:noProof/>
          <w:lang w:eastAsia="en-GB"/>
        </w:rPr>
        <w:t xml:space="preserve">As shown in </w:t>
      </w:r>
      <w:r>
        <w:rPr>
          <w:noProof/>
          <w:lang w:eastAsia="en-GB"/>
        </w:rPr>
        <w:fldChar w:fldCharType="begin"/>
      </w:r>
      <w:r>
        <w:rPr>
          <w:noProof/>
          <w:lang w:eastAsia="en-GB"/>
        </w:rPr>
        <w:instrText xml:space="preserve"> REF _Ref524538485 \h </w:instrText>
      </w:r>
      <w:r>
        <w:rPr>
          <w:noProof/>
          <w:lang w:eastAsia="en-GB"/>
        </w:rPr>
      </w:r>
      <w:r>
        <w:rPr>
          <w:noProof/>
          <w:lang w:eastAsia="en-GB"/>
        </w:rPr>
        <w:fldChar w:fldCharType="separate"/>
      </w:r>
      <w:r>
        <w:rPr>
          <w:noProof/>
        </w:rPr>
        <w:t>Table 28</w:t>
      </w:r>
      <w:r>
        <w:rPr>
          <w:noProof/>
          <w:lang w:eastAsia="en-GB"/>
        </w:rPr>
        <w:fldChar w:fldCharType="end"/>
      </w:r>
      <w:r>
        <w:rPr>
          <w:noProof/>
          <w:lang w:eastAsia="en-GB"/>
        </w:rPr>
        <w:t xml:space="preserve">, over the period, the share of electricity costs in total production costs declined, from 8% (2008) to about 7% (2017). The share of natural gas costs in total production costs ranged between 16% and 17% from 2008 to 2014, but decreased significantly thereafter, falling from 15% in 2015 to 11% in 2017. Overall, the share of total energy (natural gas + electricity) costs in production costs decreased from 25% in 2008 to 18% in 2017. </w:t>
      </w:r>
    </w:p>
    <w:p>
      <w:pPr>
        <w:rPr>
          <w:noProof/>
        </w:rPr>
      </w:pPr>
      <w:r>
        <w:rPr>
          <w:noProof/>
          <w:lang w:eastAsia="en-GB"/>
        </w:rPr>
        <w:t xml:space="preserve">It is not possible to draw firm conclusions on the impact of electricity and natural gas costs on profitability. As shown in </w:t>
      </w:r>
      <w:r>
        <w:rPr>
          <w:noProof/>
          <w:lang w:eastAsia="en-GB"/>
        </w:rPr>
        <w:fldChar w:fldCharType="begin"/>
      </w:r>
      <w:r>
        <w:rPr>
          <w:noProof/>
          <w:lang w:eastAsia="en-GB"/>
        </w:rPr>
        <w:instrText xml:space="preserve"> REF _Ref525747603 \h </w:instrText>
      </w:r>
      <w:r>
        <w:rPr>
          <w:noProof/>
          <w:lang w:eastAsia="en-GB"/>
        </w:rPr>
      </w:r>
      <w:r>
        <w:rPr>
          <w:noProof/>
          <w:lang w:eastAsia="en-GB"/>
        </w:rPr>
        <w:fldChar w:fldCharType="separate"/>
      </w:r>
      <w:r>
        <w:rPr>
          <w:noProof/>
        </w:rPr>
        <w:t>Figure 80</w:t>
      </w:r>
      <w:r>
        <w:rPr>
          <w:noProof/>
          <w:lang w:eastAsia="en-GB"/>
        </w:rPr>
        <w:fldChar w:fldCharType="end"/>
      </w:r>
      <w:r>
        <w:rPr>
          <w:noProof/>
          <w:lang w:eastAsia="en-GB"/>
        </w:rPr>
        <w:t>, in absolute terms, EU average energy costs per tonne were in the range of 70-80 EUR/tonne until 2015 and then significantly decreased (</w:t>
      </w:r>
      <w:r>
        <w:rPr>
          <w:noProof/>
        </w:rPr>
        <w:t xml:space="preserve">56 EUR/tonne in 2017), while EU average </w:t>
      </w:r>
      <w:r>
        <w:rPr>
          <w:noProof/>
          <w:lang w:eastAsia="en-GB"/>
        </w:rPr>
        <w:t>EBITDA per tonne fluctuated over the period (between 63 and 78 </w:t>
      </w:r>
      <w:r>
        <w:rPr>
          <w:noProof/>
        </w:rPr>
        <w:t xml:space="preserve">EUR/tonne). We can still note that </w:t>
      </w:r>
      <w:r>
        <w:rPr>
          <w:noProof/>
          <w:lang w:eastAsia="en-GB"/>
        </w:rPr>
        <w:t>EBITDA and energy costs per tonne were always in the same order of magnitude (r</w:t>
      </w:r>
      <w:r>
        <w:rPr>
          <w:noProof/>
          <w:sz w:val="20"/>
        </w:rPr>
        <w:t>atio of total energy costs to EBITDA close to 1)</w:t>
      </w:r>
      <w:r>
        <w:rPr>
          <w:noProof/>
          <w:lang w:eastAsia="en-GB"/>
        </w:rPr>
        <w:t xml:space="preserve"> and in the most recent years, when energy costs significantly fell down, EBITDA improved. Energy costs are then an important element to be considered when looking at competitiveness issues in this sector.</w:t>
      </w:r>
    </w:p>
    <w:p>
      <w:pPr>
        <w:rPr>
          <w:noProof/>
          <w:lang w:eastAsia="en-GB"/>
        </w:rPr>
      </w:pPr>
    </w:p>
    <w:p>
      <w:pPr>
        <w:pStyle w:val="Heading3"/>
        <w:rPr>
          <w:noProof/>
        </w:rPr>
      </w:pPr>
      <w:bookmarkStart w:id="483" w:name="_Toc526434072"/>
      <w:bookmarkStart w:id="484" w:name="_Toc526436016"/>
      <w:bookmarkStart w:id="485" w:name="_Toc527544441"/>
      <w:bookmarkStart w:id="486" w:name="_Toc530741680"/>
      <w:r>
        <w:rPr>
          <w:noProof/>
        </w:rPr>
        <w:t>Tables and graphs</w:t>
      </w:r>
      <w:bookmarkEnd w:id="483"/>
      <w:bookmarkEnd w:id="484"/>
      <w:bookmarkEnd w:id="485"/>
      <w:bookmarkEnd w:id="486"/>
    </w:p>
    <w:p>
      <w:pPr>
        <w:rPr>
          <w:b/>
          <w:i/>
          <w:noProof/>
          <w:lang w:eastAsia="en-GB"/>
        </w:rPr>
      </w:pPr>
      <w:r>
        <w:rPr>
          <w:b/>
          <w:i/>
          <w:noProof/>
          <w:lang w:eastAsia="en-GB"/>
        </w:rPr>
        <w:t>Electricity</w:t>
      </w:r>
    </w:p>
    <w:p>
      <w:pPr>
        <w:pStyle w:val="Caption"/>
      </w:pPr>
      <w:bookmarkStart w:id="487" w:name="_Ref524538470"/>
      <w:bookmarkStart w:id="488" w:name="_Toc526433631"/>
      <w:bookmarkStart w:id="489" w:name="_Toc526435573"/>
      <w:bookmarkStart w:id="490" w:name="_Toc527544801"/>
      <w:bookmarkStart w:id="491" w:name="_Toc530741819"/>
      <w:r>
        <w:t xml:space="preserve">Table </w:t>
      </w:r>
      <w:r>
        <w:fldChar w:fldCharType="begin"/>
      </w:r>
      <w:r>
        <w:instrText xml:space="preserve"> SEQ Table \* ARABIC </w:instrText>
      </w:r>
      <w:r>
        <w:fldChar w:fldCharType="separate"/>
      </w:r>
      <w:r>
        <w:t>26</w:t>
      </w:r>
      <w:r>
        <w:fldChar w:fldCharType="end"/>
      </w:r>
      <w:bookmarkEnd w:id="487"/>
      <w:r>
        <w:t>. Key electricity indicators of p</w:t>
      </w:r>
      <w:r>
        <w:rPr>
          <w:lang w:eastAsia="en-GB"/>
        </w:rPr>
        <w:t>ackaging glass</w:t>
      </w:r>
      <w:r>
        <w:t xml:space="preserve"> production</w:t>
      </w:r>
      <w:r>
        <w:rPr>
          <w:rFonts w:eastAsia="Times New Roman"/>
          <w:color w:val="000000"/>
          <w:lang w:eastAsia="en-GB"/>
        </w:rPr>
        <w:t xml:space="preserve"> </w:t>
      </w:r>
      <w:r>
        <w:t>(EU averages)</w:t>
      </w:r>
      <w:bookmarkEnd w:id="488"/>
      <w:bookmarkEnd w:id="489"/>
      <w:bookmarkEnd w:id="490"/>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tblHeader/>
          <w:jc w:val="center"/>
        </w:trPr>
        <w:tc>
          <w:tcPr>
            <w:tcW w:w="86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393"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77.0</w:t>
            </w:r>
          </w:p>
        </w:tc>
        <w:tc>
          <w:tcPr>
            <w:tcW w:w="435"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79.0</w:t>
            </w:r>
          </w:p>
        </w:tc>
        <w:tc>
          <w:tcPr>
            <w:tcW w:w="413"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75.8</w:t>
            </w:r>
          </w:p>
        </w:tc>
        <w:tc>
          <w:tcPr>
            <w:tcW w:w="415"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77.7</w:t>
            </w:r>
          </w:p>
        </w:tc>
        <w:tc>
          <w:tcPr>
            <w:tcW w:w="414"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83.3</w:t>
            </w:r>
          </w:p>
        </w:tc>
        <w:tc>
          <w:tcPr>
            <w:tcW w:w="413"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82.5</w:t>
            </w:r>
          </w:p>
        </w:tc>
        <w:tc>
          <w:tcPr>
            <w:tcW w:w="414"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80.3</w:t>
            </w:r>
          </w:p>
        </w:tc>
        <w:tc>
          <w:tcPr>
            <w:tcW w:w="413"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82.6</w:t>
            </w:r>
          </w:p>
        </w:tc>
        <w:tc>
          <w:tcPr>
            <w:tcW w:w="414"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75.4</w:t>
            </w:r>
          </w:p>
        </w:tc>
        <w:tc>
          <w:tcPr>
            <w:tcW w:w="414" w:type="pct"/>
            <w:tcBorders>
              <w:top w:val="single" w:sz="4" w:space="0" w:color="auto"/>
            </w:tcBorders>
            <w:shd w:val="clear" w:color="auto" w:fill="CEEBE6"/>
            <w:noWrap/>
            <w:vAlign w:val="center"/>
          </w:tcPr>
          <w:p>
            <w:pPr>
              <w:spacing w:before="60" w:after="60"/>
              <w:jc w:val="center"/>
              <w:rPr>
                <w:bCs/>
                <w:noProof/>
                <w:color w:val="000000"/>
                <w:sz w:val="20"/>
                <w:szCs w:val="16"/>
              </w:rPr>
            </w:pPr>
            <w:r>
              <w:rPr>
                <w:bCs/>
                <w:noProof/>
                <w:color w:val="000000"/>
                <w:sz w:val="20"/>
                <w:szCs w:val="16"/>
              </w:rPr>
              <w:t>75.0</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393"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75.3</w:t>
            </w:r>
          </w:p>
        </w:tc>
        <w:tc>
          <w:tcPr>
            <w:tcW w:w="435"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77.3</w:t>
            </w:r>
          </w:p>
        </w:tc>
        <w:tc>
          <w:tcPr>
            <w:tcW w:w="413"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74.1</w:t>
            </w:r>
          </w:p>
        </w:tc>
        <w:tc>
          <w:tcPr>
            <w:tcW w:w="415"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73.5</w:t>
            </w:r>
          </w:p>
        </w:tc>
        <w:tc>
          <w:tcPr>
            <w:tcW w:w="414"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79.1</w:t>
            </w:r>
          </w:p>
        </w:tc>
        <w:tc>
          <w:tcPr>
            <w:tcW w:w="413"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77.0</w:t>
            </w:r>
          </w:p>
        </w:tc>
        <w:tc>
          <w:tcPr>
            <w:tcW w:w="414"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73.1</w:t>
            </w:r>
          </w:p>
        </w:tc>
        <w:tc>
          <w:tcPr>
            <w:tcW w:w="413"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76.0</w:t>
            </w:r>
          </w:p>
        </w:tc>
        <w:tc>
          <w:tcPr>
            <w:tcW w:w="414"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68.9</w:t>
            </w:r>
          </w:p>
        </w:tc>
        <w:tc>
          <w:tcPr>
            <w:tcW w:w="414" w:type="pct"/>
            <w:shd w:val="clear" w:color="auto" w:fill="auto"/>
            <w:noWrap/>
            <w:vAlign w:val="center"/>
            <w:hideMark/>
          </w:tcPr>
          <w:p>
            <w:pPr>
              <w:spacing w:before="60" w:after="60"/>
              <w:jc w:val="center"/>
              <w:rPr>
                <w:bCs/>
                <w:noProof/>
                <w:color w:val="000000"/>
                <w:sz w:val="20"/>
                <w:szCs w:val="16"/>
              </w:rPr>
            </w:pPr>
            <w:r>
              <w:rPr>
                <w:bCs/>
                <w:noProof/>
                <w:color w:val="000000"/>
                <w:sz w:val="20"/>
                <w:szCs w:val="16"/>
              </w:rPr>
              <w:t>64.8</w:t>
            </w:r>
          </w:p>
        </w:tc>
      </w:tr>
      <w:tr>
        <w:trPr>
          <w:trHeight w:val="244"/>
          <w:jc w:val="center"/>
        </w:trPr>
        <w:tc>
          <w:tcPr>
            <w:tcW w:w="862"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393"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24.3</w:t>
            </w:r>
          </w:p>
        </w:tc>
        <w:tc>
          <w:tcPr>
            <w:tcW w:w="435"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26.0</w:t>
            </w:r>
          </w:p>
        </w:tc>
        <w:tc>
          <w:tcPr>
            <w:tcW w:w="413"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24.5</w:t>
            </w:r>
          </w:p>
        </w:tc>
        <w:tc>
          <w:tcPr>
            <w:tcW w:w="415"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24.2</w:t>
            </w:r>
          </w:p>
        </w:tc>
        <w:tc>
          <w:tcPr>
            <w:tcW w:w="414"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26.2</w:t>
            </w:r>
          </w:p>
        </w:tc>
        <w:tc>
          <w:tcPr>
            <w:tcW w:w="413"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25.6</w:t>
            </w:r>
          </w:p>
        </w:tc>
        <w:tc>
          <w:tcPr>
            <w:tcW w:w="414"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23.2</w:t>
            </w:r>
          </w:p>
        </w:tc>
        <w:tc>
          <w:tcPr>
            <w:tcW w:w="413"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24.5</w:t>
            </w:r>
          </w:p>
        </w:tc>
        <w:tc>
          <w:tcPr>
            <w:tcW w:w="414"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22.1</w:t>
            </w:r>
          </w:p>
        </w:tc>
        <w:tc>
          <w:tcPr>
            <w:tcW w:w="414" w:type="pct"/>
            <w:shd w:val="clear" w:color="auto" w:fill="CEEBE6"/>
            <w:noWrap/>
            <w:vAlign w:val="center"/>
            <w:hideMark/>
          </w:tcPr>
          <w:p>
            <w:pPr>
              <w:spacing w:before="60" w:after="60"/>
              <w:jc w:val="center"/>
              <w:rPr>
                <w:bCs/>
                <w:noProof/>
                <w:color w:val="000000"/>
                <w:sz w:val="20"/>
                <w:szCs w:val="16"/>
              </w:rPr>
            </w:pPr>
            <w:r>
              <w:rPr>
                <w:bCs/>
                <w:noProof/>
                <w:color w:val="000000"/>
                <w:sz w:val="20"/>
                <w:szCs w:val="16"/>
              </w:rPr>
              <w:t>20.6</w:t>
            </w:r>
          </w:p>
        </w:tc>
      </w:tr>
      <w:tr>
        <w:trPr>
          <w:trHeight w:val="244"/>
          <w:jc w:val="center"/>
        </w:trPr>
        <w:tc>
          <w:tcPr>
            <w:tcW w:w="862"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393" w:type="pct"/>
            <w:shd w:val="clear" w:color="auto" w:fill="auto"/>
            <w:noWrap/>
            <w:vAlign w:val="center"/>
          </w:tcPr>
          <w:p>
            <w:pPr>
              <w:spacing w:before="60" w:after="60"/>
              <w:jc w:val="center"/>
              <w:rPr>
                <w:bCs/>
                <w:noProof/>
                <w:color w:val="000000"/>
                <w:sz w:val="20"/>
                <w:szCs w:val="16"/>
              </w:rPr>
            </w:pPr>
            <w:r>
              <w:rPr>
                <w:bCs/>
                <w:noProof/>
                <w:color w:val="000000"/>
                <w:sz w:val="20"/>
                <w:szCs w:val="16"/>
              </w:rPr>
              <w:t>0.32</w:t>
            </w:r>
          </w:p>
        </w:tc>
        <w:tc>
          <w:tcPr>
            <w:tcW w:w="435" w:type="pct"/>
            <w:shd w:val="clear" w:color="auto" w:fill="auto"/>
            <w:noWrap/>
            <w:vAlign w:val="center"/>
          </w:tcPr>
          <w:p>
            <w:pPr>
              <w:spacing w:before="60" w:after="60"/>
              <w:jc w:val="center"/>
              <w:rPr>
                <w:bCs/>
                <w:noProof/>
                <w:color w:val="000000"/>
                <w:sz w:val="20"/>
                <w:szCs w:val="16"/>
              </w:rPr>
            </w:pPr>
            <w:r>
              <w:rPr>
                <w:bCs/>
                <w:noProof/>
                <w:color w:val="000000"/>
                <w:sz w:val="20"/>
                <w:szCs w:val="16"/>
              </w:rPr>
              <w:t>0.34</w:t>
            </w:r>
          </w:p>
        </w:tc>
        <w:tc>
          <w:tcPr>
            <w:tcW w:w="413" w:type="pct"/>
            <w:shd w:val="clear" w:color="auto" w:fill="auto"/>
            <w:noWrap/>
            <w:vAlign w:val="center"/>
          </w:tcPr>
          <w:p>
            <w:pPr>
              <w:spacing w:before="60" w:after="60"/>
              <w:jc w:val="center"/>
              <w:rPr>
                <w:bCs/>
                <w:noProof/>
                <w:color w:val="000000"/>
                <w:sz w:val="20"/>
                <w:szCs w:val="16"/>
              </w:rPr>
            </w:pPr>
            <w:r>
              <w:rPr>
                <w:bCs/>
                <w:noProof/>
                <w:color w:val="000000"/>
                <w:sz w:val="20"/>
                <w:szCs w:val="16"/>
              </w:rPr>
              <w:t>0.33</w:t>
            </w:r>
          </w:p>
        </w:tc>
        <w:tc>
          <w:tcPr>
            <w:tcW w:w="415" w:type="pct"/>
            <w:shd w:val="clear" w:color="auto" w:fill="auto"/>
            <w:noWrap/>
            <w:vAlign w:val="center"/>
          </w:tcPr>
          <w:p>
            <w:pPr>
              <w:spacing w:before="60" w:after="60"/>
              <w:jc w:val="center"/>
              <w:rPr>
                <w:bCs/>
                <w:noProof/>
                <w:color w:val="000000"/>
                <w:sz w:val="20"/>
                <w:szCs w:val="16"/>
              </w:rPr>
            </w:pPr>
            <w:r>
              <w:rPr>
                <w:bCs/>
                <w:noProof/>
                <w:color w:val="000000"/>
                <w:sz w:val="20"/>
                <w:szCs w:val="16"/>
              </w:rPr>
              <w:t>0.33</w:t>
            </w:r>
          </w:p>
        </w:tc>
        <w:tc>
          <w:tcPr>
            <w:tcW w:w="414" w:type="pct"/>
            <w:shd w:val="clear" w:color="auto" w:fill="auto"/>
            <w:noWrap/>
            <w:vAlign w:val="center"/>
          </w:tcPr>
          <w:p>
            <w:pPr>
              <w:spacing w:before="60" w:after="60"/>
              <w:jc w:val="center"/>
              <w:rPr>
                <w:bCs/>
                <w:noProof/>
                <w:color w:val="000000"/>
                <w:sz w:val="20"/>
                <w:szCs w:val="16"/>
              </w:rPr>
            </w:pPr>
            <w:r>
              <w:rPr>
                <w:bCs/>
                <w:noProof/>
                <w:color w:val="000000"/>
                <w:sz w:val="20"/>
                <w:szCs w:val="16"/>
              </w:rPr>
              <w:t>0.33</w:t>
            </w:r>
          </w:p>
        </w:tc>
        <w:tc>
          <w:tcPr>
            <w:tcW w:w="413" w:type="pct"/>
            <w:shd w:val="clear" w:color="auto" w:fill="auto"/>
            <w:noWrap/>
            <w:vAlign w:val="center"/>
          </w:tcPr>
          <w:p>
            <w:pPr>
              <w:spacing w:before="60" w:after="60"/>
              <w:jc w:val="center"/>
              <w:rPr>
                <w:bCs/>
                <w:noProof/>
                <w:color w:val="000000"/>
                <w:sz w:val="20"/>
                <w:szCs w:val="16"/>
              </w:rPr>
            </w:pPr>
            <w:r>
              <w:rPr>
                <w:bCs/>
                <w:noProof/>
                <w:color w:val="000000"/>
                <w:sz w:val="20"/>
                <w:szCs w:val="16"/>
              </w:rPr>
              <w:t>0.33</w:t>
            </w:r>
          </w:p>
        </w:tc>
        <w:tc>
          <w:tcPr>
            <w:tcW w:w="414" w:type="pct"/>
            <w:shd w:val="clear" w:color="auto" w:fill="auto"/>
            <w:noWrap/>
            <w:vAlign w:val="center"/>
          </w:tcPr>
          <w:p>
            <w:pPr>
              <w:spacing w:before="60" w:after="60"/>
              <w:jc w:val="center"/>
              <w:rPr>
                <w:bCs/>
                <w:noProof/>
                <w:color w:val="000000"/>
                <w:sz w:val="20"/>
                <w:szCs w:val="16"/>
              </w:rPr>
            </w:pPr>
            <w:r>
              <w:rPr>
                <w:bCs/>
                <w:noProof/>
                <w:color w:val="000000"/>
                <w:sz w:val="20"/>
                <w:szCs w:val="16"/>
              </w:rPr>
              <w:t>0.32</w:t>
            </w:r>
          </w:p>
        </w:tc>
        <w:tc>
          <w:tcPr>
            <w:tcW w:w="413" w:type="pct"/>
            <w:shd w:val="clear" w:color="auto" w:fill="auto"/>
            <w:noWrap/>
            <w:vAlign w:val="center"/>
          </w:tcPr>
          <w:p>
            <w:pPr>
              <w:spacing w:before="60" w:after="60"/>
              <w:jc w:val="center"/>
              <w:rPr>
                <w:bCs/>
                <w:noProof/>
                <w:color w:val="000000"/>
                <w:sz w:val="20"/>
                <w:szCs w:val="16"/>
              </w:rPr>
            </w:pPr>
            <w:r>
              <w:rPr>
                <w:bCs/>
                <w:noProof/>
                <w:color w:val="000000"/>
                <w:sz w:val="20"/>
                <w:szCs w:val="16"/>
              </w:rPr>
              <w:t>0.32</w:t>
            </w:r>
          </w:p>
        </w:tc>
        <w:tc>
          <w:tcPr>
            <w:tcW w:w="414" w:type="pct"/>
            <w:shd w:val="clear" w:color="auto" w:fill="auto"/>
            <w:noWrap/>
            <w:vAlign w:val="center"/>
          </w:tcPr>
          <w:p>
            <w:pPr>
              <w:spacing w:before="60" w:after="60"/>
              <w:jc w:val="center"/>
              <w:rPr>
                <w:bCs/>
                <w:noProof/>
                <w:color w:val="000000"/>
                <w:sz w:val="20"/>
                <w:szCs w:val="16"/>
              </w:rPr>
            </w:pPr>
            <w:r>
              <w:rPr>
                <w:bCs/>
                <w:noProof/>
                <w:color w:val="000000"/>
                <w:sz w:val="20"/>
                <w:szCs w:val="16"/>
              </w:rPr>
              <w:t>0.32</w:t>
            </w:r>
          </w:p>
        </w:tc>
        <w:tc>
          <w:tcPr>
            <w:tcW w:w="414" w:type="pct"/>
            <w:shd w:val="clear" w:color="auto" w:fill="auto"/>
            <w:noWrap/>
            <w:vAlign w:val="center"/>
          </w:tcPr>
          <w:p>
            <w:pPr>
              <w:spacing w:before="60" w:after="60"/>
              <w:jc w:val="center"/>
              <w:rPr>
                <w:bCs/>
                <w:noProof/>
                <w:color w:val="000000"/>
                <w:sz w:val="20"/>
                <w:szCs w:val="16"/>
              </w:rPr>
            </w:pPr>
            <w:r>
              <w:rPr>
                <w:bCs/>
                <w:noProof/>
                <w:color w:val="000000"/>
                <w:sz w:val="20"/>
                <w:szCs w:val="16"/>
              </w:rPr>
              <w:t>0.32</w:t>
            </w:r>
          </w:p>
        </w:tc>
      </w:tr>
    </w:tbl>
    <w:p>
      <w:pPr>
        <w:pStyle w:val="Sources"/>
        <w:rPr>
          <w:noProof/>
        </w:rPr>
      </w:pPr>
      <w:r>
        <w:rPr>
          <w:noProof/>
        </w:rPr>
        <w:t>Source: CEPS/Ecofys.</w:t>
      </w:r>
    </w:p>
    <w:p>
      <w:pPr>
        <w:pStyle w:val="Caption"/>
        <w:rPr>
          <w:rFonts w:eastAsia="Times New Roman"/>
          <w:color w:val="000000"/>
          <w:lang w:eastAsia="en-GB"/>
        </w:rPr>
      </w:pPr>
      <w:bookmarkStart w:id="492" w:name="_Ref529456237"/>
      <w:bookmarkStart w:id="493" w:name="_Toc530741765"/>
      <w:r>
        <w:t xml:space="preserve">Figure </w:t>
      </w:r>
      <w:r>
        <w:fldChar w:fldCharType="begin"/>
      </w:r>
      <w:r>
        <w:instrText xml:space="preserve"> SEQ Figure \* ARABIC </w:instrText>
      </w:r>
      <w:r>
        <w:fldChar w:fldCharType="separate"/>
      </w:r>
      <w:r>
        <w:t>72</w:t>
      </w:r>
      <w:r>
        <w:fldChar w:fldCharType="end"/>
      </w:r>
      <w:bookmarkEnd w:id="492"/>
      <w:r>
        <w:t>. Components of the EU average electricity price for p</w:t>
      </w:r>
      <w:r>
        <w:rPr>
          <w:lang w:eastAsia="en-GB"/>
        </w:rPr>
        <w:t>ackaging glass</w:t>
      </w:r>
      <w:r>
        <w:t xml:space="preserve"> production (%)</w:t>
      </w:r>
      <w:bookmarkEnd w:id="493"/>
    </w:p>
    <w:p>
      <w:pPr>
        <w:keepNext/>
        <w:rPr>
          <w:noProof/>
        </w:rPr>
      </w:pPr>
      <w:r>
        <w:rPr>
          <w:noProof/>
          <w:lang w:eastAsia="en-GB"/>
        </w:rPr>
        <w:drawing>
          <wp:inline distT="0" distB="0" distL="0" distR="0">
            <wp:extent cx="5753735" cy="2519045"/>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494" w:name="_Ref525743383"/>
      <w:bookmarkStart w:id="495" w:name="_Toc526433908"/>
      <w:bookmarkStart w:id="496" w:name="_Toc526435850"/>
      <w:bookmarkStart w:id="497" w:name="_Toc527544731"/>
      <w:bookmarkStart w:id="498" w:name="_Toc530741766"/>
      <w:r>
        <w:t xml:space="preserve">Figure </w:t>
      </w:r>
      <w:r>
        <w:fldChar w:fldCharType="begin"/>
      </w:r>
      <w:r>
        <w:instrText xml:space="preserve"> SEQ Figure \* ARABIC </w:instrText>
      </w:r>
      <w:r>
        <w:fldChar w:fldCharType="separate"/>
      </w:r>
      <w:r>
        <w:t>73</w:t>
      </w:r>
      <w:r>
        <w:fldChar w:fldCharType="end"/>
      </w:r>
      <w:bookmarkEnd w:id="494"/>
      <w:r>
        <w:t xml:space="preserve">. </w:t>
      </w:r>
      <w:r>
        <w:rPr>
          <w:rFonts w:eastAsia="Times New Roman"/>
          <w:color w:val="000000"/>
          <w:lang w:eastAsia="en-GB"/>
        </w:rPr>
        <w:t xml:space="preserve">Electricity costs </w:t>
      </w:r>
      <w:r>
        <w:t>of p</w:t>
      </w:r>
      <w:r>
        <w:rPr>
          <w:lang w:eastAsia="en-GB"/>
        </w:rPr>
        <w:t>ackaging glass</w:t>
      </w:r>
      <w:r>
        <w:t xml:space="preserve"> production</w:t>
      </w:r>
      <w:r>
        <w:rPr>
          <w:rFonts w:eastAsia="Times New Roman"/>
          <w:color w:val="000000"/>
          <w:lang w:eastAsia="en-GB"/>
        </w:rPr>
        <w:t xml:space="preserve"> (€/MWh)</w:t>
      </w:r>
      <w:bookmarkEnd w:id="495"/>
      <w:bookmarkEnd w:id="496"/>
      <w:bookmarkEnd w:id="497"/>
      <w:bookmarkEnd w:id="498"/>
    </w:p>
    <w:p>
      <w:pPr>
        <w:keepNext/>
        <w:rPr>
          <w:noProof/>
        </w:rPr>
      </w:pPr>
      <w:r>
        <w:rPr>
          <w:noProof/>
          <w:lang w:eastAsia="en-GB"/>
        </w:rPr>
        <w:drawing>
          <wp:inline distT="0" distB="0" distL="0" distR="0">
            <wp:extent cx="5727700" cy="2494280"/>
            <wp:effectExtent l="0" t="0" r="6350" b="1270"/>
            <wp:docPr id="1449027029" name="Picture 144902702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44"/>
                    <pic:cNvPicPr>
                      <a:picLocks noGrp="1" noRot="1" noChangeAspect="1" noMove="1" noResize="1" noEditPoints="1" noAdjustHandles="1" noChangeArrowheads="1" noChangeShapeType="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7700" cy="249428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499" w:name="_Ref525743645"/>
      <w:bookmarkStart w:id="500" w:name="_Toc526433909"/>
      <w:bookmarkStart w:id="501" w:name="_Toc526435851"/>
      <w:bookmarkStart w:id="502" w:name="_Toc527544732"/>
      <w:bookmarkStart w:id="503" w:name="_Toc530741767"/>
      <w:r>
        <w:t xml:space="preserve">Figure </w:t>
      </w:r>
      <w:r>
        <w:fldChar w:fldCharType="begin"/>
      </w:r>
      <w:r>
        <w:instrText xml:space="preserve"> SEQ Figure \* ARABIC </w:instrText>
      </w:r>
      <w:r>
        <w:fldChar w:fldCharType="separate"/>
      </w:r>
      <w:r>
        <w:t>74</w:t>
      </w:r>
      <w:r>
        <w:fldChar w:fldCharType="end"/>
      </w:r>
      <w:bookmarkEnd w:id="499"/>
      <w:r>
        <w:t xml:space="preserve">. </w:t>
      </w:r>
      <w:r>
        <w:rPr>
          <w:rFonts w:eastAsia="Times New Roman"/>
          <w:color w:val="000000"/>
          <w:lang w:eastAsia="en-GB"/>
        </w:rPr>
        <w:t>Electricity costs</w:t>
      </w:r>
      <w:r>
        <w:t xml:space="preserve"> of p</w:t>
      </w:r>
      <w:r>
        <w:rPr>
          <w:lang w:eastAsia="en-GB"/>
        </w:rPr>
        <w:t>ackaging glass</w:t>
      </w:r>
      <w:r>
        <w:t xml:space="preserve"> production</w:t>
      </w:r>
      <w:r>
        <w:rPr>
          <w:rFonts w:eastAsia="Times New Roman"/>
          <w:color w:val="000000"/>
          <w:lang w:eastAsia="en-GB"/>
        </w:rPr>
        <w:t xml:space="preserve"> (€/tonne)</w:t>
      </w:r>
      <w:bookmarkEnd w:id="500"/>
      <w:bookmarkEnd w:id="501"/>
      <w:bookmarkEnd w:id="502"/>
      <w:bookmarkEnd w:id="503"/>
    </w:p>
    <w:p>
      <w:pPr>
        <w:keepNext/>
        <w:rPr>
          <w:b/>
          <w:noProof/>
        </w:rPr>
      </w:pPr>
      <w:r>
        <w:rPr>
          <w:noProof/>
          <w:lang w:eastAsia="en-GB"/>
        </w:rPr>
        <w:drawing>
          <wp:inline distT="0" distB="0" distL="0" distR="0">
            <wp:extent cx="5727700" cy="2494280"/>
            <wp:effectExtent l="0" t="0" r="6350" b="1270"/>
            <wp:docPr id="1449027030" name="Picture 144902703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45"/>
                    <pic:cNvPicPr>
                      <a:picLocks noGrp="1" noRot="1" noChangeAspect="1" noMove="1" noResize="1" noEditPoints="1" noAdjustHandles="1" noChangeArrowheads="1" noChangeShapeType="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7700" cy="249428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04" w:name="_Ref525743743"/>
      <w:bookmarkStart w:id="505" w:name="_Toc526433910"/>
      <w:bookmarkStart w:id="506" w:name="_Toc526435852"/>
      <w:bookmarkStart w:id="507" w:name="_Toc527544733"/>
      <w:bookmarkStart w:id="508" w:name="_Toc530741768"/>
      <w:r>
        <w:t xml:space="preserve">Figure </w:t>
      </w:r>
      <w:r>
        <w:fldChar w:fldCharType="begin"/>
      </w:r>
      <w:r>
        <w:instrText xml:space="preserve"> SEQ Figure \* ARABIC </w:instrText>
      </w:r>
      <w:r>
        <w:fldChar w:fldCharType="separate"/>
      </w:r>
      <w:r>
        <w:t>75</w:t>
      </w:r>
      <w:r>
        <w:fldChar w:fldCharType="end"/>
      </w:r>
      <w:bookmarkEnd w:id="504"/>
      <w:r>
        <w:t xml:space="preserve">. </w:t>
      </w:r>
      <w:r>
        <w:rPr>
          <w:rFonts w:eastAsia="Times New Roman"/>
          <w:color w:val="000000"/>
          <w:lang w:eastAsia="en-GB"/>
        </w:rPr>
        <w:t xml:space="preserve">Electricity intensity </w:t>
      </w:r>
      <w:r>
        <w:t>of p</w:t>
      </w:r>
      <w:r>
        <w:rPr>
          <w:lang w:eastAsia="en-GB"/>
        </w:rPr>
        <w:t>ackaging glass</w:t>
      </w:r>
      <w:r>
        <w:t xml:space="preserve"> production</w:t>
      </w:r>
      <w:r>
        <w:rPr>
          <w:rFonts w:eastAsia="Times New Roman"/>
          <w:color w:val="000000"/>
          <w:lang w:eastAsia="en-GB"/>
        </w:rPr>
        <w:t xml:space="preserve"> (MWh/tonne)</w:t>
      </w:r>
      <w:bookmarkEnd w:id="505"/>
      <w:bookmarkEnd w:id="506"/>
      <w:bookmarkEnd w:id="507"/>
      <w:bookmarkEnd w:id="508"/>
    </w:p>
    <w:p>
      <w:pPr>
        <w:keepNext/>
        <w:rPr>
          <w:b/>
          <w:bCs/>
          <w:noProof/>
        </w:rPr>
      </w:pPr>
      <w:r>
        <w:rPr>
          <w:noProof/>
          <w:lang w:eastAsia="en-GB"/>
        </w:rPr>
        <w:drawing>
          <wp:inline distT="0" distB="0" distL="0" distR="0">
            <wp:extent cx="5727700" cy="2494280"/>
            <wp:effectExtent l="0" t="0" r="6350" b="1270"/>
            <wp:docPr id="1449027031" name="Picture 144902703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46"/>
                    <pic:cNvPicPr>
                      <a:picLocks noGrp="1" noRot="1" noChangeAspect="1" noMove="1" noResize="1" noEditPoints="1" noAdjustHandles="1" noChangeArrowheads="1" noChangeShapeType="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7700" cy="249428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509" w:name="_Ref524538478"/>
      <w:bookmarkStart w:id="510" w:name="_Toc526433632"/>
      <w:bookmarkStart w:id="511" w:name="_Toc526435574"/>
      <w:bookmarkStart w:id="512" w:name="_Toc527544802"/>
      <w:bookmarkStart w:id="513" w:name="_Toc530741820"/>
      <w:r>
        <w:t xml:space="preserve">Table </w:t>
      </w:r>
      <w:r>
        <w:fldChar w:fldCharType="begin"/>
      </w:r>
      <w:r>
        <w:instrText xml:space="preserve"> SEQ Table \* ARABIC </w:instrText>
      </w:r>
      <w:r>
        <w:fldChar w:fldCharType="separate"/>
      </w:r>
      <w:r>
        <w:t>27</w:t>
      </w:r>
      <w:r>
        <w:fldChar w:fldCharType="end"/>
      </w:r>
      <w:bookmarkEnd w:id="509"/>
      <w:r>
        <w:t>. Key natural gas indicators of p</w:t>
      </w:r>
      <w:r>
        <w:rPr>
          <w:lang w:eastAsia="en-GB"/>
        </w:rPr>
        <w:t>ackaging glass</w:t>
      </w:r>
      <w:r>
        <w:t xml:space="preserve"> production</w:t>
      </w:r>
      <w:r>
        <w:rPr>
          <w:rFonts w:eastAsia="Times New Roman"/>
          <w:color w:val="000000"/>
          <w:lang w:eastAsia="en-GB"/>
        </w:rPr>
        <w:t xml:space="preserve"> </w:t>
      </w:r>
      <w:r>
        <w:t>(EU averages)</w:t>
      </w:r>
      <w:bookmarkEnd w:id="510"/>
      <w:bookmarkEnd w:id="511"/>
      <w:bookmarkEnd w:id="512"/>
      <w:bookmarkEnd w:id="5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jc w:val="center"/>
        </w:trPr>
        <w:tc>
          <w:tcPr>
            <w:tcW w:w="86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3" w:type="pct"/>
            <w:shd w:val="clear" w:color="auto" w:fill="CEEBE6"/>
            <w:noWrap/>
            <w:vAlign w:val="center"/>
          </w:tcPr>
          <w:p>
            <w:pPr>
              <w:spacing w:before="60" w:after="60"/>
              <w:jc w:val="center"/>
              <w:rPr>
                <w:bCs/>
                <w:noProof/>
                <w:color w:val="000000"/>
                <w:sz w:val="20"/>
                <w:szCs w:val="16"/>
              </w:rPr>
            </w:pPr>
            <w:r>
              <w:rPr>
                <w:bCs/>
                <w:noProof/>
                <w:color w:val="000000"/>
                <w:sz w:val="20"/>
                <w:szCs w:val="16"/>
              </w:rPr>
              <w:t>27.8</w:t>
            </w:r>
          </w:p>
        </w:tc>
        <w:tc>
          <w:tcPr>
            <w:tcW w:w="435" w:type="pct"/>
            <w:shd w:val="clear" w:color="auto" w:fill="CEEBE6"/>
            <w:noWrap/>
            <w:vAlign w:val="center"/>
          </w:tcPr>
          <w:p>
            <w:pPr>
              <w:spacing w:before="60" w:after="60"/>
              <w:jc w:val="center"/>
              <w:rPr>
                <w:bCs/>
                <w:noProof/>
                <w:color w:val="000000"/>
                <w:sz w:val="20"/>
                <w:szCs w:val="16"/>
              </w:rPr>
            </w:pPr>
            <w:r>
              <w:rPr>
                <w:bCs/>
                <w:noProof/>
                <w:color w:val="000000"/>
                <w:sz w:val="20"/>
                <w:szCs w:val="16"/>
              </w:rPr>
              <w:t>26.3</w:t>
            </w:r>
          </w:p>
        </w:tc>
        <w:tc>
          <w:tcPr>
            <w:tcW w:w="413" w:type="pct"/>
            <w:shd w:val="clear" w:color="auto" w:fill="CEEBE6"/>
            <w:noWrap/>
            <w:vAlign w:val="center"/>
          </w:tcPr>
          <w:p>
            <w:pPr>
              <w:spacing w:before="60" w:after="60"/>
              <w:jc w:val="center"/>
              <w:rPr>
                <w:bCs/>
                <w:noProof/>
                <w:color w:val="000000"/>
                <w:sz w:val="20"/>
                <w:szCs w:val="16"/>
              </w:rPr>
            </w:pPr>
            <w:r>
              <w:rPr>
                <w:bCs/>
                <w:noProof/>
                <w:color w:val="000000"/>
                <w:sz w:val="20"/>
                <w:szCs w:val="16"/>
              </w:rPr>
              <w:t>25.1</w:t>
            </w:r>
          </w:p>
        </w:tc>
        <w:tc>
          <w:tcPr>
            <w:tcW w:w="415" w:type="pct"/>
            <w:shd w:val="clear" w:color="auto" w:fill="CEEBE6"/>
            <w:noWrap/>
            <w:vAlign w:val="center"/>
          </w:tcPr>
          <w:p>
            <w:pPr>
              <w:spacing w:before="60" w:after="60"/>
              <w:jc w:val="center"/>
              <w:rPr>
                <w:bCs/>
                <w:noProof/>
                <w:color w:val="000000"/>
                <w:sz w:val="20"/>
                <w:szCs w:val="16"/>
              </w:rPr>
            </w:pPr>
            <w:r>
              <w:rPr>
                <w:bCs/>
                <w:noProof/>
                <w:color w:val="000000"/>
                <w:sz w:val="20"/>
                <w:szCs w:val="16"/>
              </w:rPr>
              <w:t>26.9</w:t>
            </w:r>
          </w:p>
        </w:tc>
        <w:tc>
          <w:tcPr>
            <w:tcW w:w="414" w:type="pct"/>
            <w:shd w:val="clear" w:color="auto" w:fill="CEEBE6"/>
            <w:noWrap/>
            <w:vAlign w:val="center"/>
          </w:tcPr>
          <w:p>
            <w:pPr>
              <w:spacing w:before="60" w:after="60"/>
              <w:jc w:val="center"/>
              <w:rPr>
                <w:bCs/>
                <w:noProof/>
                <w:color w:val="000000"/>
                <w:sz w:val="20"/>
                <w:szCs w:val="16"/>
              </w:rPr>
            </w:pPr>
            <w:r>
              <w:rPr>
                <w:bCs/>
                <w:noProof/>
                <w:color w:val="000000"/>
                <w:sz w:val="20"/>
                <w:szCs w:val="16"/>
              </w:rPr>
              <w:t>31.5</w:t>
            </w:r>
          </w:p>
        </w:tc>
        <w:tc>
          <w:tcPr>
            <w:tcW w:w="413" w:type="pct"/>
            <w:shd w:val="clear" w:color="auto" w:fill="CEEBE6"/>
            <w:noWrap/>
            <w:vAlign w:val="center"/>
          </w:tcPr>
          <w:p>
            <w:pPr>
              <w:spacing w:before="60" w:after="60"/>
              <w:jc w:val="center"/>
              <w:rPr>
                <w:bCs/>
                <w:noProof/>
                <w:color w:val="000000"/>
                <w:sz w:val="20"/>
                <w:szCs w:val="16"/>
              </w:rPr>
            </w:pPr>
            <w:r>
              <w:rPr>
                <w:bCs/>
                <w:noProof/>
                <w:color w:val="000000"/>
                <w:sz w:val="20"/>
                <w:szCs w:val="16"/>
              </w:rPr>
              <w:t>31.3</w:t>
            </w:r>
          </w:p>
        </w:tc>
        <w:tc>
          <w:tcPr>
            <w:tcW w:w="414" w:type="pct"/>
            <w:shd w:val="clear" w:color="auto" w:fill="CEEBE6"/>
            <w:noWrap/>
            <w:vAlign w:val="center"/>
          </w:tcPr>
          <w:p>
            <w:pPr>
              <w:spacing w:before="60" w:after="60"/>
              <w:jc w:val="center"/>
              <w:rPr>
                <w:bCs/>
                <w:noProof/>
                <w:color w:val="000000"/>
                <w:sz w:val="20"/>
                <w:szCs w:val="16"/>
              </w:rPr>
            </w:pPr>
            <w:r>
              <w:rPr>
                <w:bCs/>
                <w:noProof/>
                <w:color w:val="000000"/>
                <w:sz w:val="20"/>
                <w:szCs w:val="16"/>
              </w:rPr>
              <w:t>30.1</w:t>
            </w:r>
          </w:p>
        </w:tc>
        <w:tc>
          <w:tcPr>
            <w:tcW w:w="413" w:type="pct"/>
            <w:shd w:val="clear" w:color="auto" w:fill="CEEBE6"/>
            <w:noWrap/>
            <w:vAlign w:val="center"/>
          </w:tcPr>
          <w:p>
            <w:pPr>
              <w:spacing w:before="60" w:after="60"/>
              <w:jc w:val="center"/>
              <w:rPr>
                <w:bCs/>
                <w:noProof/>
                <w:color w:val="000000"/>
                <w:sz w:val="20"/>
                <w:szCs w:val="16"/>
              </w:rPr>
            </w:pPr>
            <w:r>
              <w:rPr>
                <w:bCs/>
                <w:noProof/>
                <w:color w:val="000000"/>
                <w:sz w:val="20"/>
                <w:szCs w:val="16"/>
              </w:rPr>
              <w:t>27.5</w:t>
            </w:r>
          </w:p>
        </w:tc>
        <w:tc>
          <w:tcPr>
            <w:tcW w:w="414" w:type="pct"/>
            <w:shd w:val="clear" w:color="auto" w:fill="CEEBE6"/>
            <w:noWrap/>
            <w:vAlign w:val="center"/>
          </w:tcPr>
          <w:p>
            <w:pPr>
              <w:spacing w:before="60" w:after="60"/>
              <w:jc w:val="center"/>
              <w:rPr>
                <w:bCs/>
                <w:noProof/>
                <w:color w:val="000000"/>
                <w:sz w:val="20"/>
                <w:szCs w:val="16"/>
              </w:rPr>
            </w:pPr>
            <w:r>
              <w:rPr>
                <w:bCs/>
                <w:noProof/>
                <w:color w:val="000000"/>
                <w:sz w:val="20"/>
                <w:szCs w:val="16"/>
              </w:rPr>
              <w:t>22.3</w:t>
            </w:r>
          </w:p>
        </w:tc>
        <w:tc>
          <w:tcPr>
            <w:tcW w:w="414" w:type="pct"/>
            <w:shd w:val="clear" w:color="auto" w:fill="CEEBE6"/>
            <w:noWrap/>
            <w:vAlign w:val="center"/>
          </w:tcPr>
          <w:p>
            <w:pPr>
              <w:spacing w:before="60" w:after="60"/>
              <w:jc w:val="center"/>
              <w:rPr>
                <w:bCs/>
                <w:noProof/>
                <w:color w:val="000000"/>
                <w:sz w:val="20"/>
                <w:szCs w:val="16"/>
              </w:rPr>
            </w:pPr>
            <w:r>
              <w:rPr>
                <w:bCs/>
                <w:noProof/>
                <w:color w:val="000000"/>
                <w:sz w:val="20"/>
                <w:szCs w:val="16"/>
              </w:rPr>
              <w:t>21.2</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3"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50.0</w:t>
            </w:r>
          </w:p>
        </w:tc>
        <w:tc>
          <w:tcPr>
            <w:tcW w:w="435"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47.4</w:t>
            </w:r>
          </w:p>
        </w:tc>
        <w:tc>
          <w:tcPr>
            <w:tcW w:w="413"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44.1</w:t>
            </w:r>
          </w:p>
        </w:tc>
        <w:tc>
          <w:tcPr>
            <w:tcW w:w="415"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46.2</w:t>
            </w:r>
          </w:p>
        </w:tc>
        <w:tc>
          <w:tcPr>
            <w:tcW w:w="414"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52.2</w:t>
            </w:r>
          </w:p>
        </w:tc>
        <w:tc>
          <w:tcPr>
            <w:tcW w:w="413"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52.5</w:t>
            </w:r>
          </w:p>
        </w:tc>
        <w:tc>
          <w:tcPr>
            <w:tcW w:w="414"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50.7</w:t>
            </w:r>
          </w:p>
        </w:tc>
        <w:tc>
          <w:tcPr>
            <w:tcW w:w="413"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45.9</w:t>
            </w:r>
          </w:p>
        </w:tc>
        <w:tc>
          <w:tcPr>
            <w:tcW w:w="414"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36.1</w:t>
            </w:r>
          </w:p>
        </w:tc>
        <w:tc>
          <w:tcPr>
            <w:tcW w:w="414" w:type="pct"/>
            <w:shd w:val="clear" w:color="auto" w:fill="auto"/>
            <w:noWrap/>
            <w:vAlign w:val="center"/>
            <w:hideMark/>
          </w:tcPr>
          <w:p>
            <w:pPr>
              <w:spacing w:before="60" w:after="60"/>
              <w:jc w:val="center"/>
              <w:rPr>
                <w:rFonts w:cs="Calibri"/>
                <w:bCs/>
                <w:noProof/>
                <w:color w:val="000000"/>
                <w:sz w:val="20"/>
                <w:szCs w:val="16"/>
              </w:rPr>
            </w:pPr>
            <w:r>
              <w:rPr>
                <w:bCs/>
                <w:noProof/>
                <w:color w:val="000000"/>
                <w:sz w:val="20"/>
                <w:szCs w:val="16"/>
              </w:rPr>
              <w:t>35.2</w:t>
            </w:r>
          </w:p>
        </w:tc>
      </w:tr>
      <w:tr>
        <w:trPr>
          <w:trHeight w:val="244"/>
          <w:jc w:val="center"/>
        </w:trPr>
        <w:tc>
          <w:tcPr>
            <w:tcW w:w="862" w:type="pct"/>
            <w:shd w:val="clear" w:color="auto" w:fill="CEEBE6"/>
            <w:noWrap/>
            <w:vAlign w:val="center"/>
          </w:tcPr>
          <w:p>
            <w:pPr>
              <w:keepNext/>
              <w:spacing w:before="60" w:after="60"/>
              <w:jc w:val="left"/>
              <w:rPr>
                <w:b/>
                <w:bCs/>
                <w:noProof/>
                <w:sz w:val="20"/>
                <w:szCs w:val="16"/>
              </w:rPr>
            </w:pPr>
            <w:r>
              <w:rPr>
                <w:bCs/>
                <w:noProof/>
                <w:sz w:val="20"/>
                <w:szCs w:val="16"/>
              </w:rPr>
              <w:t>Natural gas intensity (MWh/tonne)</w:t>
            </w:r>
          </w:p>
        </w:tc>
        <w:tc>
          <w:tcPr>
            <w:tcW w:w="393"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1.8</w:t>
            </w:r>
          </w:p>
        </w:tc>
        <w:tc>
          <w:tcPr>
            <w:tcW w:w="435"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1.8</w:t>
            </w:r>
          </w:p>
        </w:tc>
        <w:tc>
          <w:tcPr>
            <w:tcW w:w="413"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1.8</w:t>
            </w:r>
          </w:p>
        </w:tc>
        <w:tc>
          <w:tcPr>
            <w:tcW w:w="415"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1.7</w:t>
            </w:r>
          </w:p>
        </w:tc>
        <w:tc>
          <w:tcPr>
            <w:tcW w:w="414"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1.7</w:t>
            </w:r>
          </w:p>
        </w:tc>
        <w:tc>
          <w:tcPr>
            <w:tcW w:w="413"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1.7</w:t>
            </w:r>
          </w:p>
        </w:tc>
        <w:tc>
          <w:tcPr>
            <w:tcW w:w="414"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1.7</w:t>
            </w:r>
          </w:p>
        </w:tc>
        <w:tc>
          <w:tcPr>
            <w:tcW w:w="413"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1.7</w:t>
            </w:r>
          </w:p>
        </w:tc>
        <w:tc>
          <w:tcPr>
            <w:tcW w:w="414"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1.6</w:t>
            </w:r>
          </w:p>
        </w:tc>
        <w:tc>
          <w:tcPr>
            <w:tcW w:w="414" w:type="pct"/>
            <w:shd w:val="clear" w:color="auto" w:fill="CEEBE6"/>
            <w:noWrap/>
            <w:vAlign w:val="center"/>
          </w:tcPr>
          <w:p>
            <w:pPr>
              <w:spacing w:before="60" w:after="60"/>
              <w:jc w:val="center"/>
              <w:rPr>
                <w:rFonts w:cs="Calibri"/>
                <w:bCs/>
                <w:noProof/>
                <w:color w:val="000000"/>
                <w:sz w:val="20"/>
                <w:szCs w:val="16"/>
              </w:rPr>
            </w:pPr>
            <w:r>
              <w:rPr>
                <w:bCs/>
                <w:noProof/>
                <w:color w:val="000000"/>
                <w:sz w:val="20"/>
                <w:szCs w:val="16"/>
              </w:rPr>
              <w:t>1.7</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514" w:name="_Ref525745369"/>
      <w:bookmarkStart w:id="515" w:name="_Toc526433911"/>
      <w:bookmarkStart w:id="516" w:name="_Toc526435853"/>
      <w:bookmarkStart w:id="517" w:name="_Toc527544734"/>
      <w:bookmarkStart w:id="518" w:name="_Toc530741769"/>
      <w:r>
        <w:t xml:space="preserve">Figure </w:t>
      </w:r>
      <w:r>
        <w:fldChar w:fldCharType="begin"/>
      </w:r>
      <w:r>
        <w:instrText xml:space="preserve"> SEQ Figure \* ARABIC </w:instrText>
      </w:r>
      <w:r>
        <w:fldChar w:fldCharType="separate"/>
      </w:r>
      <w:r>
        <w:t>76</w:t>
      </w:r>
      <w:r>
        <w:fldChar w:fldCharType="end"/>
      </w:r>
      <w:bookmarkEnd w:id="514"/>
      <w:r>
        <w:t xml:space="preserve">. </w:t>
      </w:r>
      <w:r>
        <w:rPr>
          <w:rFonts w:eastAsia="Times New Roman"/>
          <w:color w:val="000000"/>
          <w:lang w:eastAsia="en-GB"/>
        </w:rPr>
        <w:t>Natural gas prices</w:t>
      </w:r>
      <w:r>
        <w:t xml:space="preserve"> of p</w:t>
      </w:r>
      <w:r>
        <w:rPr>
          <w:lang w:eastAsia="en-GB"/>
        </w:rPr>
        <w:t>ackaging glass</w:t>
      </w:r>
      <w:r>
        <w:t xml:space="preserve"> production</w:t>
      </w:r>
      <w:r>
        <w:rPr>
          <w:rFonts w:eastAsia="Times New Roman"/>
          <w:color w:val="000000"/>
          <w:lang w:eastAsia="en-GB"/>
        </w:rPr>
        <w:t xml:space="preserve"> (€/MWh)</w:t>
      </w:r>
      <w:bookmarkEnd w:id="515"/>
      <w:bookmarkEnd w:id="516"/>
      <w:bookmarkEnd w:id="517"/>
      <w:bookmarkEnd w:id="518"/>
    </w:p>
    <w:p>
      <w:pPr>
        <w:keepNext/>
        <w:rPr>
          <w:b/>
          <w:bCs/>
          <w:noProof/>
        </w:rPr>
      </w:pPr>
      <w:r>
        <w:rPr>
          <w:noProof/>
          <w:lang w:eastAsia="en-GB"/>
        </w:rPr>
        <w:drawing>
          <wp:inline distT="0" distB="0" distL="0" distR="0">
            <wp:extent cx="5727700" cy="2494280"/>
            <wp:effectExtent l="0" t="0" r="6350" b="1270"/>
            <wp:docPr id="1449027032" name="Picture 144902703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47"/>
                    <pic:cNvPicPr>
                      <a:picLocks noGrp="1" noRot="1" noChangeAspect="1" noMove="1" noResize="1" noEditPoints="1" noAdjustHandles="1" noChangeArrowheads="1" noChangeShapeType="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7700" cy="249428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19" w:name="_Ref529458765"/>
      <w:bookmarkStart w:id="520" w:name="_Toc530741770"/>
      <w:r>
        <w:t xml:space="preserve">Figure </w:t>
      </w:r>
      <w:r>
        <w:fldChar w:fldCharType="begin"/>
      </w:r>
      <w:r>
        <w:instrText xml:space="preserve"> SEQ Figure \* ARABIC </w:instrText>
      </w:r>
      <w:r>
        <w:fldChar w:fldCharType="separate"/>
      </w:r>
      <w:r>
        <w:t>77</w:t>
      </w:r>
      <w:r>
        <w:fldChar w:fldCharType="end"/>
      </w:r>
      <w:bookmarkEnd w:id="519"/>
      <w:r>
        <w:t>. Components of the EU average natural gas price for p</w:t>
      </w:r>
      <w:r>
        <w:rPr>
          <w:lang w:eastAsia="en-GB"/>
        </w:rPr>
        <w:t>ackaging glass</w:t>
      </w:r>
      <w:r>
        <w:t xml:space="preserve"> production (%)</w:t>
      </w:r>
      <w:bookmarkEnd w:id="520"/>
    </w:p>
    <w:p>
      <w:pPr>
        <w:keepNext/>
        <w:rPr>
          <w:noProof/>
        </w:rPr>
      </w:pPr>
      <w:r>
        <w:rPr>
          <w:noProof/>
          <w:lang w:eastAsia="en-GB"/>
        </w:rPr>
        <w:drawing>
          <wp:inline distT="0" distB="0" distL="0" distR="0">
            <wp:extent cx="5753735" cy="251904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521" w:name="_Ref525745599"/>
      <w:bookmarkStart w:id="522" w:name="_Toc526433912"/>
      <w:bookmarkStart w:id="523" w:name="_Toc526435854"/>
      <w:bookmarkStart w:id="524" w:name="_Toc527544735"/>
      <w:bookmarkStart w:id="525" w:name="_Toc530741771"/>
      <w:r>
        <w:t xml:space="preserve">Figure </w:t>
      </w:r>
      <w:r>
        <w:fldChar w:fldCharType="begin"/>
      </w:r>
      <w:r>
        <w:instrText xml:space="preserve"> SEQ Figure \* ARABIC </w:instrText>
      </w:r>
      <w:r>
        <w:fldChar w:fldCharType="separate"/>
      </w:r>
      <w:r>
        <w:t>78</w:t>
      </w:r>
      <w:r>
        <w:fldChar w:fldCharType="end"/>
      </w:r>
      <w:bookmarkEnd w:id="521"/>
      <w:r>
        <w:t xml:space="preserve">. </w:t>
      </w:r>
      <w:r>
        <w:rPr>
          <w:rFonts w:eastAsia="Times New Roman"/>
          <w:color w:val="000000"/>
          <w:lang w:eastAsia="en-GB"/>
        </w:rPr>
        <w:t>Natural gas costs</w:t>
      </w:r>
      <w:r>
        <w:t xml:space="preserve"> of p</w:t>
      </w:r>
      <w:r>
        <w:rPr>
          <w:lang w:eastAsia="en-GB"/>
        </w:rPr>
        <w:t>ackaging glass</w:t>
      </w:r>
      <w:r>
        <w:t xml:space="preserve"> production</w:t>
      </w:r>
      <w:r>
        <w:rPr>
          <w:rFonts w:eastAsia="Times New Roman"/>
          <w:color w:val="000000"/>
          <w:lang w:eastAsia="en-GB"/>
        </w:rPr>
        <w:t xml:space="preserve"> (€/tonne)</w:t>
      </w:r>
      <w:bookmarkEnd w:id="522"/>
      <w:bookmarkEnd w:id="523"/>
      <w:bookmarkEnd w:id="524"/>
      <w:bookmarkEnd w:id="525"/>
    </w:p>
    <w:p>
      <w:pPr>
        <w:keepNext/>
        <w:rPr>
          <w:noProof/>
          <w:lang w:eastAsia="de-DE"/>
        </w:rPr>
      </w:pPr>
      <w:r>
        <w:rPr>
          <w:noProof/>
          <w:lang w:eastAsia="en-GB"/>
        </w:rPr>
        <w:drawing>
          <wp:inline distT="0" distB="0" distL="0" distR="0">
            <wp:extent cx="5727700" cy="2494280"/>
            <wp:effectExtent l="0" t="0" r="6350" b="1270"/>
            <wp:docPr id="1449026480" name="Picture 144902648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50"/>
                    <pic:cNvPicPr>
                      <a:picLocks noGrp="1" noRot="1" noChangeAspect="1" noMove="1" noResize="1" noEditPoints="1" noAdjustHandles="1" noChangeArrowheads="1" noChangeShapeType="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7700" cy="249428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26" w:name="_Ref525745657"/>
      <w:bookmarkStart w:id="527" w:name="_Toc526433913"/>
      <w:bookmarkStart w:id="528" w:name="_Toc526435855"/>
      <w:bookmarkStart w:id="529" w:name="_Toc527544736"/>
      <w:bookmarkStart w:id="530" w:name="_Toc530741772"/>
      <w:r>
        <w:t xml:space="preserve">Figure </w:t>
      </w:r>
      <w:r>
        <w:fldChar w:fldCharType="begin"/>
      </w:r>
      <w:r>
        <w:instrText xml:space="preserve"> SEQ Figure \* ARABIC </w:instrText>
      </w:r>
      <w:r>
        <w:fldChar w:fldCharType="separate"/>
      </w:r>
      <w:r>
        <w:t>79</w:t>
      </w:r>
      <w:r>
        <w:fldChar w:fldCharType="end"/>
      </w:r>
      <w:bookmarkEnd w:id="526"/>
      <w:r>
        <w:t xml:space="preserve">. </w:t>
      </w:r>
      <w:r>
        <w:rPr>
          <w:rFonts w:eastAsia="Times New Roman"/>
          <w:color w:val="000000"/>
          <w:lang w:eastAsia="en-GB"/>
        </w:rPr>
        <w:t xml:space="preserve">Natural gas intensity </w:t>
      </w:r>
      <w:r>
        <w:t>of p</w:t>
      </w:r>
      <w:r>
        <w:rPr>
          <w:lang w:eastAsia="en-GB"/>
        </w:rPr>
        <w:t>ackaging glass</w:t>
      </w:r>
      <w:r>
        <w:t xml:space="preserve"> production</w:t>
      </w:r>
      <w:r>
        <w:rPr>
          <w:rFonts w:eastAsia="Times New Roman"/>
          <w:color w:val="000000"/>
          <w:lang w:eastAsia="en-GB"/>
        </w:rPr>
        <w:t xml:space="preserve"> (MWh/tonne)</w:t>
      </w:r>
      <w:bookmarkEnd w:id="527"/>
      <w:bookmarkEnd w:id="528"/>
      <w:bookmarkEnd w:id="529"/>
      <w:bookmarkEnd w:id="530"/>
    </w:p>
    <w:p>
      <w:pPr>
        <w:keepNext/>
        <w:rPr>
          <w:b/>
          <w:bCs/>
          <w:noProof/>
          <w:lang w:eastAsia="it-IT"/>
        </w:rPr>
      </w:pPr>
      <w:r>
        <w:rPr>
          <w:noProof/>
          <w:lang w:eastAsia="en-GB"/>
        </w:rPr>
        <w:drawing>
          <wp:inline distT="0" distB="0" distL="0" distR="0">
            <wp:extent cx="5727700" cy="2494280"/>
            <wp:effectExtent l="0" t="0" r="6350" b="1270"/>
            <wp:docPr id="1449027033" name="Picture 1449027033"/>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51"/>
                    <pic:cNvPicPr>
                      <a:picLocks noGrp="1" noRot="1" noChangeAspect="1" noMove="1" noResize="1" noEditPoints="1" noAdjustHandles="1" noChangeArrowheads="1" noChangeShapeType="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7700" cy="249428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spacing w:after="0"/>
        <w:jc w:val="left"/>
        <w:rPr>
          <w:rFonts w:eastAsia="Times New Roman"/>
          <w:b/>
          <w:bCs/>
          <w:i/>
          <w:noProof/>
          <w:color w:val="000000"/>
          <w:szCs w:val="24"/>
          <w:lang w:eastAsia="en-GB"/>
        </w:rPr>
      </w:pPr>
      <w:r>
        <w:rPr>
          <w:rFonts w:eastAsia="Times New Roman"/>
          <w:b/>
          <w:bCs/>
          <w:i/>
          <w:noProof/>
          <w:color w:val="000000"/>
          <w:szCs w:val="24"/>
          <w:lang w:eastAsia="en-GB"/>
        </w:rPr>
        <w:br w:type="page"/>
      </w: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531" w:name="_Ref524538485"/>
      <w:bookmarkStart w:id="532" w:name="_Toc526433633"/>
      <w:bookmarkStart w:id="533" w:name="_Toc526435575"/>
      <w:bookmarkStart w:id="534" w:name="_Toc527544803"/>
      <w:bookmarkStart w:id="535" w:name="_Toc530741821"/>
      <w:r>
        <w:t xml:space="preserve">Table </w:t>
      </w:r>
      <w:r>
        <w:fldChar w:fldCharType="begin"/>
      </w:r>
      <w:r>
        <w:instrText xml:space="preserve"> SEQ Table \* ARABIC </w:instrText>
      </w:r>
      <w:r>
        <w:fldChar w:fldCharType="separate"/>
      </w:r>
      <w:r>
        <w:t>28</w:t>
      </w:r>
      <w:r>
        <w:fldChar w:fldCharType="end"/>
      </w:r>
      <w:bookmarkEnd w:id="531"/>
      <w:r>
        <w:t>. Key competitiveness indicators of p</w:t>
      </w:r>
      <w:r>
        <w:rPr>
          <w:lang w:eastAsia="en-GB"/>
        </w:rPr>
        <w:t>ackaging glass</w:t>
      </w:r>
      <w:r>
        <w:t xml:space="preserve"> production</w:t>
      </w:r>
      <w:r>
        <w:rPr>
          <w:rFonts w:eastAsia="Times New Roman"/>
          <w:color w:val="000000"/>
          <w:lang w:eastAsia="en-GB"/>
        </w:rPr>
        <w:t xml:space="preserve"> </w:t>
      </w:r>
      <w:r>
        <w:t>(EU averages)</w:t>
      </w:r>
      <w:bookmarkEnd w:id="532"/>
      <w:bookmarkEnd w:id="533"/>
      <w:bookmarkEnd w:id="534"/>
      <w:bookmarkEnd w:id="535"/>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53"/>
        <w:gridCol w:w="753"/>
        <w:gridCol w:w="751"/>
        <w:gridCol w:w="751"/>
        <w:gridCol w:w="751"/>
        <w:gridCol w:w="751"/>
        <w:gridCol w:w="751"/>
        <w:gridCol w:w="751"/>
        <w:gridCol w:w="751"/>
        <w:gridCol w:w="749"/>
      </w:tblGrid>
      <w:tr>
        <w:trPr>
          <w:trHeight w:val="244"/>
          <w:tblHeader/>
          <w:jc w:val="center"/>
        </w:trPr>
        <w:tc>
          <w:tcPr>
            <w:tcW w:w="979"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0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8.3</w:t>
            </w:r>
          </w:p>
        </w:tc>
        <w:tc>
          <w:tcPr>
            <w:tcW w:w="403" w:type="pct"/>
            <w:shd w:val="clear" w:color="auto" w:fill="CEEBE6"/>
            <w:noWrap/>
            <w:vAlign w:val="center"/>
          </w:tcPr>
          <w:p>
            <w:pPr>
              <w:spacing w:before="60" w:after="60"/>
              <w:jc w:val="center"/>
              <w:rPr>
                <w:noProof/>
                <w:sz w:val="20"/>
                <w:szCs w:val="16"/>
              </w:rPr>
            </w:pPr>
            <w:r>
              <w:rPr>
                <w:noProof/>
                <w:sz w:val="20"/>
                <w:szCs w:val="16"/>
              </w:rPr>
              <w:t>8.7</w:t>
            </w:r>
          </w:p>
        </w:tc>
        <w:tc>
          <w:tcPr>
            <w:tcW w:w="402" w:type="pct"/>
            <w:shd w:val="clear" w:color="auto" w:fill="CEEBE6"/>
            <w:noWrap/>
            <w:vAlign w:val="center"/>
          </w:tcPr>
          <w:p>
            <w:pPr>
              <w:spacing w:before="60" w:after="60"/>
              <w:jc w:val="center"/>
              <w:rPr>
                <w:noProof/>
                <w:sz w:val="20"/>
                <w:szCs w:val="16"/>
              </w:rPr>
            </w:pPr>
            <w:r>
              <w:rPr>
                <w:noProof/>
                <w:sz w:val="20"/>
                <w:szCs w:val="16"/>
              </w:rPr>
              <w:t>8.8</w:t>
            </w:r>
          </w:p>
        </w:tc>
        <w:tc>
          <w:tcPr>
            <w:tcW w:w="402" w:type="pct"/>
            <w:shd w:val="clear" w:color="auto" w:fill="CEEBE6"/>
            <w:noWrap/>
            <w:vAlign w:val="center"/>
          </w:tcPr>
          <w:p>
            <w:pPr>
              <w:spacing w:before="60" w:after="60"/>
              <w:jc w:val="center"/>
              <w:rPr>
                <w:noProof/>
                <w:sz w:val="20"/>
                <w:szCs w:val="16"/>
              </w:rPr>
            </w:pPr>
            <w:r>
              <w:rPr>
                <w:noProof/>
                <w:sz w:val="20"/>
                <w:szCs w:val="16"/>
              </w:rPr>
              <w:t>8.2</w:t>
            </w:r>
          </w:p>
        </w:tc>
        <w:tc>
          <w:tcPr>
            <w:tcW w:w="402" w:type="pct"/>
            <w:shd w:val="clear" w:color="auto" w:fill="CEEBE6"/>
            <w:noWrap/>
            <w:vAlign w:val="center"/>
          </w:tcPr>
          <w:p>
            <w:pPr>
              <w:spacing w:before="60" w:after="60"/>
              <w:jc w:val="center"/>
              <w:rPr>
                <w:noProof/>
                <w:sz w:val="20"/>
                <w:szCs w:val="16"/>
              </w:rPr>
            </w:pPr>
            <w:r>
              <w:rPr>
                <w:noProof/>
                <w:sz w:val="20"/>
                <w:szCs w:val="16"/>
              </w:rPr>
              <w:t>8.3</w:t>
            </w:r>
          </w:p>
        </w:tc>
        <w:tc>
          <w:tcPr>
            <w:tcW w:w="402" w:type="pct"/>
            <w:shd w:val="clear" w:color="auto" w:fill="CEEBE6"/>
            <w:noWrap/>
            <w:vAlign w:val="center"/>
          </w:tcPr>
          <w:p>
            <w:pPr>
              <w:spacing w:before="60" w:after="60"/>
              <w:jc w:val="center"/>
              <w:rPr>
                <w:noProof/>
                <w:sz w:val="20"/>
                <w:szCs w:val="16"/>
              </w:rPr>
            </w:pPr>
            <w:r>
              <w:rPr>
                <w:noProof/>
                <w:sz w:val="20"/>
                <w:szCs w:val="16"/>
              </w:rPr>
              <w:t>7.9</w:t>
            </w:r>
          </w:p>
        </w:tc>
        <w:tc>
          <w:tcPr>
            <w:tcW w:w="402" w:type="pct"/>
            <w:shd w:val="clear" w:color="auto" w:fill="CEEBE6"/>
            <w:noWrap/>
            <w:vAlign w:val="center"/>
          </w:tcPr>
          <w:p>
            <w:pPr>
              <w:spacing w:before="60" w:after="60"/>
              <w:jc w:val="center"/>
              <w:rPr>
                <w:noProof/>
                <w:sz w:val="20"/>
                <w:szCs w:val="16"/>
              </w:rPr>
            </w:pPr>
            <w:r>
              <w:rPr>
                <w:noProof/>
                <w:sz w:val="20"/>
                <w:szCs w:val="16"/>
              </w:rPr>
              <w:t>7.4</w:t>
            </w:r>
          </w:p>
        </w:tc>
        <w:tc>
          <w:tcPr>
            <w:tcW w:w="402" w:type="pct"/>
            <w:shd w:val="clear" w:color="auto" w:fill="CEEBE6"/>
            <w:noWrap/>
            <w:vAlign w:val="center"/>
          </w:tcPr>
          <w:p>
            <w:pPr>
              <w:spacing w:before="60" w:after="60"/>
              <w:jc w:val="center"/>
              <w:rPr>
                <w:noProof/>
                <w:sz w:val="20"/>
                <w:szCs w:val="16"/>
              </w:rPr>
            </w:pPr>
            <w:r>
              <w:rPr>
                <w:noProof/>
                <w:sz w:val="20"/>
                <w:szCs w:val="16"/>
              </w:rPr>
              <w:t>7.9</w:t>
            </w:r>
          </w:p>
        </w:tc>
        <w:tc>
          <w:tcPr>
            <w:tcW w:w="402" w:type="pct"/>
            <w:shd w:val="clear" w:color="auto" w:fill="CEEBE6"/>
            <w:noWrap/>
            <w:vAlign w:val="center"/>
          </w:tcPr>
          <w:p>
            <w:pPr>
              <w:spacing w:before="60" w:after="60"/>
              <w:jc w:val="center"/>
              <w:rPr>
                <w:noProof/>
                <w:sz w:val="20"/>
                <w:szCs w:val="16"/>
              </w:rPr>
            </w:pPr>
            <w:r>
              <w:rPr>
                <w:noProof/>
                <w:sz w:val="20"/>
                <w:szCs w:val="16"/>
              </w:rPr>
              <w:t>7.5</w:t>
            </w:r>
          </w:p>
        </w:tc>
        <w:tc>
          <w:tcPr>
            <w:tcW w:w="401" w:type="pct"/>
            <w:shd w:val="clear" w:color="auto" w:fill="CEEBE6"/>
            <w:noWrap/>
            <w:vAlign w:val="center"/>
          </w:tcPr>
          <w:p>
            <w:pPr>
              <w:spacing w:before="60" w:after="60"/>
              <w:jc w:val="center"/>
              <w:rPr>
                <w:noProof/>
                <w:sz w:val="20"/>
                <w:szCs w:val="16"/>
              </w:rPr>
            </w:pPr>
            <w:r>
              <w:rPr>
                <w:noProof/>
                <w:sz w:val="20"/>
                <w:szCs w:val="16"/>
              </w:rPr>
              <w:t>6.6</w:t>
            </w:r>
          </w:p>
        </w:tc>
      </w:tr>
      <w:tr>
        <w:trPr>
          <w:trHeight w:val="244"/>
          <w:jc w:val="center"/>
        </w:trPr>
        <w:tc>
          <w:tcPr>
            <w:tcW w:w="979"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03" w:type="pct"/>
            <w:shd w:val="clear" w:color="auto" w:fill="auto"/>
            <w:noWrap/>
            <w:vAlign w:val="center"/>
          </w:tcPr>
          <w:p>
            <w:pPr>
              <w:spacing w:before="60" w:after="60"/>
              <w:jc w:val="center"/>
              <w:rPr>
                <w:noProof/>
                <w:sz w:val="20"/>
                <w:szCs w:val="16"/>
              </w:rPr>
            </w:pPr>
            <w:r>
              <w:rPr>
                <w:noProof/>
                <w:sz w:val="20"/>
                <w:szCs w:val="16"/>
              </w:rPr>
              <w:t>17.1</w:t>
            </w:r>
          </w:p>
        </w:tc>
        <w:tc>
          <w:tcPr>
            <w:tcW w:w="403" w:type="pct"/>
            <w:shd w:val="clear" w:color="auto" w:fill="auto"/>
            <w:noWrap/>
            <w:vAlign w:val="center"/>
          </w:tcPr>
          <w:p>
            <w:pPr>
              <w:spacing w:before="60" w:after="60"/>
              <w:jc w:val="center"/>
              <w:rPr>
                <w:noProof/>
                <w:sz w:val="20"/>
                <w:szCs w:val="16"/>
              </w:rPr>
            </w:pPr>
            <w:r>
              <w:rPr>
                <w:noProof/>
                <w:sz w:val="20"/>
                <w:szCs w:val="16"/>
              </w:rPr>
              <w:t>15.9</w:t>
            </w:r>
          </w:p>
        </w:tc>
        <w:tc>
          <w:tcPr>
            <w:tcW w:w="402" w:type="pct"/>
            <w:shd w:val="clear" w:color="auto" w:fill="auto"/>
            <w:noWrap/>
            <w:vAlign w:val="center"/>
          </w:tcPr>
          <w:p>
            <w:pPr>
              <w:spacing w:before="60" w:after="60"/>
              <w:jc w:val="center"/>
              <w:rPr>
                <w:noProof/>
                <w:sz w:val="20"/>
                <w:szCs w:val="16"/>
              </w:rPr>
            </w:pPr>
            <w:r>
              <w:rPr>
                <w:noProof/>
                <w:sz w:val="20"/>
                <w:szCs w:val="16"/>
              </w:rPr>
              <w:t>15.8</w:t>
            </w:r>
          </w:p>
        </w:tc>
        <w:tc>
          <w:tcPr>
            <w:tcW w:w="402" w:type="pct"/>
            <w:shd w:val="clear" w:color="auto" w:fill="auto"/>
            <w:noWrap/>
            <w:vAlign w:val="center"/>
          </w:tcPr>
          <w:p>
            <w:pPr>
              <w:spacing w:before="60" w:after="60"/>
              <w:jc w:val="center"/>
              <w:rPr>
                <w:noProof/>
                <w:sz w:val="20"/>
                <w:szCs w:val="16"/>
              </w:rPr>
            </w:pPr>
            <w:r>
              <w:rPr>
                <w:noProof/>
                <w:sz w:val="20"/>
                <w:szCs w:val="16"/>
              </w:rPr>
              <w:t>15.6</w:t>
            </w:r>
          </w:p>
        </w:tc>
        <w:tc>
          <w:tcPr>
            <w:tcW w:w="402" w:type="pct"/>
            <w:shd w:val="clear" w:color="auto" w:fill="auto"/>
            <w:noWrap/>
            <w:vAlign w:val="center"/>
          </w:tcPr>
          <w:p>
            <w:pPr>
              <w:spacing w:before="60" w:after="60"/>
              <w:jc w:val="center"/>
              <w:rPr>
                <w:noProof/>
                <w:sz w:val="20"/>
                <w:szCs w:val="16"/>
              </w:rPr>
            </w:pPr>
            <w:r>
              <w:rPr>
                <w:noProof/>
                <w:sz w:val="20"/>
                <w:szCs w:val="16"/>
              </w:rPr>
              <w:t>16.6</w:t>
            </w:r>
          </w:p>
        </w:tc>
        <w:tc>
          <w:tcPr>
            <w:tcW w:w="402" w:type="pct"/>
            <w:shd w:val="clear" w:color="auto" w:fill="auto"/>
            <w:noWrap/>
            <w:vAlign w:val="center"/>
          </w:tcPr>
          <w:p>
            <w:pPr>
              <w:spacing w:before="60" w:after="60"/>
              <w:jc w:val="center"/>
              <w:rPr>
                <w:noProof/>
                <w:sz w:val="20"/>
                <w:szCs w:val="16"/>
              </w:rPr>
            </w:pPr>
            <w:r>
              <w:rPr>
                <w:noProof/>
                <w:sz w:val="20"/>
                <w:szCs w:val="16"/>
              </w:rPr>
              <w:t>16.1</w:t>
            </w:r>
          </w:p>
        </w:tc>
        <w:tc>
          <w:tcPr>
            <w:tcW w:w="402" w:type="pct"/>
            <w:shd w:val="clear" w:color="auto" w:fill="auto"/>
            <w:noWrap/>
            <w:vAlign w:val="center"/>
          </w:tcPr>
          <w:p>
            <w:pPr>
              <w:spacing w:before="60" w:after="60"/>
              <w:jc w:val="center"/>
              <w:rPr>
                <w:noProof/>
                <w:sz w:val="20"/>
                <w:szCs w:val="16"/>
              </w:rPr>
            </w:pPr>
            <w:r>
              <w:rPr>
                <w:noProof/>
                <w:sz w:val="20"/>
                <w:szCs w:val="16"/>
              </w:rPr>
              <w:t>16.2</w:t>
            </w:r>
          </w:p>
        </w:tc>
        <w:tc>
          <w:tcPr>
            <w:tcW w:w="402" w:type="pct"/>
            <w:shd w:val="clear" w:color="auto" w:fill="auto"/>
            <w:noWrap/>
            <w:vAlign w:val="center"/>
          </w:tcPr>
          <w:p>
            <w:pPr>
              <w:spacing w:before="60" w:after="60"/>
              <w:jc w:val="center"/>
              <w:rPr>
                <w:noProof/>
                <w:sz w:val="20"/>
                <w:szCs w:val="16"/>
              </w:rPr>
            </w:pPr>
            <w:r>
              <w:rPr>
                <w:noProof/>
                <w:sz w:val="20"/>
                <w:szCs w:val="16"/>
              </w:rPr>
              <w:t>14.9</w:t>
            </w:r>
          </w:p>
        </w:tc>
        <w:tc>
          <w:tcPr>
            <w:tcW w:w="402" w:type="pct"/>
            <w:shd w:val="clear" w:color="auto" w:fill="auto"/>
            <w:noWrap/>
            <w:vAlign w:val="center"/>
          </w:tcPr>
          <w:p>
            <w:pPr>
              <w:spacing w:before="60" w:after="60"/>
              <w:jc w:val="center"/>
              <w:rPr>
                <w:noProof/>
                <w:sz w:val="20"/>
                <w:szCs w:val="16"/>
              </w:rPr>
            </w:pPr>
            <w:r>
              <w:rPr>
                <w:noProof/>
                <w:sz w:val="20"/>
                <w:szCs w:val="16"/>
              </w:rPr>
              <w:t>12.2</w:t>
            </w:r>
          </w:p>
        </w:tc>
        <w:tc>
          <w:tcPr>
            <w:tcW w:w="401" w:type="pct"/>
            <w:shd w:val="clear" w:color="auto" w:fill="auto"/>
            <w:noWrap/>
            <w:vAlign w:val="center"/>
          </w:tcPr>
          <w:p>
            <w:pPr>
              <w:spacing w:before="60" w:after="60"/>
              <w:jc w:val="center"/>
              <w:rPr>
                <w:noProof/>
                <w:sz w:val="20"/>
                <w:szCs w:val="16"/>
              </w:rPr>
            </w:pPr>
            <w:r>
              <w:rPr>
                <w:noProof/>
                <w:sz w:val="20"/>
                <w:szCs w:val="16"/>
              </w:rPr>
              <w:t>11.4</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total energy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25.4</w:t>
            </w:r>
          </w:p>
        </w:tc>
        <w:tc>
          <w:tcPr>
            <w:tcW w:w="403" w:type="pct"/>
            <w:shd w:val="clear" w:color="auto" w:fill="CEEBE6"/>
            <w:noWrap/>
            <w:vAlign w:val="center"/>
          </w:tcPr>
          <w:p>
            <w:pPr>
              <w:spacing w:before="60" w:after="60"/>
              <w:jc w:val="center"/>
              <w:rPr>
                <w:noProof/>
                <w:sz w:val="20"/>
                <w:szCs w:val="16"/>
              </w:rPr>
            </w:pPr>
            <w:r>
              <w:rPr>
                <w:noProof/>
                <w:sz w:val="20"/>
                <w:szCs w:val="16"/>
              </w:rPr>
              <w:t>24.6</w:t>
            </w:r>
          </w:p>
        </w:tc>
        <w:tc>
          <w:tcPr>
            <w:tcW w:w="402" w:type="pct"/>
            <w:shd w:val="clear" w:color="auto" w:fill="CEEBE6"/>
            <w:noWrap/>
            <w:vAlign w:val="center"/>
          </w:tcPr>
          <w:p>
            <w:pPr>
              <w:spacing w:before="60" w:after="60"/>
              <w:jc w:val="center"/>
              <w:rPr>
                <w:noProof/>
                <w:sz w:val="20"/>
                <w:szCs w:val="16"/>
              </w:rPr>
            </w:pPr>
            <w:r>
              <w:rPr>
                <w:noProof/>
                <w:sz w:val="20"/>
                <w:szCs w:val="16"/>
              </w:rPr>
              <w:t>24.5</w:t>
            </w:r>
          </w:p>
        </w:tc>
        <w:tc>
          <w:tcPr>
            <w:tcW w:w="402" w:type="pct"/>
            <w:shd w:val="clear" w:color="auto" w:fill="CEEBE6"/>
            <w:noWrap/>
            <w:vAlign w:val="center"/>
          </w:tcPr>
          <w:p>
            <w:pPr>
              <w:spacing w:before="60" w:after="60"/>
              <w:jc w:val="center"/>
              <w:rPr>
                <w:noProof/>
                <w:sz w:val="20"/>
                <w:szCs w:val="16"/>
              </w:rPr>
            </w:pPr>
            <w:r>
              <w:rPr>
                <w:noProof/>
                <w:sz w:val="20"/>
                <w:szCs w:val="16"/>
              </w:rPr>
              <w:t>23.8</w:t>
            </w:r>
          </w:p>
        </w:tc>
        <w:tc>
          <w:tcPr>
            <w:tcW w:w="402" w:type="pct"/>
            <w:shd w:val="clear" w:color="auto" w:fill="CEEBE6"/>
            <w:noWrap/>
            <w:vAlign w:val="center"/>
          </w:tcPr>
          <w:p>
            <w:pPr>
              <w:spacing w:before="60" w:after="60"/>
              <w:jc w:val="center"/>
              <w:rPr>
                <w:noProof/>
                <w:sz w:val="20"/>
                <w:szCs w:val="16"/>
              </w:rPr>
            </w:pPr>
            <w:r>
              <w:rPr>
                <w:noProof/>
                <w:sz w:val="20"/>
                <w:szCs w:val="16"/>
              </w:rPr>
              <w:t>25.0</w:t>
            </w:r>
          </w:p>
        </w:tc>
        <w:tc>
          <w:tcPr>
            <w:tcW w:w="402" w:type="pct"/>
            <w:shd w:val="clear" w:color="auto" w:fill="CEEBE6"/>
            <w:noWrap/>
            <w:vAlign w:val="center"/>
          </w:tcPr>
          <w:p>
            <w:pPr>
              <w:spacing w:before="60" w:after="60"/>
              <w:jc w:val="center"/>
              <w:rPr>
                <w:noProof/>
                <w:sz w:val="20"/>
                <w:szCs w:val="16"/>
              </w:rPr>
            </w:pPr>
            <w:r>
              <w:rPr>
                <w:noProof/>
                <w:sz w:val="20"/>
                <w:szCs w:val="16"/>
              </w:rPr>
              <w:t>24.0</w:t>
            </w:r>
          </w:p>
        </w:tc>
        <w:tc>
          <w:tcPr>
            <w:tcW w:w="402" w:type="pct"/>
            <w:shd w:val="clear" w:color="auto" w:fill="CEEBE6"/>
            <w:noWrap/>
            <w:vAlign w:val="center"/>
          </w:tcPr>
          <w:p>
            <w:pPr>
              <w:spacing w:before="60" w:after="60"/>
              <w:jc w:val="center"/>
              <w:rPr>
                <w:noProof/>
                <w:sz w:val="20"/>
                <w:szCs w:val="16"/>
              </w:rPr>
            </w:pPr>
            <w:r>
              <w:rPr>
                <w:noProof/>
                <w:sz w:val="20"/>
                <w:szCs w:val="16"/>
              </w:rPr>
              <w:t>23.6</w:t>
            </w:r>
          </w:p>
        </w:tc>
        <w:tc>
          <w:tcPr>
            <w:tcW w:w="402" w:type="pct"/>
            <w:shd w:val="clear" w:color="auto" w:fill="CEEBE6"/>
            <w:noWrap/>
            <w:vAlign w:val="center"/>
          </w:tcPr>
          <w:p>
            <w:pPr>
              <w:spacing w:before="60" w:after="60"/>
              <w:jc w:val="center"/>
              <w:rPr>
                <w:noProof/>
                <w:sz w:val="20"/>
                <w:szCs w:val="16"/>
              </w:rPr>
            </w:pPr>
            <w:r>
              <w:rPr>
                <w:noProof/>
                <w:sz w:val="20"/>
                <w:szCs w:val="16"/>
              </w:rPr>
              <w:t>22.8</w:t>
            </w:r>
          </w:p>
        </w:tc>
        <w:tc>
          <w:tcPr>
            <w:tcW w:w="402" w:type="pct"/>
            <w:shd w:val="clear" w:color="auto" w:fill="CEEBE6"/>
            <w:noWrap/>
            <w:vAlign w:val="center"/>
          </w:tcPr>
          <w:p>
            <w:pPr>
              <w:spacing w:before="60" w:after="60"/>
              <w:jc w:val="center"/>
              <w:rPr>
                <w:noProof/>
                <w:sz w:val="20"/>
                <w:szCs w:val="16"/>
              </w:rPr>
            </w:pPr>
            <w:r>
              <w:rPr>
                <w:noProof/>
                <w:sz w:val="20"/>
                <w:szCs w:val="16"/>
              </w:rPr>
              <w:t>19.6</w:t>
            </w:r>
          </w:p>
        </w:tc>
        <w:tc>
          <w:tcPr>
            <w:tcW w:w="401" w:type="pct"/>
            <w:shd w:val="clear" w:color="auto" w:fill="CEEBE6"/>
            <w:noWrap/>
            <w:vAlign w:val="center"/>
          </w:tcPr>
          <w:p>
            <w:pPr>
              <w:spacing w:before="60" w:after="60"/>
              <w:jc w:val="center"/>
              <w:rPr>
                <w:noProof/>
                <w:sz w:val="20"/>
                <w:szCs w:val="16"/>
              </w:rPr>
            </w:pPr>
            <w:r>
              <w:rPr>
                <w:noProof/>
                <w:sz w:val="20"/>
                <w:szCs w:val="16"/>
              </w:rPr>
              <w:t>18.0</w:t>
            </w:r>
          </w:p>
        </w:tc>
      </w:tr>
      <w:tr>
        <w:trPr>
          <w:trHeight w:val="244"/>
          <w:jc w:val="center"/>
        </w:trPr>
        <w:tc>
          <w:tcPr>
            <w:tcW w:w="979" w:type="pct"/>
            <w:shd w:val="clear" w:color="auto" w:fill="auto"/>
            <w:noWrap/>
            <w:vAlign w:val="center"/>
          </w:tcPr>
          <w:p>
            <w:pPr>
              <w:spacing w:before="60" w:after="60"/>
              <w:jc w:val="left"/>
              <w:rPr>
                <w:bCs/>
                <w:noProof/>
                <w:sz w:val="20"/>
                <w:szCs w:val="16"/>
                <w:lang w:val="fr-FR"/>
              </w:rPr>
            </w:pPr>
            <w:r>
              <w:rPr>
                <w:bCs/>
                <w:noProof/>
                <w:sz w:val="20"/>
                <w:szCs w:val="16"/>
              </w:rPr>
              <w:t>Total energy costs (€/tonne)</w:t>
            </w:r>
          </w:p>
        </w:tc>
        <w:tc>
          <w:tcPr>
            <w:tcW w:w="403" w:type="pct"/>
            <w:shd w:val="clear" w:color="auto" w:fill="auto"/>
            <w:noWrap/>
            <w:vAlign w:val="center"/>
          </w:tcPr>
          <w:p>
            <w:pPr>
              <w:spacing w:before="60" w:after="60"/>
              <w:jc w:val="center"/>
              <w:rPr>
                <w:noProof/>
                <w:sz w:val="20"/>
                <w:szCs w:val="16"/>
              </w:rPr>
            </w:pPr>
            <w:r>
              <w:rPr>
                <w:noProof/>
                <w:sz w:val="20"/>
                <w:szCs w:val="16"/>
              </w:rPr>
              <w:t>74.3</w:t>
            </w:r>
          </w:p>
        </w:tc>
        <w:tc>
          <w:tcPr>
            <w:tcW w:w="403" w:type="pct"/>
            <w:shd w:val="clear" w:color="auto" w:fill="auto"/>
            <w:noWrap/>
            <w:vAlign w:val="center"/>
          </w:tcPr>
          <w:p>
            <w:pPr>
              <w:spacing w:before="60" w:after="60"/>
              <w:jc w:val="center"/>
              <w:rPr>
                <w:noProof/>
                <w:sz w:val="20"/>
                <w:szCs w:val="16"/>
              </w:rPr>
            </w:pPr>
            <w:r>
              <w:rPr>
                <w:noProof/>
                <w:sz w:val="20"/>
                <w:szCs w:val="16"/>
              </w:rPr>
              <w:t>73.4</w:t>
            </w:r>
          </w:p>
        </w:tc>
        <w:tc>
          <w:tcPr>
            <w:tcW w:w="402" w:type="pct"/>
            <w:shd w:val="clear" w:color="auto" w:fill="auto"/>
            <w:noWrap/>
            <w:vAlign w:val="center"/>
          </w:tcPr>
          <w:p>
            <w:pPr>
              <w:spacing w:before="60" w:after="60"/>
              <w:jc w:val="center"/>
              <w:rPr>
                <w:noProof/>
                <w:sz w:val="20"/>
                <w:szCs w:val="16"/>
              </w:rPr>
            </w:pPr>
            <w:r>
              <w:rPr>
                <w:noProof/>
                <w:sz w:val="20"/>
                <w:szCs w:val="16"/>
              </w:rPr>
              <w:t>68.6</w:t>
            </w:r>
          </w:p>
        </w:tc>
        <w:tc>
          <w:tcPr>
            <w:tcW w:w="402" w:type="pct"/>
            <w:shd w:val="clear" w:color="auto" w:fill="auto"/>
            <w:noWrap/>
            <w:vAlign w:val="center"/>
          </w:tcPr>
          <w:p>
            <w:pPr>
              <w:spacing w:before="60" w:after="60"/>
              <w:jc w:val="center"/>
              <w:rPr>
                <w:noProof/>
                <w:sz w:val="20"/>
                <w:szCs w:val="16"/>
              </w:rPr>
            </w:pPr>
            <w:r>
              <w:rPr>
                <w:noProof/>
                <w:sz w:val="20"/>
                <w:szCs w:val="16"/>
              </w:rPr>
              <w:t>70.4</w:t>
            </w:r>
          </w:p>
        </w:tc>
        <w:tc>
          <w:tcPr>
            <w:tcW w:w="402" w:type="pct"/>
            <w:shd w:val="clear" w:color="auto" w:fill="auto"/>
            <w:noWrap/>
            <w:vAlign w:val="center"/>
          </w:tcPr>
          <w:p>
            <w:pPr>
              <w:spacing w:before="60" w:after="60"/>
              <w:jc w:val="center"/>
              <w:rPr>
                <w:noProof/>
                <w:sz w:val="20"/>
                <w:szCs w:val="16"/>
              </w:rPr>
            </w:pPr>
            <w:r>
              <w:rPr>
                <w:noProof/>
                <w:sz w:val="20"/>
                <w:szCs w:val="16"/>
              </w:rPr>
              <w:t>78.4</w:t>
            </w:r>
          </w:p>
        </w:tc>
        <w:tc>
          <w:tcPr>
            <w:tcW w:w="402" w:type="pct"/>
            <w:shd w:val="clear" w:color="auto" w:fill="auto"/>
            <w:noWrap/>
            <w:vAlign w:val="center"/>
          </w:tcPr>
          <w:p>
            <w:pPr>
              <w:spacing w:before="60" w:after="60"/>
              <w:jc w:val="center"/>
              <w:rPr>
                <w:noProof/>
                <w:sz w:val="20"/>
                <w:szCs w:val="16"/>
              </w:rPr>
            </w:pPr>
            <w:r>
              <w:rPr>
                <w:noProof/>
                <w:sz w:val="20"/>
                <w:szCs w:val="16"/>
              </w:rPr>
              <w:t>78.1</w:t>
            </w:r>
          </w:p>
        </w:tc>
        <w:tc>
          <w:tcPr>
            <w:tcW w:w="402" w:type="pct"/>
            <w:shd w:val="clear" w:color="auto" w:fill="auto"/>
            <w:noWrap/>
            <w:vAlign w:val="center"/>
          </w:tcPr>
          <w:p>
            <w:pPr>
              <w:spacing w:before="60" w:after="60"/>
              <w:jc w:val="center"/>
              <w:rPr>
                <w:noProof/>
                <w:sz w:val="20"/>
                <w:szCs w:val="16"/>
              </w:rPr>
            </w:pPr>
            <w:r>
              <w:rPr>
                <w:noProof/>
                <w:sz w:val="20"/>
                <w:szCs w:val="16"/>
              </w:rPr>
              <w:t>73.8</w:t>
            </w:r>
          </w:p>
        </w:tc>
        <w:tc>
          <w:tcPr>
            <w:tcW w:w="402" w:type="pct"/>
            <w:shd w:val="clear" w:color="auto" w:fill="auto"/>
            <w:noWrap/>
            <w:vAlign w:val="center"/>
          </w:tcPr>
          <w:p>
            <w:pPr>
              <w:spacing w:before="60" w:after="60"/>
              <w:jc w:val="center"/>
              <w:rPr>
                <w:noProof/>
                <w:sz w:val="20"/>
                <w:szCs w:val="16"/>
              </w:rPr>
            </w:pPr>
            <w:r>
              <w:rPr>
                <w:noProof/>
                <w:sz w:val="20"/>
                <w:szCs w:val="16"/>
              </w:rPr>
              <w:t>70.4</w:t>
            </w:r>
          </w:p>
        </w:tc>
        <w:tc>
          <w:tcPr>
            <w:tcW w:w="402" w:type="pct"/>
            <w:shd w:val="clear" w:color="auto" w:fill="auto"/>
            <w:noWrap/>
            <w:vAlign w:val="center"/>
          </w:tcPr>
          <w:p>
            <w:pPr>
              <w:spacing w:before="60" w:after="60"/>
              <w:jc w:val="center"/>
              <w:rPr>
                <w:noProof/>
                <w:sz w:val="20"/>
                <w:szCs w:val="16"/>
              </w:rPr>
            </w:pPr>
            <w:r>
              <w:rPr>
                <w:noProof/>
                <w:sz w:val="20"/>
                <w:szCs w:val="16"/>
              </w:rPr>
              <w:t>58.2</w:t>
            </w:r>
          </w:p>
        </w:tc>
        <w:tc>
          <w:tcPr>
            <w:tcW w:w="401" w:type="pct"/>
            <w:shd w:val="clear" w:color="auto" w:fill="auto"/>
            <w:noWrap/>
            <w:vAlign w:val="center"/>
          </w:tcPr>
          <w:p>
            <w:pPr>
              <w:spacing w:before="60" w:after="60"/>
              <w:jc w:val="center"/>
              <w:rPr>
                <w:noProof/>
                <w:sz w:val="20"/>
                <w:szCs w:val="16"/>
              </w:rPr>
            </w:pPr>
            <w:r>
              <w:rPr>
                <w:noProof/>
                <w:sz w:val="20"/>
                <w:szCs w:val="16"/>
              </w:rPr>
              <w:t>55.7</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EBITDA (€/tonne)</w:t>
            </w:r>
          </w:p>
        </w:tc>
        <w:tc>
          <w:tcPr>
            <w:tcW w:w="403" w:type="pct"/>
            <w:shd w:val="clear" w:color="auto" w:fill="CEEBE6"/>
            <w:noWrap/>
            <w:vAlign w:val="center"/>
          </w:tcPr>
          <w:p>
            <w:pPr>
              <w:spacing w:before="60" w:after="60"/>
              <w:jc w:val="center"/>
              <w:rPr>
                <w:noProof/>
                <w:sz w:val="20"/>
                <w:szCs w:val="16"/>
              </w:rPr>
            </w:pPr>
            <w:r>
              <w:rPr>
                <w:noProof/>
                <w:sz w:val="20"/>
                <w:szCs w:val="16"/>
              </w:rPr>
              <w:t>77.9</w:t>
            </w:r>
          </w:p>
        </w:tc>
        <w:tc>
          <w:tcPr>
            <w:tcW w:w="403" w:type="pct"/>
            <w:shd w:val="clear" w:color="auto" w:fill="CEEBE6"/>
            <w:noWrap/>
            <w:vAlign w:val="center"/>
          </w:tcPr>
          <w:p>
            <w:pPr>
              <w:spacing w:before="60" w:after="60"/>
              <w:jc w:val="center"/>
              <w:rPr>
                <w:noProof/>
                <w:sz w:val="20"/>
                <w:szCs w:val="16"/>
              </w:rPr>
            </w:pPr>
            <w:r>
              <w:rPr>
                <w:noProof/>
                <w:sz w:val="20"/>
                <w:szCs w:val="16"/>
              </w:rPr>
              <w:t>70.1</w:t>
            </w:r>
          </w:p>
        </w:tc>
        <w:tc>
          <w:tcPr>
            <w:tcW w:w="402" w:type="pct"/>
            <w:shd w:val="clear" w:color="auto" w:fill="CEEBE6"/>
            <w:noWrap/>
            <w:vAlign w:val="center"/>
          </w:tcPr>
          <w:p>
            <w:pPr>
              <w:spacing w:before="60" w:after="60"/>
              <w:jc w:val="center"/>
              <w:rPr>
                <w:noProof/>
                <w:sz w:val="20"/>
                <w:szCs w:val="16"/>
              </w:rPr>
            </w:pPr>
            <w:r>
              <w:rPr>
                <w:noProof/>
                <w:sz w:val="20"/>
                <w:szCs w:val="16"/>
              </w:rPr>
              <w:t>74.7</w:t>
            </w:r>
          </w:p>
        </w:tc>
        <w:tc>
          <w:tcPr>
            <w:tcW w:w="402" w:type="pct"/>
            <w:shd w:val="clear" w:color="auto" w:fill="CEEBE6"/>
            <w:noWrap/>
            <w:vAlign w:val="center"/>
          </w:tcPr>
          <w:p>
            <w:pPr>
              <w:spacing w:before="60" w:after="60"/>
              <w:jc w:val="center"/>
              <w:rPr>
                <w:noProof/>
                <w:sz w:val="20"/>
                <w:szCs w:val="16"/>
              </w:rPr>
            </w:pPr>
            <w:r>
              <w:rPr>
                <w:noProof/>
                <w:sz w:val="20"/>
                <w:szCs w:val="16"/>
              </w:rPr>
              <w:t>69.2</w:t>
            </w:r>
          </w:p>
        </w:tc>
        <w:tc>
          <w:tcPr>
            <w:tcW w:w="402" w:type="pct"/>
            <w:shd w:val="clear" w:color="auto" w:fill="CEEBE6"/>
            <w:noWrap/>
            <w:vAlign w:val="center"/>
          </w:tcPr>
          <w:p>
            <w:pPr>
              <w:spacing w:before="60" w:after="60"/>
              <w:jc w:val="center"/>
              <w:rPr>
                <w:noProof/>
                <w:sz w:val="20"/>
                <w:szCs w:val="16"/>
              </w:rPr>
            </w:pPr>
            <w:r>
              <w:rPr>
                <w:noProof/>
                <w:sz w:val="20"/>
                <w:szCs w:val="16"/>
              </w:rPr>
              <w:t>68.4</w:t>
            </w:r>
          </w:p>
        </w:tc>
        <w:tc>
          <w:tcPr>
            <w:tcW w:w="402" w:type="pct"/>
            <w:shd w:val="clear" w:color="auto" w:fill="CEEBE6"/>
            <w:noWrap/>
            <w:vAlign w:val="center"/>
          </w:tcPr>
          <w:p>
            <w:pPr>
              <w:spacing w:before="60" w:after="60"/>
              <w:jc w:val="center"/>
              <w:rPr>
                <w:noProof/>
                <w:sz w:val="20"/>
                <w:szCs w:val="16"/>
              </w:rPr>
            </w:pPr>
            <w:r>
              <w:rPr>
                <w:noProof/>
                <w:sz w:val="20"/>
                <w:szCs w:val="16"/>
              </w:rPr>
              <w:t>65.1</w:t>
            </w:r>
          </w:p>
        </w:tc>
        <w:tc>
          <w:tcPr>
            <w:tcW w:w="402" w:type="pct"/>
            <w:shd w:val="clear" w:color="auto" w:fill="CEEBE6"/>
            <w:noWrap/>
            <w:vAlign w:val="center"/>
          </w:tcPr>
          <w:p>
            <w:pPr>
              <w:spacing w:before="60" w:after="60"/>
              <w:jc w:val="center"/>
              <w:rPr>
                <w:noProof/>
                <w:sz w:val="20"/>
                <w:szCs w:val="16"/>
              </w:rPr>
            </w:pPr>
            <w:r>
              <w:rPr>
                <w:noProof/>
                <w:sz w:val="20"/>
                <w:szCs w:val="16"/>
              </w:rPr>
              <w:t>63.9</w:t>
            </w:r>
          </w:p>
        </w:tc>
        <w:tc>
          <w:tcPr>
            <w:tcW w:w="402" w:type="pct"/>
            <w:shd w:val="clear" w:color="auto" w:fill="CEEBE6"/>
            <w:noWrap/>
            <w:vAlign w:val="center"/>
          </w:tcPr>
          <w:p>
            <w:pPr>
              <w:spacing w:before="60" w:after="60"/>
              <w:jc w:val="center"/>
              <w:rPr>
                <w:noProof/>
                <w:sz w:val="20"/>
                <w:szCs w:val="16"/>
              </w:rPr>
            </w:pPr>
            <w:r>
              <w:rPr>
                <w:noProof/>
                <w:sz w:val="20"/>
                <w:szCs w:val="16"/>
              </w:rPr>
              <w:t>62.5</w:t>
            </w:r>
          </w:p>
        </w:tc>
        <w:tc>
          <w:tcPr>
            <w:tcW w:w="402" w:type="pct"/>
            <w:shd w:val="clear" w:color="auto" w:fill="CEEBE6"/>
            <w:noWrap/>
            <w:vAlign w:val="center"/>
          </w:tcPr>
          <w:p>
            <w:pPr>
              <w:spacing w:before="60" w:after="60"/>
              <w:jc w:val="center"/>
              <w:rPr>
                <w:noProof/>
                <w:sz w:val="20"/>
                <w:szCs w:val="16"/>
              </w:rPr>
            </w:pPr>
            <w:r>
              <w:rPr>
                <w:noProof/>
                <w:sz w:val="20"/>
                <w:szCs w:val="16"/>
              </w:rPr>
              <w:t>70.9</w:t>
            </w:r>
          </w:p>
        </w:tc>
        <w:tc>
          <w:tcPr>
            <w:tcW w:w="401" w:type="pct"/>
            <w:shd w:val="clear" w:color="auto" w:fill="CEEBE6"/>
            <w:noWrap/>
            <w:vAlign w:val="center"/>
          </w:tcPr>
          <w:p>
            <w:pPr>
              <w:spacing w:before="60" w:after="60"/>
              <w:jc w:val="center"/>
              <w:rPr>
                <w:noProof/>
                <w:sz w:val="20"/>
                <w:szCs w:val="16"/>
              </w:rPr>
            </w:pPr>
            <w:r>
              <w:rPr>
                <w:noProof/>
                <w:sz w:val="20"/>
                <w:szCs w:val="16"/>
              </w:rPr>
              <w:t>66.0</w:t>
            </w:r>
          </w:p>
        </w:tc>
      </w:tr>
      <w:tr>
        <w:trPr>
          <w:trHeight w:val="244"/>
          <w:jc w:val="center"/>
        </w:trPr>
        <w:tc>
          <w:tcPr>
            <w:tcW w:w="979" w:type="pct"/>
            <w:shd w:val="clear" w:color="auto" w:fill="auto"/>
            <w:noWrap/>
            <w:vAlign w:val="center"/>
          </w:tcPr>
          <w:p>
            <w:pPr>
              <w:keepNext/>
              <w:spacing w:before="60" w:after="60"/>
              <w:jc w:val="left"/>
              <w:rPr>
                <w:bCs/>
                <w:noProof/>
                <w:sz w:val="20"/>
                <w:szCs w:val="16"/>
              </w:rPr>
            </w:pPr>
            <w:r>
              <w:rPr>
                <w:noProof/>
                <w:sz w:val="20"/>
              </w:rPr>
              <w:t>Ratio of total energy costs to EBITDA</w:t>
            </w:r>
          </w:p>
        </w:tc>
        <w:tc>
          <w:tcPr>
            <w:tcW w:w="403" w:type="pct"/>
            <w:shd w:val="clear" w:color="auto" w:fill="auto"/>
            <w:noWrap/>
            <w:vAlign w:val="center"/>
          </w:tcPr>
          <w:p>
            <w:pPr>
              <w:keepNext/>
              <w:spacing w:before="60" w:after="60"/>
              <w:jc w:val="center"/>
              <w:rPr>
                <w:noProof/>
                <w:sz w:val="20"/>
                <w:szCs w:val="16"/>
              </w:rPr>
            </w:pPr>
            <w:r>
              <w:rPr>
                <w:noProof/>
                <w:sz w:val="20"/>
                <w:szCs w:val="16"/>
              </w:rPr>
              <w:t>1.0</w:t>
            </w:r>
          </w:p>
        </w:tc>
        <w:tc>
          <w:tcPr>
            <w:tcW w:w="403" w:type="pct"/>
            <w:shd w:val="clear" w:color="auto" w:fill="auto"/>
            <w:noWrap/>
            <w:vAlign w:val="center"/>
          </w:tcPr>
          <w:p>
            <w:pPr>
              <w:keepNext/>
              <w:spacing w:before="60" w:after="60"/>
              <w:jc w:val="center"/>
              <w:rPr>
                <w:noProof/>
                <w:sz w:val="20"/>
                <w:szCs w:val="16"/>
              </w:rPr>
            </w:pPr>
            <w:r>
              <w:rPr>
                <w:noProof/>
                <w:sz w:val="20"/>
                <w:szCs w:val="16"/>
              </w:rPr>
              <w:t>1.0</w:t>
            </w:r>
          </w:p>
        </w:tc>
        <w:tc>
          <w:tcPr>
            <w:tcW w:w="402" w:type="pct"/>
            <w:shd w:val="clear" w:color="auto" w:fill="auto"/>
            <w:noWrap/>
            <w:vAlign w:val="center"/>
          </w:tcPr>
          <w:p>
            <w:pPr>
              <w:keepNext/>
              <w:spacing w:before="60" w:after="60"/>
              <w:jc w:val="center"/>
              <w:rPr>
                <w:noProof/>
                <w:sz w:val="20"/>
                <w:szCs w:val="16"/>
              </w:rPr>
            </w:pPr>
            <w:r>
              <w:rPr>
                <w:noProof/>
                <w:sz w:val="20"/>
                <w:szCs w:val="16"/>
              </w:rPr>
              <w:t>0.9</w:t>
            </w:r>
          </w:p>
        </w:tc>
        <w:tc>
          <w:tcPr>
            <w:tcW w:w="402" w:type="pct"/>
            <w:shd w:val="clear" w:color="auto" w:fill="auto"/>
            <w:noWrap/>
            <w:vAlign w:val="center"/>
          </w:tcPr>
          <w:p>
            <w:pPr>
              <w:keepNext/>
              <w:spacing w:before="60" w:after="60"/>
              <w:jc w:val="center"/>
              <w:rPr>
                <w:noProof/>
                <w:sz w:val="20"/>
                <w:szCs w:val="16"/>
              </w:rPr>
            </w:pPr>
            <w:r>
              <w:rPr>
                <w:noProof/>
                <w:sz w:val="20"/>
                <w:szCs w:val="16"/>
              </w:rPr>
              <w:t>1.0</w:t>
            </w:r>
          </w:p>
        </w:tc>
        <w:tc>
          <w:tcPr>
            <w:tcW w:w="402" w:type="pct"/>
            <w:shd w:val="clear" w:color="auto" w:fill="auto"/>
            <w:noWrap/>
            <w:vAlign w:val="center"/>
          </w:tcPr>
          <w:p>
            <w:pPr>
              <w:keepNext/>
              <w:spacing w:before="60" w:after="60"/>
              <w:jc w:val="center"/>
              <w:rPr>
                <w:noProof/>
                <w:sz w:val="20"/>
                <w:szCs w:val="16"/>
              </w:rPr>
            </w:pPr>
            <w:r>
              <w:rPr>
                <w:noProof/>
                <w:sz w:val="20"/>
                <w:szCs w:val="16"/>
              </w:rPr>
              <w:t>1.1</w:t>
            </w:r>
          </w:p>
        </w:tc>
        <w:tc>
          <w:tcPr>
            <w:tcW w:w="402" w:type="pct"/>
            <w:shd w:val="clear" w:color="auto" w:fill="auto"/>
            <w:noWrap/>
            <w:vAlign w:val="center"/>
          </w:tcPr>
          <w:p>
            <w:pPr>
              <w:keepNext/>
              <w:spacing w:before="60" w:after="60"/>
              <w:jc w:val="center"/>
              <w:rPr>
                <w:noProof/>
                <w:sz w:val="20"/>
                <w:szCs w:val="16"/>
              </w:rPr>
            </w:pPr>
            <w:r>
              <w:rPr>
                <w:noProof/>
                <w:sz w:val="20"/>
                <w:szCs w:val="16"/>
              </w:rPr>
              <w:t>1.2</w:t>
            </w:r>
          </w:p>
        </w:tc>
        <w:tc>
          <w:tcPr>
            <w:tcW w:w="402" w:type="pct"/>
            <w:shd w:val="clear" w:color="auto" w:fill="auto"/>
            <w:noWrap/>
            <w:vAlign w:val="center"/>
          </w:tcPr>
          <w:p>
            <w:pPr>
              <w:keepNext/>
              <w:spacing w:before="60" w:after="60"/>
              <w:jc w:val="center"/>
              <w:rPr>
                <w:noProof/>
                <w:sz w:val="20"/>
                <w:szCs w:val="16"/>
              </w:rPr>
            </w:pPr>
            <w:r>
              <w:rPr>
                <w:noProof/>
                <w:sz w:val="20"/>
                <w:szCs w:val="16"/>
              </w:rPr>
              <w:t>1.2</w:t>
            </w:r>
          </w:p>
        </w:tc>
        <w:tc>
          <w:tcPr>
            <w:tcW w:w="402" w:type="pct"/>
            <w:shd w:val="clear" w:color="auto" w:fill="auto"/>
            <w:noWrap/>
            <w:vAlign w:val="center"/>
          </w:tcPr>
          <w:p>
            <w:pPr>
              <w:keepNext/>
              <w:spacing w:before="60" w:after="60"/>
              <w:jc w:val="center"/>
              <w:rPr>
                <w:noProof/>
                <w:sz w:val="20"/>
                <w:szCs w:val="16"/>
              </w:rPr>
            </w:pPr>
            <w:r>
              <w:rPr>
                <w:noProof/>
                <w:sz w:val="20"/>
                <w:szCs w:val="16"/>
              </w:rPr>
              <w:t>1.1</w:t>
            </w:r>
          </w:p>
        </w:tc>
        <w:tc>
          <w:tcPr>
            <w:tcW w:w="402" w:type="pct"/>
            <w:shd w:val="clear" w:color="auto" w:fill="auto"/>
            <w:noWrap/>
            <w:vAlign w:val="center"/>
          </w:tcPr>
          <w:p>
            <w:pPr>
              <w:keepNext/>
              <w:spacing w:before="60" w:after="60"/>
              <w:jc w:val="center"/>
              <w:rPr>
                <w:noProof/>
                <w:sz w:val="20"/>
                <w:szCs w:val="16"/>
              </w:rPr>
            </w:pPr>
            <w:r>
              <w:rPr>
                <w:noProof/>
                <w:sz w:val="20"/>
                <w:szCs w:val="16"/>
              </w:rPr>
              <w:t>0.8</w:t>
            </w:r>
          </w:p>
        </w:tc>
        <w:tc>
          <w:tcPr>
            <w:tcW w:w="401" w:type="pct"/>
            <w:shd w:val="clear" w:color="auto" w:fill="auto"/>
            <w:noWrap/>
            <w:vAlign w:val="center"/>
          </w:tcPr>
          <w:p>
            <w:pPr>
              <w:keepNext/>
              <w:spacing w:before="60" w:after="60"/>
              <w:jc w:val="center"/>
              <w:rPr>
                <w:noProof/>
                <w:sz w:val="20"/>
                <w:szCs w:val="16"/>
              </w:rPr>
            </w:pPr>
            <w:r>
              <w:rPr>
                <w:noProof/>
                <w:sz w:val="20"/>
                <w:szCs w:val="16"/>
              </w:rPr>
              <w:t>0.8</w:t>
            </w:r>
          </w:p>
        </w:tc>
      </w:tr>
    </w:tbl>
    <w:p>
      <w:pPr>
        <w:pStyle w:val="Sources"/>
        <w:rPr>
          <w:noProof/>
        </w:rPr>
      </w:pPr>
      <w:r>
        <w:rPr>
          <w:noProof/>
        </w:rPr>
        <w:t>Source: CEPS/Ecofys.</w:t>
      </w:r>
    </w:p>
    <w:p>
      <w:pPr>
        <w:rPr>
          <w:noProof/>
          <w:lang w:eastAsia="it-IT"/>
        </w:rPr>
      </w:pPr>
    </w:p>
    <w:p>
      <w:pPr>
        <w:pStyle w:val="Caption"/>
        <w:rPr>
          <w:rFonts w:eastAsia="Times New Roman"/>
          <w:color w:val="000000"/>
        </w:rPr>
      </w:pPr>
      <w:bookmarkStart w:id="536" w:name="_Ref525747603"/>
      <w:bookmarkStart w:id="537" w:name="_Toc526433914"/>
      <w:bookmarkStart w:id="538" w:name="_Toc526435856"/>
      <w:bookmarkStart w:id="539" w:name="_Toc527544737"/>
      <w:bookmarkStart w:id="540" w:name="_Toc530741773"/>
      <w:r>
        <w:t xml:space="preserve">Figure </w:t>
      </w:r>
      <w:r>
        <w:fldChar w:fldCharType="begin"/>
      </w:r>
      <w:r>
        <w:instrText xml:space="preserve"> SEQ Figure \* ARABIC </w:instrText>
      </w:r>
      <w:r>
        <w:fldChar w:fldCharType="separate"/>
      </w:r>
      <w:r>
        <w:t>80</w:t>
      </w:r>
      <w:r>
        <w:fldChar w:fldCharType="end"/>
      </w:r>
      <w:bookmarkEnd w:id="536"/>
      <w:r>
        <w:t xml:space="preserve">. </w:t>
      </w:r>
      <w:r>
        <w:rPr>
          <w:rFonts w:eastAsia="Times New Roman"/>
          <w:color w:val="000000"/>
        </w:rPr>
        <w:t xml:space="preserve">Energy costs versus EBITDA </w:t>
      </w:r>
      <w:r>
        <w:t>of packaging glass production</w:t>
      </w:r>
      <w:r>
        <w:rPr>
          <w:rFonts w:eastAsia="Times New Roman"/>
          <w:color w:val="000000"/>
        </w:rPr>
        <w:t xml:space="preserve"> (€/tonne)</w:t>
      </w:r>
      <w:bookmarkEnd w:id="537"/>
      <w:bookmarkEnd w:id="538"/>
      <w:bookmarkEnd w:id="539"/>
      <w:bookmarkEnd w:id="540"/>
    </w:p>
    <w:p>
      <w:pPr>
        <w:keepNext/>
        <w:rPr>
          <w:rFonts w:eastAsia="Times New Roman"/>
          <w:bCs/>
          <w:noProof/>
          <w:color w:val="000000"/>
          <w:szCs w:val="24"/>
          <w:lang w:eastAsia="en-GB"/>
        </w:rPr>
      </w:pPr>
      <w:r>
        <w:rPr>
          <w:noProof/>
          <w:lang w:eastAsia="en-GB"/>
        </w:rPr>
        <w:drawing>
          <wp:inline distT="0" distB="0" distL="0" distR="0">
            <wp:extent cx="5760720" cy="3542711"/>
            <wp:effectExtent l="0" t="0" r="0" b="635"/>
            <wp:docPr id="1449027034" name="Picture 144902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3542711"/>
                    </a:xfrm>
                    <a:prstGeom prst="rect">
                      <a:avLst/>
                    </a:prstGeom>
                    <a:noFill/>
                    <a:ln>
                      <a:noFill/>
                    </a:ln>
                  </pic:spPr>
                </pic:pic>
              </a:graphicData>
            </a:graphic>
          </wp:inline>
        </w:drawing>
      </w:r>
    </w:p>
    <w:p>
      <w:pPr>
        <w:pStyle w:val="Sources"/>
        <w:tabs>
          <w:tab w:val="left" w:pos="142"/>
        </w:tabs>
        <w:rPr>
          <w:noProof/>
        </w:rPr>
      </w:pPr>
      <w:r>
        <w:rPr>
          <w:noProof/>
        </w:rPr>
        <w:tab/>
        <w:t>Source: CEPS/Ecofys.</w:t>
      </w: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541" w:name="_Toc526434073"/>
      <w:bookmarkStart w:id="542" w:name="_Toc526436017"/>
      <w:bookmarkStart w:id="543" w:name="_Toc527544442"/>
      <w:bookmarkStart w:id="544" w:name="_Toc530741681"/>
      <w:r>
        <w:rPr>
          <w:noProof/>
          <w:lang w:eastAsia="en-GB"/>
        </w:rPr>
        <w:t>NITROGEN FERTILISERS</w:t>
      </w:r>
      <w:bookmarkEnd w:id="541"/>
      <w:bookmarkEnd w:id="542"/>
      <w:bookmarkEnd w:id="543"/>
      <w:bookmarkEnd w:id="544"/>
    </w:p>
    <w:p>
      <w:pPr>
        <w:pStyle w:val="Heading3"/>
        <w:rPr>
          <w:noProof/>
        </w:rPr>
      </w:pPr>
      <w:bookmarkStart w:id="545" w:name="_Toc526434074"/>
      <w:bookmarkStart w:id="546" w:name="_Toc526436018"/>
      <w:bookmarkStart w:id="547" w:name="_Toc527544443"/>
      <w:bookmarkStart w:id="548" w:name="_Toc530741682"/>
      <w:r>
        <w:rPr>
          <w:noProof/>
        </w:rPr>
        <w:t>General information and sample composition</w:t>
      </w:r>
      <w:bookmarkEnd w:id="545"/>
      <w:bookmarkEnd w:id="546"/>
      <w:bookmarkEnd w:id="547"/>
      <w:bookmarkEnd w:id="548"/>
    </w:p>
    <w:p>
      <w:pPr>
        <w:rPr>
          <w:noProof/>
        </w:rPr>
      </w:pPr>
      <w:r>
        <w:rPr>
          <w:noProof/>
        </w:rPr>
        <w:t>Nitrogen fertilisers are part of sector 20.15 in NACE Rev.2.</w:t>
      </w:r>
    </w:p>
    <w:p>
      <w:pPr>
        <w:rPr>
          <w:noProof/>
        </w:rPr>
      </w:pPr>
      <w:r>
        <w:rPr>
          <w:noProof/>
        </w:rPr>
        <w:t xml:space="preserve">For nitrogen fertilisers, ammonia production is the key building block, which requires by far the largest share of energy in the whole production process. The most common fuel used in ammonia production is natural gas, which mainly serves as a feedstock. In the nitrogen fertiliser sector, natural gas costs can represent </w:t>
      </w:r>
      <w:r>
        <w:rPr>
          <w:noProof/>
          <w:lang w:eastAsia="de-DE"/>
        </w:rPr>
        <w:t>around 60%</w:t>
      </w:r>
      <w:r>
        <w:rPr>
          <w:b/>
          <w:noProof/>
          <w:lang w:eastAsia="de-DE"/>
        </w:rPr>
        <w:t xml:space="preserve"> </w:t>
      </w:r>
      <w:r>
        <w:rPr>
          <w:noProof/>
        </w:rPr>
        <w:t>of total production costs.</w:t>
      </w:r>
    </w:p>
    <w:p>
      <w:pPr>
        <w:rPr>
          <w:noProof/>
        </w:rPr>
      </w:pPr>
      <w:r>
        <w:rPr>
          <w:noProof/>
        </w:rPr>
        <w:t xml:space="preserve">In the last few years, the European fertiliser industry has experienced a slowdown due to less demand of fertilisers from farmers. As farmers experience lower commodity prices (i.e. less revenue on their produce), they have tended to reduce fertiliser intake or purchase fertilisers from non-EU markets. The latter can offer cheaper fertilisers than those produced in the EU. </w:t>
      </w:r>
      <w:r>
        <w:rPr>
          <w:bCs/>
          <w:noProof/>
        </w:rPr>
        <w:t>Top five European producing countries are (based on 2017 capacity): Germany (16%), Poland (15%), the Netherlands (15%), France (8%) and the United Kingdom (6%).</w:t>
      </w:r>
    </w:p>
    <w:p>
      <w:pPr>
        <w:rPr>
          <w:noProof/>
        </w:rPr>
      </w:pPr>
      <w:r>
        <w:rPr>
          <w:noProof/>
        </w:rPr>
        <w:t>Overall, the EU is a net importer of fertilisers and nitrogen compounds, importing most of it from Russia. The EU also exports some of its production, mostly to Brazil, Turkey and the United States.</w:t>
      </w:r>
    </w:p>
    <w:p>
      <w:pPr>
        <w:rPr>
          <w:b/>
          <w:noProof/>
        </w:rPr>
      </w:pPr>
      <w:r>
        <w:rPr>
          <w:noProof/>
        </w:rPr>
        <w:t>The analysis focusses on ammonia plants. There are 47 ammonia plants in the EU, where a typical plant has an average capacity of 400</w:t>
      </w:r>
      <w:r>
        <w:rPr>
          <w:bCs/>
          <w:noProof/>
        </w:rPr>
        <w:t> kilo tonnes/year</w:t>
      </w:r>
      <w:r>
        <w:rPr>
          <w:noProof/>
        </w:rPr>
        <w:t>, an average natural gas intensity of 10.8 MWh/tonne and an average electricity intensity of 0.18 MWh/tonne. The sample in the analysis includes eight EU plants (four in CEE region, one in NWE region and three in SE region), representing about 19% of total ammonia capacity in the EU.</w:t>
      </w:r>
    </w:p>
    <w:p>
      <w:pPr>
        <w:rPr>
          <w:rFonts w:eastAsia="Times New Roman"/>
          <w:noProof/>
          <w:color w:val="000000"/>
          <w:szCs w:val="24"/>
          <w:lang w:eastAsia="en-GB"/>
        </w:rPr>
      </w:pPr>
    </w:p>
    <w:p>
      <w:pPr>
        <w:pStyle w:val="Heading3"/>
        <w:rPr>
          <w:noProof/>
        </w:rPr>
      </w:pPr>
      <w:bookmarkStart w:id="549" w:name="_Toc526434075"/>
      <w:bookmarkStart w:id="550" w:name="_Toc526436019"/>
      <w:bookmarkStart w:id="551" w:name="_Toc527544444"/>
      <w:bookmarkStart w:id="552" w:name="_Toc530741683"/>
      <w:r>
        <w:rPr>
          <w:noProof/>
        </w:rPr>
        <w:t>Electricity prices, costs</w:t>
      </w:r>
      <w:bookmarkEnd w:id="549"/>
      <w:bookmarkEnd w:id="550"/>
      <w:bookmarkEnd w:id="551"/>
      <w:r>
        <w:rPr>
          <w:noProof/>
        </w:rPr>
        <w:t xml:space="preserve"> and intensity</w:t>
      </w:r>
      <w:bookmarkEnd w:id="552"/>
    </w:p>
    <w:p>
      <w:pPr>
        <w:rPr>
          <w:noProof/>
          <w:lang w:eastAsia="en-GB"/>
        </w:rPr>
      </w:pPr>
      <w:r>
        <w:rPr>
          <w:noProof/>
        </w:rPr>
        <w:t xml:space="preserve">Key electricity indicators for nitrogen fertilisers are presented in </w:t>
      </w:r>
      <w:r>
        <w:rPr>
          <w:noProof/>
        </w:rPr>
        <w:fldChar w:fldCharType="begin"/>
      </w:r>
      <w:r>
        <w:rPr>
          <w:noProof/>
        </w:rPr>
        <w:instrText xml:space="preserve"> REF _Ref528683977 \h </w:instrText>
      </w:r>
      <w:r>
        <w:rPr>
          <w:noProof/>
        </w:rPr>
      </w:r>
      <w:r>
        <w:rPr>
          <w:noProof/>
        </w:rPr>
        <w:fldChar w:fldCharType="separate"/>
      </w:r>
      <w:r>
        <w:rPr>
          <w:noProof/>
        </w:rPr>
        <w:t>Table 29</w:t>
      </w:r>
      <w:r>
        <w:rPr>
          <w:noProof/>
        </w:rPr>
        <w:fldChar w:fldCharType="end"/>
      </w:r>
      <w:r>
        <w:rPr>
          <w:noProof/>
        </w:rPr>
        <w:t>.</w:t>
      </w:r>
    </w:p>
    <w:p>
      <w:pPr>
        <w:rPr>
          <w:noProof/>
          <w:lang w:eastAsia="en-GB"/>
        </w:rPr>
      </w:pPr>
      <w:r>
        <w:rPr>
          <w:noProof/>
          <w:lang w:eastAsia="en-GB"/>
        </w:rPr>
        <w:t xml:space="preserve">EU average electricity price in 2017 was at a similar level as in 2008 (69 EUR/MWh). Price peaked in 2011 at 92 EUR/MWh and then continuously decreased again. As shown in </w:t>
      </w:r>
      <w:r>
        <w:rPr>
          <w:noProof/>
          <w:lang w:eastAsia="en-GB"/>
        </w:rPr>
        <w:fldChar w:fldCharType="begin"/>
      </w:r>
      <w:r>
        <w:rPr>
          <w:noProof/>
          <w:lang w:eastAsia="en-GB"/>
        </w:rPr>
        <w:instrText xml:space="preserve"> REF _Ref529291627 \h </w:instrText>
      </w:r>
      <w:r>
        <w:rPr>
          <w:noProof/>
          <w:lang w:eastAsia="en-GB"/>
        </w:rPr>
      </w:r>
      <w:r>
        <w:rPr>
          <w:noProof/>
          <w:lang w:eastAsia="en-GB"/>
        </w:rPr>
        <w:fldChar w:fldCharType="separate"/>
      </w:r>
      <w:r>
        <w:rPr>
          <w:noProof/>
        </w:rPr>
        <w:t>Figure 81</w:t>
      </w:r>
      <w:r>
        <w:rPr>
          <w:noProof/>
          <w:lang w:eastAsia="en-GB"/>
        </w:rPr>
        <w:fldChar w:fldCharType="end"/>
      </w:r>
      <w:r>
        <w:rPr>
          <w:noProof/>
          <w:lang w:eastAsia="en-GB"/>
        </w:rPr>
        <w:t xml:space="preserve">, in every year, the energy component accounted for the largest share in the electricity price (74% in 2008, 69% in 2017), followed by the network component (18% in 2008, 17% in 2017). Overall, large consumers </w:t>
      </w:r>
      <w:r>
        <w:rPr>
          <w:noProof/>
        </w:rPr>
        <w:t xml:space="preserve">faced </w:t>
      </w:r>
      <w:r>
        <w:rPr>
          <w:noProof/>
          <w:lang w:eastAsia="en-GB"/>
        </w:rPr>
        <w:t>lower electricity prices (weighted average by purchased electricity is generally below simple average) because they were able to negotiate more favourable deals on the energy component (note that they did not pay less for the regulatory components, including network costs, RES levies and other non-recoverable taxes/levies).</w:t>
      </w:r>
    </w:p>
    <w:p>
      <w:pPr>
        <w:rPr>
          <w:noProof/>
          <w:lang w:eastAsia="en-GB"/>
        </w:rPr>
      </w:pPr>
      <w:r>
        <w:rPr>
          <w:noProof/>
          <w:lang w:eastAsia="en-GB"/>
        </w:rPr>
        <w:t>EU average electricity costs in EUR/MWh (</w:t>
      </w:r>
      <w:r>
        <w:rPr>
          <w:noProof/>
          <w:lang w:eastAsia="en-GB"/>
        </w:rPr>
        <w:fldChar w:fldCharType="begin"/>
      </w:r>
      <w:r>
        <w:rPr>
          <w:noProof/>
          <w:lang w:eastAsia="en-GB"/>
        </w:rPr>
        <w:instrText xml:space="preserve"> REF _Ref524524883 \h </w:instrText>
      </w:r>
      <w:r>
        <w:rPr>
          <w:noProof/>
          <w:lang w:eastAsia="en-GB"/>
        </w:rPr>
      </w:r>
      <w:r>
        <w:rPr>
          <w:noProof/>
          <w:lang w:eastAsia="en-GB"/>
        </w:rPr>
        <w:fldChar w:fldCharType="separate"/>
      </w:r>
      <w:r>
        <w:rPr>
          <w:noProof/>
        </w:rPr>
        <w:t>Figure 82</w:t>
      </w:r>
      <w:r>
        <w:rPr>
          <w:noProof/>
          <w:lang w:eastAsia="en-GB"/>
        </w:rPr>
        <w:fldChar w:fldCharType="end"/>
      </w:r>
      <w:r>
        <w:rPr>
          <w:noProof/>
          <w:lang w:eastAsia="en-GB"/>
        </w:rPr>
        <w:t>) were on a slightly upward trend from 2008 to 2013, followed by a decrease from 2013 to 2017. In 2017, the average electricity costs at the EU level were 65 EUR/MWh. The difference between electricity price and electricity costs in EUR/MWh is caused by plants that received some form of reimbursement (mainly tax reimbursements) and/or used self-generated electricity on site. The weighted average (by electricity consumption) for this indicator was lower than the simple average, confirming better bargaining power for larger electricity consumers. From 2008 to 2017, EU average electricity costs in EUR/tonne (</w:t>
      </w:r>
      <w:r>
        <w:rPr>
          <w:noProof/>
          <w:lang w:eastAsia="en-GB"/>
        </w:rPr>
        <w:fldChar w:fldCharType="begin"/>
      </w:r>
      <w:r>
        <w:rPr>
          <w:noProof/>
          <w:lang w:eastAsia="en-GB"/>
        </w:rPr>
        <w:instrText xml:space="preserve"> REF _Ref524524978 \h </w:instrText>
      </w:r>
      <w:r>
        <w:rPr>
          <w:noProof/>
          <w:lang w:eastAsia="en-GB"/>
        </w:rPr>
      </w:r>
      <w:r>
        <w:rPr>
          <w:noProof/>
          <w:lang w:eastAsia="en-GB"/>
        </w:rPr>
        <w:fldChar w:fldCharType="separate"/>
      </w:r>
      <w:r>
        <w:rPr>
          <w:noProof/>
        </w:rPr>
        <w:t>Figure 83</w:t>
      </w:r>
      <w:r>
        <w:rPr>
          <w:noProof/>
          <w:lang w:eastAsia="en-GB"/>
        </w:rPr>
        <w:fldChar w:fldCharType="end"/>
      </w:r>
      <w:r>
        <w:rPr>
          <w:noProof/>
          <w:lang w:eastAsia="en-GB"/>
        </w:rPr>
        <w:t>) decreased, ranging between 11 and 13 EUR/tonne. In 2017, the electricity costs per tonne were at their lowest level of 11 EUR/tonne.</w:t>
      </w:r>
    </w:p>
    <w:p>
      <w:pPr>
        <w:rPr>
          <w:noProof/>
          <w:lang w:eastAsia="en-GB"/>
        </w:rPr>
      </w:pPr>
      <w:r>
        <w:rPr>
          <w:noProof/>
          <w:lang w:eastAsia="en-GB"/>
        </w:rPr>
        <w:t>EU average electricity intensity (</w:t>
      </w:r>
      <w:r>
        <w:rPr>
          <w:noProof/>
          <w:lang w:eastAsia="en-GB"/>
        </w:rPr>
        <w:fldChar w:fldCharType="begin"/>
      </w:r>
      <w:r>
        <w:rPr>
          <w:noProof/>
          <w:lang w:eastAsia="en-GB"/>
        </w:rPr>
        <w:instrText xml:space="preserve"> REF _Ref524524848 \h </w:instrText>
      </w:r>
      <w:r>
        <w:rPr>
          <w:noProof/>
          <w:lang w:eastAsia="en-GB"/>
        </w:rPr>
      </w:r>
      <w:r>
        <w:rPr>
          <w:noProof/>
          <w:lang w:eastAsia="en-GB"/>
        </w:rPr>
        <w:fldChar w:fldCharType="separate"/>
      </w:r>
      <w:r>
        <w:rPr>
          <w:noProof/>
        </w:rPr>
        <w:t>Figure 84</w:t>
      </w:r>
      <w:r>
        <w:rPr>
          <w:noProof/>
          <w:lang w:eastAsia="en-GB"/>
        </w:rPr>
        <w:fldChar w:fldCharType="end"/>
      </w:r>
      <w:r>
        <w:rPr>
          <w:noProof/>
          <w:lang w:eastAsia="en-GB"/>
        </w:rPr>
        <w:t>) ranged from 0.17 to 0.19 MWh/tonne, decreasing slightly from 2008 (0.19 MWh/tonne) to 2017 (0.18 MWh/tonne). There is no indication that larger plants are less electricity intensive than smaller plants.</w:t>
      </w:r>
    </w:p>
    <w:p>
      <w:pPr>
        <w:rPr>
          <w:noProof/>
          <w:lang w:eastAsia="en-GB"/>
        </w:rPr>
      </w:pPr>
    </w:p>
    <w:p>
      <w:pPr>
        <w:pStyle w:val="Heading3"/>
        <w:rPr>
          <w:noProof/>
        </w:rPr>
      </w:pPr>
      <w:bookmarkStart w:id="553" w:name="_Toc526434076"/>
      <w:bookmarkStart w:id="554" w:name="_Toc526436020"/>
      <w:bookmarkStart w:id="555" w:name="_Toc527544445"/>
      <w:bookmarkStart w:id="556" w:name="_Toc530741684"/>
      <w:r>
        <w:rPr>
          <w:noProof/>
        </w:rPr>
        <w:t>Natural gas prices, costs</w:t>
      </w:r>
      <w:bookmarkEnd w:id="553"/>
      <w:bookmarkEnd w:id="554"/>
      <w:bookmarkEnd w:id="555"/>
      <w:r>
        <w:rPr>
          <w:noProof/>
        </w:rPr>
        <w:t xml:space="preserve"> and intensity</w:t>
      </w:r>
      <w:bookmarkEnd w:id="556"/>
    </w:p>
    <w:p>
      <w:pPr>
        <w:rPr>
          <w:noProof/>
          <w:lang w:eastAsia="en-GB"/>
        </w:rPr>
      </w:pPr>
      <w:r>
        <w:rPr>
          <w:noProof/>
        </w:rPr>
        <w:t xml:space="preserve">Key natural gas indicators for nitrogen fertilisers are presented in </w:t>
      </w:r>
      <w:r>
        <w:rPr>
          <w:noProof/>
        </w:rPr>
        <w:fldChar w:fldCharType="begin"/>
      </w:r>
      <w:r>
        <w:rPr>
          <w:noProof/>
        </w:rPr>
        <w:instrText xml:space="preserve"> REF _Ref524533095 \h </w:instrText>
      </w:r>
      <w:r>
        <w:rPr>
          <w:noProof/>
        </w:rPr>
      </w:r>
      <w:r>
        <w:rPr>
          <w:noProof/>
        </w:rPr>
        <w:fldChar w:fldCharType="separate"/>
      </w:r>
      <w:r>
        <w:rPr>
          <w:noProof/>
        </w:rPr>
        <w:t>Table 30</w:t>
      </w:r>
      <w:r>
        <w:rPr>
          <w:noProof/>
        </w:rPr>
        <w:fldChar w:fldCharType="end"/>
      </w:r>
      <w:r>
        <w:rPr>
          <w:noProof/>
        </w:rPr>
        <w:t>.</w:t>
      </w:r>
    </w:p>
    <w:p>
      <w:pPr>
        <w:rPr>
          <w:noProof/>
          <w:lang w:eastAsia="en-GB"/>
        </w:rPr>
      </w:pPr>
      <w:r>
        <w:rPr>
          <w:noProof/>
          <w:lang w:eastAsia="en-GB"/>
        </w:rPr>
        <w:t>EU average natural gas prices for ammonia plants (</w:t>
      </w:r>
      <w:r>
        <w:rPr>
          <w:noProof/>
          <w:lang w:eastAsia="en-GB"/>
        </w:rPr>
        <w:fldChar w:fldCharType="begin"/>
      </w:r>
      <w:r>
        <w:rPr>
          <w:noProof/>
          <w:lang w:eastAsia="en-GB"/>
        </w:rPr>
        <w:instrText xml:space="preserve"> REF _Ref528684076 \h </w:instrText>
      </w:r>
      <w:r>
        <w:rPr>
          <w:noProof/>
          <w:lang w:eastAsia="en-GB"/>
        </w:rPr>
      </w:r>
      <w:r>
        <w:rPr>
          <w:noProof/>
          <w:lang w:eastAsia="en-GB"/>
        </w:rPr>
        <w:fldChar w:fldCharType="separate"/>
      </w:r>
      <w:r>
        <w:rPr>
          <w:noProof/>
        </w:rPr>
        <w:t>Figure 85</w:t>
      </w:r>
      <w:r>
        <w:rPr>
          <w:noProof/>
          <w:lang w:eastAsia="en-GB"/>
        </w:rPr>
        <w:fldChar w:fldCharType="end"/>
      </w:r>
      <w:r>
        <w:rPr>
          <w:noProof/>
          <w:lang w:eastAsia="en-GB"/>
        </w:rPr>
        <w:t xml:space="preserve">) show a volatile trend between 2008 and 2017 (lowest value in 2009 and highest in 2013). Prices followed the international natural gas price developments. In 2017, the average price was 21 EUR/MWh. As shown in </w:t>
      </w:r>
      <w:r>
        <w:rPr>
          <w:noProof/>
          <w:lang w:eastAsia="en-GB"/>
        </w:rPr>
        <w:fldChar w:fldCharType="begin"/>
      </w:r>
      <w:r>
        <w:rPr>
          <w:noProof/>
          <w:lang w:eastAsia="en-GB"/>
        </w:rPr>
        <w:instrText xml:space="preserve"> REF _Ref529292900 \h </w:instrText>
      </w:r>
      <w:r>
        <w:rPr>
          <w:noProof/>
          <w:lang w:eastAsia="en-GB"/>
        </w:rPr>
      </w:r>
      <w:r>
        <w:rPr>
          <w:noProof/>
          <w:lang w:eastAsia="en-GB"/>
        </w:rPr>
        <w:fldChar w:fldCharType="separate"/>
      </w:r>
      <w:r>
        <w:rPr>
          <w:noProof/>
        </w:rPr>
        <w:t>Figure 86</w:t>
      </w:r>
      <w:r>
        <w:rPr>
          <w:noProof/>
          <w:lang w:eastAsia="en-GB"/>
        </w:rPr>
        <w:fldChar w:fldCharType="end"/>
      </w:r>
      <w:r>
        <w:rPr>
          <w:noProof/>
          <w:lang w:eastAsia="en-GB"/>
        </w:rPr>
        <w:t xml:space="preserve">, the energy component made up the lion's share of the natural gas price in every year (always above 85%). We can, however, observe that the share of the regulatory components (network costs + </w:t>
      </w:r>
      <w:r>
        <w:rPr>
          <w:noProof/>
        </w:rPr>
        <w:t>non-recoverable</w:t>
      </w:r>
      <w:r>
        <w:rPr>
          <w:noProof/>
          <w:lang w:eastAsia="en-GB"/>
        </w:rPr>
        <w:t xml:space="preserve"> taxes/levies) increased between 2008 and 2017 (4% in 2008 vs. 11% in 2017). Larger consumers faced lower natural gas prices (weighted average by purchased natural gas is below simple average) and actually paid less for all the price components (energy, network costs and </w:t>
      </w:r>
      <w:r>
        <w:rPr>
          <w:noProof/>
        </w:rPr>
        <w:t>non-recoverable</w:t>
      </w:r>
      <w:r>
        <w:rPr>
          <w:noProof/>
          <w:lang w:eastAsia="en-GB"/>
        </w:rPr>
        <w:t xml:space="preserve"> taxes/levies).</w:t>
      </w:r>
    </w:p>
    <w:p>
      <w:pPr>
        <w:rPr>
          <w:noProof/>
          <w:lang w:eastAsia="en-GB"/>
        </w:rPr>
      </w:pPr>
      <w:r>
        <w:rPr>
          <w:noProof/>
          <w:lang w:eastAsia="en-GB"/>
        </w:rPr>
        <w:t>EU average natural gas costs (in EUR/tonne) followed a similar trend to the natural gas prices (</w:t>
      </w:r>
      <w:r>
        <w:rPr>
          <w:noProof/>
          <w:lang w:eastAsia="en-GB"/>
        </w:rPr>
        <w:fldChar w:fldCharType="begin"/>
      </w:r>
      <w:r>
        <w:rPr>
          <w:noProof/>
          <w:lang w:eastAsia="en-GB"/>
        </w:rPr>
        <w:instrText xml:space="preserve"> REF _Ref524524802 \h </w:instrText>
      </w:r>
      <w:r>
        <w:rPr>
          <w:noProof/>
          <w:lang w:eastAsia="en-GB"/>
        </w:rPr>
      </w:r>
      <w:r>
        <w:rPr>
          <w:noProof/>
          <w:lang w:eastAsia="en-GB"/>
        </w:rPr>
        <w:fldChar w:fldCharType="separate"/>
      </w:r>
      <w:r>
        <w:rPr>
          <w:noProof/>
        </w:rPr>
        <w:t>Figure 87</w:t>
      </w:r>
      <w:r>
        <w:rPr>
          <w:noProof/>
          <w:lang w:eastAsia="en-GB"/>
        </w:rPr>
        <w:fldChar w:fldCharType="end"/>
      </w:r>
      <w:r>
        <w:rPr>
          <w:noProof/>
          <w:lang w:eastAsia="en-GB"/>
        </w:rPr>
        <w:t>). The costs increased from 2009 to 2013 and decreased from 2013 to 2017. In 2017, they were at around 99 EUR/tonne, while in 2008 costs were around 133 EUR/tonne.</w:t>
      </w:r>
    </w:p>
    <w:p>
      <w:pPr>
        <w:rPr>
          <w:noProof/>
          <w:lang w:eastAsia="en-GB"/>
        </w:rPr>
      </w:pPr>
      <w:r>
        <w:rPr>
          <w:noProof/>
          <w:lang w:eastAsia="en-GB"/>
        </w:rPr>
        <w:t>EU average natural gas intensity (</w:t>
      </w:r>
      <w:r>
        <w:rPr>
          <w:noProof/>
          <w:lang w:eastAsia="en-GB"/>
        </w:rPr>
        <w:fldChar w:fldCharType="begin"/>
      </w:r>
      <w:r>
        <w:rPr>
          <w:noProof/>
          <w:lang w:eastAsia="en-GB"/>
        </w:rPr>
        <w:instrText xml:space="preserve"> REF _Ref528684098 \h </w:instrText>
      </w:r>
      <w:r>
        <w:rPr>
          <w:noProof/>
          <w:lang w:eastAsia="en-GB"/>
        </w:rPr>
      </w:r>
      <w:r>
        <w:rPr>
          <w:noProof/>
          <w:lang w:eastAsia="en-GB"/>
        </w:rPr>
        <w:fldChar w:fldCharType="separate"/>
      </w:r>
      <w:r>
        <w:rPr>
          <w:noProof/>
        </w:rPr>
        <w:t>Figure 88</w:t>
      </w:r>
      <w:r>
        <w:rPr>
          <w:noProof/>
          <w:lang w:eastAsia="en-GB"/>
        </w:rPr>
        <w:fldChar w:fldCharType="end"/>
      </w:r>
      <w:r>
        <w:rPr>
          <w:noProof/>
          <w:lang w:eastAsia="en-GB"/>
        </w:rPr>
        <w:t>) ranged from 4.6 to 5.1 MWh/tonne, decreasing slightly from 2008 (5.1 MWh/tonne) to 2017 (5.0 MWh/tonne). Overall, efficiency thus increased slightly. There is no indication that larger plants are less natural gas intensive than smaller plants.</w:t>
      </w:r>
    </w:p>
    <w:p>
      <w:pPr>
        <w:rPr>
          <w:noProof/>
          <w:lang w:eastAsia="en-GB"/>
        </w:rPr>
      </w:pPr>
    </w:p>
    <w:p>
      <w:pPr>
        <w:pStyle w:val="Heading3"/>
        <w:rPr>
          <w:noProof/>
        </w:rPr>
      </w:pPr>
      <w:bookmarkStart w:id="557" w:name="_Toc526434077"/>
      <w:bookmarkStart w:id="558" w:name="_Toc526436021"/>
      <w:bookmarkStart w:id="559" w:name="_Toc527544446"/>
      <w:bookmarkStart w:id="560" w:name="_Toc530741685"/>
      <w:r>
        <w:rPr>
          <w:noProof/>
        </w:rPr>
        <w:t>Competitiveness</w:t>
      </w:r>
      <w:bookmarkEnd w:id="557"/>
      <w:bookmarkEnd w:id="558"/>
      <w:bookmarkEnd w:id="559"/>
      <w:bookmarkEnd w:id="560"/>
    </w:p>
    <w:p>
      <w:pPr>
        <w:rPr>
          <w:noProof/>
          <w:lang w:eastAsia="en-GB"/>
        </w:rPr>
      </w:pPr>
      <w:r>
        <w:rPr>
          <w:noProof/>
          <w:lang w:eastAsia="en-GB"/>
        </w:rPr>
        <w:t>Over the period, natural gas and electricity costs accounted for 51–66% and 5–7% of total production costs, respectively (</w:t>
      </w:r>
      <w:r>
        <w:rPr>
          <w:noProof/>
          <w:lang w:eastAsia="en-GB"/>
        </w:rPr>
        <w:fldChar w:fldCharType="begin"/>
      </w:r>
      <w:r>
        <w:rPr>
          <w:noProof/>
          <w:lang w:eastAsia="en-GB"/>
        </w:rPr>
        <w:instrText xml:space="preserve"> REF _Ref524524599 \h </w:instrText>
      </w:r>
      <w:r>
        <w:rPr>
          <w:noProof/>
          <w:lang w:eastAsia="en-GB"/>
        </w:rPr>
      </w:r>
      <w:r>
        <w:rPr>
          <w:noProof/>
          <w:lang w:eastAsia="en-GB"/>
        </w:rPr>
        <w:fldChar w:fldCharType="separate"/>
      </w:r>
      <w:r>
        <w:rPr>
          <w:noProof/>
        </w:rPr>
        <w:t>Table 31</w:t>
      </w:r>
      <w:r>
        <w:rPr>
          <w:noProof/>
          <w:lang w:eastAsia="en-GB"/>
        </w:rPr>
        <w:fldChar w:fldCharType="end"/>
      </w:r>
      <w:r>
        <w:rPr>
          <w:noProof/>
          <w:lang w:eastAsia="en-GB"/>
        </w:rPr>
        <w:t>). The share of total energy (natural gas + electricity) costs in production costs increased from 67% in 2008 to 73% in 2017.</w:t>
      </w:r>
    </w:p>
    <w:p>
      <w:pPr>
        <w:rPr>
          <w:noProof/>
          <w:lang w:eastAsia="en-GB"/>
        </w:rPr>
      </w:pPr>
      <w:r>
        <w:rPr>
          <w:noProof/>
          <w:lang w:eastAsia="en-GB"/>
        </w:rPr>
        <w:t>EBITDA per tonne underwent a volatile trend from 2008 to 2017 (</w:t>
      </w:r>
      <w:r>
        <w:rPr>
          <w:noProof/>
          <w:lang w:eastAsia="en-GB"/>
        </w:rPr>
        <w:fldChar w:fldCharType="begin"/>
      </w:r>
      <w:r>
        <w:rPr>
          <w:noProof/>
          <w:lang w:eastAsia="en-GB"/>
        </w:rPr>
        <w:instrText xml:space="preserve"> REF _Ref528684133 \h </w:instrText>
      </w:r>
      <w:r>
        <w:rPr>
          <w:noProof/>
          <w:lang w:eastAsia="en-GB"/>
        </w:rPr>
      </w:r>
      <w:r>
        <w:rPr>
          <w:noProof/>
          <w:lang w:eastAsia="en-GB"/>
        </w:rPr>
        <w:fldChar w:fldCharType="separate"/>
      </w:r>
      <w:r>
        <w:rPr>
          <w:noProof/>
        </w:rPr>
        <w:t>Figure 89</w:t>
      </w:r>
      <w:r>
        <w:rPr>
          <w:noProof/>
          <w:lang w:eastAsia="en-GB"/>
        </w:rPr>
        <w:fldChar w:fldCharType="end"/>
      </w:r>
      <w:r>
        <w:rPr>
          <w:noProof/>
          <w:lang w:eastAsia="en-GB"/>
        </w:rPr>
        <w:t xml:space="preserve">). Comparing 2008 and 2017, EBITDA per tonne decreased by almost 50% from 49 EUR/tonne in 2008 to 25 EUR/tonne in 2017. By looking at trends in costs and margins, it is not possible to draw conclusions about the impact of electricity and natural gas costs on profitability. Nevertheless, </w:t>
      </w:r>
      <w:r>
        <w:rPr>
          <w:noProof/>
          <w:lang w:eastAsia="de-DE"/>
        </w:rPr>
        <w:t>it should be emphasised that energy costs are always much higher than EBITDA (r</w:t>
      </w:r>
      <w:r>
        <w:rPr>
          <w:noProof/>
          <w:sz w:val="20"/>
        </w:rPr>
        <w:t>atio of total energy costs to EBITDA ranges between 1.9 and 7.7)</w:t>
      </w:r>
      <w:r>
        <w:rPr>
          <w:noProof/>
          <w:lang w:eastAsia="de-DE"/>
        </w:rPr>
        <w:t xml:space="preserve">, which shows the high importance of energy costs for the competitiveness of nitrogen fertiliser </w:t>
      </w:r>
      <w:r>
        <w:rPr>
          <w:bCs/>
          <w:noProof/>
        </w:rPr>
        <w:t>production</w:t>
      </w:r>
      <w:r>
        <w:rPr>
          <w:noProof/>
          <w:lang w:eastAsia="de-DE"/>
        </w:rPr>
        <w:t>.</w:t>
      </w:r>
    </w:p>
    <w:p>
      <w:pPr>
        <w:rPr>
          <w:noProof/>
          <w:lang w:eastAsia="en-GB"/>
        </w:rPr>
      </w:pPr>
    </w:p>
    <w:p>
      <w:pPr>
        <w:pStyle w:val="Heading3"/>
        <w:rPr>
          <w:noProof/>
        </w:rPr>
      </w:pPr>
      <w:bookmarkStart w:id="561" w:name="_Toc526434079"/>
      <w:bookmarkStart w:id="562" w:name="_Toc526436023"/>
      <w:bookmarkStart w:id="563" w:name="_Toc527544448"/>
      <w:bookmarkStart w:id="564" w:name="_Toc530741686"/>
      <w:r>
        <w:rPr>
          <w:noProof/>
        </w:rPr>
        <w:t>Tables and graphs</w:t>
      </w:r>
      <w:bookmarkEnd w:id="561"/>
      <w:bookmarkEnd w:id="562"/>
      <w:bookmarkEnd w:id="563"/>
      <w:bookmarkEnd w:id="564"/>
    </w:p>
    <w:p>
      <w:pPr>
        <w:rPr>
          <w:b/>
          <w:i/>
          <w:noProof/>
          <w:lang w:eastAsia="en-GB"/>
        </w:rPr>
      </w:pPr>
      <w:r>
        <w:rPr>
          <w:b/>
          <w:i/>
          <w:noProof/>
          <w:lang w:eastAsia="en-GB"/>
        </w:rPr>
        <w:t>Electricity</w:t>
      </w:r>
    </w:p>
    <w:p>
      <w:pPr>
        <w:pStyle w:val="Caption"/>
      </w:pPr>
      <w:bookmarkStart w:id="565" w:name="_Ref528683977"/>
      <w:bookmarkStart w:id="566" w:name="_Toc526433634"/>
      <w:bookmarkStart w:id="567" w:name="_Toc526435576"/>
      <w:bookmarkStart w:id="568" w:name="_Toc527544804"/>
      <w:bookmarkStart w:id="569" w:name="_Toc530741822"/>
      <w:r>
        <w:t xml:space="preserve">Table </w:t>
      </w:r>
      <w:r>
        <w:fldChar w:fldCharType="begin"/>
      </w:r>
      <w:r>
        <w:instrText xml:space="preserve"> SEQ Table \* ARABIC </w:instrText>
      </w:r>
      <w:r>
        <w:fldChar w:fldCharType="separate"/>
      </w:r>
      <w:r>
        <w:t>29</w:t>
      </w:r>
      <w:r>
        <w:fldChar w:fldCharType="end"/>
      </w:r>
      <w:bookmarkEnd w:id="565"/>
      <w:r>
        <w:t>. Key electricity indicators of nitrogen fertiliser production</w:t>
      </w:r>
      <w:r>
        <w:rPr>
          <w:rFonts w:eastAsia="Times New Roman"/>
          <w:color w:val="000000"/>
          <w:lang w:eastAsia="en-GB"/>
        </w:rPr>
        <w:t xml:space="preserve"> </w:t>
      </w:r>
      <w:r>
        <w:t>(EU averages)</w:t>
      </w:r>
      <w:bookmarkEnd w:id="566"/>
      <w:bookmarkEnd w:id="567"/>
      <w:bookmarkEnd w:id="568"/>
      <w:bookmarkEnd w:id="5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tblHeader/>
          <w:jc w:val="center"/>
        </w:trPr>
        <w:tc>
          <w:tcPr>
            <w:tcW w:w="862"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39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67.4</w:t>
            </w:r>
          </w:p>
        </w:tc>
        <w:tc>
          <w:tcPr>
            <w:tcW w:w="43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68.9</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67.9</w:t>
            </w:r>
          </w:p>
        </w:tc>
        <w:tc>
          <w:tcPr>
            <w:tcW w:w="41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91.7</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83.1</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77.1</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69.7</w:t>
            </w:r>
          </w:p>
        </w:tc>
        <w:tc>
          <w:tcPr>
            <w:tcW w:w="413"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72.0</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66.5</w:t>
            </w:r>
          </w:p>
        </w:tc>
        <w:tc>
          <w:tcPr>
            <w:tcW w:w="41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69.3</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393" w:type="pct"/>
            <w:shd w:val="clear" w:color="auto" w:fill="auto"/>
            <w:noWrap/>
            <w:vAlign w:val="center"/>
            <w:hideMark/>
          </w:tcPr>
          <w:p>
            <w:pPr>
              <w:spacing w:before="60" w:after="60"/>
              <w:jc w:val="center"/>
              <w:rPr>
                <w:noProof/>
                <w:sz w:val="20"/>
                <w:szCs w:val="16"/>
                <w:lang w:eastAsia="it-IT"/>
              </w:rPr>
            </w:pPr>
            <w:r>
              <w:rPr>
                <w:noProof/>
                <w:sz w:val="20"/>
                <w:szCs w:val="16"/>
              </w:rPr>
              <w:t>64.0</w:t>
            </w:r>
          </w:p>
        </w:tc>
        <w:tc>
          <w:tcPr>
            <w:tcW w:w="435" w:type="pct"/>
            <w:shd w:val="clear" w:color="auto" w:fill="auto"/>
            <w:noWrap/>
            <w:vAlign w:val="center"/>
            <w:hideMark/>
          </w:tcPr>
          <w:p>
            <w:pPr>
              <w:spacing w:before="60" w:after="60"/>
              <w:jc w:val="center"/>
              <w:rPr>
                <w:noProof/>
                <w:sz w:val="20"/>
                <w:szCs w:val="16"/>
                <w:lang w:eastAsia="it-IT"/>
              </w:rPr>
            </w:pPr>
            <w:r>
              <w:rPr>
                <w:noProof/>
                <w:sz w:val="20"/>
                <w:szCs w:val="16"/>
              </w:rPr>
              <w:t>67.9</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66.3</w:t>
            </w:r>
          </w:p>
        </w:tc>
        <w:tc>
          <w:tcPr>
            <w:tcW w:w="415" w:type="pct"/>
            <w:shd w:val="clear" w:color="auto" w:fill="auto"/>
            <w:noWrap/>
            <w:vAlign w:val="center"/>
            <w:hideMark/>
          </w:tcPr>
          <w:p>
            <w:pPr>
              <w:spacing w:before="60" w:after="60"/>
              <w:jc w:val="center"/>
              <w:rPr>
                <w:noProof/>
                <w:sz w:val="20"/>
                <w:szCs w:val="16"/>
                <w:lang w:eastAsia="it-IT"/>
              </w:rPr>
            </w:pPr>
            <w:r>
              <w:rPr>
                <w:noProof/>
                <w:sz w:val="20"/>
                <w:szCs w:val="16"/>
              </w:rPr>
              <w:t>73.4</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70.0</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75.0</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65.2</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64.7</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60.3</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65.2</w:t>
            </w:r>
          </w:p>
        </w:tc>
      </w:tr>
      <w:tr>
        <w:trPr>
          <w:trHeight w:val="244"/>
          <w:jc w:val="center"/>
        </w:trPr>
        <w:tc>
          <w:tcPr>
            <w:tcW w:w="862"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393" w:type="pct"/>
            <w:shd w:val="clear" w:color="auto" w:fill="CEEBE6"/>
            <w:noWrap/>
            <w:vAlign w:val="center"/>
            <w:hideMark/>
          </w:tcPr>
          <w:p>
            <w:pPr>
              <w:spacing w:before="60" w:after="60"/>
              <w:jc w:val="center"/>
              <w:rPr>
                <w:noProof/>
                <w:sz w:val="20"/>
                <w:szCs w:val="16"/>
                <w:lang w:eastAsia="it-IT"/>
              </w:rPr>
            </w:pPr>
            <w:r>
              <w:rPr>
                <w:noProof/>
                <w:sz w:val="20"/>
                <w:szCs w:val="16"/>
              </w:rPr>
              <w:t>12.0</w:t>
            </w:r>
          </w:p>
        </w:tc>
        <w:tc>
          <w:tcPr>
            <w:tcW w:w="435" w:type="pct"/>
            <w:shd w:val="clear" w:color="auto" w:fill="CEEBE6"/>
            <w:noWrap/>
            <w:vAlign w:val="center"/>
            <w:hideMark/>
          </w:tcPr>
          <w:p>
            <w:pPr>
              <w:spacing w:before="60" w:after="60"/>
              <w:jc w:val="center"/>
              <w:rPr>
                <w:noProof/>
                <w:sz w:val="20"/>
                <w:szCs w:val="16"/>
                <w:lang w:eastAsia="it-IT"/>
              </w:rPr>
            </w:pPr>
            <w:r>
              <w:rPr>
                <w:noProof/>
                <w:sz w:val="20"/>
                <w:szCs w:val="16"/>
              </w:rPr>
              <w:t>12.1</w:t>
            </w:r>
          </w:p>
        </w:tc>
        <w:tc>
          <w:tcPr>
            <w:tcW w:w="413" w:type="pct"/>
            <w:shd w:val="clear" w:color="auto" w:fill="CEEBE6"/>
            <w:noWrap/>
            <w:vAlign w:val="center"/>
            <w:hideMark/>
          </w:tcPr>
          <w:p>
            <w:pPr>
              <w:spacing w:before="60" w:after="60"/>
              <w:jc w:val="center"/>
              <w:rPr>
                <w:noProof/>
                <w:sz w:val="20"/>
                <w:szCs w:val="16"/>
                <w:lang w:eastAsia="it-IT"/>
              </w:rPr>
            </w:pPr>
            <w:r>
              <w:rPr>
                <w:noProof/>
                <w:sz w:val="20"/>
                <w:szCs w:val="16"/>
              </w:rPr>
              <w:t>11.1</w:t>
            </w:r>
          </w:p>
        </w:tc>
        <w:tc>
          <w:tcPr>
            <w:tcW w:w="415" w:type="pct"/>
            <w:shd w:val="clear" w:color="auto" w:fill="CEEBE6"/>
            <w:noWrap/>
            <w:vAlign w:val="center"/>
            <w:hideMark/>
          </w:tcPr>
          <w:p>
            <w:pPr>
              <w:spacing w:before="60" w:after="60"/>
              <w:jc w:val="center"/>
              <w:rPr>
                <w:noProof/>
                <w:sz w:val="20"/>
                <w:szCs w:val="16"/>
                <w:lang w:eastAsia="it-IT"/>
              </w:rPr>
            </w:pPr>
            <w:r>
              <w:rPr>
                <w:noProof/>
                <w:sz w:val="20"/>
                <w:szCs w:val="16"/>
              </w:rPr>
              <w:t>12.3</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11.8</w:t>
            </w:r>
          </w:p>
        </w:tc>
        <w:tc>
          <w:tcPr>
            <w:tcW w:w="413" w:type="pct"/>
            <w:shd w:val="clear" w:color="auto" w:fill="CEEBE6"/>
            <w:noWrap/>
            <w:vAlign w:val="center"/>
            <w:hideMark/>
          </w:tcPr>
          <w:p>
            <w:pPr>
              <w:spacing w:before="60" w:after="60"/>
              <w:jc w:val="center"/>
              <w:rPr>
                <w:noProof/>
                <w:sz w:val="20"/>
                <w:szCs w:val="16"/>
                <w:lang w:eastAsia="it-IT"/>
              </w:rPr>
            </w:pPr>
            <w:r>
              <w:rPr>
                <w:noProof/>
                <w:sz w:val="20"/>
                <w:szCs w:val="16"/>
              </w:rPr>
              <w:t>13.4</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11.3</w:t>
            </w:r>
          </w:p>
        </w:tc>
        <w:tc>
          <w:tcPr>
            <w:tcW w:w="413" w:type="pct"/>
            <w:shd w:val="clear" w:color="auto" w:fill="CEEBE6"/>
            <w:noWrap/>
            <w:vAlign w:val="center"/>
            <w:hideMark/>
          </w:tcPr>
          <w:p>
            <w:pPr>
              <w:spacing w:before="60" w:after="60"/>
              <w:jc w:val="center"/>
              <w:rPr>
                <w:noProof/>
                <w:sz w:val="20"/>
                <w:szCs w:val="16"/>
                <w:lang w:eastAsia="it-IT"/>
              </w:rPr>
            </w:pPr>
            <w:r>
              <w:rPr>
                <w:noProof/>
                <w:sz w:val="20"/>
                <w:szCs w:val="16"/>
              </w:rPr>
              <w:t>11.0</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11.4</w:t>
            </w:r>
          </w:p>
        </w:tc>
        <w:tc>
          <w:tcPr>
            <w:tcW w:w="414" w:type="pct"/>
            <w:shd w:val="clear" w:color="auto" w:fill="CEEBE6"/>
            <w:noWrap/>
            <w:vAlign w:val="center"/>
            <w:hideMark/>
          </w:tcPr>
          <w:p>
            <w:pPr>
              <w:spacing w:before="60" w:after="60"/>
              <w:jc w:val="center"/>
              <w:rPr>
                <w:noProof/>
                <w:sz w:val="20"/>
                <w:szCs w:val="16"/>
                <w:lang w:eastAsia="it-IT"/>
              </w:rPr>
            </w:pPr>
            <w:r>
              <w:rPr>
                <w:noProof/>
                <w:sz w:val="20"/>
                <w:szCs w:val="16"/>
              </w:rPr>
              <w:t>10.7</w:t>
            </w:r>
          </w:p>
        </w:tc>
      </w:tr>
      <w:tr>
        <w:trPr>
          <w:trHeight w:val="244"/>
          <w:jc w:val="center"/>
        </w:trPr>
        <w:tc>
          <w:tcPr>
            <w:tcW w:w="862"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393" w:type="pct"/>
            <w:shd w:val="clear" w:color="auto" w:fill="auto"/>
            <w:noWrap/>
            <w:vAlign w:val="center"/>
          </w:tcPr>
          <w:p>
            <w:pPr>
              <w:keepNext/>
              <w:spacing w:before="60" w:after="60"/>
              <w:jc w:val="center"/>
              <w:rPr>
                <w:noProof/>
                <w:sz w:val="20"/>
                <w:szCs w:val="16"/>
                <w:lang w:eastAsia="it-IT"/>
              </w:rPr>
            </w:pPr>
            <w:r>
              <w:rPr>
                <w:noProof/>
                <w:sz w:val="20"/>
                <w:szCs w:val="16"/>
              </w:rPr>
              <w:t>0.19</w:t>
            </w:r>
          </w:p>
        </w:tc>
        <w:tc>
          <w:tcPr>
            <w:tcW w:w="435" w:type="pct"/>
            <w:shd w:val="clear" w:color="auto" w:fill="auto"/>
            <w:noWrap/>
            <w:vAlign w:val="center"/>
          </w:tcPr>
          <w:p>
            <w:pPr>
              <w:keepNext/>
              <w:spacing w:before="60" w:after="60"/>
              <w:jc w:val="center"/>
              <w:rPr>
                <w:noProof/>
                <w:sz w:val="20"/>
                <w:szCs w:val="16"/>
                <w:lang w:eastAsia="it-IT"/>
              </w:rPr>
            </w:pPr>
            <w:r>
              <w:rPr>
                <w:noProof/>
                <w:sz w:val="20"/>
                <w:szCs w:val="16"/>
              </w:rPr>
              <w:t>0.18</w:t>
            </w:r>
          </w:p>
        </w:tc>
        <w:tc>
          <w:tcPr>
            <w:tcW w:w="413"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5"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3" w:type="pct"/>
            <w:shd w:val="clear" w:color="auto" w:fill="auto"/>
            <w:noWrap/>
            <w:vAlign w:val="center"/>
          </w:tcPr>
          <w:p>
            <w:pPr>
              <w:keepNext/>
              <w:spacing w:before="60" w:after="60"/>
              <w:jc w:val="center"/>
              <w:rPr>
                <w:noProof/>
                <w:sz w:val="20"/>
                <w:szCs w:val="16"/>
                <w:lang w:eastAsia="it-IT"/>
              </w:rPr>
            </w:pPr>
            <w:r>
              <w:rPr>
                <w:noProof/>
                <w:sz w:val="20"/>
                <w:szCs w:val="16"/>
              </w:rPr>
              <w:t>0.18</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3" w:type="pct"/>
            <w:shd w:val="clear" w:color="auto" w:fill="auto"/>
            <w:noWrap/>
            <w:vAlign w:val="center"/>
          </w:tcPr>
          <w:p>
            <w:pPr>
              <w:keepNext/>
              <w:spacing w:before="60" w:after="60"/>
              <w:jc w:val="center"/>
              <w:rPr>
                <w:noProof/>
                <w:sz w:val="20"/>
                <w:szCs w:val="16"/>
                <w:lang w:eastAsia="it-IT"/>
              </w:rPr>
            </w:pPr>
            <w:r>
              <w:rPr>
                <w:noProof/>
                <w:sz w:val="20"/>
                <w:szCs w:val="16"/>
              </w:rPr>
              <w:t>0.17</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0.19</w:t>
            </w:r>
          </w:p>
        </w:tc>
        <w:tc>
          <w:tcPr>
            <w:tcW w:w="414" w:type="pct"/>
            <w:shd w:val="clear" w:color="auto" w:fill="auto"/>
            <w:noWrap/>
            <w:vAlign w:val="center"/>
          </w:tcPr>
          <w:p>
            <w:pPr>
              <w:keepNext/>
              <w:spacing w:before="60" w:after="60"/>
              <w:jc w:val="center"/>
              <w:rPr>
                <w:noProof/>
                <w:sz w:val="20"/>
                <w:szCs w:val="16"/>
                <w:lang w:eastAsia="it-IT"/>
              </w:rPr>
            </w:pPr>
            <w:r>
              <w:rPr>
                <w:noProof/>
                <w:sz w:val="20"/>
                <w:szCs w:val="16"/>
              </w:rPr>
              <w:t>0.18</w:t>
            </w:r>
          </w:p>
        </w:tc>
      </w:tr>
    </w:tbl>
    <w:p>
      <w:pPr>
        <w:pStyle w:val="Sources"/>
        <w:rPr>
          <w:noProof/>
        </w:rPr>
      </w:pPr>
      <w:bookmarkStart w:id="570" w:name="_Toc526433360"/>
      <w:r>
        <w:rPr>
          <w:noProof/>
        </w:rPr>
        <w:t>S</w:t>
      </w:r>
      <w:bookmarkEnd w:id="570"/>
      <w:r>
        <w:rPr>
          <w:noProof/>
        </w:rPr>
        <w:t>ource: CEPS/Ecofys.</w:t>
      </w:r>
    </w:p>
    <w:p>
      <w:pPr>
        <w:rPr>
          <w:noProof/>
        </w:rPr>
      </w:pPr>
    </w:p>
    <w:p>
      <w:pPr>
        <w:pStyle w:val="Caption"/>
        <w:rPr>
          <w:rFonts w:eastAsia="Times New Roman"/>
          <w:color w:val="000000"/>
          <w:lang w:eastAsia="en-GB"/>
        </w:rPr>
      </w:pPr>
      <w:bookmarkStart w:id="571" w:name="_Ref529291627"/>
      <w:bookmarkStart w:id="572" w:name="_Toc530741774"/>
      <w:r>
        <w:t xml:space="preserve">Figure </w:t>
      </w:r>
      <w:r>
        <w:fldChar w:fldCharType="begin"/>
      </w:r>
      <w:r>
        <w:instrText xml:space="preserve"> SEQ Figure \* ARABIC </w:instrText>
      </w:r>
      <w:r>
        <w:fldChar w:fldCharType="separate"/>
      </w:r>
      <w:r>
        <w:t>81</w:t>
      </w:r>
      <w:r>
        <w:fldChar w:fldCharType="end"/>
      </w:r>
      <w:bookmarkEnd w:id="571"/>
      <w:r>
        <w:t>. Components of the EU average electricity price for nitrogen fertiliser production (%)</w:t>
      </w:r>
      <w:bookmarkEnd w:id="572"/>
    </w:p>
    <w:p>
      <w:pPr>
        <w:keepNext/>
        <w:rPr>
          <w:noProof/>
        </w:rPr>
      </w:pPr>
      <w:r>
        <w:rPr>
          <w:noProof/>
          <w:lang w:eastAsia="en-GB"/>
        </w:rPr>
        <w:drawing>
          <wp:inline distT="0" distB="0" distL="0" distR="0">
            <wp:extent cx="5719445" cy="269113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9445" cy="269113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573" w:name="_Toc526433584"/>
      <w:bookmarkStart w:id="574" w:name="_Toc526433585"/>
      <w:bookmarkStart w:id="575" w:name="_Ref524524883"/>
      <w:bookmarkStart w:id="576" w:name="_Toc526433586"/>
      <w:bookmarkStart w:id="577" w:name="_Toc526433915"/>
      <w:bookmarkStart w:id="578" w:name="_Toc526435857"/>
      <w:bookmarkStart w:id="579" w:name="_Toc527544738"/>
      <w:bookmarkStart w:id="580" w:name="_Toc530741775"/>
      <w:r>
        <w:t>F</w:t>
      </w:r>
      <w:bookmarkEnd w:id="573"/>
      <w:bookmarkEnd w:id="574"/>
      <w:r>
        <w:t xml:space="preserve">igure </w:t>
      </w:r>
      <w:r>
        <w:fldChar w:fldCharType="begin"/>
      </w:r>
      <w:r>
        <w:instrText xml:space="preserve"> SEQ Figure \* ARABIC </w:instrText>
      </w:r>
      <w:r>
        <w:fldChar w:fldCharType="separate"/>
      </w:r>
      <w:r>
        <w:t>82</w:t>
      </w:r>
      <w:r>
        <w:fldChar w:fldCharType="end"/>
      </w:r>
      <w:bookmarkEnd w:id="575"/>
      <w:r>
        <w:t>.</w:t>
      </w:r>
      <w:bookmarkEnd w:id="576"/>
      <w:r>
        <w:t xml:space="preserve"> </w:t>
      </w:r>
      <w:r>
        <w:rPr>
          <w:rFonts w:eastAsia="Times New Roman"/>
          <w:color w:val="000000"/>
          <w:lang w:eastAsia="en-GB"/>
        </w:rPr>
        <w:t xml:space="preserve">Electricity costs </w:t>
      </w:r>
      <w:r>
        <w:t>of nitrogen fertiliser production</w:t>
      </w:r>
      <w:r>
        <w:rPr>
          <w:rFonts w:eastAsia="Times New Roman"/>
          <w:color w:val="000000"/>
          <w:lang w:eastAsia="en-GB"/>
        </w:rPr>
        <w:t xml:space="preserve"> (€/MWh)</w:t>
      </w:r>
      <w:bookmarkEnd w:id="577"/>
      <w:bookmarkEnd w:id="578"/>
      <w:bookmarkEnd w:id="579"/>
      <w:bookmarkEnd w:id="580"/>
    </w:p>
    <w:p>
      <w:pPr>
        <w:keepNext/>
        <w:rPr>
          <w:noProof/>
        </w:rPr>
      </w:pPr>
      <w:r>
        <w:rPr>
          <w:noProof/>
          <w:lang w:eastAsia="en-GB"/>
        </w:rPr>
        <w:drawing>
          <wp:inline distT="0" distB="0" distL="0" distR="0">
            <wp:extent cx="5727700" cy="2465070"/>
            <wp:effectExtent l="0" t="0" r="6350" b="0"/>
            <wp:docPr id="1449027035" name="Picture 144902703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9026486"/>
                    <pic:cNvPicPr>
                      <a:picLocks noGrp="1" noRot="1" noChangeAspect="1" noMove="1" noResize="1" noEditPoints="1" noAdjustHandles="1" noChangeArrowheads="1" noChangeShapeType="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7700" cy="246507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81" w:name="_Ref524524978"/>
      <w:bookmarkStart w:id="582" w:name="_Toc526433916"/>
      <w:bookmarkStart w:id="583" w:name="_Toc526435858"/>
      <w:bookmarkStart w:id="584" w:name="_Toc527544739"/>
      <w:bookmarkStart w:id="585" w:name="_Toc530741776"/>
      <w:r>
        <w:t xml:space="preserve">Figure </w:t>
      </w:r>
      <w:r>
        <w:fldChar w:fldCharType="begin"/>
      </w:r>
      <w:r>
        <w:instrText xml:space="preserve"> SEQ Figure \* ARABIC </w:instrText>
      </w:r>
      <w:r>
        <w:fldChar w:fldCharType="separate"/>
      </w:r>
      <w:r>
        <w:t>83</w:t>
      </w:r>
      <w:r>
        <w:fldChar w:fldCharType="end"/>
      </w:r>
      <w:bookmarkEnd w:id="581"/>
      <w:r>
        <w:t xml:space="preserve">. </w:t>
      </w:r>
      <w:r>
        <w:rPr>
          <w:rFonts w:eastAsia="Times New Roman"/>
          <w:color w:val="000000"/>
          <w:lang w:eastAsia="en-GB"/>
        </w:rPr>
        <w:t>Electricity costs</w:t>
      </w:r>
      <w:r>
        <w:t xml:space="preserve"> of nitrogen fertiliser production</w:t>
      </w:r>
      <w:r>
        <w:rPr>
          <w:rFonts w:eastAsia="Times New Roman"/>
          <w:color w:val="000000"/>
          <w:lang w:eastAsia="en-GB"/>
        </w:rPr>
        <w:t xml:space="preserve"> (€/tonne)</w:t>
      </w:r>
      <w:bookmarkEnd w:id="582"/>
      <w:bookmarkEnd w:id="583"/>
      <w:bookmarkEnd w:id="584"/>
      <w:bookmarkEnd w:id="585"/>
    </w:p>
    <w:p>
      <w:pPr>
        <w:keepNext/>
        <w:rPr>
          <w:b/>
          <w:noProof/>
        </w:rPr>
      </w:pPr>
      <w:r>
        <w:rPr>
          <w:noProof/>
          <w:lang w:eastAsia="en-GB"/>
        </w:rPr>
        <w:drawing>
          <wp:inline distT="0" distB="0" distL="0" distR="0">
            <wp:extent cx="5727700" cy="2670175"/>
            <wp:effectExtent l="0" t="0" r="6350" b="0"/>
            <wp:docPr id="1449027036" name="Picture 144902703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6"/>
                    <pic:cNvPicPr>
                      <a:picLocks noGrp="1" noRot="1" noChangeAspect="1" noMove="1" noResize="1" noEditPoints="1" noAdjustHandles="1" noChangeArrowheads="1" noChangeShapeType="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700" cy="267017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586" w:name="_Ref524524848"/>
      <w:bookmarkStart w:id="587" w:name="_Toc526433917"/>
      <w:bookmarkStart w:id="588" w:name="_Toc526435859"/>
      <w:bookmarkStart w:id="589" w:name="_Toc527544740"/>
      <w:bookmarkStart w:id="590" w:name="_Toc530741777"/>
      <w:r>
        <w:t xml:space="preserve">Figure </w:t>
      </w:r>
      <w:r>
        <w:fldChar w:fldCharType="begin"/>
      </w:r>
      <w:r>
        <w:instrText xml:space="preserve"> SEQ Figure \* ARABIC </w:instrText>
      </w:r>
      <w:r>
        <w:fldChar w:fldCharType="separate"/>
      </w:r>
      <w:r>
        <w:t>84</w:t>
      </w:r>
      <w:r>
        <w:fldChar w:fldCharType="end"/>
      </w:r>
      <w:bookmarkEnd w:id="586"/>
      <w:r>
        <w:t xml:space="preserve">. </w:t>
      </w:r>
      <w:r>
        <w:rPr>
          <w:rFonts w:eastAsia="Times New Roman"/>
          <w:color w:val="000000"/>
          <w:lang w:eastAsia="en-GB"/>
        </w:rPr>
        <w:t xml:space="preserve">Electricity intensity </w:t>
      </w:r>
      <w:r>
        <w:t>of nitrogen fertiliser production</w:t>
      </w:r>
      <w:r>
        <w:rPr>
          <w:rFonts w:eastAsia="Times New Roman"/>
          <w:color w:val="000000"/>
          <w:lang w:eastAsia="en-GB"/>
        </w:rPr>
        <w:t xml:space="preserve"> (MWh/tonne)</w:t>
      </w:r>
      <w:bookmarkEnd w:id="587"/>
      <w:bookmarkEnd w:id="588"/>
      <w:bookmarkEnd w:id="589"/>
      <w:bookmarkEnd w:id="590"/>
    </w:p>
    <w:p>
      <w:pPr>
        <w:keepNext/>
        <w:rPr>
          <w:b/>
          <w:bCs/>
          <w:noProof/>
        </w:rPr>
      </w:pPr>
      <w:r>
        <w:rPr>
          <w:noProof/>
          <w:lang w:eastAsia="en-GB"/>
        </w:rPr>
        <w:drawing>
          <wp:inline distT="0" distB="0" distL="0" distR="0">
            <wp:extent cx="5727700" cy="2662555"/>
            <wp:effectExtent l="0" t="0" r="6350" b="4445"/>
            <wp:docPr id="1449027037" name="Picture 144902703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7"/>
                    <pic:cNvPicPr>
                      <a:picLocks noGrp="1" noRot="1" noChangeAspect="1" noMove="1" noResize="1" noEditPoints="1" noAdjustHandles="1" noChangeArrowheads="1" noChangeShapeType="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266255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w:t>
      </w:r>
    </w:p>
    <w:p>
      <w:pPr>
        <w:pStyle w:val="Caption"/>
      </w:pPr>
      <w:bookmarkStart w:id="591" w:name="_Ref524533095"/>
      <w:bookmarkStart w:id="592" w:name="_Toc526433635"/>
      <w:bookmarkStart w:id="593" w:name="_Toc526435577"/>
      <w:bookmarkStart w:id="594" w:name="_Toc527544805"/>
      <w:bookmarkStart w:id="595" w:name="_Toc530741823"/>
      <w:r>
        <w:t xml:space="preserve">Table </w:t>
      </w:r>
      <w:r>
        <w:fldChar w:fldCharType="begin"/>
      </w:r>
      <w:r>
        <w:instrText xml:space="preserve"> SEQ Table \* ARABIC </w:instrText>
      </w:r>
      <w:r>
        <w:fldChar w:fldCharType="separate"/>
      </w:r>
      <w:r>
        <w:t>30</w:t>
      </w:r>
      <w:r>
        <w:fldChar w:fldCharType="end"/>
      </w:r>
      <w:bookmarkEnd w:id="591"/>
      <w:r>
        <w:t>. Key natural gas indicators of nitrogen fertiliser production</w:t>
      </w:r>
      <w:r>
        <w:rPr>
          <w:rFonts w:eastAsia="Times New Roman"/>
          <w:color w:val="000000"/>
          <w:lang w:eastAsia="en-GB"/>
        </w:rPr>
        <w:t xml:space="preserve"> </w:t>
      </w:r>
      <w:r>
        <w:t>(EU averages)</w:t>
      </w:r>
      <w:bookmarkEnd w:id="592"/>
      <w:bookmarkEnd w:id="593"/>
      <w:bookmarkEnd w:id="594"/>
      <w:bookmarkEnd w:id="5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730"/>
        <w:gridCol w:w="808"/>
        <w:gridCol w:w="767"/>
        <w:gridCol w:w="771"/>
        <w:gridCol w:w="769"/>
        <w:gridCol w:w="767"/>
        <w:gridCol w:w="769"/>
        <w:gridCol w:w="767"/>
        <w:gridCol w:w="769"/>
        <w:gridCol w:w="769"/>
      </w:tblGrid>
      <w:tr>
        <w:trPr>
          <w:trHeight w:val="244"/>
          <w:jc w:val="center"/>
        </w:trPr>
        <w:tc>
          <w:tcPr>
            <w:tcW w:w="862"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3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5"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862"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3" w:type="pct"/>
            <w:shd w:val="clear" w:color="auto" w:fill="CEEBE6"/>
            <w:noWrap/>
            <w:vAlign w:val="center"/>
          </w:tcPr>
          <w:p>
            <w:pPr>
              <w:spacing w:before="60" w:after="60"/>
              <w:jc w:val="center"/>
              <w:rPr>
                <w:noProof/>
                <w:sz w:val="20"/>
                <w:szCs w:val="16"/>
                <w:lang w:eastAsia="it-IT"/>
              </w:rPr>
            </w:pPr>
            <w:r>
              <w:rPr>
                <w:noProof/>
                <w:sz w:val="20"/>
                <w:szCs w:val="16"/>
              </w:rPr>
              <w:t>26.7</w:t>
            </w:r>
          </w:p>
        </w:tc>
        <w:tc>
          <w:tcPr>
            <w:tcW w:w="435" w:type="pct"/>
            <w:shd w:val="clear" w:color="auto" w:fill="CEEBE6"/>
            <w:noWrap/>
            <w:vAlign w:val="center"/>
          </w:tcPr>
          <w:p>
            <w:pPr>
              <w:spacing w:before="60" w:after="60"/>
              <w:jc w:val="center"/>
              <w:rPr>
                <w:noProof/>
                <w:sz w:val="20"/>
                <w:szCs w:val="16"/>
              </w:rPr>
            </w:pPr>
            <w:r>
              <w:rPr>
                <w:noProof/>
                <w:sz w:val="20"/>
                <w:szCs w:val="16"/>
              </w:rPr>
              <w:t>18.6</w:t>
            </w:r>
          </w:p>
        </w:tc>
        <w:tc>
          <w:tcPr>
            <w:tcW w:w="413" w:type="pct"/>
            <w:shd w:val="clear" w:color="auto" w:fill="CEEBE6"/>
            <w:noWrap/>
            <w:vAlign w:val="center"/>
          </w:tcPr>
          <w:p>
            <w:pPr>
              <w:spacing w:before="60" w:after="60"/>
              <w:jc w:val="center"/>
              <w:rPr>
                <w:noProof/>
                <w:sz w:val="20"/>
                <w:szCs w:val="16"/>
              </w:rPr>
            </w:pPr>
            <w:r>
              <w:rPr>
                <w:noProof/>
                <w:sz w:val="20"/>
                <w:szCs w:val="16"/>
              </w:rPr>
              <w:t>46.5</w:t>
            </w:r>
          </w:p>
        </w:tc>
        <w:tc>
          <w:tcPr>
            <w:tcW w:w="415" w:type="pct"/>
            <w:shd w:val="clear" w:color="auto" w:fill="CEEBE6"/>
            <w:noWrap/>
            <w:vAlign w:val="center"/>
          </w:tcPr>
          <w:p>
            <w:pPr>
              <w:spacing w:before="60" w:after="60"/>
              <w:jc w:val="center"/>
              <w:rPr>
                <w:noProof/>
                <w:sz w:val="20"/>
                <w:szCs w:val="16"/>
                <w:lang w:eastAsia="it-IT"/>
              </w:rPr>
            </w:pPr>
            <w:r>
              <w:rPr>
                <w:noProof/>
                <w:sz w:val="20"/>
                <w:szCs w:val="16"/>
              </w:rPr>
              <w:t>26.3</w:t>
            </w:r>
          </w:p>
        </w:tc>
        <w:tc>
          <w:tcPr>
            <w:tcW w:w="414" w:type="pct"/>
            <w:shd w:val="clear" w:color="auto" w:fill="CEEBE6"/>
            <w:noWrap/>
            <w:vAlign w:val="center"/>
          </w:tcPr>
          <w:p>
            <w:pPr>
              <w:spacing w:before="60" w:after="60"/>
              <w:jc w:val="center"/>
              <w:rPr>
                <w:noProof/>
                <w:sz w:val="20"/>
                <w:szCs w:val="16"/>
                <w:lang w:eastAsia="it-IT"/>
              </w:rPr>
            </w:pPr>
            <w:r>
              <w:rPr>
                <w:noProof/>
                <w:sz w:val="20"/>
                <w:szCs w:val="16"/>
              </w:rPr>
              <w:t>30.4</w:t>
            </w:r>
          </w:p>
        </w:tc>
        <w:tc>
          <w:tcPr>
            <w:tcW w:w="413" w:type="pct"/>
            <w:shd w:val="clear" w:color="auto" w:fill="CEEBE6"/>
            <w:noWrap/>
            <w:vAlign w:val="center"/>
          </w:tcPr>
          <w:p>
            <w:pPr>
              <w:spacing w:before="60" w:after="60"/>
              <w:jc w:val="center"/>
              <w:rPr>
                <w:noProof/>
                <w:sz w:val="20"/>
                <w:szCs w:val="16"/>
                <w:lang w:eastAsia="it-IT"/>
              </w:rPr>
            </w:pPr>
            <w:r>
              <w:rPr>
                <w:noProof/>
                <w:sz w:val="20"/>
                <w:szCs w:val="16"/>
              </w:rPr>
              <w:t>30.5</w:t>
            </w:r>
          </w:p>
        </w:tc>
        <w:tc>
          <w:tcPr>
            <w:tcW w:w="414" w:type="pct"/>
            <w:shd w:val="clear" w:color="auto" w:fill="CEEBE6"/>
            <w:noWrap/>
            <w:vAlign w:val="center"/>
          </w:tcPr>
          <w:p>
            <w:pPr>
              <w:spacing w:before="60" w:after="60"/>
              <w:jc w:val="center"/>
              <w:rPr>
                <w:noProof/>
                <w:sz w:val="20"/>
                <w:szCs w:val="16"/>
                <w:lang w:eastAsia="it-IT"/>
              </w:rPr>
            </w:pPr>
            <w:r>
              <w:rPr>
                <w:noProof/>
                <w:sz w:val="20"/>
                <w:szCs w:val="16"/>
              </w:rPr>
              <w:t>28.0</w:t>
            </w:r>
          </w:p>
        </w:tc>
        <w:tc>
          <w:tcPr>
            <w:tcW w:w="413" w:type="pct"/>
            <w:shd w:val="clear" w:color="auto" w:fill="CEEBE6"/>
            <w:noWrap/>
            <w:vAlign w:val="center"/>
          </w:tcPr>
          <w:p>
            <w:pPr>
              <w:spacing w:before="60" w:after="60"/>
              <w:jc w:val="center"/>
              <w:rPr>
                <w:noProof/>
                <w:sz w:val="20"/>
                <w:szCs w:val="16"/>
                <w:lang w:eastAsia="it-IT"/>
              </w:rPr>
            </w:pPr>
            <w:r>
              <w:rPr>
                <w:noProof/>
                <w:sz w:val="20"/>
                <w:szCs w:val="16"/>
              </w:rPr>
              <w:t>24.8</w:t>
            </w:r>
          </w:p>
        </w:tc>
        <w:tc>
          <w:tcPr>
            <w:tcW w:w="414" w:type="pct"/>
            <w:shd w:val="clear" w:color="auto" w:fill="CEEBE6"/>
            <w:noWrap/>
            <w:vAlign w:val="center"/>
          </w:tcPr>
          <w:p>
            <w:pPr>
              <w:spacing w:before="60" w:after="60"/>
              <w:jc w:val="center"/>
              <w:rPr>
                <w:noProof/>
                <w:sz w:val="20"/>
                <w:szCs w:val="16"/>
                <w:lang w:eastAsia="it-IT"/>
              </w:rPr>
            </w:pPr>
            <w:r>
              <w:rPr>
                <w:noProof/>
                <w:sz w:val="20"/>
                <w:szCs w:val="16"/>
              </w:rPr>
              <w:t>18.8</w:t>
            </w:r>
          </w:p>
        </w:tc>
        <w:tc>
          <w:tcPr>
            <w:tcW w:w="414" w:type="pct"/>
            <w:shd w:val="clear" w:color="auto" w:fill="CEEBE6"/>
            <w:noWrap/>
            <w:vAlign w:val="center"/>
          </w:tcPr>
          <w:p>
            <w:pPr>
              <w:spacing w:before="60" w:after="60"/>
              <w:jc w:val="center"/>
              <w:rPr>
                <w:noProof/>
                <w:sz w:val="20"/>
                <w:szCs w:val="16"/>
                <w:lang w:eastAsia="it-IT"/>
              </w:rPr>
            </w:pPr>
            <w:r>
              <w:rPr>
                <w:noProof/>
                <w:sz w:val="20"/>
                <w:szCs w:val="16"/>
              </w:rPr>
              <w:t>21.2</w:t>
            </w:r>
          </w:p>
        </w:tc>
      </w:tr>
      <w:tr>
        <w:trPr>
          <w:trHeight w:val="244"/>
          <w:jc w:val="center"/>
        </w:trPr>
        <w:tc>
          <w:tcPr>
            <w:tcW w:w="862"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3" w:type="pct"/>
            <w:shd w:val="clear" w:color="auto" w:fill="auto"/>
            <w:noWrap/>
            <w:vAlign w:val="center"/>
            <w:hideMark/>
          </w:tcPr>
          <w:p>
            <w:pPr>
              <w:spacing w:before="60" w:after="60"/>
              <w:jc w:val="center"/>
              <w:rPr>
                <w:noProof/>
                <w:sz w:val="20"/>
                <w:szCs w:val="16"/>
                <w:lang w:eastAsia="it-IT"/>
              </w:rPr>
            </w:pPr>
            <w:r>
              <w:rPr>
                <w:noProof/>
                <w:sz w:val="20"/>
                <w:szCs w:val="16"/>
              </w:rPr>
              <w:t>132.9</w:t>
            </w:r>
          </w:p>
        </w:tc>
        <w:tc>
          <w:tcPr>
            <w:tcW w:w="435" w:type="pct"/>
            <w:shd w:val="clear" w:color="auto" w:fill="auto"/>
            <w:noWrap/>
            <w:vAlign w:val="center"/>
            <w:hideMark/>
          </w:tcPr>
          <w:p>
            <w:pPr>
              <w:spacing w:before="60" w:after="60"/>
              <w:jc w:val="center"/>
              <w:rPr>
                <w:noProof/>
                <w:sz w:val="20"/>
                <w:szCs w:val="16"/>
                <w:lang w:eastAsia="it-IT"/>
              </w:rPr>
            </w:pPr>
            <w:r>
              <w:rPr>
                <w:noProof/>
                <w:sz w:val="20"/>
                <w:szCs w:val="16"/>
              </w:rPr>
              <w:t>84.7</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90.1</w:t>
            </w:r>
          </w:p>
        </w:tc>
        <w:tc>
          <w:tcPr>
            <w:tcW w:w="415" w:type="pct"/>
            <w:shd w:val="clear" w:color="auto" w:fill="auto"/>
            <w:noWrap/>
            <w:vAlign w:val="center"/>
            <w:hideMark/>
          </w:tcPr>
          <w:p>
            <w:pPr>
              <w:spacing w:before="60" w:after="60"/>
              <w:jc w:val="center"/>
              <w:rPr>
                <w:noProof/>
                <w:sz w:val="20"/>
                <w:szCs w:val="16"/>
                <w:lang w:eastAsia="it-IT"/>
              </w:rPr>
            </w:pPr>
            <w:r>
              <w:rPr>
                <w:noProof/>
                <w:sz w:val="20"/>
                <w:szCs w:val="16"/>
              </w:rPr>
              <w:t>124.5</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144.5</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146.6</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134.2</w:t>
            </w:r>
          </w:p>
        </w:tc>
        <w:tc>
          <w:tcPr>
            <w:tcW w:w="413" w:type="pct"/>
            <w:shd w:val="clear" w:color="auto" w:fill="auto"/>
            <w:noWrap/>
            <w:vAlign w:val="center"/>
            <w:hideMark/>
          </w:tcPr>
          <w:p>
            <w:pPr>
              <w:spacing w:before="60" w:after="60"/>
              <w:jc w:val="center"/>
              <w:rPr>
                <w:noProof/>
                <w:sz w:val="20"/>
                <w:szCs w:val="16"/>
                <w:lang w:eastAsia="it-IT"/>
              </w:rPr>
            </w:pPr>
            <w:r>
              <w:rPr>
                <w:noProof/>
                <w:sz w:val="20"/>
                <w:szCs w:val="16"/>
              </w:rPr>
              <w:t>119.2</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89.8</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99.2</w:t>
            </w:r>
          </w:p>
        </w:tc>
      </w:tr>
      <w:tr>
        <w:trPr>
          <w:trHeight w:val="244"/>
          <w:jc w:val="center"/>
        </w:trPr>
        <w:tc>
          <w:tcPr>
            <w:tcW w:w="862" w:type="pct"/>
            <w:shd w:val="clear" w:color="auto" w:fill="CEEBE6"/>
            <w:noWrap/>
            <w:vAlign w:val="center"/>
          </w:tcPr>
          <w:p>
            <w:pPr>
              <w:keepNext/>
              <w:spacing w:before="60" w:after="60"/>
              <w:jc w:val="left"/>
              <w:rPr>
                <w:b/>
                <w:bCs/>
                <w:noProof/>
                <w:sz w:val="20"/>
                <w:szCs w:val="16"/>
              </w:rPr>
            </w:pPr>
            <w:r>
              <w:rPr>
                <w:bCs/>
                <w:noProof/>
                <w:sz w:val="20"/>
                <w:szCs w:val="16"/>
              </w:rPr>
              <w:t>Natural gas intensity (MWh/tonne)</w:t>
            </w:r>
          </w:p>
        </w:tc>
        <w:tc>
          <w:tcPr>
            <w:tcW w:w="393" w:type="pct"/>
            <w:shd w:val="clear" w:color="auto" w:fill="CEEBE6"/>
            <w:noWrap/>
            <w:vAlign w:val="center"/>
          </w:tcPr>
          <w:p>
            <w:pPr>
              <w:keepNext/>
              <w:spacing w:before="60" w:after="60"/>
              <w:jc w:val="center"/>
              <w:rPr>
                <w:noProof/>
                <w:sz w:val="20"/>
                <w:szCs w:val="16"/>
                <w:lang w:eastAsia="it-IT"/>
              </w:rPr>
            </w:pPr>
            <w:r>
              <w:rPr>
                <w:noProof/>
                <w:sz w:val="20"/>
                <w:szCs w:val="16"/>
              </w:rPr>
              <w:t>5.1</w:t>
            </w:r>
          </w:p>
        </w:tc>
        <w:tc>
          <w:tcPr>
            <w:tcW w:w="435" w:type="pct"/>
            <w:shd w:val="clear" w:color="auto" w:fill="CEEBE6"/>
            <w:noWrap/>
            <w:vAlign w:val="center"/>
          </w:tcPr>
          <w:p>
            <w:pPr>
              <w:keepNext/>
              <w:spacing w:before="60" w:after="60"/>
              <w:jc w:val="center"/>
              <w:rPr>
                <w:noProof/>
                <w:sz w:val="20"/>
                <w:szCs w:val="16"/>
                <w:lang w:eastAsia="it-IT"/>
              </w:rPr>
            </w:pPr>
            <w:r>
              <w:rPr>
                <w:noProof/>
                <w:sz w:val="20"/>
                <w:szCs w:val="16"/>
              </w:rPr>
              <w:t>4.8</w:t>
            </w:r>
          </w:p>
        </w:tc>
        <w:tc>
          <w:tcPr>
            <w:tcW w:w="413" w:type="pct"/>
            <w:shd w:val="clear" w:color="auto" w:fill="CEEBE6"/>
            <w:noWrap/>
            <w:vAlign w:val="center"/>
          </w:tcPr>
          <w:p>
            <w:pPr>
              <w:keepNext/>
              <w:spacing w:before="60" w:after="60"/>
              <w:jc w:val="center"/>
              <w:rPr>
                <w:noProof/>
                <w:sz w:val="20"/>
                <w:szCs w:val="16"/>
                <w:lang w:eastAsia="it-IT"/>
              </w:rPr>
            </w:pPr>
            <w:r>
              <w:rPr>
                <w:noProof/>
                <w:sz w:val="20"/>
                <w:szCs w:val="16"/>
              </w:rPr>
              <w:t>4.6</w:t>
            </w:r>
          </w:p>
        </w:tc>
        <w:tc>
          <w:tcPr>
            <w:tcW w:w="415" w:type="pct"/>
            <w:shd w:val="clear" w:color="auto" w:fill="CEEBE6"/>
            <w:noWrap/>
            <w:vAlign w:val="center"/>
          </w:tcPr>
          <w:p>
            <w:pPr>
              <w:keepNext/>
              <w:spacing w:before="60" w:after="60"/>
              <w:jc w:val="center"/>
              <w:rPr>
                <w:noProof/>
                <w:sz w:val="20"/>
                <w:szCs w:val="16"/>
                <w:lang w:eastAsia="it-IT"/>
              </w:rPr>
            </w:pPr>
            <w:r>
              <w:rPr>
                <w:noProof/>
                <w:sz w:val="20"/>
                <w:szCs w:val="16"/>
              </w:rPr>
              <w:t>5.0</w:t>
            </w:r>
          </w:p>
        </w:tc>
        <w:tc>
          <w:tcPr>
            <w:tcW w:w="414" w:type="pct"/>
            <w:shd w:val="clear" w:color="auto" w:fill="CEEBE6"/>
            <w:noWrap/>
            <w:vAlign w:val="center"/>
          </w:tcPr>
          <w:p>
            <w:pPr>
              <w:keepNext/>
              <w:spacing w:before="60" w:after="60"/>
              <w:jc w:val="center"/>
              <w:rPr>
                <w:noProof/>
                <w:sz w:val="20"/>
                <w:szCs w:val="16"/>
                <w:lang w:eastAsia="it-IT"/>
              </w:rPr>
            </w:pPr>
            <w:r>
              <w:rPr>
                <w:noProof/>
                <w:sz w:val="20"/>
                <w:szCs w:val="16"/>
              </w:rPr>
              <w:t>5.0</w:t>
            </w:r>
          </w:p>
        </w:tc>
        <w:tc>
          <w:tcPr>
            <w:tcW w:w="413" w:type="pct"/>
            <w:shd w:val="clear" w:color="auto" w:fill="CEEBE6"/>
            <w:noWrap/>
            <w:vAlign w:val="center"/>
          </w:tcPr>
          <w:p>
            <w:pPr>
              <w:keepNext/>
              <w:spacing w:before="60" w:after="60"/>
              <w:jc w:val="center"/>
              <w:rPr>
                <w:noProof/>
                <w:sz w:val="20"/>
                <w:szCs w:val="16"/>
                <w:lang w:eastAsia="it-IT"/>
              </w:rPr>
            </w:pPr>
            <w:r>
              <w:rPr>
                <w:noProof/>
                <w:sz w:val="20"/>
                <w:szCs w:val="16"/>
              </w:rPr>
              <w:t>4.9</w:t>
            </w:r>
          </w:p>
        </w:tc>
        <w:tc>
          <w:tcPr>
            <w:tcW w:w="414" w:type="pct"/>
            <w:shd w:val="clear" w:color="auto" w:fill="CEEBE6"/>
            <w:noWrap/>
            <w:vAlign w:val="center"/>
          </w:tcPr>
          <w:p>
            <w:pPr>
              <w:keepNext/>
              <w:spacing w:before="60" w:after="60"/>
              <w:jc w:val="center"/>
              <w:rPr>
                <w:noProof/>
                <w:sz w:val="20"/>
                <w:szCs w:val="16"/>
                <w:lang w:eastAsia="it-IT"/>
              </w:rPr>
            </w:pPr>
            <w:r>
              <w:rPr>
                <w:noProof/>
                <w:sz w:val="20"/>
                <w:szCs w:val="16"/>
              </w:rPr>
              <w:t>5.0</w:t>
            </w:r>
          </w:p>
        </w:tc>
        <w:tc>
          <w:tcPr>
            <w:tcW w:w="413" w:type="pct"/>
            <w:shd w:val="clear" w:color="auto" w:fill="CEEBE6"/>
            <w:noWrap/>
            <w:vAlign w:val="center"/>
          </w:tcPr>
          <w:p>
            <w:pPr>
              <w:keepNext/>
              <w:spacing w:before="60" w:after="60"/>
              <w:jc w:val="center"/>
              <w:rPr>
                <w:noProof/>
                <w:sz w:val="20"/>
                <w:szCs w:val="16"/>
                <w:lang w:eastAsia="it-IT"/>
              </w:rPr>
            </w:pPr>
            <w:r>
              <w:rPr>
                <w:noProof/>
                <w:sz w:val="20"/>
                <w:szCs w:val="16"/>
              </w:rPr>
              <w:t>4.9</w:t>
            </w:r>
          </w:p>
        </w:tc>
        <w:tc>
          <w:tcPr>
            <w:tcW w:w="414" w:type="pct"/>
            <w:shd w:val="clear" w:color="auto" w:fill="CEEBE6"/>
            <w:noWrap/>
            <w:vAlign w:val="center"/>
          </w:tcPr>
          <w:p>
            <w:pPr>
              <w:keepNext/>
              <w:spacing w:before="60" w:after="60"/>
              <w:jc w:val="center"/>
              <w:rPr>
                <w:noProof/>
                <w:sz w:val="20"/>
                <w:szCs w:val="16"/>
                <w:lang w:eastAsia="it-IT"/>
              </w:rPr>
            </w:pPr>
            <w:r>
              <w:rPr>
                <w:noProof/>
                <w:sz w:val="20"/>
                <w:szCs w:val="16"/>
              </w:rPr>
              <w:t>5.0</w:t>
            </w:r>
          </w:p>
        </w:tc>
        <w:tc>
          <w:tcPr>
            <w:tcW w:w="414" w:type="pct"/>
            <w:shd w:val="clear" w:color="auto" w:fill="CEEBE6"/>
            <w:noWrap/>
            <w:vAlign w:val="center"/>
          </w:tcPr>
          <w:p>
            <w:pPr>
              <w:keepNext/>
              <w:spacing w:before="60" w:after="60"/>
              <w:jc w:val="center"/>
              <w:rPr>
                <w:noProof/>
                <w:sz w:val="20"/>
                <w:szCs w:val="16"/>
                <w:lang w:eastAsia="it-IT"/>
              </w:rPr>
            </w:pPr>
            <w:r>
              <w:rPr>
                <w:noProof/>
                <w:sz w:val="20"/>
                <w:szCs w:val="16"/>
              </w:rPr>
              <w:t>5.0</w:t>
            </w:r>
          </w:p>
        </w:tc>
      </w:tr>
    </w:tbl>
    <w:p>
      <w:pPr>
        <w:pStyle w:val="Sources"/>
        <w:rPr>
          <w:noProof/>
        </w:rPr>
      </w:pPr>
      <w:r>
        <w:rPr>
          <w:noProof/>
        </w:rPr>
        <w:t>Source: CEPS/Ecofys.</w:t>
      </w:r>
    </w:p>
    <w:p>
      <w:pPr>
        <w:pStyle w:val="Caption"/>
        <w:rPr>
          <w:rFonts w:eastAsia="Times New Roman"/>
          <w:color w:val="000000"/>
          <w:lang w:eastAsia="en-GB"/>
        </w:rPr>
      </w:pPr>
      <w:bookmarkStart w:id="596" w:name="_Ref528684076"/>
      <w:bookmarkStart w:id="597" w:name="_Toc526433918"/>
      <w:bookmarkStart w:id="598" w:name="_Toc526435860"/>
      <w:bookmarkStart w:id="599" w:name="_Toc527544741"/>
      <w:bookmarkStart w:id="600" w:name="_Toc530741778"/>
      <w:r>
        <w:t xml:space="preserve">Figure </w:t>
      </w:r>
      <w:r>
        <w:fldChar w:fldCharType="begin"/>
      </w:r>
      <w:r>
        <w:instrText xml:space="preserve"> SEQ Figure \* ARABIC </w:instrText>
      </w:r>
      <w:r>
        <w:fldChar w:fldCharType="separate"/>
      </w:r>
      <w:r>
        <w:t>85</w:t>
      </w:r>
      <w:r>
        <w:fldChar w:fldCharType="end"/>
      </w:r>
      <w:bookmarkEnd w:id="596"/>
      <w:r>
        <w:t xml:space="preserve">. </w:t>
      </w:r>
      <w:r>
        <w:rPr>
          <w:rFonts w:eastAsia="Times New Roman"/>
          <w:color w:val="000000"/>
          <w:lang w:eastAsia="en-GB"/>
        </w:rPr>
        <w:t>Natural gas prices</w:t>
      </w:r>
      <w:r>
        <w:t xml:space="preserve"> of nitrogen fertiliser production</w:t>
      </w:r>
      <w:r>
        <w:rPr>
          <w:rFonts w:eastAsia="Times New Roman"/>
          <w:color w:val="000000"/>
          <w:lang w:eastAsia="en-GB"/>
        </w:rPr>
        <w:t xml:space="preserve"> (€/MWh)</w:t>
      </w:r>
      <w:bookmarkEnd w:id="597"/>
      <w:bookmarkEnd w:id="598"/>
      <w:bookmarkEnd w:id="599"/>
      <w:bookmarkEnd w:id="600"/>
    </w:p>
    <w:p>
      <w:pPr>
        <w:keepNext/>
        <w:rPr>
          <w:b/>
          <w:bCs/>
          <w:noProof/>
        </w:rPr>
      </w:pPr>
      <w:r>
        <w:rPr>
          <w:noProof/>
          <w:lang w:eastAsia="en-GB"/>
        </w:rPr>
        <w:drawing>
          <wp:inline distT="0" distB="0" distL="0" distR="0">
            <wp:extent cx="5764530" cy="2523490"/>
            <wp:effectExtent l="0" t="0" r="7620" b="0"/>
            <wp:docPr id="1449027038" name="Picture 144902703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38"/>
                    <pic:cNvPicPr>
                      <a:picLocks noGrp="1" noRot="1" noChangeAspect="1" noMove="1" noResize="1" noEditPoints="1" noAdjustHandles="1" noChangeArrowheads="1" noChangeShapeType="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453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bookmarkStart w:id="601" w:name="_Toc526433361"/>
    </w:p>
    <w:p>
      <w:pPr>
        <w:pStyle w:val="Caption"/>
        <w:rPr>
          <w:rFonts w:eastAsia="Times New Roman"/>
          <w:color w:val="000000"/>
          <w:lang w:eastAsia="en-GB"/>
        </w:rPr>
      </w:pPr>
      <w:bookmarkStart w:id="602" w:name="_Ref529292900"/>
      <w:bookmarkStart w:id="603" w:name="_Toc530741779"/>
      <w:r>
        <w:t xml:space="preserve">Figure </w:t>
      </w:r>
      <w:r>
        <w:fldChar w:fldCharType="begin"/>
      </w:r>
      <w:r>
        <w:instrText xml:space="preserve"> SEQ Figure \* ARABIC </w:instrText>
      </w:r>
      <w:r>
        <w:fldChar w:fldCharType="separate"/>
      </w:r>
      <w:r>
        <w:t>86</w:t>
      </w:r>
      <w:r>
        <w:fldChar w:fldCharType="end"/>
      </w:r>
      <w:bookmarkEnd w:id="602"/>
      <w:r>
        <w:t>. Components of the EU average natural gas price for nitrogen fertiliser production (%)</w:t>
      </w:r>
      <w:bookmarkEnd w:id="603"/>
    </w:p>
    <w:p>
      <w:pPr>
        <w:keepNext/>
        <w:rPr>
          <w:noProof/>
        </w:rPr>
      </w:pPr>
      <w:r>
        <w:rPr>
          <w:noProof/>
          <w:lang w:eastAsia="en-GB"/>
        </w:rPr>
        <w:drawing>
          <wp:inline distT="0" distB="0" distL="0" distR="0">
            <wp:extent cx="5719445" cy="258762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9445" cy="2587625"/>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604" w:name="_Ref524524802"/>
      <w:bookmarkStart w:id="605" w:name="_Toc526433587"/>
      <w:bookmarkStart w:id="606" w:name="_Toc526433919"/>
      <w:bookmarkStart w:id="607" w:name="_Toc526435861"/>
      <w:bookmarkStart w:id="608" w:name="_Toc527544742"/>
      <w:bookmarkStart w:id="609" w:name="_Toc530741780"/>
      <w:bookmarkEnd w:id="601"/>
      <w:r>
        <w:t xml:space="preserve">Figure </w:t>
      </w:r>
      <w:r>
        <w:fldChar w:fldCharType="begin"/>
      </w:r>
      <w:r>
        <w:instrText xml:space="preserve"> SEQ Figure \* ARABIC </w:instrText>
      </w:r>
      <w:r>
        <w:fldChar w:fldCharType="separate"/>
      </w:r>
      <w:r>
        <w:t>87</w:t>
      </w:r>
      <w:r>
        <w:fldChar w:fldCharType="end"/>
      </w:r>
      <w:bookmarkEnd w:id="604"/>
      <w:r>
        <w:t>.</w:t>
      </w:r>
      <w:bookmarkEnd w:id="605"/>
      <w:r>
        <w:t xml:space="preserve"> </w:t>
      </w:r>
      <w:r>
        <w:rPr>
          <w:rFonts w:eastAsia="Times New Roman"/>
          <w:color w:val="000000"/>
          <w:lang w:eastAsia="en-GB"/>
        </w:rPr>
        <w:t>Natural gas costs</w:t>
      </w:r>
      <w:r>
        <w:t xml:space="preserve"> of nitrogen fertiliser production</w:t>
      </w:r>
      <w:r>
        <w:rPr>
          <w:rFonts w:eastAsia="Times New Roman"/>
          <w:color w:val="000000"/>
          <w:lang w:eastAsia="en-GB"/>
        </w:rPr>
        <w:t xml:space="preserve"> (€/tonne)</w:t>
      </w:r>
      <w:bookmarkEnd w:id="606"/>
      <w:bookmarkEnd w:id="607"/>
      <w:bookmarkEnd w:id="608"/>
      <w:bookmarkEnd w:id="609"/>
    </w:p>
    <w:p>
      <w:pPr>
        <w:keepNext/>
        <w:rPr>
          <w:b/>
          <w:bCs/>
          <w:noProof/>
          <w:lang w:eastAsia="it-IT"/>
        </w:rPr>
      </w:pPr>
      <w:r>
        <w:rPr>
          <w:noProof/>
          <w:lang w:eastAsia="en-GB"/>
        </w:rPr>
        <w:drawing>
          <wp:inline distT="0" distB="0" distL="0" distR="0">
            <wp:extent cx="5727700" cy="2662555"/>
            <wp:effectExtent l="0" t="0" r="6350" b="4445"/>
            <wp:docPr id="1449027039" name="Picture 1449027039"/>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3"/>
                    <pic:cNvPicPr>
                      <a:picLocks noGrp="1" noRot="1" noChangeAspect="1" noMove="1" noResize="1" noEditPoints="1" noAdjustHandles="1" noChangeArrowheads="1" noChangeShapeType="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700" cy="2662555"/>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610" w:name="_Ref528684098"/>
      <w:bookmarkStart w:id="611" w:name="_Toc526433588"/>
      <w:bookmarkStart w:id="612" w:name="_Toc526433920"/>
      <w:bookmarkStart w:id="613" w:name="_Toc526435862"/>
      <w:bookmarkStart w:id="614" w:name="_Toc527544743"/>
      <w:bookmarkStart w:id="615" w:name="_Toc530741781"/>
      <w:r>
        <w:t xml:space="preserve">Figure </w:t>
      </w:r>
      <w:r>
        <w:fldChar w:fldCharType="begin"/>
      </w:r>
      <w:r>
        <w:instrText xml:space="preserve"> SEQ Figure \* ARABIC </w:instrText>
      </w:r>
      <w:r>
        <w:fldChar w:fldCharType="separate"/>
      </w:r>
      <w:r>
        <w:t>88</w:t>
      </w:r>
      <w:r>
        <w:fldChar w:fldCharType="end"/>
      </w:r>
      <w:bookmarkStart w:id="616" w:name="_Toc526433589"/>
      <w:bookmarkEnd w:id="610"/>
      <w:r>
        <w:t>.</w:t>
      </w:r>
      <w:bookmarkEnd w:id="611"/>
      <w:bookmarkEnd w:id="616"/>
      <w:r>
        <w:t xml:space="preserve"> </w:t>
      </w:r>
      <w:r>
        <w:rPr>
          <w:rFonts w:eastAsia="Times New Roman"/>
          <w:color w:val="000000"/>
          <w:lang w:eastAsia="en-GB"/>
        </w:rPr>
        <w:t xml:space="preserve">Natural gas intensity </w:t>
      </w:r>
      <w:r>
        <w:t>of nitrogen fertiliser production</w:t>
      </w:r>
      <w:r>
        <w:rPr>
          <w:rFonts w:eastAsia="Times New Roman"/>
          <w:color w:val="000000"/>
          <w:lang w:eastAsia="en-GB"/>
        </w:rPr>
        <w:t xml:space="preserve"> (MWh/tonne)</w:t>
      </w:r>
      <w:bookmarkEnd w:id="612"/>
      <w:bookmarkEnd w:id="613"/>
      <w:bookmarkEnd w:id="614"/>
      <w:bookmarkEnd w:id="615"/>
    </w:p>
    <w:p>
      <w:pPr>
        <w:keepNext/>
        <w:rPr>
          <w:b/>
          <w:bCs/>
          <w:noProof/>
          <w:lang w:eastAsia="it-IT"/>
        </w:rPr>
      </w:pPr>
      <w:r>
        <w:rPr>
          <w:noProof/>
          <w:lang w:eastAsia="en-GB"/>
        </w:rPr>
        <w:drawing>
          <wp:inline distT="0" distB="0" distL="0" distR="0">
            <wp:extent cx="5727700" cy="2677160"/>
            <wp:effectExtent l="0" t="0" r="6350" b="8890"/>
            <wp:docPr id="1449027040" name="Picture 144902704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44"/>
                    <pic:cNvPicPr>
                      <a:picLocks noGrp="1" noRot="1" noChangeAspect="1" noMove="1" noResize="1" noEditPoints="1" noAdjustHandles="1" noChangeArrowheads="1" noChangeShapeType="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700" cy="267716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spacing w:after="0"/>
        <w:jc w:val="left"/>
        <w:rPr>
          <w:rFonts w:eastAsia="Times New Roman"/>
          <w:b/>
          <w:bCs/>
          <w:i/>
          <w:noProof/>
          <w:color w:val="000000"/>
          <w:szCs w:val="24"/>
          <w:lang w:eastAsia="en-GB"/>
        </w:rPr>
      </w:pPr>
      <w:r>
        <w:rPr>
          <w:rFonts w:eastAsia="Times New Roman"/>
          <w:b/>
          <w:bCs/>
          <w:i/>
          <w:noProof/>
          <w:color w:val="000000"/>
          <w:szCs w:val="24"/>
          <w:lang w:eastAsia="en-GB"/>
        </w:rPr>
        <w:br w:type="page"/>
      </w: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617" w:name="_Ref524524599"/>
      <w:bookmarkStart w:id="618" w:name="_Toc526433636"/>
      <w:bookmarkStart w:id="619" w:name="_Toc526435578"/>
      <w:bookmarkStart w:id="620" w:name="_Toc527544806"/>
      <w:bookmarkStart w:id="621" w:name="_Toc530741824"/>
      <w:r>
        <w:t xml:space="preserve">Table </w:t>
      </w:r>
      <w:r>
        <w:fldChar w:fldCharType="begin"/>
      </w:r>
      <w:r>
        <w:instrText xml:space="preserve"> SEQ Table \* ARABIC </w:instrText>
      </w:r>
      <w:r>
        <w:fldChar w:fldCharType="separate"/>
      </w:r>
      <w:r>
        <w:t>31</w:t>
      </w:r>
      <w:r>
        <w:fldChar w:fldCharType="end"/>
      </w:r>
      <w:bookmarkEnd w:id="617"/>
      <w:r>
        <w:t>. Key competitiveness indicators of nitrogen fertiliser production</w:t>
      </w:r>
      <w:r>
        <w:rPr>
          <w:rFonts w:eastAsia="Times New Roman"/>
          <w:color w:val="000000"/>
          <w:lang w:eastAsia="en-GB"/>
        </w:rPr>
        <w:t xml:space="preserve"> </w:t>
      </w:r>
      <w:r>
        <w:t>(EU averages)</w:t>
      </w:r>
      <w:bookmarkEnd w:id="618"/>
      <w:bookmarkEnd w:id="619"/>
      <w:bookmarkEnd w:id="620"/>
      <w:bookmarkEnd w:id="621"/>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53"/>
        <w:gridCol w:w="753"/>
        <w:gridCol w:w="751"/>
        <w:gridCol w:w="751"/>
        <w:gridCol w:w="751"/>
        <w:gridCol w:w="751"/>
        <w:gridCol w:w="751"/>
        <w:gridCol w:w="751"/>
        <w:gridCol w:w="751"/>
        <w:gridCol w:w="749"/>
      </w:tblGrid>
      <w:tr>
        <w:trPr>
          <w:trHeight w:val="244"/>
          <w:tblHeader/>
          <w:jc w:val="center"/>
        </w:trPr>
        <w:tc>
          <w:tcPr>
            <w:tcW w:w="979" w:type="pct"/>
            <w:shd w:val="clear" w:color="auto" w:fill="317C6F"/>
            <w:noWrap/>
            <w:vAlign w:val="center"/>
            <w:hideMark/>
          </w:tcPr>
          <w:p>
            <w:pPr>
              <w:spacing w:before="60" w:after="60"/>
              <w:jc w:val="left"/>
              <w:rPr>
                <w:b/>
                <w:bCs/>
                <w:noProof/>
                <w:color w:val="FFFFFF"/>
                <w:sz w:val="20"/>
                <w:szCs w:val="16"/>
              </w:rPr>
            </w:pPr>
            <w:bookmarkStart w:id="622" w:name="_Toc526433362"/>
            <w:r>
              <w:rPr>
                <w:b/>
                <w:bCs/>
                <w:noProof/>
                <w:color w:val="FFFFFF"/>
                <w:sz w:val="20"/>
                <w:szCs w:val="16"/>
              </w:rPr>
              <w:t>Indicator</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0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2009</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2011</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02"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01"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5.5</w:t>
            </w:r>
          </w:p>
        </w:tc>
        <w:tc>
          <w:tcPr>
            <w:tcW w:w="403" w:type="pct"/>
            <w:shd w:val="clear" w:color="auto" w:fill="CEEBE6"/>
            <w:noWrap/>
            <w:vAlign w:val="center"/>
          </w:tcPr>
          <w:p>
            <w:pPr>
              <w:spacing w:before="60" w:after="60"/>
              <w:jc w:val="center"/>
              <w:rPr>
                <w:noProof/>
                <w:sz w:val="20"/>
                <w:szCs w:val="16"/>
              </w:rPr>
            </w:pPr>
            <w:r>
              <w:rPr>
                <w:noProof/>
                <w:sz w:val="20"/>
                <w:szCs w:val="16"/>
              </w:rPr>
              <w:t>7.3</w:t>
            </w:r>
          </w:p>
        </w:tc>
        <w:tc>
          <w:tcPr>
            <w:tcW w:w="402" w:type="pct"/>
            <w:shd w:val="clear" w:color="auto" w:fill="CEEBE6"/>
            <w:noWrap/>
            <w:vAlign w:val="center"/>
          </w:tcPr>
          <w:p>
            <w:pPr>
              <w:spacing w:before="60" w:after="60"/>
              <w:jc w:val="center"/>
              <w:rPr>
                <w:noProof/>
                <w:sz w:val="20"/>
                <w:szCs w:val="16"/>
              </w:rPr>
            </w:pPr>
            <w:r>
              <w:rPr>
                <w:noProof/>
                <w:sz w:val="20"/>
                <w:szCs w:val="16"/>
              </w:rPr>
              <w:t>6.4</w:t>
            </w:r>
          </w:p>
        </w:tc>
        <w:tc>
          <w:tcPr>
            <w:tcW w:w="402" w:type="pct"/>
            <w:shd w:val="clear" w:color="auto" w:fill="CEEBE6"/>
            <w:noWrap/>
            <w:vAlign w:val="center"/>
          </w:tcPr>
          <w:p>
            <w:pPr>
              <w:spacing w:before="60" w:after="60"/>
              <w:jc w:val="center"/>
              <w:rPr>
                <w:noProof/>
                <w:sz w:val="20"/>
                <w:szCs w:val="16"/>
              </w:rPr>
            </w:pPr>
            <w:r>
              <w:rPr>
                <w:noProof/>
                <w:sz w:val="20"/>
                <w:szCs w:val="16"/>
              </w:rPr>
              <w:t>6.1</w:t>
            </w:r>
          </w:p>
        </w:tc>
        <w:tc>
          <w:tcPr>
            <w:tcW w:w="402" w:type="pct"/>
            <w:shd w:val="clear" w:color="auto" w:fill="CEEBE6"/>
            <w:noWrap/>
            <w:vAlign w:val="center"/>
          </w:tcPr>
          <w:p>
            <w:pPr>
              <w:spacing w:before="60" w:after="60"/>
              <w:jc w:val="center"/>
              <w:rPr>
                <w:noProof/>
                <w:sz w:val="20"/>
                <w:szCs w:val="16"/>
              </w:rPr>
            </w:pPr>
            <w:r>
              <w:rPr>
                <w:noProof/>
                <w:sz w:val="20"/>
                <w:szCs w:val="16"/>
              </w:rPr>
              <w:t>5.1</w:t>
            </w:r>
          </w:p>
        </w:tc>
        <w:tc>
          <w:tcPr>
            <w:tcW w:w="402" w:type="pct"/>
            <w:shd w:val="clear" w:color="auto" w:fill="CEEBE6"/>
            <w:noWrap/>
            <w:vAlign w:val="center"/>
          </w:tcPr>
          <w:p>
            <w:pPr>
              <w:spacing w:before="60" w:after="60"/>
              <w:jc w:val="center"/>
              <w:rPr>
                <w:noProof/>
                <w:sz w:val="20"/>
                <w:szCs w:val="16"/>
              </w:rPr>
            </w:pPr>
            <w:r>
              <w:rPr>
                <w:noProof/>
                <w:sz w:val="20"/>
                <w:szCs w:val="16"/>
              </w:rPr>
              <w:t>5.7</w:t>
            </w:r>
          </w:p>
        </w:tc>
        <w:tc>
          <w:tcPr>
            <w:tcW w:w="402" w:type="pct"/>
            <w:shd w:val="clear" w:color="auto" w:fill="CEEBE6"/>
            <w:noWrap/>
            <w:vAlign w:val="center"/>
          </w:tcPr>
          <w:p>
            <w:pPr>
              <w:spacing w:before="60" w:after="60"/>
              <w:jc w:val="center"/>
              <w:rPr>
                <w:noProof/>
                <w:sz w:val="20"/>
                <w:szCs w:val="16"/>
              </w:rPr>
            </w:pPr>
            <w:r>
              <w:rPr>
                <w:noProof/>
                <w:sz w:val="20"/>
                <w:szCs w:val="16"/>
              </w:rPr>
              <w:t>5.2</w:t>
            </w:r>
          </w:p>
        </w:tc>
        <w:tc>
          <w:tcPr>
            <w:tcW w:w="402" w:type="pct"/>
            <w:shd w:val="clear" w:color="auto" w:fill="CEEBE6"/>
            <w:noWrap/>
            <w:vAlign w:val="center"/>
          </w:tcPr>
          <w:p>
            <w:pPr>
              <w:spacing w:before="60" w:after="60"/>
              <w:jc w:val="center"/>
              <w:rPr>
                <w:noProof/>
                <w:sz w:val="20"/>
                <w:szCs w:val="16"/>
              </w:rPr>
            </w:pPr>
            <w:r>
              <w:rPr>
                <w:noProof/>
                <w:sz w:val="20"/>
                <w:szCs w:val="16"/>
              </w:rPr>
              <w:t>5.2</w:t>
            </w:r>
          </w:p>
        </w:tc>
        <w:tc>
          <w:tcPr>
            <w:tcW w:w="402" w:type="pct"/>
            <w:shd w:val="clear" w:color="auto" w:fill="CEEBE6"/>
            <w:noWrap/>
            <w:vAlign w:val="center"/>
          </w:tcPr>
          <w:p>
            <w:pPr>
              <w:spacing w:before="60" w:after="60"/>
              <w:jc w:val="center"/>
              <w:rPr>
                <w:noProof/>
                <w:sz w:val="20"/>
                <w:szCs w:val="16"/>
              </w:rPr>
            </w:pPr>
            <w:r>
              <w:rPr>
                <w:noProof/>
                <w:sz w:val="20"/>
                <w:szCs w:val="16"/>
              </w:rPr>
              <w:t>6.6</w:t>
            </w:r>
          </w:p>
        </w:tc>
        <w:tc>
          <w:tcPr>
            <w:tcW w:w="401" w:type="pct"/>
            <w:shd w:val="clear" w:color="auto" w:fill="CEEBE6"/>
            <w:noWrap/>
            <w:vAlign w:val="center"/>
          </w:tcPr>
          <w:p>
            <w:pPr>
              <w:spacing w:before="60" w:after="60"/>
              <w:jc w:val="center"/>
              <w:rPr>
                <w:noProof/>
                <w:sz w:val="20"/>
                <w:szCs w:val="16"/>
              </w:rPr>
            </w:pPr>
            <w:r>
              <w:rPr>
                <w:noProof/>
                <w:sz w:val="20"/>
                <w:szCs w:val="16"/>
              </w:rPr>
              <w:t>7.1</w:t>
            </w:r>
          </w:p>
        </w:tc>
      </w:tr>
      <w:tr>
        <w:trPr>
          <w:trHeight w:val="244"/>
          <w:jc w:val="center"/>
        </w:trPr>
        <w:tc>
          <w:tcPr>
            <w:tcW w:w="979"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403" w:type="pct"/>
            <w:shd w:val="clear" w:color="auto" w:fill="auto"/>
            <w:noWrap/>
            <w:vAlign w:val="center"/>
          </w:tcPr>
          <w:p>
            <w:pPr>
              <w:spacing w:before="60" w:after="60"/>
              <w:jc w:val="center"/>
              <w:rPr>
                <w:noProof/>
                <w:sz w:val="20"/>
                <w:szCs w:val="16"/>
              </w:rPr>
            </w:pPr>
            <w:r>
              <w:rPr>
                <w:noProof/>
                <w:sz w:val="20"/>
                <w:szCs w:val="16"/>
              </w:rPr>
              <w:t>61.2</w:t>
            </w:r>
          </w:p>
        </w:tc>
        <w:tc>
          <w:tcPr>
            <w:tcW w:w="403" w:type="pct"/>
            <w:shd w:val="clear" w:color="auto" w:fill="auto"/>
            <w:noWrap/>
            <w:vAlign w:val="center"/>
          </w:tcPr>
          <w:p>
            <w:pPr>
              <w:spacing w:before="60" w:after="60"/>
              <w:jc w:val="center"/>
              <w:rPr>
                <w:noProof/>
                <w:sz w:val="20"/>
                <w:szCs w:val="16"/>
              </w:rPr>
            </w:pPr>
            <w:r>
              <w:rPr>
                <w:noProof/>
                <w:sz w:val="20"/>
                <w:szCs w:val="16"/>
              </w:rPr>
              <w:t>51.1</w:t>
            </w:r>
          </w:p>
        </w:tc>
        <w:tc>
          <w:tcPr>
            <w:tcW w:w="402" w:type="pct"/>
            <w:shd w:val="clear" w:color="auto" w:fill="auto"/>
            <w:noWrap/>
            <w:vAlign w:val="center"/>
          </w:tcPr>
          <w:p>
            <w:pPr>
              <w:spacing w:before="60" w:after="60"/>
              <w:jc w:val="center"/>
              <w:rPr>
                <w:noProof/>
                <w:sz w:val="20"/>
                <w:szCs w:val="16"/>
              </w:rPr>
            </w:pPr>
            <w:r>
              <w:rPr>
                <w:noProof/>
                <w:sz w:val="20"/>
                <w:szCs w:val="16"/>
              </w:rPr>
              <w:t>51.6</w:t>
            </w:r>
          </w:p>
        </w:tc>
        <w:tc>
          <w:tcPr>
            <w:tcW w:w="402" w:type="pct"/>
            <w:shd w:val="clear" w:color="auto" w:fill="auto"/>
            <w:noWrap/>
            <w:vAlign w:val="center"/>
          </w:tcPr>
          <w:p>
            <w:pPr>
              <w:spacing w:before="60" w:after="60"/>
              <w:jc w:val="center"/>
              <w:rPr>
                <w:noProof/>
                <w:sz w:val="20"/>
                <w:szCs w:val="16"/>
              </w:rPr>
            </w:pPr>
            <w:r>
              <w:rPr>
                <w:noProof/>
                <w:sz w:val="20"/>
                <w:szCs w:val="16"/>
              </w:rPr>
              <w:t>61.3</w:t>
            </w:r>
          </w:p>
        </w:tc>
        <w:tc>
          <w:tcPr>
            <w:tcW w:w="402" w:type="pct"/>
            <w:shd w:val="clear" w:color="auto" w:fill="auto"/>
            <w:noWrap/>
            <w:vAlign w:val="center"/>
          </w:tcPr>
          <w:p>
            <w:pPr>
              <w:spacing w:before="60" w:after="60"/>
              <w:jc w:val="center"/>
              <w:rPr>
                <w:noProof/>
                <w:sz w:val="20"/>
                <w:szCs w:val="16"/>
              </w:rPr>
            </w:pPr>
            <w:r>
              <w:rPr>
                <w:noProof/>
                <w:sz w:val="20"/>
                <w:szCs w:val="16"/>
              </w:rPr>
              <w:t>63.0</w:t>
            </w:r>
          </w:p>
        </w:tc>
        <w:tc>
          <w:tcPr>
            <w:tcW w:w="402" w:type="pct"/>
            <w:shd w:val="clear" w:color="auto" w:fill="auto"/>
            <w:noWrap/>
            <w:vAlign w:val="center"/>
          </w:tcPr>
          <w:p>
            <w:pPr>
              <w:spacing w:before="60" w:after="60"/>
              <w:jc w:val="center"/>
              <w:rPr>
                <w:noProof/>
                <w:sz w:val="20"/>
                <w:szCs w:val="16"/>
              </w:rPr>
            </w:pPr>
            <w:r>
              <w:rPr>
                <w:noProof/>
                <w:sz w:val="20"/>
                <w:szCs w:val="16"/>
              </w:rPr>
              <w:t>62.2</w:t>
            </w:r>
          </w:p>
        </w:tc>
        <w:tc>
          <w:tcPr>
            <w:tcW w:w="402" w:type="pct"/>
            <w:shd w:val="clear" w:color="auto" w:fill="auto"/>
            <w:noWrap/>
            <w:vAlign w:val="center"/>
          </w:tcPr>
          <w:p>
            <w:pPr>
              <w:spacing w:before="60" w:after="60"/>
              <w:jc w:val="center"/>
              <w:rPr>
                <w:noProof/>
                <w:sz w:val="20"/>
                <w:szCs w:val="16"/>
              </w:rPr>
            </w:pPr>
            <w:r>
              <w:rPr>
                <w:noProof/>
                <w:sz w:val="20"/>
                <w:szCs w:val="16"/>
              </w:rPr>
              <w:t>61.6</w:t>
            </w:r>
          </w:p>
        </w:tc>
        <w:tc>
          <w:tcPr>
            <w:tcW w:w="402" w:type="pct"/>
            <w:shd w:val="clear" w:color="auto" w:fill="auto"/>
            <w:noWrap/>
            <w:vAlign w:val="center"/>
          </w:tcPr>
          <w:p>
            <w:pPr>
              <w:spacing w:before="60" w:after="60"/>
              <w:jc w:val="center"/>
              <w:rPr>
                <w:noProof/>
                <w:sz w:val="20"/>
                <w:szCs w:val="16"/>
              </w:rPr>
            </w:pPr>
            <w:r>
              <w:rPr>
                <w:noProof/>
                <w:sz w:val="20"/>
                <w:szCs w:val="16"/>
              </w:rPr>
              <w:t>55.8</w:t>
            </w:r>
          </w:p>
        </w:tc>
        <w:tc>
          <w:tcPr>
            <w:tcW w:w="402" w:type="pct"/>
            <w:shd w:val="clear" w:color="auto" w:fill="auto"/>
            <w:noWrap/>
            <w:vAlign w:val="center"/>
          </w:tcPr>
          <w:p>
            <w:pPr>
              <w:spacing w:before="60" w:after="60"/>
              <w:jc w:val="center"/>
              <w:rPr>
                <w:noProof/>
                <w:sz w:val="20"/>
                <w:szCs w:val="16"/>
              </w:rPr>
            </w:pPr>
            <w:r>
              <w:rPr>
                <w:noProof/>
                <w:sz w:val="20"/>
                <w:szCs w:val="16"/>
              </w:rPr>
              <w:t>52.1</w:t>
            </w:r>
          </w:p>
        </w:tc>
        <w:tc>
          <w:tcPr>
            <w:tcW w:w="401" w:type="pct"/>
            <w:shd w:val="clear" w:color="auto" w:fill="auto"/>
            <w:noWrap/>
            <w:vAlign w:val="center"/>
          </w:tcPr>
          <w:p>
            <w:pPr>
              <w:spacing w:before="60" w:after="60"/>
              <w:jc w:val="center"/>
              <w:rPr>
                <w:noProof/>
                <w:sz w:val="20"/>
                <w:szCs w:val="16"/>
              </w:rPr>
            </w:pPr>
            <w:r>
              <w:rPr>
                <w:noProof/>
                <w:sz w:val="20"/>
                <w:szCs w:val="16"/>
              </w:rPr>
              <w:t>66.2</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Share of total energy costs in production costs (%)</w:t>
            </w:r>
          </w:p>
        </w:tc>
        <w:tc>
          <w:tcPr>
            <w:tcW w:w="403" w:type="pct"/>
            <w:shd w:val="clear" w:color="auto" w:fill="CEEBE6"/>
            <w:noWrap/>
            <w:vAlign w:val="center"/>
          </w:tcPr>
          <w:p>
            <w:pPr>
              <w:spacing w:before="60" w:after="60"/>
              <w:jc w:val="center"/>
              <w:rPr>
                <w:noProof/>
                <w:sz w:val="20"/>
                <w:szCs w:val="16"/>
              </w:rPr>
            </w:pPr>
            <w:r>
              <w:rPr>
                <w:noProof/>
                <w:sz w:val="20"/>
                <w:szCs w:val="16"/>
              </w:rPr>
              <w:t>66.7</w:t>
            </w:r>
          </w:p>
        </w:tc>
        <w:tc>
          <w:tcPr>
            <w:tcW w:w="403" w:type="pct"/>
            <w:shd w:val="clear" w:color="auto" w:fill="CEEBE6"/>
            <w:noWrap/>
            <w:vAlign w:val="center"/>
          </w:tcPr>
          <w:p>
            <w:pPr>
              <w:spacing w:before="60" w:after="60"/>
              <w:jc w:val="center"/>
              <w:rPr>
                <w:noProof/>
                <w:sz w:val="20"/>
                <w:szCs w:val="16"/>
              </w:rPr>
            </w:pPr>
            <w:r>
              <w:rPr>
                <w:noProof/>
                <w:sz w:val="20"/>
                <w:szCs w:val="16"/>
              </w:rPr>
              <w:t>58.4</w:t>
            </w:r>
          </w:p>
        </w:tc>
        <w:tc>
          <w:tcPr>
            <w:tcW w:w="402" w:type="pct"/>
            <w:shd w:val="clear" w:color="auto" w:fill="CEEBE6"/>
            <w:noWrap/>
            <w:vAlign w:val="center"/>
          </w:tcPr>
          <w:p>
            <w:pPr>
              <w:spacing w:before="60" w:after="60"/>
              <w:jc w:val="center"/>
              <w:rPr>
                <w:noProof/>
                <w:sz w:val="20"/>
                <w:szCs w:val="16"/>
              </w:rPr>
            </w:pPr>
            <w:r>
              <w:rPr>
                <w:noProof/>
                <w:sz w:val="20"/>
                <w:szCs w:val="16"/>
              </w:rPr>
              <w:t>58.0</w:t>
            </w:r>
          </w:p>
        </w:tc>
        <w:tc>
          <w:tcPr>
            <w:tcW w:w="402" w:type="pct"/>
            <w:shd w:val="clear" w:color="auto" w:fill="CEEBE6"/>
            <w:noWrap/>
            <w:vAlign w:val="center"/>
          </w:tcPr>
          <w:p>
            <w:pPr>
              <w:spacing w:before="60" w:after="60"/>
              <w:jc w:val="center"/>
              <w:rPr>
                <w:noProof/>
                <w:sz w:val="20"/>
                <w:szCs w:val="16"/>
              </w:rPr>
            </w:pPr>
            <w:r>
              <w:rPr>
                <w:noProof/>
                <w:sz w:val="20"/>
                <w:szCs w:val="16"/>
              </w:rPr>
              <w:t>67.4</w:t>
            </w:r>
          </w:p>
        </w:tc>
        <w:tc>
          <w:tcPr>
            <w:tcW w:w="402" w:type="pct"/>
            <w:shd w:val="clear" w:color="auto" w:fill="CEEBE6"/>
            <w:noWrap/>
            <w:vAlign w:val="center"/>
          </w:tcPr>
          <w:p>
            <w:pPr>
              <w:spacing w:before="60" w:after="60"/>
              <w:jc w:val="center"/>
              <w:rPr>
                <w:noProof/>
                <w:sz w:val="20"/>
                <w:szCs w:val="16"/>
              </w:rPr>
            </w:pPr>
            <w:r>
              <w:rPr>
                <w:noProof/>
                <w:sz w:val="20"/>
                <w:szCs w:val="16"/>
              </w:rPr>
              <w:t>68.1</w:t>
            </w:r>
          </w:p>
        </w:tc>
        <w:tc>
          <w:tcPr>
            <w:tcW w:w="402" w:type="pct"/>
            <w:shd w:val="clear" w:color="auto" w:fill="CEEBE6"/>
            <w:noWrap/>
            <w:vAlign w:val="center"/>
          </w:tcPr>
          <w:p>
            <w:pPr>
              <w:spacing w:before="60" w:after="60"/>
              <w:jc w:val="center"/>
              <w:rPr>
                <w:noProof/>
                <w:sz w:val="20"/>
                <w:szCs w:val="16"/>
              </w:rPr>
            </w:pPr>
            <w:r>
              <w:rPr>
                <w:noProof/>
                <w:sz w:val="20"/>
                <w:szCs w:val="16"/>
              </w:rPr>
              <w:t>67.9</w:t>
            </w:r>
          </w:p>
        </w:tc>
        <w:tc>
          <w:tcPr>
            <w:tcW w:w="402" w:type="pct"/>
            <w:shd w:val="clear" w:color="auto" w:fill="CEEBE6"/>
            <w:noWrap/>
            <w:vAlign w:val="center"/>
          </w:tcPr>
          <w:p>
            <w:pPr>
              <w:spacing w:before="60" w:after="60"/>
              <w:jc w:val="center"/>
              <w:rPr>
                <w:noProof/>
                <w:sz w:val="20"/>
                <w:szCs w:val="16"/>
              </w:rPr>
            </w:pPr>
            <w:r>
              <w:rPr>
                <w:noProof/>
                <w:sz w:val="20"/>
                <w:szCs w:val="16"/>
              </w:rPr>
              <w:t>66.8</w:t>
            </w:r>
          </w:p>
        </w:tc>
        <w:tc>
          <w:tcPr>
            <w:tcW w:w="402" w:type="pct"/>
            <w:shd w:val="clear" w:color="auto" w:fill="CEEBE6"/>
            <w:noWrap/>
            <w:vAlign w:val="center"/>
          </w:tcPr>
          <w:p>
            <w:pPr>
              <w:spacing w:before="60" w:after="60"/>
              <w:jc w:val="center"/>
              <w:rPr>
                <w:noProof/>
                <w:sz w:val="20"/>
                <w:szCs w:val="16"/>
              </w:rPr>
            </w:pPr>
            <w:r>
              <w:rPr>
                <w:noProof/>
                <w:sz w:val="20"/>
                <w:szCs w:val="16"/>
              </w:rPr>
              <w:t>61.0</w:t>
            </w:r>
          </w:p>
        </w:tc>
        <w:tc>
          <w:tcPr>
            <w:tcW w:w="402" w:type="pct"/>
            <w:shd w:val="clear" w:color="auto" w:fill="CEEBE6"/>
            <w:noWrap/>
            <w:vAlign w:val="center"/>
          </w:tcPr>
          <w:p>
            <w:pPr>
              <w:spacing w:before="60" w:after="60"/>
              <w:jc w:val="center"/>
              <w:rPr>
                <w:noProof/>
                <w:sz w:val="20"/>
                <w:szCs w:val="16"/>
              </w:rPr>
            </w:pPr>
            <w:r>
              <w:rPr>
                <w:noProof/>
                <w:sz w:val="20"/>
                <w:szCs w:val="16"/>
              </w:rPr>
              <w:t>58.7</w:t>
            </w:r>
          </w:p>
        </w:tc>
        <w:tc>
          <w:tcPr>
            <w:tcW w:w="401" w:type="pct"/>
            <w:shd w:val="clear" w:color="auto" w:fill="CEEBE6"/>
            <w:noWrap/>
            <w:vAlign w:val="center"/>
          </w:tcPr>
          <w:p>
            <w:pPr>
              <w:spacing w:before="60" w:after="60"/>
              <w:jc w:val="center"/>
              <w:rPr>
                <w:noProof/>
                <w:sz w:val="20"/>
                <w:szCs w:val="16"/>
              </w:rPr>
            </w:pPr>
            <w:r>
              <w:rPr>
                <w:noProof/>
                <w:sz w:val="20"/>
                <w:szCs w:val="16"/>
              </w:rPr>
              <w:t>73.3</w:t>
            </w:r>
          </w:p>
        </w:tc>
      </w:tr>
      <w:tr>
        <w:trPr>
          <w:trHeight w:val="244"/>
          <w:jc w:val="center"/>
        </w:trPr>
        <w:tc>
          <w:tcPr>
            <w:tcW w:w="979" w:type="pct"/>
            <w:shd w:val="clear" w:color="auto" w:fill="auto"/>
            <w:noWrap/>
            <w:vAlign w:val="center"/>
          </w:tcPr>
          <w:p>
            <w:pPr>
              <w:spacing w:before="60" w:after="60"/>
              <w:jc w:val="left"/>
              <w:rPr>
                <w:bCs/>
                <w:noProof/>
                <w:sz w:val="20"/>
                <w:szCs w:val="16"/>
                <w:lang w:val="fr-FR"/>
              </w:rPr>
            </w:pPr>
            <w:r>
              <w:rPr>
                <w:bCs/>
                <w:noProof/>
                <w:sz w:val="20"/>
                <w:szCs w:val="16"/>
              </w:rPr>
              <w:t>Total energy costs (€/tonne)</w:t>
            </w:r>
          </w:p>
        </w:tc>
        <w:tc>
          <w:tcPr>
            <w:tcW w:w="403" w:type="pct"/>
            <w:shd w:val="clear" w:color="auto" w:fill="auto"/>
            <w:noWrap/>
            <w:vAlign w:val="center"/>
          </w:tcPr>
          <w:p>
            <w:pPr>
              <w:spacing w:before="60" w:after="60"/>
              <w:jc w:val="center"/>
              <w:rPr>
                <w:noProof/>
                <w:sz w:val="20"/>
                <w:szCs w:val="16"/>
              </w:rPr>
            </w:pPr>
            <w:r>
              <w:rPr>
                <w:noProof/>
                <w:sz w:val="20"/>
                <w:szCs w:val="16"/>
              </w:rPr>
              <w:t>144.9</w:t>
            </w:r>
          </w:p>
        </w:tc>
        <w:tc>
          <w:tcPr>
            <w:tcW w:w="403" w:type="pct"/>
            <w:shd w:val="clear" w:color="auto" w:fill="auto"/>
            <w:noWrap/>
            <w:vAlign w:val="center"/>
          </w:tcPr>
          <w:p>
            <w:pPr>
              <w:spacing w:before="60" w:after="60"/>
              <w:jc w:val="center"/>
              <w:rPr>
                <w:noProof/>
                <w:sz w:val="20"/>
                <w:szCs w:val="16"/>
              </w:rPr>
            </w:pPr>
            <w:r>
              <w:rPr>
                <w:noProof/>
                <w:sz w:val="20"/>
                <w:szCs w:val="16"/>
              </w:rPr>
              <w:t>96.8</w:t>
            </w:r>
          </w:p>
        </w:tc>
        <w:tc>
          <w:tcPr>
            <w:tcW w:w="402" w:type="pct"/>
            <w:shd w:val="clear" w:color="auto" w:fill="auto"/>
            <w:noWrap/>
            <w:vAlign w:val="center"/>
          </w:tcPr>
          <w:p>
            <w:pPr>
              <w:spacing w:before="60" w:after="60"/>
              <w:jc w:val="center"/>
              <w:rPr>
                <w:noProof/>
                <w:sz w:val="20"/>
                <w:szCs w:val="16"/>
              </w:rPr>
            </w:pPr>
            <w:r>
              <w:rPr>
                <w:noProof/>
                <w:sz w:val="20"/>
                <w:szCs w:val="16"/>
              </w:rPr>
              <w:t>101.2</w:t>
            </w:r>
          </w:p>
        </w:tc>
        <w:tc>
          <w:tcPr>
            <w:tcW w:w="402" w:type="pct"/>
            <w:shd w:val="clear" w:color="auto" w:fill="auto"/>
            <w:noWrap/>
            <w:vAlign w:val="center"/>
          </w:tcPr>
          <w:p>
            <w:pPr>
              <w:spacing w:before="60" w:after="60"/>
              <w:jc w:val="center"/>
              <w:rPr>
                <w:noProof/>
                <w:sz w:val="20"/>
                <w:szCs w:val="16"/>
              </w:rPr>
            </w:pPr>
            <w:r>
              <w:rPr>
                <w:noProof/>
                <w:sz w:val="20"/>
                <w:szCs w:val="16"/>
              </w:rPr>
              <w:t>136.8</w:t>
            </w:r>
          </w:p>
        </w:tc>
        <w:tc>
          <w:tcPr>
            <w:tcW w:w="402" w:type="pct"/>
            <w:shd w:val="clear" w:color="auto" w:fill="auto"/>
            <w:noWrap/>
            <w:vAlign w:val="center"/>
          </w:tcPr>
          <w:p>
            <w:pPr>
              <w:spacing w:before="60" w:after="60"/>
              <w:jc w:val="center"/>
              <w:rPr>
                <w:noProof/>
                <w:sz w:val="20"/>
                <w:szCs w:val="16"/>
              </w:rPr>
            </w:pPr>
            <w:r>
              <w:rPr>
                <w:noProof/>
                <w:sz w:val="20"/>
                <w:szCs w:val="16"/>
              </w:rPr>
              <w:t>156.3</w:t>
            </w:r>
          </w:p>
        </w:tc>
        <w:tc>
          <w:tcPr>
            <w:tcW w:w="402" w:type="pct"/>
            <w:shd w:val="clear" w:color="auto" w:fill="auto"/>
            <w:noWrap/>
            <w:vAlign w:val="center"/>
          </w:tcPr>
          <w:p>
            <w:pPr>
              <w:spacing w:before="60" w:after="60"/>
              <w:jc w:val="center"/>
              <w:rPr>
                <w:noProof/>
                <w:sz w:val="20"/>
                <w:szCs w:val="16"/>
              </w:rPr>
            </w:pPr>
            <w:r>
              <w:rPr>
                <w:noProof/>
                <w:sz w:val="20"/>
                <w:szCs w:val="16"/>
              </w:rPr>
              <w:t>160.0</w:t>
            </w:r>
          </w:p>
        </w:tc>
        <w:tc>
          <w:tcPr>
            <w:tcW w:w="402" w:type="pct"/>
            <w:shd w:val="clear" w:color="auto" w:fill="auto"/>
            <w:noWrap/>
            <w:vAlign w:val="center"/>
          </w:tcPr>
          <w:p>
            <w:pPr>
              <w:spacing w:before="60" w:after="60"/>
              <w:jc w:val="center"/>
              <w:rPr>
                <w:noProof/>
                <w:sz w:val="20"/>
                <w:szCs w:val="16"/>
              </w:rPr>
            </w:pPr>
            <w:r>
              <w:rPr>
                <w:noProof/>
                <w:sz w:val="20"/>
                <w:szCs w:val="16"/>
              </w:rPr>
              <w:t>145.5</w:t>
            </w:r>
          </w:p>
        </w:tc>
        <w:tc>
          <w:tcPr>
            <w:tcW w:w="402" w:type="pct"/>
            <w:shd w:val="clear" w:color="auto" w:fill="auto"/>
            <w:noWrap/>
            <w:vAlign w:val="center"/>
          </w:tcPr>
          <w:p>
            <w:pPr>
              <w:spacing w:before="60" w:after="60"/>
              <w:jc w:val="center"/>
              <w:rPr>
                <w:noProof/>
                <w:sz w:val="20"/>
                <w:szCs w:val="16"/>
              </w:rPr>
            </w:pPr>
            <w:r>
              <w:rPr>
                <w:noProof/>
                <w:sz w:val="20"/>
                <w:szCs w:val="16"/>
              </w:rPr>
              <w:t>130.2</w:t>
            </w:r>
          </w:p>
        </w:tc>
        <w:tc>
          <w:tcPr>
            <w:tcW w:w="402" w:type="pct"/>
            <w:shd w:val="clear" w:color="auto" w:fill="auto"/>
            <w:noWrap/>
            <w:vAlign w:val="center"/>
          </w:tcPr>
          <w:p>
            <w:pPr>
              <w:spacing w:before="60" w:after="60"/>
              <w:jc w:val="center"/>
              <w:rPr>
                <w:noProof/>
                <w:sz w:val="20"/>
                <w:szCs w:val="16"/>
              </w:rPr>
            </w:pPr>
            <w:r>
              <w:rPr>
                <w:noProof/>
                <w:sz w:val="20"/>
                <w:szCs w:val="16"/>
              </w:rPr>
              <w:t>101.2</w:t>
            </w:r>
          </w:p>
        </w:tc>
        <w:tc>
          <w:tcPr>
            <w:tcW w:w="401" w:type="pct"/>
            <w:shd w:val="clear" w:color="auto" w:fill="auto"/>
            <w:noWrap/>
            <w:vAlign w:val="center"/>
          </w:tcPr>
          <w:p>
            <w:pPr>
              <w:spacing w:before="60" w:after="60"/>
              <w:jc w:val="center"/>
              <w:rPr>
                <w:noProof/>
                <w:sz w:val="20"/>
                <w:szCs w:val="16"/>
              </w:rPr>
            </w:pPr>
            <w:r>
              <w:rPr>
                <w:noProof/>
                <w:sz w:val="20"/>
                <w:szCs w:val="16"/>
              </w:rPr>
              <w:t>109.9</w:t>
            </w:r>
          </w:p>
        </w:tc>
      </w:tr>
      <w:tr>
        <w:trPr>
          <w:trHeight w:val="244"/>
          <w:jc w:val="center"/>
        </w:trPr>
        <w:tc>
          <w:tcPr>
            <w:tcW w:w="979" w:type="pct"/>
            <w:shd w:val="clear" w:color="auto" w:fill="CEEBE6"/>
            <w:noWrap/>
            <w:vAlign w:val="center"/>
          </w:tcPr>
          <w:p>
            <w:pPr>
              <w:spacing w:before="60" w:after="60"/>
              <w:jc w:val="left"/>
              <w:rPr>
                <w:bCs/>
                <w:noProof/>
                <w:sz w:val="20"/>
                <w:szCs w:val="16"/>
              </w:rPr>
            </w:pPr>
            <w:r>
              <w:rPr>
                <w:bCs/>
                <w:noProof/>
                <w:sz w:val="20"/>
                <w:szCs w:val="16"/>
              </w:rPr>
              <w:t>EBITDA (€/tonne)</w:t>
            </w:r>
          </w:p>
        </w:tc>
        <w:tc>
          <w:tcPr>
            <w:tcW w:w="403" w:type="pct"/>
            <w:shd w:val="clear" w:color="auto" w:fill="CEEBE6"/>
            <w:noWrap/>
            <w:vAlign w:val="center"/>
          </w:tcPr>
          <w:p>
            <w:pPr>
              <w:spacing w:before="60" w:after="60"/>
              <w:jc w:val="center"/>
              <w:rPr>
                <w:noProof/>
                <w:sz w:val="20"/>
                <w:szCs w:val="16"/>
              </w:rPr>
            </w:pPr>
            <w:r>
              <w:rPr>
                <w:noProof/>
                <w:sz w:val="20"/>
                <w:szCs w:val="16"/>
              </w:rPr>
              <w:t>48.6</w:t>
            </w:r>
          </w:p>
        </w:tc>
        <w:tc>
          <w:tcPr>
            <w:tcW w:w="403" w:type="pct"/>
            <w:shd w:val="clear" w:color="auto" w:fill="CEEBE6"/>
            <w:noWrap/>
            <w:vAlign w:val="center"/>
          </w:tcPr>
          <w:p>
            <w:pPr>
              <w:spacing w:before="60" w:after="60"/>
              <w:jc w:val="center"/>
              <w:rPr>
                <w:noProof/>
                <w:sz w:val="20"/>
                <w:szCs w:val="16"/>
              </w:rPr>
            </w:pPr>
            <w:r>
              <w:rPr>
                <w:noProof/>
                <w:sz w:val="20"/>
                <w:szCs w:val="16"/>
              </w:rPr>
              <w:t>12.5</w:t>
            </w:r>
          </w:p>
        </w:tc>
        <w:tc>
          <w:tcPr>
            <w:tcW w:w="402" w:type="pct"/>
            <w:shd w:val="clear" w:color="auto" w:fill="CEEBE6"/>
            <w:noWrap/>
            <w:vAlign w:val="center"/>
          </w:tcPr>
          <w:p>
            <w:pPr>
              <w:spacing w:before="60" w:after="60"/>
              <w:jc w:val="center"/>
              <w:rPr>
                <w:noProof/>
                <w:sz w:val="20"/>
                <w:szCs w:val="16"/>
              </w:rPr>
            </w:pPr>
            <w:r>
              <w:rPr>
                <w:noProof/>
                <w:sz w:val="20"/>
                <w:szCs w:val="16"/>
              </w:rPr>
              <w:t>40.7</w:t>
            </w:r>
          </w:p>
        </w:tc>
        <w:tc>
          <w:tcPr>
            <w:tcW w:w="402" w:type="pct"/>
            <w:shd w:val="clear" w:color="auto" w:fill="CEEBE6"/>
            <w:noWrap/>
            <w:vAlign w:val="center"/>
          </w:tcPr>
          <w:p>
            <w:pPr>
              <w:spacing w:before="60" w:after="60"/>
              <w:jc w:val="center"/>
              <w:rPr>
                <w:noProof/>
                <w:sz w:val="20"/>
                <w:szCs w:val="16"/>
              </w:rPr>
            </w:pPr>
            <w:r>
              <w:rPr>
                <w:noProof/>
                <w:sz w:val="20"/>
                <w:szCs w:val="16"/>
              </w:rPr>
              <w:t>71.0</w:t>
            </w:r>
          </w:p>
        </w:tc>
        <w:tc>
          <w:tcPr>
            <w:tcW w:w="402" w:type="pct"/>
            <w:shd w:val="clear" w:color="auto" w:fill="CEEBE6"/>
            <w:noWrap/>
            <w:vAlign w:val="center"/>
          </w:tcPr>
          <w:p>
            <w:pPr>
              <w:spacing w:before="60" w:after="60"/>
              <w:jc w:val="center"/>
              <w:rPr>
                <w:noProof/>
                <w:sz w:val="20"/>
                <w:szCs w:val="16"/>
              </w:rPr>
            </w:pPr>
            <w:r>
              <w:rPr>
                <w:noProof/>
                <w:sz w:val="20"/>
                <w:szCs w:val="16"/>
              </w:rPr>
              <w:t>56.2</w:t>
            </w:r>
          </w:p>
        </w:tc>
        <w:tc>
          <w:tcPr>
            <w:tcW w:w="402" w:type="pct"/>
            <w:shd w:val="clear" w:color="auto" w:fill="CEEBE6"/>
            <w:noWrap/>
            <w:vAlign w:val="center"/>
          </w:tcPr>
          <w:p>
            <w:pPr>
              <w:spacing w:before="60" w:after="60"/>
              <w:jc w:val="center"/>
              <w:rPr>
                <w:noProof/>
                <w:sz w:val="20"/>
                <w:szCs w:val="16"/>
              </w:rPr>
            </w:pPr>
            <w:r>
              <w:rPr>
                <w:noProof/>
                <w:sz w:val="20"/>
                <w:szCs w:val="16"/>
              </w:rPr>
              <w:t>29.0</w:t>
            </w:r>
          </w:p>
        </w:tc>
        <w:tc>
          <w:tcPr>
            <w:tcW w:w="402" w:type="pct"/>
            <w:shd w:val="clear" w:color="auto" w:fill="CEEBE6"/>
            <w:noWrap/>
            <w:vAlign w:val="center"/>
          </w:tcPr>
          <w:p>
            <w:pPr>
              <w:spacing w:before="60" w:after="60"/>
              <w:jc w:val="center"/>
              <w:rPr>
                <w:noProof/>
                <w:sz w:val="20"/>
                <w:szCs w:val="16"/>
              </w:rPr>
            </w:pPr>
            <w:r>
              <w:rPr>
                <w:noProof/>
                <w:sz w:val="20"/>
                <w:szCs w:val="16"/>
              </w:rPr>
              <w:t>43.1</w:t>
            </w:r>
          </w:p>
        </w:tc>
        <w:tc>
          <w:tcPr>
            <w:tcW w:w="402" w:type="pct"/>
            <w:shd w:val="clear" w:color="auto" w:fill="CEEBE6"/>
            <w:noWrap/>
            <w:vAlign w:val="center"/>
          </w:tcPr>
          <w:p>
            <w:pPr>
              <w:spacing w:before="60" w:after="60"/>
              <w:jc w:val="center"/>
              <w:rPr>
                <w:noProof/>
                <w:sz w:val="20"/>
                <w:szCs w:val="16"/>
              </w:rPr>
            </w:pPr>
            <w:r>
              <w:rPr>
                <w:noProof/>
                <w:sz w:val="20"/>
                <w:szCs w:val="16"/>
              </w:rPr>
              <w:t>52.3</w:t>
            </w:r>
          </w:p>
        </w:tc>
        <w:tc>
          <w:tcPr>
            <w:tcW w:w="402" w:type="pct"/>
            <w:shd w:val="clear" w:color="auto" w:fill="CEEBE6"/>
            <w:noWrap/>
            <w:vAlign w:val="center"/>
          </w:tcPr>
          <w:p>
            <w:pPr>
              <w:spacing w:before="60" w:after="60"/>
              <w:jc w:val="center"/>
              <w:rPr>
                <w:noProof/>
                <w:sz w:val="20"/>
                <w:szCs w:val="16"/>
              </w:rPr>
            </w:pPr>
            <w:r>
              <w:rPr>
                <w:noProof/>
                <w:sz w:val="20"/>
                <w:szCs w:val="16"/>
              </w:rPr>
              <w:t>28.5</w:t>
            </w:r>
          </w:p>
        </w:tc>
        <w:tc>
          <w:tcPr>
            <w:tcW w:w="401" w:type="pct"/>
            <w:shd w:val="clear" w:color="auto" w:fill="CEEBE6"/>
            <w:noWrap/>
            <w:vAlign w:val="center"/>
          </w:tcPr>
          <w:p>
            <w:pPr>
              <w:spacing w:before="60" w:after="60"/>
              <w:jc w:val="center"/>
              <w:rPr>
                <w:noProof/>
                <w:sz w:val="20"/>
                <w:szCs w:val="16"/>
              </w:rPr>
            </w:pPr>
            <w:r>
              <w:rPr>
                <w:noProof/>
                <w:sz w:val="20"/>
                <w:szCs w:val="16"/>
              </w:rPr>
              <w:t>24.5</w:t>
            </w:r>
          </w:p>
        </w:tc>
      </w:tr>
      <w:tr>
        <w:trPr>
          <w:trHeight w:val="244"/>
          <w:jc w:val="center"/>
        </w:trPr>
        <w:tc>
          <w:tcPr>
            <w:tcW w:w="979" w:type="pct"/>
            <w:shd w:val="clear" w:color="auto" w:fill="auto"/>
            <w:noWrap/>
            <w:vAlign w:val="center"/>
          </w:tcPr>
          <w:p>
            <w:pPr>
              <w:keepNext/>
              <w:spacing w:before="60" w:after="60"/>
              <w:jc w:val="left"/>
              <w:rPr>
                <w:bCs/>
                <w:noProof/>
                <w:sz w:val="20"/>
                <w:szCs w:val="16"/>
              </w:rPr>
            </w:pPr>
            <w:r>
              <w:rPr>
                <w:noProof/>
                <w:sz w:val="20"/>
              </w:rPr>
              <w:t>Ratio of total energy costs to EBITDA</w:t>
            </w:r>
          </w:p>
        </w:tc>
        <w:tc>
          <w:tcPr>
            <w:tcW w:w="403" w:type="pct"/>
            <w:shd w:val="clear" w:color="auto" w:fill="auto"/>
            <w:noWrap/>
            <w:vAlign w:val="center"/>
          </w:tcPr>
          <w:p>
            <w:pPr>
              <w:keepNext/>
              <w:spacing w:before="60" w:after="60"/>
              <w:jc w:val="center"/>
              <w:rPr>
                <w:noProof/>
                <w:sz w:val="20"/>
                <w:szCs w:val="16"/>
              </w:rPr>
            </w:pPr>
            <w:r>
              <w:rPr>
                <w:noProof/>
                <w:sz w:val="20"/>
                <w:szCs w:val="16"/>
              </w:rPr>
              <w:t>3.0</w:t>
            </w:r>
          </w:p>
        </w:tc>
        <w:tc>
          <w:tcPr>
            <w:tcW w:w="403" w:type="pct"/>
            <w:shd w:val="clear" w:color="auto" w:fill="auto"/>
            <w:noWrap/>
            <w:vAlign w:val="center"/>
          </w:tcPr>
          <w:p>
            <w:pPr>
              <w:keepNext/>
              <w:spacing w:before="60" w:after="60"/>
              <w:jc w:val="center"/>
              <w:rPr>
                <w:noProof/>
                <w:sz w:val="20"/>
                <w:szCs w:val="16"/>
              </w:rPr>
            </w:pPr>
            <w:r>
              <w:rPr>
                <w:noProof/>
                <w:sz w:val="20"/>
                <w:szCs w:val="16"/>
              </w:rPr>
              <w:t>7.7</w:t>
            </w:r>
          </w:p>
        </w:tc>
        <w:tc>
          <w:tcPr>
            <w:tcW w:w="402" w:type="pct"/>
            <w:shd w:val="clear" w:color="auto" w:fill="auto"/>
            <w:noWrap/>
            <w:vAlign w:val="center"/>
          </w:tcPr>
          <w:p>
            <w:pPr>
              <w:keepNext/>
              <w:spacing w:before="60" w:after="60"/>
              <w:jc w:val="center"/>
              <w:rPr>
                <w:noProof/>
                <w:sz w:val="20"/>
                <w:szCs w:val="16"/>
              </w:rPr>
            </w:pPr>
            <w:r>
              <w:rPr>
                <w:noProof/>
                <w:sz w:val="20"/>
                <w:szCs w:val="16"/>
              </w:rPr>
              <w:t>2.5</w:t>
            </w:r>
          </w:p>
        </w:tc>
        <w:tc>
          <w:tcPr>
            <w:tcW w:w="402" w:type="pct"/>
            <w:shd w:val="clear" w:color="auto" w:fill="auto"/>
            <w:noWrap/>
            <w:vAlign w:val="center"/>
          </w:tcPr>
          <w:p>
            <w:pPr>
              <w:keepNext/>
              <w:spacing w:before="60" w:after="60"/>
              <w:jc w:val="center"/>
              <w:rPr>
                <w:noProof/>
                <w:sz w:val="20"/>
                <w:szCs w:val="16"/>
              </w:rPr>
            </w:pPr>
            <w:r>
              <w:rPr>
                <w:noProof/>
                <w:sz w:val="20"/>
                <w:szCs w:val="16"/>
              </w:rPr>
              <w:t>1.9</w:t>
            </w:r>
          </w:p>
        </w:tc>
        <w:tc>
          <w:tcPr>
            <w:tcW w:w="402" w:type="pct"/>
            <w:shd w:val="clear" w:color="auto" w:fill="auto"/>
            <w:noWrap/>
            <w:vAlign w:val="center"/>
          </w:tcPr>
          <w:p>
            <w:pPr>
              <w:keepNext/>
              <w:spacing w:before="60" w:after="60"/>
              <w:jc w:val="center"/>
              <w:rPr>
                <w:noProof/>
                <w:sz w:val="20"/>
                <w:szCs w:val="16"/>
              </w:rPr>
            </w:pPr>
            <w:r>
              <w:rPr>
                <w:noProof/>
                <w:sz w:val="20"/>
                <w:szCs w:val="16"/>
              </w:rPr>
              <w:t>2.8</w:t>
            </w:r>
          </w:p>
        </w:tc>
        <w:tc>
          <w:tcPr>
            <w:tcW w:w="402" w:type="pct"/>
            <w:shd w:val="clear" w:color="auto" w:fill="auto"/>
            <w:noWrap/>
            <w:vAlign w:val="center"/>
          </w:tcPr>
          <w:p>
            <w:pPr>
              <w:keepNext/>
              <w:spacing w:before="60" w:after="60"/>
              <w:jc w:val="center"/>
              <w:rPr>
                <w:noProof/>
                <w:sz w:val="20"/>
                <w:szCs w:val="16"/>
              </w:rPr>
            </w:pPr>
            <w:r>
              <w:rPr>
                <w:noProof/>
                <w:sz w:val="20"/>
                <w:szCs w:val="16"/>
              </w:rPr>
              <w:t>5.5</w:t>
            </w:r>
          </w:p>
        </w:tc>
        <w:tc>
          <w:tcPr>
            <w:tcW w:w="402" w:type="pct"/>
            <w:shd w:val="clear" w:color="auto" w:fill="auto"/>
            <w:noWrap/>
            <w:vAlign w:val="center"/>
          </w:tcPr>
          <w:p>
            <w:pPr>
              <w:keepNext/>
              <w:spacing w:before="60" w:after="60"/>
              <w:jc w:val="center"/>
              <w:rPr>
                <w:noProof/>
                <w:sz w:val="20"/>
                <w:szCs w:val="16"/>
              </w:rPr>
            </w:pPr>
            <w:r>
              <w:rPr>
                <w:noProof/>
                <w:sz w:val="20"/>
                <w:szCs w:val="16"/>
              </w:rPr>
              <w:t>3.4</w:t>
            </w:r>
          </w:p>
        </w:tc>
        <w:tc>
          <w:tcPr>
            <w:tcW w:w="402" w:type="pct"/>
            <w:shd w:val="clear" w:color="auto" w:fill="auto"/>
            <w:noWrap/>
            <w:vAlign w:val="center"/>
          </w:tcPr>
          <w:p>
            <w:pPr>
              <w:keepNext/>
              <w:spacing w:before="60" w:after="60"/>
              <w:jc w:val="center"/>
              <w:rPr>
                <w:noProof/>
                <w:sz w:val="20"/>
                <w:szCs w:val="16"/>
              </w:rPr>
            </w:pPr>
            <w:r>
              <w:rPr>
                <w:noProof/>
                <w:sz w:val="20"/>
                <w:szCs w:val="16"/>
              </w:rPr>
              <w:t>2.5</w:t>
            </w:r>
          </w:p>
        </w:tc>
        <w:tc>
          <w:tcPr>
            <w:tcW w:w="402" w:type="pct"/>
            <w:shd w:val="clear" w:color="auto" w:fill="auto"/>
            <w:noWrap/>
            <w:vAlign w:val="center"/>
          </w:tcPr>
          <w:p>
            <w:pPr>
              <w:keepNext/>
              <w:spacing w:before="60" w:after="60"/>
              <w:jc w:val="center"/>
              <w:rPr>
                <w:noProof/>
                <w:sz w:val="20"/>
                <w:szCs w:val="16"/>
              </w:rPr>
            </w:pPr>
            <w:r>
              <w:rPr>
                <w:noProof/>
                <w:sz w:val="20"/>
                <w:szCs w:val="16"/>
              </w:rPr>
              <w:t>3.6</w:t>
            </w:r>
          </w:p>
        </w:tc>
        <w:tc>
          <w:tcPr>
            <w:tcW w:w="401" w:type="pct"/>
            <w:shd w:val="clear" w:color="auto" w:fill="auto"/>
            <w:noWrap/>
            <w:vAlign w:val="center"/>
          </w:tcPr>
          <w:p>
            <w:pPr>
              <w:keepNext/>
              <w:spacing w:before="60" w:after="60"/>
              <w:jc w:val="center"/>
              <w:rPr>
                <w:noProof/>
                <w:sz w:val="20"/>
                <w:szCs w:val="16"/>
              </w:rPr>
            </w:pPr>
            <w:r>
              <w:rPr>
                <w:noProof/>
                <w:sz w:val="20"/>
                <w:szCs w:val="16"/>
              </w:rPr>
              <w:t>4.5</w:t>
            </w:r>
          </w:p>
        </w:tc>
      </w:tr>
    </w:tbl>
    <w:p>
      <w:pPr>
        <w:pStyle w:val="Sources"/>
        <w:rPr>
          <w:noProof/>
        </w:rPr>
      </w:pPr>
      <w:r>
        <w:rPr>
          <w:noProof/>
        </w:rPr>
        <w:t>S</w:t>
      </w:r>
      <w:bookmarkEnd w:id="622"/>
      <w:r>
        <w:rPr>
          <w:noProof/>
        </w:rPr>
        <w:t>ource: CEPS/Ecofys.</w:t>
      </w:r>
    </w:p>
    <w:p>
      <w:pPr>
        <w:rPr>
          <w:noProof/>
          <w:lang w:eastAsia="it-IT"/>
        </w:rPr>
      </w:pPr>
    </w:p>
    <w:p>
      <w:pPr>
        <w:pStyle w:val="Caption"/>
        <w:rPr>
          <w:rFonts w:eastAsia="Times New Roman"/>
          <w:color w:val="000000"/>
          <w:lang w:eastAsia="en-GB"/>
        </w:rPr>
      </w:pPr>
      <w:bookmarkStart w:id="623" w:name="_Ref528684133"/>
      <w:bookmarkStart w:id="624" w:name="_Toc526433921"/>
      <w:bookmarkStart w:id="625" w:name="_Toc526435863"/>
      <w:bookmarkStart w:id="626" w:name="_Toc527544744"/>
      <w:bookmarkStart w:id="627" w:name="_Toc530741782"/>
      <w:r>
        <w:t xml:space="preserve">Figure </w:t>
      </w:r>
      <w:r>
        <w:fldChar w:fldCharType="begin"/>
      </w:r>
      <w:r>
        <w:instrText xml:space="preserve"> SEQ Figure \* ARABIC </w:instrText>
      </w:r>
      <w:r>
        <w:fldChar w:fldCharType="separate"/>
      </w:r>
      <w:r>
        <w:t>89</w:t>
      </w:r>
      <w:r>
        <w:fldChar w:fldCharType="end"/>
      </w:r>
      <w:bookmarkEnd w:id="623"/>
      <w:r>
        <w:t xml:space="preserve">. </w:t>
      </w:r>
      <w:r>
        <w:rPr>
          <w:rFonts w:eastAsia="Times New Roman"/>
          <w:color w:val="000000"/>
          <w:lang w:eastAsia="en-GB"/>
        </w:rPr>
        <w:t xml:space="preserve">Energy costs versus EBITDA </w:t>
      </w:r>
      <w:r>
        <w:t>of nitrogen fertiliser production</w:t>
      </w:r>
      <w:r>
        <w:rPr>
          <w:rFonts w:eastAsia="Times New Roman"/>
          <w:color w:val="000000"/>
          <w:lang w:eastAsia="en-GB"/>
        </w:rPr>
        <w:t xml:space="preserve"> (€/tonne)</w:t>
      </w:r>
      <w:bookmarkEnd w:id="624"/>
      <w:bookmarkEnd w:id="625"/>
      <w:bookmarkEnd w:id="626"/>
      <w:bookmarkEnd w:id="627"/>
    </w:p>
    <w:p>
      <w:pPr>
        <w:keepNext/>
        <w:rPr>
          <w:rFonts w:eastAsia="Times New Roman"/>
          <w:bCs/>
          <w:noProof/>
          <w:color w:val="000000"/>
          <w:szCs w:val="24"/>
          <w:lang w:eastAsia="en-GB"/>
        </w:rPr>
      </w:pPr>
      <w:r>
        <w:rPr>
          <w:noProof/>
          <w:lang w:eastAsia="en-GB"/>
        </w:rPr>
        <w:drawing>
          <wp:inline distT="0" distB="0" distL="0" distR="0">
            <wp:extent cx="5760720" cy="3548129"/>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3548129"/>
                    </a:xfrm>
                    <a:prstGeom prst="rect">
                      <a:avLst/>
                    </a:prstGeom>
                    <a:noFill/>
                    <a:ln>
                      <a:noFill/>
                    </a:ln>
                  </pic:spPr>
                </pic:pic>
              </a:graphicData>
            </a:graphic>
          </wp:inline>
        </w:drawing>
      </w:r>
    </w:p>
    <w:p>
      <w:pPr>
        <w:pStyle w:val="Sources"/>
        <w:tabs>
          <w:tab w:val="left" w:pos="142"/>
        </w:tabs>
        <w:rPr>
          <w:noProof/>
        </w:rPr>
      </w:pPr>
      <w:r>
        <w:rPr>
          <w:noProof/>
        </w:rPr>
        <w:tab/>
        <w:t>Source: CEPS/Ecofys.</w:t>
      </w:r>
    </w:p>
    <w:p>
      <w:pPr>
        <w:pStyle w:val="Sources"/>
        <w:rPr>
          <w:noProof/>
          <w:lang w:val="fr-FR" w:eastAsia="it-IT"/>
        </w:rPr>
      </w:pPr>
    </w:p>
    <w:p>
      <w:pPr>
        <w:spacing w:after="0"/>
        <w:jc w:val="left"/>
        <w:rPr>
          <w:rFonts w:eastAsia="Times New Roman"/>
          <w:b/>
          <w:bCs/>
          <w:noProof/>
          <w:color w:val="000000"/>
          <w:sz w:val="32"/>
          <w:szCs w:val="32"/>
          <w:lang w:eastAsia="en-GB"/>
        </w:rPr>
      </w:pPr>
      <w:r>
        <w:rPr>
          <w:noProof/>
          <w:lang w:eastAsia="en-GB"/>
        </w:rPr>
        <w:br w:type="page"/>
      </w:r>
    </w:p>
    <w:p>
      <w:pPr>
        <w:pStyle w:val="Heading2"/>
        <w:numPr>
          <w:ilvl w:val="1"/>
          <w:numId w:val="3"/>
        </w:numPr>
        <w:rPr>
          <w:noProof/>
          <w:lang w:eastAsia="en-GB"/>
        </w:rPr>
      </w:pPr>
      <w:bookmarkStart w:id="628" w:name="_Toc526434080"/>
      <w:bookmarkStart w:id="629" w:name="_Toc526436024"/>
      <w:bookmarkStart w:id="630" w:name="_Toc527544449"/>
      <w:bookmarkStart w:id="631" w:name="_Toc530741687"/>
      <w:r>
        <w:rPr>
          <w:noProof/>
          <w:lang w:eastAsia="en-GB"/>
        </w:rPr>
        <w:t>REFINERIES</w:t>
      </w:r>
      <w:bookmarkEnd w:id="628"/>
      <w:bookmarkEnd w:id="629"/>
      <w:bookmarkEnd w:id="630"/>
      <w:bookmarkEnd w:id="631"/>
    </w:p>
    <w:p>
      <w:pPr>
        <w:pStyle w:val="Heading3"/>
        <w:rPr>
          <w:noProof/>
        </w:rPr>
      </w:pPr>
      <w:bookmarkStart w:id="632" w:name="_Toc526434081"/>
      <w:bookmarkStart w:id="633" w:name="_Toc526436025"/>
      <w:bookmarkStart w:id="634" w:name="_Toc527544450"/>
      <w:bookmarkStart w:id="635" w:name="_Toc530741688"/>
      <w:r>
        <w:rPr>
          <w:noProof/>
        </w:rPr>
        <w:t>General information and sample composition</w:t>
      </w:r>
      <w:bookmarkEnd w:id="632"/>
      <w:bookmarkEnd w:id="633"/>
      <w:bookmarkEnd w:id="634"/>
      <w:bookmarkEnd w:id="635"/>
    </w:p>
    <w:p>
      <w:pPr>
        <w:rPr>
          <w:noProof/>
        </w:rPr>
      </w:pPr>
      <w:r>
        <w:rPr>
          <w:noProof/>
        </w:rPr>
        <w:t>Refineries (sector 19.20 in NACE Rev.2) separate (distillate) and transform (convert and blend) crude oil to manufacture a wide variety of refined petroleum products, including transportation fuels, residual fuel oils and lubricants.</w:t>
      </w:r>
    </w:p>
    <w:p>
      <w:pPr>
        <w:rPr>
          <w:noProof/>
        </w:rPr>
      </w:pPr>
      <w:r>
        <w:rPr>
          <w:noProof/>
        </w:rPr>
        <w:t>In the refinery sector crude oil – used as feedstock – represents, by far, the most prominent costs (more than 80% of total production costs). Electricity and natural gas costs play only a marginal role (they represent altogether around 2% of total production costs</w:t>
      </w:r>
      <w:r>
        <w:rPr>
          <w:rStyle w:val="FootnoteReference"/>
          <w:noProof/>
        </w:rPr>
        <w:footnoteReference w:id="7"/>
      </w:r>
      <w:r>
        <w:rPr>
          <w:noProof/>
        </w:rPr>
        <w:t>).</w:t>
      </w:r>
    </w:p>
    <w:p>
      <w:pPr>
        <w:rPr>
          <w:noProof/>
        </w:rPr>
      </w:pPr>
      <w:r>
        <w:rPr>
          <w:noProof/>
        </w:rPr>
        <w:t xml:space="preserve">Refineries in Europe have been going through a restructuring process. Several EU oil companies are divesting from refining capacity in Europe and expanding in other parts of the world, while non-European companies are emerging as potential investors. Nevertheless, the balance is negative and refining activity is decreasing in Europe. Most refineries are found in NWE or SE regions. </w:t>
      </w:r>
      <w:r>
        <w:rPr>
          <w:bCs/>
          <w:noProof/>
        </w:rPr>
        <w:t>Top five oil refining Member States are (based on 2017 capacity): Germany (14%), Italy (13%), the Spain (11%), the United Kingdom (10%) and France (10%).</w:t>
      </w:r>
    </w:p>
    <w:p>
      <w:pPr>
        <w:rPr>
          <w:noProof/>
        </w:rPr>
      </w:pPr>
      <w:r>
        <w:rPr>
          <w:noProof/>
        </w:rPr>
        <w:t xml:space="preserve">Overall, the trade of refined petroleum products is fairly balanced for Europe (EU import and export are of the same order of magnitude). Europe </w:t>
      </w:r>
      <w:r>
        <w:rPr>
          <w:bCs/>
          <w:noProof/>
        </w:rPr>
        <w:t>exports mainly to</w:t>
      </w:r>
      <w:r>
        <w:rPr>
          <w:noProof/>
        </w:rPr>
        <w:t xml:space="preserve"> the United States and, to a less extent, Turkey and imports mostly from Russia and, to a less extent, the United States and Saudi Arabia.</w:t>
      </w:r>
    </w:p>
    <w:p>
      <w:pPr>
        <w:rPr>
          <w:noProof/>
        </w:rPr>
      </w:pPr>
      <w:r>
        <w:rPr>
          <w:noProof/>
        </w:rPr>
        <w:t>The analysis focusses on mainstream refineries (small petroleum oil sites producing specialised products such as bitumen and lube oil are excluded). There are 81 mainstream refineries in the EU. A typical refinery in the sample has an average capacity of around 6.5 Mt/year and covers oil distillation and conversion (through thermal or catalytic processes). The sample includes 13 plants across Europe (one in CEE region, eight in NWE region and four in SE region), representing around 20</w:t>
      </w:r>
      <w:r>
        <w:rPr>
          <w:noProof/>
          <w:lang w:eastAsia="de-DE"/>
        </w:rPr>
        <w:t xml:space="preserve">% of </w:t>
      </w:r>
      <w:r>
        <w:rPr>
          <w:noProof/>
        </w:rPr>
        <w:t>total EU capacity.</w:t>
      </w:r>
    </w:p>
    <w:p>
      <w:pPr>
        <w:rPr>
          <w:rFonts w:eastAsia="Times New Roman"/>
          <w:bCs/>
          <w:noProof/>
          <w:color w:val="000000"/>
          <w:szCs w:val="24"/>
          <w:lang w:eastAsia="en-GB"/>
        </w:rPr>
      </w:pPr>
    </w:p>
    <w:p>
      <w:pPr>
        <w:pStyle w:val="Heading3"/>
        <w:rPr>
          <w:noProof/>
        </w:rPr>
      </w:pPr>
      <w:bookmarkStart w:id="636" w:name="_Toc526434082"/>
      <w:bookmarkStart w:id="637" w:name="_Toc526436026"/>
      <w:bookmarkStart w:id="638" w:name="_Toc527544451"/>
      <w:bookmarkStart w:id="639" w:name="_Toc530741689"/>
      <w:r>
        <w:rPr>
          <w:noProof/>
        </w:rPr>
        <w:t>Electricity prices, costs</w:t>
      </w:r>
      <w:bookmarkEnd w:id="636"/>
      <w:bookmarkEnd w:id="637"/>
      <w:bookmarkEnd w:id="638"/>
      <w:r>
        <w:rPr>
          <w:noProof/>
        </w:rPr>
        <w:t xml:space="preserve"> and intensity</w:t>
      </w:r>
      <w:bookmarkEnd w:id="639"/>
    </w:p>
    <w:p>
      <w:pPr>
        <w:rPr>
          <w:noProof/>
          <w:lang w:eastAsia="en-GB"/>
        </w:rPr>
      </w:pPr>
      <w:r>
        <w:rPr>
          <w:noProof/>
        </w:rPr>
        <w:t xml:space="preserve">Key electricity indicators for refineries are presented in </w:t>
      </w:r>
      <w:r>
        <w:rPr>
          <w:noProof/>
        </w:rPr>
        <w:fldChar w:fldCharType="begin"/>
      </w:r>
      <w:r>
        <w:rPr>
          <w:noProof/>
        </w:rPr>
        <w:instrText xml:space="preserve"> REF _Ref524539439 \h </w:instrText>
      </w:r>
      <w:r>
        <w:rPr>
          <w:noProof/>
        </w:rPr>
      </w:r>
      <w:r>
        <w:rPr>
          <w:noProof/>
        </w:rPr>
        <w:fldChar w:fldCharType="separate"/>
      </w:r>
      <w:r>
        <w:rPr>
          <w:noProof/>
        </w:rPr>
        <w:t>Table 32</w:t>
      </w:r>
      <w:r>
        <w:rPr>
          <w:noProof/>
        </w:rPr>
        <w:fldChar w:fldCharType="end"/>
      </w:r>
      <w:r>
        <w:rPr>
          <w:noProof/>
        </w:rPr>
        <w:t>.</w:t>
      </w:r>
    </w:p>
    <w:p>
      <w:pPr>
        <w:rPr>
          <w:noProof/>
        </w:rPr>
      </w:pPr>
      <w:r>
        <w:rPr>
          <w:noProof/>
          <w:lang w:eastAsia="en-GB"/>
        </w:rPr>
        <w:t>EU average electricity prices</w:t>
      </w:r>
      <w:r>
        <w:rPr>
          <w:noProof/>
        </w:rPr>
        <w:t xml:space="preserve"> decreased over the last decade (78 EUR/MWh in 2008 vs. 71 EUR/MWh in 2017). In most years, electricity prices in NWE were higher than in SE. In terms of price components (</w:t>
      </w:r>
      <w:r>
        <w:rPr>
          <w:noProof/>
        </w:rPr>
        <w:fldChar w:fldCharType="begin"/>
      </w:r>
      <w:r>
        <w:rPr>
          <w:noProof/>
        </w:rPr>
        <w:instrText xml:space="preserve"> REF _Ref529293166 \h </w:instrText>
      </w:r>
      <w:r>
        <w:rPr>
          <w:noProof/>
        </w:rPr>
      </w:r>
      <w:r>
        <w:rPr>
          <w:noProof/>
        </w:rPr>
        <w:fldChar w:fldCharType="separate"/>
      </w:r>
      <w:r>
        <w:rPr>
          <w:noProof/>
        </w:rPr>
        <w:t>Figure 90</w:t>
      </w:r>
      <w:r>
        <w:rPr>
          <w:noProof/>
        </w:rPr>
        <w:fldChar w:fldCharType="end"/>
      </w:r>
      <w:r>
        <w:rPr>
          <w:noProof/>
        </w:rPr>
        <w:t>), the energy component underwent a downward trend between 2008 and 2017 (both in absolute and relative terms) but still represents the lion's share of the electricity price (63% in 2017). Large consumers paid less for any of the price components</w:t>
      </w:r>
      <w:r>
        <w:rPr>
          <w:noProof/>
          <w:lang w:eastAsia="en-GB"/>
        </w:rPr>
        <w:t>, including</w:t>
      </w:r>
      <w:r>
        <w:rPr>
          <w:noProof/>
        </w:rPr>
        <w:t xml:space="preserve"> energy but also network costs, RES levies and other non-recoverable taxes/levies </w:t>
      </w:r>
      <w:r>
        <w:rPr>
          <w:noProof/>
          <w:lang w:eastAsia="en-GB"/>
        </w:rPr>
        <w:t>(for each component, weighted average by purchased electricity is below simple average) and therefore faced significantly lower electricity prices</w:t>
      </w:r>
      <w:r>
        <w:rPr>
          <w:noProof/>
        </w:rPr>
        <w:t>.</w:t>
      </w:r>
    </w:p>
    <w:p>
      <w:pPr>
        <w:rPr>
          <w:noProof/>
        </w:rPr>
      </w:pPr>
      <w:r>
        <w:rPr>
          <w:noProof/>
          <w:lang w:eastAsia="en-GB"/>
        </w:rPr>
        <w:t>Similarly, EU average electricity costs in EUR/MWh (</w:t>
      </w:r>
      <w:r>
        <w:rPr>
          <w:noProof/>
          <w:lang w:eastAsia="en-GB"/>
        </w:rPr>
        <w:fldChar w:fldCharType="begin"/>
      </w:r>
      <w:r>
        <w:rPr>
          <w:noProof/>
          <w:lang w:eastAsia="en-GB"/>
        </w:rPr>
        <w:instrText xml:space="preserve"> REF _Ref524539495 \h </w:instrText>
      </w:r>
      <w:r>
        <w:rPr>
          <w:noProof/>
          <w:lang w:eastAsia="en-GB"/>
        </w:rPr>
      </w:r>
      <w:r>
        <w:rPr>
          <w:noProof/>
          <w:lang w:eastAsia="en-GB"/>
        </w:rPr>
        <w:fldChar w:fldCharType="separate"/>
      </w:r>
      <w:r>
        <w:rPr>
          <w:noProof/>
        </w:rPr>
        <w:t>Figure 91</w:t>
      </w:r>
      <w:r>
        <w:rPr>
          <w:noProof/>
          <w:lang w:eastAsia="en-GB"/>
        </w:rPr>
        <w:fldChar w:fldCharType="end"/>
      </w:r>
      <w:r>
        <w:rPr>
          <w:noProof/>
          <w:lang w:eastAsia="en-GB"/>
        </w:rPr>
        <w:t>)</w:t>
      </w:r>
      <w:r>
        <w:rPr>
          <w:noProof/>
        </w:rPr>
        <w:t xml:space="preserve"> were on a downward trend from 2008 (92 EUR/MWh) to 2017 (66 EUR/MWh). It should be underlined that there is a break in the time series between 2015 and 2016 due to sample composition variation (between 2008-2015 and 2016-2017). Except in the SE region, larger consumers benefited from better conditions for electricity costs (weighted average by electricity consumption is lower than simple average). In the same way, </w:t>
      </w:r>
      <w:r>
        <w:rPr>
          <w:noProof/>
          <w:lang w:eastAsia="en-GB"/>
        </w:rPr>
        <w:t>EU average electricity costs in EUR/tonne (</w:t>
      </w:r>
      <w:r>
        <w:rPr>
          <w:noProof/>
          <w:lang w:eastAsia="en-GB"/>
        </w:rPr>
        <w:fldChar w:fldCharType="begin"/>
      </w:r>
      <w:r>
        <w:rPr>
          <w:noProof/>
          <w:lang w:eastAsia="en-GB"/>
        </w:rPr>
        <w:instrText xml:space="preserve"> REF _Ref524539501 \h </w:instrText>
      </w:r>
      <w:r>
        <w:rPr>
          <w:noProof/>
          <w:lang w:eastAsia="en-GB"/>
        </w:rPr>
      </w:r>
      <w:r>
        <w:rPr>
          <w:noProof/>
          <w:lang w:eastAsia="en-GB"/>
        </w:rPr>
        <w:fldChar w:fldCharType="separate"/>
      </w:r>
      <w:r>
        <w:rPr>
          <w:noProof/>
        </w:rPr>
        <w:t>Figure 92</w:t>
      </w:r>
      <w:r>
        <w:rPr>
          <w:noProof/>
          <w:lang w:eastAsia="en-GB"/>
        </w:rPr>
        <w:fldChar w:fldCharType="end"/>
      </w:r>
      <w:r>
        <w:rPr>
          <w:noProof/>
          <w:lang w:eastAsia="en-GB"/>
        </w:rPr>
        <w:t xml:space="preserve">) decreased, from above </w:t>
      </w:r>
      <w:r>
        <w:rPr>
          <w:noProof/>
        </w:rPr>
        <w:t>6 EUR/tonne in 2008 to below 4 EUR/tonne in 2017.</w:t>
      </w:r>
    </w:p>
    <w:p>
      <w:pPr>
        <w:rPr>
          <w:noProof/>
        </w:rPr>
      </w:pPr>
      <w:r>
        <w:rPr>
          <w:noProof/>
          <w:lang w:eastAsia="en-GB"/>
        </w:rPr>
        <w:t>EU average electricity intensity (</w:t>
      </w:r>
      <w:r>
        <w:rPr>
          <w:noProof/>
          <w:lang w:eastAsia="en-GB"/>
        </w:rPr>
        <w:fldChar w:fldCharType="begin"/>
      </w:r>
      <w:r>
        <w:rPr>
          <w:noProof/>
          <w:lang w:eastAsia="en-GB"/>
        </w:rPr>
        <w:instrText xml:space="preserve"> REF _Ref524539507 \h </w:instrText>
      </w:r>
      <w:r>
        <w:rPr>
          <w:noProof/>
          <w:lang w:eastAsia="en-GB"/>
        </w:rPr>
      </w:r>
      <w:r>
        <w:rPr>
          <w:noProof/>
          <w:lang w:eastAsia="en-GB"/>
        </w:rPr>
        <w:fldChar w:fldCharType="separate"/>
      </w:r>
      <w:r>
        <w:rPr>
          <w:noProof/>
        </w:rPr>
        <w:t>Figure 93</w:t>
      </w:r>
      <w:r>
        <w:rPr>
          <w:noProof/>
          <w:lang w:eastAsia="en-GB"/>
        </w:rPr>
        <w:fldChar w:fldCharType="end"/>
      </w:r>
      <w:r>
        <w:rPr>
          <w:noProof/>
          <w:lang w:eastAsia="en-GB"/>
        </w:rPr>
        <w:t xml:space="preserve">) </w:t>
      </w:r>
      <w:r>
        <w:rPr>
          <w:noProof/>
        </w:rPr>
        <w:t>ranged from 0.06 to 0.08 MWh/tonne, decreasing slightly from 2008 (0.07 MWh/tonne) to 2017 (0.06 MWh/tonne). There is no indication that larger plants are less electricity intensive than smaller plants.</w:t>
      </w:r>
    </w:p>
    <w:p>
      <w:pPr>
        <w:pStyle w:val="Heading3"/>
        <w:rPr>
          <w:noProof/>
        </w:rPr>
      </w:pPr>
      <w:bookmarkStart w:id="640" w:name="_Toc526434083"/>
      <w:bookmarkStart w:id="641" w:name="_Toc526436027"/>
      <w:bookmarkStart w:id="642" w:name="_Toc527544452"/>
      <w:bookmarkStart w:id="643" w:name="_Toc530741690"/>
      <w:r>
        <w:rPr>
          <w:noProof/>
        </w:rPr>
        <w:t>Natural gas and total gas prices, costs</w:t>
      </w:r>
      <w:bookmarkEnd w:id="640"/>
      <w:bookmarkEnd w:id="641"/>
      <w:bookmarkEnd w:id="642"/>
      <w:r>
        <w:rPr>
          <w:noProof/>
        </w:rPr>
        <w:t xml:space="preserve"> and intensity</w:t>
      </w:r>
      <w:bookmarkEnd w:id="643"/>
    </w:p>
    <w:p>
      <w:pPr>
        <w:rPr>
          <w:noProof/>
        </w:rPr>
      </w:pPr>
      <w:r>
        <w:rPr>
          <w:noProof/>
          <w:lang w:eastAsia="it-IT"/>
        </w:rPr>
        <w:t xml:space="preserve">In the case of refineries, it is relevant to analyse the consumption of both natural gas and self-produced gases (i.e. refinery fuel gases). </w:t>
      </w:r>
      <w:r>
        <w:rPr>
          <w:noProof/>
        </w:rPr>
        <w:fldChar w:fldCharType="begin"/>
      </w:r>
      <w:r>
        <w:rPr>
          <w:noProof/>
        </w:rPr>
        <w:instrText xml:space="preserve"> REF _Ref524539465 \h </w:instrText>
      </w:r>
      <w:r>
        <w:rPr>
          <w:noProof/>
        </w:rPr>
      </w:r>
      <w:r>
        <w:rPr>
          <w:noProof/>
        </w:rPr>
        <w:fldChar w:fldCharType="separate"/>
      </w:r>
      <w:r>
        <w:rPr>
          <w:noProof/>
        </w:rPr>
        <w:t>Table 33</w:t>
      </w:r>
      <w:r>
        <w:rPr>
          <w:noProof/>
        </w:rPr>
        <w:fldChar w:fldCharType="end"/>
      </w:r>
      <w:r>
        <w:rPr>
          <w:noProof/>
        </w:rPr>
        <w:t xml:space="preserve"> presents key indicators for </w:t>
      </w:r>
      <w:r>
        <w:rPr>
          <w:noProof/>
          <w:lang w:eastAsia="it-IT"/>
        </w:rPr>
        <w:t xml:space="preserve">natural gas, refinery fuel gases and total gases (i.e. the sum of the two) </w:t>
      </w:r>
      <w:r>
        <w:rPr>
          <w:noProof/>
        </w:rPr>
        <w:t>in refineries.</w:t>
      </w:r>
    </w:p>
    <w:p>
      <w:pPr>
        <w:rPr>
          <w:noProof/>
        </w:rPr>
      </w:pPr>
      <w:r>
        <w:rPr>
          <w:noProof/>
          <w:lang w:eastAsia="en-GB"/>
        </w:rPr>
        <w:t>EU average natural gas prices (</w:t>
      </w:r>
      <w:r>
        <w:rPr>
          <w:noProof/>
          <w:lang w:eastAsia="en-GB"/>
        </w:rPr>
        <w:fldChar w:fldCharType="begin"/>
      </w:r>
      <w:r>
        <w:rPr>
          <w:noProof/>
          <w:lang w:eastAsia="en-GB"/>
        </w:rPr>
        <w:instrText xml:space="preserve"> REF _Ref524539514 \h </w:instrText>
      </w:r>
      <w:r>
        <w:rPr>
          <w:noProof/>
          <w:lang w:eastAsia="en-GB"/>
        </w:rPr>
      </w:r>
      <w:r>
        <w:rPr>
          <w:noProof/>
          <w:lang w:eastAsia="en-GB"/>
        </w:rPr>
        <w:fldChar w:fldCharType="separate"/>
      </w:r>
      <w:r>
        <w:rPr>
          <w:noProof/>
        </w:rPr>
        <w:t>Figure 94</w:t>
      </w:r>
      <w:r>
        <w:rPr>
          <w:noProof/>
          <w:lang w:eastAsia="en-GB"/>
        </w:rPr>
        <w:fldChar w:fldCharType="end"/>
      </w:r>
      <w:r>
        <w:rPr>
          <w:noProof/>
          <w:lang w:eastAsia="en-GB"/>
        </w:rPr>
        <w:t xml:space="preserve">) </w:t>
      </w:r>
      <w:r>
        <w:rPr>
          <w:noProof/>
        </w:rPr>
        <w:t xml:space="preserve">show a general descending trend, with a sharp decrease between 2013 to 2016 when prices dropped from 30 to 20 EUR/MWh. In 2017, the price was, though, on the rise (22 EUR/MWh). Like for electricity, the energy component of </w:t>
      </w:r>
      <w:r>
        <w:rPr>
          <w:noProof/>
          <w:lang w:eastAsia="en-GB"/>
        </w:rPr>
        <w:t>natural gas prices (</w:t>
      </w:r>
      <w:r>
        <w:rPr>
          <w:noProof/>
          <w:lang w:eastAsia="en-GB"/>
        </w:rPr>
        <w:fldChar w:fldCharType="begin"/>
      </w:r>
      <w:r>
        <w:rPr>
          <w:noProof/>
          <w:lang w:eastAsia="en-GB"/>
        </w:rPr>
        <w:instrText xml:space="preserve"> REF _Ref529293709 \h </w:instrText>
      </w:r>
      <w:r>
        <w:rPr>
          <w:noProof/>
          <w:lang w:eastAsia="en-GB"/>
        </w:rPr>
      </w:r>
      <w:r>
        <w:rPr>
          <w:noProof/>
          <w:lang w:eastAsia="en-GB"/>
        </w:rPr>
        <w:fldChar w:fldCharType="separate"/>
      </w:r>
      <w:r>
        <w:rPr>
          <w:noProof/>
        </w:rPr>
        <w:t>Figure 95</w:t>
      </w:r>
      <w:r>
        <w:rPr>
          <w:noProof/>
          <w:lang w:eastAsia="en-GB"/>
        </w:rPr>
        <w:fldChar w:fldCharType="end"/>
      </w:r>
      <w:r>
        <w:rPr>
          <w:noProof/>
          <w:lang w:eastAsia="en-GB"/>
        </w:rPr>
        <w:t xml:space="preserve">) decreased </w:t>
      </w:r>
      <w:r>
        <w:rPr>
          <w:noProof/>
        </w:rPr>
        <w:t xml:space="preserve">between 2008 and 2017 (both in absolute and relative terms) but still represented 89% of the natural gas price in 2017. </w:t>
      </w:r>
      <w:r>
        <w:rPr>
          <w:noProof/>
          <w:lang w:eastAsia="en-GB"/>
        </w:rPr>
        <w:t xml:space="preserve">Larger consumers faced lower natural gas prices (weighted average by purchased natural gas is constantly below simple average); in fact, they do not necessarily pay less for the energy and network component but do pay relatively less for </w:t>
      </w:r>
      <w:r>
        <w:rPr>
          <w:noProof/>
        </w:rPr>
        <w:t xml:space="preserve">non-recoverable </w:t>
      </w:r>
      <w:r>
        <w:rPr>
          <w:noProof/>
          <w:lang w:eastAsia="en-GB"/>
        </w:rPr>
        <w:t>taxes/levies.</w:t>
      </w:r>
    </w:p>
    <w:p>
      <w:pPr>
        <w:rPr>
          <w:noProof/>
        </w:rPr>
      </w:pPr>
      <w:r>
        <w:rPr>
          <w:noProof/>
          <w:lang w:eastAsia="en-GB"/>
        </w:rPr>
        <w:t>EU average natural gas costs in EUR/tonne</w:t>
      </w:r>
      <w:r>
        <w:rPr>
          <w:noProof/>
        </w:rPr>
        <w:t xml:space="preserve"> </w:t>
      </w:r>
      <w:r>
        <w:rPr>
          <w:noProof/>
          <w:lang w:eastAsia="en-GB"/>
        </w:rPr>
        <w:t>(</w:t>
      </w:r>
      <w:r>
        <w:rPr>
          <w:noProof/>
          <w:lang w:eastAsia="en-GB"/>
        </w:rPr>
        <w:fldChar w:fldCharType="begin"/>
      </w:r>
      <w:r>
        <w:rPr>
          <w:noProof/>
          <w:lang w:eastAsia="en-GB"/>
        </w:rPr>
        <w:instrText xml:space="preserve"> REF _Ref524539525 \h </w:instrText>
      </w:r>
      <w:r>
        <w:rPr>
          <w:noProof/>
          <w:lang w:eastAsia="en-GB"/>
        </w:rPr>
      </w:r>
      <w:r>
        <w:rPr>
          <w:noProof/>
          <w:lang w:eastAsia="en-GB"/>
        </w:rPr>
        <w:fldChar w:fldCharType="separate"/>
      </w:r>
      <w:r>
        <w:rPr>
          <w:noProof/>
        </w:rPr>
        <w:t>Figure 96</w:t>
      </w:r>
      <w:r>
        <w:rPr>
          <w:noProof/>
          <w:lang w:eastAsia="en-GB"/>
        </w:rPr>
        <w:fldChar w:fldCharType="end"/>
      </w:r>
      <w:r>
        <w:rPr>
          <w:noProof/>
          <w:lang w:eastAsia="en-GB"/>
        </w:rPr>
        <w:t xml:space="preserve">) </w:t>
      </w:r>
      <w:r>
        <w:rPr>
          <w:noProof/>
        </w:rPr>
        <w:t xml:space="preserve">decreased by 52% from 2008 (11 EUR/tonne) to 2017 (5 EUR/tonne). Larger consumers experienced smaller </w:t>
      </w:r>
      <w:r>
        <w:rPr>
          <w:noProof/>
          <w:lang w:eastAsia="en-GB"/>
        </w:rPr>
        <w:t xml:space="preserve">natural gas </w:t>
      </w:r>
      <w:r>
        <w:rPr>
          <w:noProof/>
        </w:rPr>
        <w:t xml:space="preserve">costs per unit (weighted average by production output is below simple average) due to economies of scale and the lower natural gas prices they faced. However, when looking at </w:t>
      </w:r>
      <w:r>
        <w:rPr>
          <w:bCs/>
          <w:noProof/>
          <w:lang w:eastAsia="de-DE"/>
        </w:rPr>
        <w:t>the EU average total gas costs in EUR/tonne (</w:t>
      </w:r>
      <w:r>
        <w:rPr>
          <w:bCs/>
          <w:noProof/>
          <w:lang w:eastAsia="de-DE"/>
        </w:rPr>
        <w:fldChar w:fldCharType="begin"/>
      </w:r>
      <w:r>
        <w:rPr>
          <w:bCs/>
          <w:noProof/>
          <w:lang w:eastAsia="de-DE"/>
        </w:rPr>
        <w:instrText xml:space="preserve"> REF _Ref526415541 \h </w:instrText>
      </w:r>
      <w:r>
        <w:rPr>
          <w:bCs/>
          <w:noProof/>
          <w:lang w:eastAsia="de-DE"/>
        </w:rPr>
      </w:r>
      <w:r>
        <w:rPr>
          <w:bCs/>
          <w:noProof/>
          <w:lang w:eastAsia="de-DE"/>
        </w:rPr>
        <w:fldChar w:fldCharType="separate"/>
      </w:r>
      <w:r>
        <w:rPr>
          <w:noProof/>
        </w:rPr>
        <w:t>Figure 97</w:t>
      </w:r>
      <w:r>
        <w:rPr>
          <w:bCs/>
          <w:noProof/>
          <w:lang w:eastAsia="de-DE"/>
        </w:rPr>
        <w:fldChar w:fldCharType="end"/>
      </w:r>
      <w:r>
        <w:rPr>
          <w:bCs/>
          <w:noProof/>
          <w:lang w:eastAsia="de-DE"/>
        </w:rPr>
        <w:t xml:space="preserve">), i.e. including </w:t>
      </w:r>
      <w:r>
        <w:rPr>
          <w:noProof/>
          <w:lang w:eastAsia="it-IT"/>
        </w:rPr>
        <w:t xml:space="preserve">refinery fuel gases as well, the results then appear </w:t>
      </w:r>
      <w:r>
        <w:rPr>
          <w:bCs/>
          <w:noProof/>
          <w:lang w:eastAsia="de-DE"/>
        </w:rPr>
        <w:t>rather volatile throughout the 2008 to 2017 period without any clear trend (range between 11 and 20 EUR/tonne).</w:t>
      </w:r>
    </w:p>
    <w:p>
      <w:pPr>
        <w:rPr>
          <w:noProof/>
        </w:rPr>
      </w:pPr>
      <w:r>
        <w:rPr>
          <w:noProof/>
          <w:lang w:eastAsia="en-GB"/>
        </w:rPr>
        <w:t>EU average natural gas intensity (</w:t>
      </w:r>
      <w:r>
        <w:rPr>
          <w:noProof/>
          <w:lang w:eastAsia="en-GB"/>
        </w:rPr>
        <w:fldChar w:fldCharType="begin"/>
      </w:r>
      <w:r>
        <w:rPr>
          <w:noProof/>
          <w:lang w:eastAsia="en-GB"/>
        </w:rPr>
        <w:instrText xml:space="preserve"> REF _Ref524539533 \h </w:instrText>
      </w:r>
      <w:r>
        <w:rPr>
          <w:noProof/>
          <w:lang w:eastAsia="en-GB"/>
        </w:rPr>
      </w:r>
      <w:r>
        <w:rPr>
          <w:noProof/>
          <w:lang w:eastAsia="en-GB"/>
        </w:rPr>
        <w:fldChar w:fldCharType="separate"/>
      </w:r>
      <w:r>
        <w:rPr>
          <w:noProof/>
        </w:rPr>
        <w:t>Figure 98</w:t>
      </w:r>
      <w:r>
        <w:rPr>
          <w:noProof/>
          <w:lang w:eastAsia="en-GB"/>
        </w:rPr>
        <w:fldChar w:fldCharType="end"/>
      </w:r>
      <w:r>
        <w:rPr>
          <w:noProof/>
          <w:lang w:eastAsia="en-GB"/>
        </w:rPr>
        <w:t xml:space="preserve">) </w:t>
      </w:r>
      <w:r>
        <w:rPr>
          <w:noProof/>
        </w:rPr>
        <w:t>decreased from 0.35 MWh/tonne in 2008 to 0.24 MWh/tonne in 2017. When including</w:t>
      </w:r>
      <w:r>
        <w:rPr>
          <w:noProof/>
          <w:lang w:eastAsia="it-IT"/>
        </w:rPr>
        <w:t xml:space="preserve"> refinery fuel gases,</w:t>
      </w:r>
      <w:r>
        <w:rPr>
          <w:noProof/>
        </w:rPr>
        <w:t xml:space="preserve"> </w:t>
      </w:r>
      <w:r>
        <w:rPr>
          <w:noProof/>
          <w:lang w:eastAsia="en-GB"/>
        </w:rPr>
        <w:t xml:space="preserve">EU average </w:t>
      </w:r>
      <w:r>
        <w:rPr>
          <w:noProof/>
        </w:rPr>
        <w:t>total gas intensity showed the same pattern and decreased from 0.77 MWh/tonne in 2008 to 0.68 MWh/tonne in 2017. There is no indication that larger plants are less gas intensive than smaller plants.</w:t>
      </w:r>
    </w:p>
    <w:p>
      <w:pPr>
        <w:rPr>
          <w:noProof/>
          <w:lang w:eastAsia="en-GB"/>
        </w:rPr>
      </w:pPr>
    </w:p>
    <w:p>
      <w:pPr>
        <w:pStyle w:val="Heading3"/>
        <w:rPr>
          <w:noProof/>
        </w:rPr>
      </w:pPr>
      <w:bookmarkStart w:id="644" w:name="_Toc526434084"/>
      <w:bookmarkStart w:id="645" w:name="_Toc526436028"/>
      <w:bookmarkStart w:id="646" w:name="_Toc527544453"/>
      <w:bookmarkStart w:id="647" w:name="_Toc530741691"/>
      <w:r>
        <w:rPr>
          <w:noProof/>
        </w:rPr>
        <w:t>Prices, costs and intensity of other fuels</w:t>
      </w:r>
      <w:bookmarkEnd w:id="644"/>
      <w:bookmarkEnd w:id="645"/>
      <w:bookmarkEnd w:id="646"/>
      <w:r>
        <w:rPr>
          <w:noProof/>
        </w:rPr>
        <w:t xml:space="preserve"> including feedstocks</w:t>
      </w:r>
      <w:bookmarkEnd w:id="647"/>
    </w:p>
    <w:p>
      <w:pPr>
        <w:rPr>
          <w:noProof/>
          <w:lang w:eastAsia="en-GB"/>
        </w:rPr>
      </w:pPr>
      <w:r>
        <w:rPr>
          <w:noProof/>
          <w:lang w:eastAsia="en-GB"/>
        </w:rPr>
        <w:t>In the case of refineries, other fuels (</w:t>
      </w:r>
      <w:r>
        <w:rPr>
          <w:noProof/>
        </w:rPr>
        <w:t xml:space="preserve">including feedstocks) </w:t>
      </w:r>
      <w:r>
        <w:rPr>
          <w:noProof/>
          <w:lang w:eastAsia="en-GB"/>
        </w:rPr>
        <w:t xml:space="preserve">than electricity and gas play a key role in their production costs. Some information could be gathered for 2016 and 2017 and is presented in </w:t>
      </w:r>
      <w:r>
        <w:rPr>
          <w:noProof/>
          <w:lang w:eastAsia="en-GB"/>
        </w:rPr>
        <w:fldChar w:fldCharType="begin"/>
      </w:r>
      <w:r>
        <w:rPr>
          <w:noProof/>
          <w:lang w:eastAsia="en-GB"/>
        </w:rPr>
        <w:instrText xml:space="preserve"> REF _Ref526417494 \h </w:instrText>
      </w:r>
      <w:r>
        <w:rPr>
          <w:noProof/>
          <w:lang w:eastAsia="en-GB"/>
        </w:rPr>
      </w:r>
      <w:r>
        <w:rPr>
          <w:noProof/>
          <w:lang w:eastAsia="en-GB"/>
        </w:rPr>
        <w:fldChar w:fldCharType="separate"/>
      </w:r>
      <w:r>
        <w:rPr>
          <w:noProof/>
        </w:rPr>
        <w:t>Table 34</w:t>
      </w:r>
      <w:r>
        <w:rPr>
          <w:noProof/>
          <w:lang w:eastAsia="en-GB"/>
        </w:rPr>
        <w:fldChar w:fldCharType="end"/>
      </w:r>
      <w:r>
        <w:rPr>
          <w:noProof/>
          <w:lang w:eastAsia="en-GB"/>
        </w:rPr>
        <w:t>.</w:t>
      </w:r>
    </w:p>
    <w:p>
      <w:pPr>
        <w:rPr>
          <w:noProof/>
          <w:lang w:eastAsia="en-GB"/>
        </w:rPr>
      </w:pPr>
      <w:r>
        <w:rPr>
          <w:noProof/>
          <w:lang w:eastAsia="en-GB"/>
        </w:rPr>
        <w:t>Major input in refinery activity is crude oil used as feedstock. EU average crude oil price increased from about 24 EUR/MWh in 2016 to 29 EUR/MWh in 2017. In the same way, EU average crude oil costs in EUR/tonne rose from about 332 EUR/tonne in 2016 to 396 EUR/tonne in 2017. We can note that EU average crude oil intensity in refineries slightly decreased (around 1%) from 2016 to 2017 (from 13.76 to 13.62 MWh/tonne, respectively).</w:t>
      </w:r>
    </w:p>
    <w:p>
      <w:pPr>
        <w:rPr>
          <w:noProof/>
          <w:lang w:eastAsia="en-GB"/>
        </w:rPr>
      </w:pPr>
      <w:r>
        <w:rPr>
          <w:noProof/>
          <w:lang w:eastAsia="en-GB"/>
        </w:rPr>
        <w:t>Fuel oil and petroleum coke follow the same pattern as crude oil. EU average price increased between 2016 and 2017, respectively, from about 15 to 20 EUR/MWh for fuel oil and from about 15 to 21 EUR/MWh for petroleum coke. In terms of costs in EUR/tonne, they rose between 2016 and 2017, respectively, from about 2.2 to 2.5 EUR/tonne for fuel oil and from 2.0 to 2.4 EUR/tonne for petroleum coke. In parallel, EU average petroleum coke intensity in refineries dropped by 8% (0.13 MWh/tonne in 2016 vs. 0.12 MWh/tonne in 2017) and more than 20% for fuel oil (0.14 MWh/tonne in 2016 vs. 0.11 MWh/tonne in 2017).</w:t>
      </w:r>
    </w:p>
    <w:p>
      <w:pPr>
        <w:rPr>
          <w:noProof/>
          <w:lang w:eastAsia="en-GB"/>
        </w:rPr>
      </w:pPr>
    </w:p>
    <w:p>
      <w:pPr>
        <w:pStyle w:val="Heading3"/>
        <w:rPr>
          <w:noProof/>
        </w:rPr>
      </w:pPr>
      <w:bookmarkStart w:id="648" w:name="_Toc526434085"/>
      <w:bookmarkStart w:id="649" w:name="_Toc526436029"/>
      <w:bookmarkStart w:id="650" w:name="_Toc527544454"/>
      <w:bookmarkStart w:id="651" w:name="_Toc530741692"/>
      <w:r>
        <w:rPr>
          <w:noProof/>
        </w:rPr>
        <w:t>Competitiveness</w:t>
      </w:r>
      <w:bookmarkEnd w:id="648"/>
      <w:bookmarkEnd w:id="649"/>
      <w:bookmarkEnd w:id="650"/>
      <w:bookmarkEnd w:id="651"/>
    </w:p>
    <w:p>
      <w:pPr>
        <w:rPr>
          <w:noProof/>
          <w:lang w:eastAsia="en-GB"/>
        </w:rPr>
      </w:pPr>
      <w:r>
        <w:rPr>
          <w:noProof/>
          <w:lang w:eastAsia="en-GB"/>
        </w:rPr>
        <w:fldChar w:fldCharType="begin"/>
      </w:r>
      <w:r>
        <w:rPr>
          <w:noProof/>
          <w:lang w:eastAsia="en-GB"/>
        </w:rPr>
        <w:instrText xml:space="preserve"> REF _Ref524539472 \h </w:instrText>
      </w:r>
      <w:r>
        <w:rPr>
          <w:noProof/>
          <w:lang w:eastAsia="en-GB"/>
        </w:rPr>
      </w:r>
      <w:r>
        <w:rPr>
          <w:noProof/>
          <w:lang w:eastAsia="en-GB"/>
        </w:rPr>
        <w:fldChar w:fldCharType="separate"/>
      </w:r>
      <w:r>
        <w:rPr>
          <w:noProof/>
        </w:rPr>
        <w:t>Table 35</w:t>
      </w:r>
      <w:r>
        <w:rPr>
          <w:noProof/>
          <w:lang w:eastAsia="en-GB"/>
        </w:rPr>
        <w:fldChar w:fldCharType="end"/>
      </w:r>
      <w:r>
        <w:rPr>
          <w:noProof/>
          <w:lang w:eastAsia="en-GB"/>
        </w:rPr>
        <w:t xml:space="preserve"> presents the respective share of fuel costs and total energy (sum of electricity, natural gas, refinery fuel gases, crude oil, fuel oil and petroleum coke) costs in total production costs. Full data set is available for 2016 and 2017 only. The total energy costs amount between 84 and 86% in total production costs, mostly attributable to crude oil (crude oil makes up about 95% of total energy costs).</w:t>
      </w:r>
    </w:p>
    <w:p>
      <w:pPr>
        <w:rPr>
          <w:noProof/>
          <w:lang w:eastAsia="en-GB"/>
        </w:rPr>
      </w:pPr>
      <w:r>
        <w:rPr>
          <w:noProof/>
          <w:lang w:eastAsia="en-GB"/>
        </w:rPr>
        <w:t>EBITDA per tonne (</w:t>
      </w:r>
      <w:r>
        <w:rPr>
          <w:noProof/>
          <w:lang w:eastAsia="en-GB"/>
        </w:rPr>
        <w:fldChar w:fldCharType="begin"/>
      </w:r>
      <w:r>
        <w:rPr>
          <w:noProof/>
          <w:lang w:eastAsia="en-GB"/>
        </w:rPr>
        <w:instrText xml:space="preserve"> REF _Ref524539578 \h </w:instrText>
      </w:r>
      <w:r>
        <w:rPr>
          <w:noProof/>
          <w:lang w:eastAsia="en-GB"/>
        </w:rPr>
      </w:r>
      <w:r>
        <w:rPr>
          <w:noProof/>
          <w:lang w:eastAsia="en-GB"/>
        </w:rPr>
        <w:fldChar w:fldCharType="separate"/>
      </w:r>
      <w:r>
        <w:rPr>
          <w:noProof/>
        </w:rPr>
        <w:t>Figure 100</w:t>
      </w:r>
      <w:r>
        <w:rPr>
          <w:noProof/>
          <w:lang w:eastAsia="en-GB"/>
        </w:rPr>
        <w:fldChar w:fldCharType="end"/>
      </w:r>
      <w:r>
        <w:rPr>
          <w:noProof/>
          <w:lang w:eastAsia="en-GB"/>
        </w:rPr>
        <w:t xml:space="preserve">) slightly increased between 2016 and 2017 (37 vs. 44 EUR/tonne, respectively). It is not possible to analyse the impact of total energy costs on profitability from a trend perspective, as data are available for two years only (2016 and 2017). Nevertheless, the ratio of total energy costs to EBITDA still indicates that a 1 % reduction in total energy costs would potentially lead to an increase of 9.3% in EBITDA, which </w:t>
      </w:r>
      <w:r>
        <w:rPr>
          <w:noProof/>
          <w:lang w:eastAsia="de-DE"/>
        </w:rPr>
        <w:t>shows the extreme importance of energy costs and the huge potential impact they can have on margins of refineries.</w:t>
      </w:r>
    </w:p>
    <w:p>
      <w:pPr>
        <w:rPr>
          <w:noProof/>
          <w:lang w:eastAsia="en-GB"/>
        </w:rPr>
      </w:pPr>
    </w:p>
    <w:p>
      <w:pPr>
        <w:pStyle w:val="Heading3"/>
        <w:rPr>
          <w:noProof/>
        </w:rPr>
      </w:pPr>
      <w:bookmarkStart w:id="652" w:name="_Toc526434086"/>
      <w:bookmarkStart w:id="653" w:name="_Toc526436030"/>
      <w:bookmarkStart w:id="654" w:name="_Toc527544455"/>
      <w:bookmarkStart w:id="655" w:name="_Toc530741693"/>
      <w:r>
        <w:rPr>
          <w:noProof/>
        </w:rPr>
        <w:t>Tables and graphs</w:t>
      </w:r>
      <w:bookmarkEnd w:id="652"/>
      <w:bookmarkEnd w:id="653"/>
      <w:bookmarkEnd w:id="654"/>
      <w:bookmarkEnd w:id="655"/>
    </w:p>
    <w:p>
      <w:pPr>
        <w:rPr>
          <w:b/>
          <w:i/>
          <w:noProof/>
          <w:lang w:eastAsia="en-GB"/>
        </w:rPr>
      </w:pPr>
      <w:r>
        <w:rPr>
          <w:b/>
          <w:i/>
          <w:noProof/>
          <w:lang w:eastAsia="en-GB"/>
        </w:rPr>
        <w:t>Electricity</w:t>
      </w:r>
    </w:p>
    <w:p>
      <w:pPr>
        <w:pStyle w:val="Caption"/>
      </w:pPr>
      <w:bookmarkStart w:id="656" w:name="_Ref524539439"/>
      <w:bookmarkStart w:id="657" w:name="_Toc526433637"/>
      <w:bookmarkStart w:id="658" w:name="_Toc526435579"/>
      <w:bookmarkStart w:id="659" w:name="_Toc527544807"/>
      <w:bookmarkStart w:id="660" w:name="_Toc530741825"/>
      <w:r>
        <w:t xml:space="preserve">Table </w:t>
      </w:r>
      <w:r>
        <w:fldChar w:fldCharType="begin"/>
      </w:r>
      <w:r>
        <w:instrText xml:space="preserve"> SEQ Table \* ARABIC </w:instrText>
      </w:r>
      <w:r>
        <w:fldChar w:fldCharType="separate"/>
      </w:r>
      <w:r>
        <w:t>32</w:t>
      </w:r>
      <w:r>
        <w:fldChar w:fldCharType="end"/>
      </w:r>
      <w:bookmarkEnd w:id="656"/>
      <w:r>
        <w:t xml:space="preserve">. Key electricity indicators of </w:t>
      </w:r>
      <w:r>
        <w:rPr>
          <w:lang w:eastAsia="en-GB"/>
        </w:rPr>
        <w:t>refineries</w:t>
      </w:r>
      <w:r>
        <w:t xml:space="preserve"> (EU averages)</w:t>
      </w:r>
      <w:bookmarkEnd w:id="657"/>
      <w:bookmarkEnd w:id="658"/>
      <w:bookmarkEnd w:id="659"/>
      <w:bookmarkEnd w:id="660"/>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9"/>
        <w:gridCol w:w="731"/>
        <w:gridCol w:w="767"/>
        <w:gridCol w:w="767"/>
        <w:gridCol w:w="768"/>
        <w:gridCol w:w="768"/>
        <w:gridCol w:w="768"/>
        <w:gridCol w:w="768"/>
        <w:gridCol w:w="765"/>
      </w:tblGrid>
      <w:tr>
        <w:trPr>
          <w:trHeight w:val="244"/>
          <w:tblHeader/>
          <w:jc w:val="center"/>
        </w:trPr>
        <w:tc>
          <w:tcPr>
            <w:tcW w:w="162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40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2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24"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2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2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2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2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25"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25" w:type="pct"/>
            <w:tcBorders>
              <w:top w:val="single" w:sz="4" w:space="0" w:color="auto"/>
            </w:tcBorders>
            <w:shd w:val="clear" w:color="auto" w:fill="CEEBE6"/>
            <w:noWrap/>
            <w:vAlign w:val="center"/>
          </w:tcPr>
          <w:p>
            <w:pPr>
              <w:spacing w:before="60" w:after="60"/>
              <w:jc w:val="left"/>
              <w:rPr>
                <w:b/>
                <w:bCs/>
                <w:noProof/>
                <w:sz w:val="20"/>
                <w:szCs w:val="16"/>
              </w:rPr>
            </w:pPr>
            <w:r>
              <w:rPr>
                <w:noProof/>
                <w:sz w:val="20"/>
                <w:szCs w:val="16"/>
              </w:rPr>
              <w:t>Electricity price (€/MWh)</w:t>
            </w:r>
          </w:p>
        </w:tc>
        <w:tc>
          <w:tcPr>
            <w:tcW w:w="40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77.6</w:t>
            </w:r>
          </w:p>
        </w:tc>
        <w:tc>
          <w:tcPr>
            <w:tcW w:w="42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69.2</w:t>
            </w:r>
          </w:p>
        </w:tc>
        <w:tc>
          <w:tcPr>
            <w:tcW w:w="424"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75.5</w:t>
            </w:r>
          </w:p>
        </w:tc>
        <w:tc>
          <w:tcPr>
            <w:tcW w:w="42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72.4</w:t>
            </w:r>
          </w:p>
        </w:tc>
        <w:tc>
          <w:tcPr>
            <w:tcW w:w="42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76.9</w:t>
            </w:r>
          </w:p>
        </w:tc>
        <w:tc>
          <w:tcPr>
            <w:tcW w:w="42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73.6</w:t>
            </w:r>
          </w:p>
        </w:tc>
        <w:tc>
          <w:tcPr>
            <w:tcW w:w="42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69.0</w:t>
            </w:r>
          </w:p>
        </w:tc>
        <w:tc>
          <w:tcPr>
            <w:tcW w:w="425" w:type="pct"/>
            <w:tcBorders>
              <w:top w:val="single" w:sz="4" w:space="0" w:color="auto"/>
            </w:tcBorders>
            <w:shd w:val="clear" w:color="auto" w:fill="CEEBE6"/>
            <w:noWrap/>
            <w:vAlign w:val="center"/>
          </w:tcPr>
          <w:p>
            <w:pPr>
              <w:spacing w:before="60" w:after="60"/>
              <w:jc w:val="center"/>
              <w:rPr>
                <w:noProof/>
                <w:sz w:val="20"/>
                <w:szCs w:val="16"/>
                <w:lang w:eastAsia="it-IT"/>
              </w:rPr>
            </w:pPr>
            <w:r>
              <w:rPr>
                <w:noProof/>
                <w:sz w:val="20"/>
                <w:szCs w:val="16"/>
              </w:rPr>
              <w:t>70.5</w:t>
            </w:r>
          </w:p>
        </w:tc>
      </w:tr>
      <w:tr>
        <w:trPr>
          <w:trHeight w:val="244"/>
          <w:jc w:val="center"/>
        </w:trPr>
        <w:tc>
          <w:tcPr>
            <w:tcW w:w="1625" w:type="pct"/>
            <w:shd w:val="clear" w:color="auto" w:fill="auto"/>
            <w:noWrap/>
            <w:vAlign w:val="center"/>
            <w:hideMark/>
          </w:tcPr>
          <w:p>
            <w:pPr>
              <w:spacing w:before="60" w:after="60"/>
              <w:jc w:val="left"/>
              <w:rPr>
                <w:b/>
                <w:bCs/>
                <w:noProof/>
                <w:sz w:val="20"/>
                <w:szCs w:val="16"/>
              </w:rPr>
            </w:pPr>
            <w:r>
              <w:rPr>
                <w:noProof/>
                <w:sz w:val="20"/>
                <w:szCs w:val="16"/>
              </w:rPr>
              <w:t>Electricity costs (€/MWh)</w:t>
            </w:r>
          </w:p>
        </w:tc>
        <w:tc>
          <w:tcPr>
            <w:tcW w:w="404" w:type="pct"/>
            <w:shd w:val="clear" w:color="auto" w:fill="auto"/>
            <w:noWrap/>
            <w:vAlign w:val="center"/>
            <w:hideMark/>
          </w:tcPr>
          <w:p>
            <w:pPr>
              <w:spacing w:before="60" w:after="60"/>
              <w:jc w:val="center"/>
              <w:rPr>
                <w:noProof/>
                <w:sz w:val="20"/>
                <w:szCs w:val="16"/>
                <w:lang w:eastAsia="it-IT"/>
              </w:rPr>
            </w:pPr>
            <w:r>
              <w:rPr>
                <w:noProof/>
                <w:sz w:val="20"/>
                <w:szCs w:val="16"/>
              </w:rPr>
              <w:t>92.4</w:t>
            </w:r>
          </w:p>
        </w:tc>
        <w:tc>
          <w:tcPr>
            <w:tcW w:w="424" w:type="pct"/>
            <w:shd w:val="clear" w:color="auto" w:fill="auto"/>
            <w:noWrap/>
            <w:vAlign w:val="center"/>
            <w:hideMark/>
          </w:tcPr>
          <w:p>
            <w:pPr>
              <w:spacing w:before="60" w:after="60"/>
              <w:jc w:val="center"/>
              <w:rPr>
                <w:noProof/>
                <w:sz w:val="20"/>
                <w:szCs w:val="16"/>
                <w:lang w:eastAsia="it-IT"/>
              </w:rPr>
            </w:pPr>
            <w:r>
              <w:rPr>
                <w:noProof/>
                <w:sz w:val="20"/>
                <w:szCs w:val="16"/>
              </w:rPr>
              <w:t>89.2</w:t>
            </w:r>
          </w:p>
        </w:tc>
        <w:tc>
          <w:tcPr>
            <w:tcW w:w="424" w:type="pct"/>
            <w:shd w:val="clear" w:color="auto" w:fill="auto"/>
            <w:noWrap/>
            <w:vAlign w:val="center"/>
            <w:hideMark/>
          </w:tcPr>
          <w:p>
            <w:pPr>
              <w:spacing w:before="60" w:after="60"/>
              <w:jc w:val="center"/>
              <w:rPr>
                <w:noProof/>
                <w:sz w:val="20"/>
                <w:szCs w:val="16"/>
                <w:lang w:eastAsia="it-IT"/>
              </w:rPr>
            </w:pPr>
            <w:r>
              <w:rPr>
                <w:noProof/>
                <w:sz w:val="20"/>
                <w:szCs w:val="16"/>
              </w:rPr>
              <w:t>92.0</w:t>
            </w:r>
          </w:p>
        </w:tc>
        <w:tc>
          <w:tcPr>
            <w:tcW w:w="425" w:type="pct"/>
            <w:shd w:val="clear" w:color="auto" w:fill="auto"/>
            <w:noWrap/>
            <w:vAlign w:val="center"/>
            <w:hideMark/>
          </w:tcPr>
          <w:p>
            <w:pPr>
              <w:spacing w:before="60" w:after="60"/>
              <w:jc w:val="center"/>
              <w:rPr>
                <w:noProof/>
                <w:sz w:val="20"/>
                <w:szCs w:val="16"/>
                <w:lang w:eastAsia="it-IT"/>
              </w:rPr>
            </w:pPr>
            <w:r>
              <w:rPr>
                <w:noProof/>
                <w:sz w:val="20"/>
                <w:szCs w:val="16"/>
              </w:rPr>
              <w:t>92.6</w:t>
            </w:r>
          </w:p>
        </w:tc>
        <w:tc>
          <w:tcPr>
            <w:tcW w:w="425" w:type="pct"/>
            <w:shd w:val="clear" w:color="auto" w:fill="auto"/>
            <w:noWrap/>
            <w:vAlign w:val="center"/>
            <w:hideMark/>
          </w:tcPr>
          <w:p>
            <w:pPr>
              <w:spacing w:before="60" w:after="60"/>
              <w:jc w:val="center"/>
              <w:rPr>
                <w:noProof/>
                <w:sz w:val="20"/>
                <w:szCs w:val="16"/>
                <w:lang w:eastAsia="it-IT"/>
              </w:rPr>
            </w:pPr>
            <w:r>
              <w:rPr>
                <w:noProof/>
                <w:sz w:val="20"/>
                <w:szCs w:val="16"/>
              </w:rPr>
              <w:t>89.2</w:t>
            </w:r>
          </w:p>
        </w:tc>
        <w:tc>
          <w:tcPr>
            <w:tcW w:w="425" w:type="pct"/>
            <w:shd w:val="clear" w:color="auto" w:fill="auto"/>
            <w:noWrap/>
            <w:vAlign w:val="center"/>
            <w:hideMark/>
          </w:tcPr>
          <w:p>
            <w:pPr>
              <w:spacing w:before="60" w:after="60"/>
              <w:jc w:val="center"/>
              <w:rPr>
                <w:noProof/>
                <w:sz w:val="20"/>
                <w:szCs w:val="16"/>
                <w:lang w:eastAsia="it-IT"/>
              </w:rPr>
            </w:pPr>
            <w:r>
              <w:rPr>
                <w:noProof/>
                <w:sz w:val="20"/>
                <w:szCs w:val="16"/>
              </w:rPr>
              <w:t>83.6</w:t>
            </w:r>
          </w:p>
        </w:tc>
        <w:tc>
          <w:tcPr>
            <w:tcW w:w="425" w:type="pct"/>
            <w:shd w:val="clear" w:color="auto" w:fill="auto"/>
            <w:noWrap/>
            <w:vAlign w:val="center"/>
            <w:hideMark/>
          </w:tcPr>
          <w:p>
            <w:pPr>
              <w:spacing w:before="60" w:after="60"/>
              <w:jc w:val="center"/>
              <w:rPr>
                <w:noProof/>
                <w:sz w:val="20"/>
                <w:szCs w:val="16"/>
                <w:lang w:eastAsia="it-IT"/>
              </w:rPr>
            </w:pPr>
            <w:r>
              <w:rPr>
                <w:noProof/>
                <w:sz w:val="20"/>
                <w:szCs w:val="16"/>
              </w:rPr>
              <w:t>62.9</w:t>
            </w:r>
          </w:p>
        </w:tc>
        <w:tc>
          <w:tcPr>
            <w:tcW w:w="425" w:type="pct"/>
            <w:shd w:val="clear" w:color="auto" w:fill="auto"/>
            <w:noWrap/>
            <w:vAlign w:val="center"/>
            <w:hideMark/>
          </w:tcPr>
          <w:p>
            <w:pPr>
              <w:spacing w:before="60" w:after="60"/>
              <w:jc w:val="center"/>
              <w:rPr>
                <w:noProof/>
                <w:sz w:val="20"/>
                <w:szCs w:val="16"/>
                <w:lang w:eastAsia="it-IT"/>
              </w:rPr>
            </w:pPr>
            <w:r>
              <w:rPr>
                <w:noProof/>
                <w:sz w:val="20"/>
                <w:szCs w:val="16"/>
              </w:rPr>
              <w:t>65.9</w:t>
            </w:r>
          </w:p>
        </w:tc>
      </w:tr>
      <w:tr>
        <w:trPr>
          <w:trHeight w:val="244"/>
          <w:jc w:val="center"/>
        </w:trPr>
        <w:tc>
          <w:tcPr>
            <w:tcW w:w="1625" w:type="pct"/>
            <w:shd w:val="clear" w:color="auto" w:fill="CEEBE6"/>
            <w:noWrap/>
            <w:vAlign w:val="center"/>
            <w:hideMark/>
          </w:tcPr>
          <w:p>
            <w:pPr>
              <w:spacing w:before="60" w:after="60"/>
              <w:jc w:val="left"/>
              <w:rPr>
                <w:noProof/>
                <w:color w:val="000000"/>
                <w:sz w:val="20"/>
                <w:szCs w:val="16"/>
              </w:rPr>
            </w:pPr>
            <w:r>
              <w:rPr>
                <w:noProof/>
                <w:sz w:val="20"/>
                <w:szCs w:val="16"/>
              </w:rPr>
              <w:t>Electricity costs (€/tonne)</w:t>
            </w:r>
          </w:p>
        </w:tc>
        <w:tc>
          <w:tcPr>
            <w:tcW w:w="404" w:type="pct"/>
            <w:shd w:val="clear" w:color="auto" w:fill="CEEBE6"/>
            <w:noWrap/>
            <w:vAlign w:val="center"/>
            <w:hideMark/>
          </w:tcPr>
          <w:p>
            <w:pPr>
              <w:spacing w:before="60" w:after="60"/>
              <w:jc w:val="center"/>
              <w:rPr>
                <w:noProof/>
                <w:sz w:val="20"/>
                <w:szCs w:val="16"/>
                <w:lang w:eastAsia="it-IT"/>
              </w:rPr>
            </w:pPr>
            <w:r>
              <w:rPr>
                <w:noProof/>
                <w:sz w:val="20"/>
                <w:szCs w:val="16"/>
              </w:rPr>
              <w:t>6.2</w:t>
            </w:r>
          </w:p>
        </w:tc>
        <w:tc>
          <w:tcPr>
            <w:tcW w:w="424" w:type="pct"/>
            <w:shd w:val="clear" w:color="auto" w:fill="CEEBE6"/>
            <w:noWrap/>
            <w:vAlign w:val="center"/>
            <w:hideMark/>
          </w:tcPr>
          <w:p>
            <w:pPr>
              <w:spacing w:before="60" w:after="60"/>
              <w:jc w:val="center"/>
              <w:rPr>
                <w:noProof/>
                <w:sz w:val="20"/>
                <w:szCs w:val="16"/>
                <w:lang w:eastAsia="it-IT"/>
              </w:rPr>
            </w:pPr>
            <w:r>
              <w:rPr>
                <w:noProof/>
                <w:sz w:val="20"/>
                <w:szCs w:val="16"/>
              </w:rPr>
              <w:t>6.7</w:t>
            </w:r>
          </w:p>
        </w:tc>
        <w:tc>
          <w:tcPr>
            <w:tcW w:w="424" w:type="pct"/>
            <w:shd w:val="clear" w:color="auto" w:fill="CEEBE6"/>
            <w:noWrap/>
            <w:vAlign w:val="center"/>
            <w:hideMark/>
          </w:tcPr>
          <w:p>
            <w:pPr>
              <w:spacing w:before="60" w:after="60"/>
              <w:jc w:val="center"/>
              <w:rPr>
                <w:noProof/>
                <w:sz w:val="20"/>
                <w:szCs w:val="16"/>
                <w:lang w:eastAsia="it-IT"/>
              </w:rPr>
            </w:pPr>
            <w:r>
              <w:rPr>
                <w:noProof/>
                <w:sz w:val="20"/>
                <w:szCs w:val="16"/>
              </w:rPr>
              <w:t>6.9</w:t>
            </w:r>
          </w:p>
        </w:tc>
        <w:tc>
          <w:tcPr>
            <w:tcW w:w="425" w:type="pct"/>
            <w:shd w:val="clear" w:color="auto" w:fill="CEEBE6"/>
            <w:noWrap/>
            <w:vAlign w:val="center"/>
            <w:hideMark/>
          </w:tcPr>
          <w:p>
            <w:pPr>
              <w:spacing w:before="60" w:after="60"/>
              <w:jc w:val="center"/>
              <w:rPr>
                <w:noProof/>
                <w:sz w:val="20"/>
                <w:szCs w:val="16"/>
                <w:lang w:eastAsia="it-IT"/>
              </w:rPr>
            </w:pPr>
            <w:r>
              <w:rPr>
                <w:noProof/>
                <w:sz w:val="20"/>
                <w:szCs w:val="16"/>
              </w:rPr>
              <w:t>6.8</w:t>
            </w:r>
          </w:p>
        </w:tc>
        <w:tc>
          <w:tcPr>
            <w:tcW w:w="425" w:type="pct"/>
            <w:shd w:val="clear" w:color="auto" w:fill="CEEBE6"/>
            <w:noWrap/>
            <w:vAlign w:val="center"/>
            <w:hideMark/>
          </w:tcPr>
          <w:p>
            <w:pPr>
              <w:spacing w:before="60" w:after="60"/>
              <w:jc w:val="center"/>
              <w:rPr>
                <w:noProof/>
                <w:sz w:val="20"/>
                <w:szCs w:val="16"/>
                <w:lang w:eastAsia="it-IT"/>
              </w:rPr>
            </w:pPr>
            <w:r>
              <w:rPr>
                <w:noProof/>
                <w:sz w:val="20"/>
                <w:szCs w:val="16"/>
              </w:rPr>
              <w:t>7.1</w:t>
            </w:r>
          </w:p>
        </w:tc>
        <w:tc>
          <w:tcPr>
            <w:tcW w:w="425" w:type="pct"/>
            <w:shd w:val="clear" w:color="auto" w:fill="CEEBE6"/>
            <w:noWrap/>
            <w:vAlign w:val="center"/>
            <w:hideMark/>
          </w:tcPr>
          <w:p>
            <w:pPr>
              <w:spacing w:before="60" w:after="60"/>
              <w:jc w:val="center"/>
              <w:rPr>
                <w:noProof/>
                <w:sz w:val="20"/>
                <w:szCs w:val="16"/>
                <w:lang w:eastAsia="it-IT"/>
              </w:rPr>
            </w:pPr>
            <w:r>
              <w:rPr>
                <w:noProof/>
                <w:sz w:val="20"/>
                <w:szCs w:val="16"/>
              </w:rPr>
              <w:t>6.1</w:t>
            </w:r>
          </w:p>
        </w:tc>
        <w:tc>
          <w:tcPr>
            <w:tcW w:w="425" w:type="pct"/>
            <w:shd w:val="clear" w:color="auto" w:fill="CEEBE6"/>
            <w:noWrap/>
            <w:vAlign w:val="center"/>
            <w:hideMark/>
          </w:tcPr>
          <w:p>
            <w:pPr>
              <w:spacing w:before="60" w:after="60"/>
              <w:jc w:val="center"/>
              <w:rPr>
                <w:noProof/>
                <w:sz w:val="20"/>
                <w:szCs w:val="16"/>
                <w:lang w:eastAsia="it-IT"/>
              </w:rPr>
            </w:pPr>
            <w:r>
              <w:rPr>
                <w:noProof/>
                <w:sz w:val="20"/>
                <w:szCs w:val="16"/>
              </w:rPr>
              <w:t>3.5</w:t>
            </w:r>
          </w:p>
        </w:tc>
        <w:tc>
          <w:tcPr>
            <w:tcW w:w="425" w:type="pct"/>
            <w:shd w:val="clear" w:color="auto" w:fill="CEEBE6"/>
            <w:noWrap/>
            <w:vAlign w:val="center"/>
            <w:hideMark/>
          </w:tcPr>
          <w:p>
            <w:pPr>
              <w:spacing w:before="60" w:after="60"/>
              <w:jc w:val="center"/>
              <w:rPr>
                <w:noProof/>
                <w:sz w:val="20"/>
                <w:szCs w:val="16"/>
                <w:lang w:eastAsia="it-IT"/>
              </w:rPr>
            </w:pPr>
            <w:r>
              <w:rPr>
                <w:noProof/>
                <w:sz w:val="20"/>
                <w:szCs w:val="16"/>
              </w:rPr>
              <w:t>3.8</w:t>
            </w:r>
          </w:p>
        </w:tc>
      </w:tr>
      <w:tr>
        <w:trPr>
          <w:trHeight w:val="244"/>
          <w:jc w:val="center"/>
        </w:trPr>
        <w:tc>
          <w:tcPr>
            <w:tcW w:w="1625" w:type="pct"/>
            <w:shd w:val="clear" w:color="auto" w:fill="auto"/>
            <w:noWrap/>
            <w:vAlign w:val="center"/>
          </w:tcPr>
          <w:p>
            <w:pPr>
              <w:keepNext/>
              <w:spacing w:before="60" w:after="60"/>
              <w:jc w:val="left"/>
              <w:rPr>
                <w:b/>
                <w:bCs/>
                <w:noProof/>
                <w:sz w:val="20"/>
                <w:szCs w:val="16"/>
              </w:rPr>
            </w:pPr>
            <w:r>
              <w:rPr>
                <w:noProof/>
                <w:sz w:val="20"/>
                <w:szCs w:val="16"/>
              </w:rPr>
              <w:t>Electricity intensity (MWh/tonne)</w:t>
            </w:r>
          </w:p>
        </w:tc>
        <w:tc>
          <w:tcPr>
            <w:tcW w:w="404" w:type="pct"/>
            <w:shd w:val="clear" w:color="auto" w:fill="auto"/>
            <w:noWrap/>
            <w:vAlign w:val="center"/>
          </w:tcPr>
          <w:p>
            <w:pPr>
              <w:spacing w:before="60" w:after="60"/>
              <w:jc w:val="center"/>
              <w:rPr>
                <w:noProof/>
                <w:sz w:val="20"/>
                <w:szCs w:val="16"/>
                <w:lang w:eastAsia="it-IT"/>
              </w:rPr>
            </w:pPr>
            <w:r>
              <w:rPr>
                <w:noProof/>
                <w:sz w:val="20"/>
                <w:szCs w:val="16"/>
              </w:rPr>
              <w:t>0.07</w:t>
            </w:r>
          </w:p>
        </w:tc>
        <w:tc>
          <w:tcPr>
            <w:tcW w:w="424" w:type="pct"/>
            <w:shd w:val="clear" w:color="auto" w:fill="auto"/>
            <w:noWrap/>
            <w:vAlign w:val="center"/>
          </w:tcPr>
          <w:p>
            <w:pPr>
              <w:spacing w:before="60" w:after="60"/>
              <w:jc w:val="center"/>
              <w:rPr>
                <w:noProof/>
                <w:sz w:val="20"/>
                <w:szCs w:val="16"/>
                <w:lang w:eastAsia="it-IT"/>
              </w:rPr>
            </w:pPr>
            <w:r>
              <w:rPr>
                <w:noProof/>
                <w:sz w:val="20"/>
                <w:szCs w:val="16"/>
              </w:rPr>
              <w:t>0.08</w:t>
            </w:r>
          </w:p>
        </w:tc>
        <w:tc>
          <w:tcPr>
            <w:tcW w:w="424" w:type="pct"/>
            <w:shd w:val="clear" w:color="auto" w:fill="auto"/>
            <w:noWrap/>
            <w:vAlign w:val="center"/>
          </w:tcPr>
          <w:p>
            <w:pPr>
              <w:spacing w:before="60" w:after="60"/>
              <w:jc w:val="center"/>
              <w:rPr>
                <w:noProof/>
                <w:sz w:val="20"/>
                <w:szCs w:val="16"/>
                <w:lang w:eastAsia="it-IT"/>
              </w:rPr>
            </w:pPr>
            <w:r>
              <w:rPr>
                <w:noProof/>
                <w:sz w:val="20"/>
                <w:szCs w:val="16"/>
              </w:rPr>
              <w:t>0.07</w:t>
            </w:r>
          </w:p>
        </w:tc>
        <w:tc>
          <w:tcPr>
            <w:tcW w:w="425" w:type="pct"/>
            <w:shd w:val="clear" w:color="auto" w:fill="auto"/>
            <w:noWrap/>
            <w:vAlign w:val="center"/>
          </w:tcPr>
          <w:p>
            <w:pPr>
              <w:spacing w:before="60" w:after="60"/>
              <w:jc w:val="center"/>
              <w:rPr>
                <w:noProof/>
                <w:sz w:val="20"/>
                <w:szCs w:val="16"/>
                <w:lang w:eastAsia="it-IT"/>
              </w:rPr>
            </w:pPr>
            <w:r>
              <w:rPr>
                <w:noProof/>
                <w:sz w:val="20"/>
                <w:szCs w:val="16"/>
              </w:rPr>
              <w:t>0.07</w:t>
            </w:r>
          </w:p>
        </w:tc>
        <w:tc>
          <w:tcPr>
            <w:tcW w:w="425" w:type="pct"/>
            <w:shd w:val="clear" w:color="auto" w:fill="auto"/>
            <w:noWrap/>
            <w:vAlign w:val="center"/>
          </w:tcPr>
          <w:p>
            <w:pPr>
              <w:spacing w:before="60" w:after="60"/>
              <w:jc w:val="center"/>
              <w:rPr>
                <w:noProof/>
                <w:sz w:val="20"/>
                <w:szCs w:val="16"/>
                <w:lang w:eastAsia="it-IT"/>
              </w:rPr>
            </w:pPr>
            <w:r>
              <w:rPr>
                <w:noProof/>
                <w:sz w:val="20"/>
                <w:szCs w:val="16"/>
              </w:rPr>
              <w:t>0.07</w:t>
            </w:r>
          </w:p>
        </w:tc>
        <w:tc>
          <w:tcPr>
            <w:tcW w:w="425" w:type="pct"/>
            <w:shd w:val="clear" w:color="auto" w:fill="auto"/>
            <w:noWrap/>
            <w:vAlign w:val="center"/>
          </w:tcPr>
          <w:p>
            <w:pPr>
              <w:spacing w:before="60" w:after="60"/>
              <w:jc w:val="center"/>
              <w:rPr>
                <w:noProof/>
                <w:sz w:val="20"/>
                <w:szCs w:val="16"/>
                <w:lang w:eastAsia="it-IT"/>
              </w:rPr>
            </w:pPr>
            <w:r>
              <w:rPr>
                <w:noProof/>
                <w:sz w:val="20"/>
                <w:szCs w:val="16"/>
              </w:rPr>
              <w:t>0.07</w:t>
            </w:r>
          </w:p>
        </w:tc>
        <w:tc>
          <w:tcPr>
            <w:tcW w:w="425" w:type="pct"/>
            <w:shd w:val="clear" w:color="auto" w:fill="auto"/>
            <w:noWrap/>
            <w:vAlign w:val="center"/>
          </w:tcPr>
          <w:p>
            <w:pPr>
              <w:spacing w:before="60" w:after="60"/>
              <w:jc w:val="center"/>
              <w:rPr>
                <w:noProof/>
                <w:sz w:val="20"/>
                <w:szCs w:val="16"/>
                <w:lang w:eastAsia="it-IT"/>
              </w:rPr>
            </w:pPr>
            <w:r>
              <w:rPr>
                <w:noProof/>
                <w:sz w:val="20"/>
                <w:szCs w:val="16"/>
              </w:rPr>
              <w:t>0.06</w:t>
            </w:r>
          </w:p>
        </w:tc>
        <w:tc>
          <w:tcPr>
            <w:tcW w:w="425" w:type="pct"/>
            <w:shd w:val="clear" w:color="auto" w:fill="auto"/>
            <w:noWrap/>
            <w:vAlign w:val="center"/>
          </w:tcPr>
          <w:p>
            <w:pPr>
              <w:spacing w:before="60" w:after="60"/>
              <w:jc w:val="center"/>
              <w:rPr>
                <w:noProof/>
                <w:sz w:val="20"/>
                <w:szCs w:val="16"/>
                <w:lang w:eastAsia="it-IT"/>
              </w:rPr>
            </w:pPr>
            <w:r>
              <w:rPr>
                <w:noProof/>
                <w:sz w:val="20"/>
                <w:szCs w:val="16"/>
              </w:rPr>
              <w:t>0.06</w:t>
            </w:r>
          </w:p>
        </w:tc>
      </w:tr>
    </w:tbl>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661" w:name="_Ref529293166"/>
      <w:bookmarkStart w:id="662" w:name="_Toc530741783"/>
      <w:r>
        <w:t xml:space="preserve">Figure </w:t>
      </w:r>
      <w:r>
        <w:fldChar w:fldCharType="begin"/>
      </w:r>
      <w:r>
        <w:instrText xml:space="preserve"> SEQ Figure \* ARABIC </w:instrText>
      </w:r>
      <w:r>
        <w:fldChar w:fldCharType="separate"/>
      </w:r>
      <w:r>
        <w:t>90</w:t>
      </w:r>
      <w:r>
        <w:fldChar w:fldCharType="end"/>
      </w:r>
      <w:bookmarkEnd w:id="661"/>
      <w:r>
        <w:t xml:space="preserve">. Components of the EU average electricity price for </w:t>
      </w:r>
      <w:r>
        <w:rPr>
          <w:lang w:eastAsia="en-GB"/>
        </w:rPr>
        <w:t>refineries</w:t>
      </w:r>
      <w:r>
        <w:t xml:space="preserve"> (%)</w:t>
      </w:r>
      <w:bookmarkEnd w:id="662"/>
    </w:p>
    <w:p>
      <w:pPr>
        <w:keepNext/>
        <w:rPr>
          <w:noProof/>
        </w:rPr>
      </w:pPr>
      <w:r>
        <w:rPr>
          <w:noProof/>
          <w:lang w:eastAsia="en-GB"/>
        </w:rPr>
        <w:drawing>
          <wp:inline distT="0" distB="0" distL="0" distR="0">
            <wp:extent cx="5615940" cy="2863850"/>
            <wp:effectExtent l="0" t="0" r="381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15940" cy="286385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663" w:name="_Ref524539495"/>
      <w:bookmarkStart w:id="664" w:name="_Toc526433924"/>
      <w:bookmarkStart w:id="665" w:name="_Toc526435866"/>
      <w:bookmarkStart w:id="666" w:name="_Toc527544747"/>
      <w:bookmarkStart w:id="667" w:name="_Toc530741784"/>
      <w:r>
        <w:t xml:space="preserve">Figure </w:t>
      </w:r>
      <w:r>
        <w:fldChar w:fldCharType="begin"/>
      </w:r>
      <w:r>
        <w:instrText xml:space="preserve"> SEQ Figure \* ARABIC </w:instrText>
      </w:r>
      <w:r>
        <w:fldChar w:fldCharType="separate"/>
      </w:r>
      <w:r>
        <w:t>91</w:t>
      </w:r>
      <w:r>
        <w:fldChar w:fldCharType="end"/>
      </w:r>
      <w:bookmarkEnd w:id="663"/>
      <w:r>
        <w:t xml:space="preserve">. </w:t>
      </w:r>
      <w:r>
        <w:rPr>
          <w:rFonts w:eastAsia="Times New Roman"/>
          <w:color w:val="000000"/>
          <w:lang w:eastAsia="en-GB"/>
        </w:rPr>
        <w:t xml:space="preserve">Electricity costs </w:t>
      </w:r>
      <w:r>
        <w:t xml:space="preserve">of </w:t>
      </w:r>
      <w:r>
        <w:rPr>
          <w:lang w:eastAsia="en-GB"/>
        </w:rPr>
        <w:t>refineries</w:t>
      </w:r>
      <w:r>
        <w:rPr>
          <w:rFonts w:eastAsia="Times New Roman"/>
          <w:color w:val="000000"/>
          <w:lang w:eastAsia="en-GB"/>
        </w:rPr>
        <w:t xml:space="preserve"> (€/MWh)</w:t>
      </w:r>
      <w:bookmarkEnd w:id="664"/>
      <w:bookmarkEnd w:id="665"/>
      <w:bookmarkEnd w:id="666"/>
      <w:bookmarkEnd w:id="667"/>
    </w:p>
    <w:p>
      <w:pPr>
        <w:keepNext/>
        <w:rPr>
          <w:noProof/>
        </w:rPr>
      </w:pPr>
      <w:r>
        <w:rPr>
          <w:noProof/>
          <w:lang w:eastAsia="en-GB"/>
        </w:rPr>
        <w:drawing>
          <wp:inline distT="0" distB="0" distL="0" distR="0">
            <wp:extent cx="5760720" cy="2521822"/>
            <wp:effectExtent l="0" t="0" r="0" b="0"/>
            <wp:docPr id="1449027044" name="Picture 1449027044"/>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70"/>
                    <pic:cNvPicPr>
                      <a:picLocks noGrp="1" noRot="1" noChangeAspect="1" noMove="1" noResize="1" noEditPoints="1" noAdjustHandles="1" noChangeArrowheads="1" noChangeShapeType="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668" w:name="_Ref524539501"/>
      <w:bookmarkStart w:id="669" w:name="_Toc526433925"/>
      <w:bookmarkStart w:id="670" w:name="_Toc526435867"/>
      <w:bookmarkStart w:id="671" w:name="_Toc527544748"/>
      <w:bookmarkStart w:id="672" w:name="_Toc530741785"/>
      <w:r>
        <w:t xml:space="preserve">Figure </w:t>
      </w:r>
      <w:r>
        <w:fldChar w:fldCharType="begin"/>
      </w:r>
      <w:r>
        <w:instrText xml:space="preserve"> SEQ Figure \* ARABIC </w:instrText>
      </w:r>
      <w:r>
        <w:fldChar w:fldCharType="separate"/>
      </w:r>
      <w:r>
        <w:t>92</w:t>
      </w:r>
      <w:r>
        <w:fldChar w:fldCharType="end"/>
      </w:r>
      <w:bookmarkEnd w:id="668"/>
      <w:r>
        <w:t xml:space="preserve">. </w:t>
      </w:r>
      <w:r>
        <w:rPr>
          <w:rFonts w:eastAsia="Times New Roman"/>
          <w:color w:val="000000"/>
          <w:lang w:eastAsia="en-GB"/>
        </w:rPr>
        <w:t>Electricity costs</w:t>
      </w:r>
      <w:r>
        <w:t xml:space="preserve"> of </w:t>
      </w:r>
      <w:r>
        <w:rPr>
          <w:lang w:eastAsia="en-GB"/>
        </w:rPr>
        <w:t>refineries</w:t>
      </w:r>
      <w:r>
        <w:rPr>
          <w:rFonts w:eastAsia="Times New Roman"/>
          <w:color w:val="000000"/>
          <w:lang w:eastAsia="en-GB"/>
        </w:rPr>
        <w:t xml:space="preserve"> (€/tonne)</w:t>
      </w:r>
      <w:bookmarkEnd w:id="669"/>
      <w:bookmarkEnd w:id="670"/>
      <w:bookmarkEnd w:id="671"/>
      <w:bookmarkEnd w:id="672"/>
    </w:p>
    <w:p>
      <w:pPr>
        <w:keepNext/>
        <w:rPr>
          <w:b/>
          <w:noProof/>
        </w:rPr>
      </w:pPr>
      <w:r>
        <w:rPr>
          <w:noProof/>
          <w:lang w:eastAsia="en-GB"/>
        </w:rPr>
        <w:drawing>
          <wp:inline distT="0" distB="0" distL="0" distR="0">
            <wp:extent cx="5760720" cy="2521822"/>
            <wp:effectExtent l="0" t="0" r="0" b="0"/>
            <wp:docPr id="1449027045" name="Picture 1449027045"/>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74"/>
                    <pic:cNvPicPr>
                      <a:picLocks noGrp="1" noRot="1" noChangeAspect="1" noMove="1" noResize="1" noEditPoints="1" noAdjustHandles="1" noChangeArrowheads="1" noChangeShapeType="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rPr>
      </w:pPr>
      <w:bookmarkStart w:id="673" w:name="_Ref524539507"/>
      <w:bookmarkStart w:id="674" w:name="_Toc526433926"/>
      <w:bookmarkStart w:id="675" w:name="_Toc526435868"/>
      <w:bookmarkStart w:id="676" w:name="_Toc527544749"/>
      <w:bookmarkStart w:id="677" w:name="_Toc530741786"/>
      <w:r>
        <w:t xml:space="preserve">Figure </w:t>
      </w:r>
      <w:r>
        <w:fldChar w:fldCharType="begin"/>
      </w:r>
      <w:r>
        <w:instrText xml:space="preserve"> SEQ Figure \* ARABIC </w:instrText>
      </w:r>
      <w:r>
        <w:fldChar w:fldCharType="separate"/>
      </w:r>
      <w:r>
        <w:t>93</w:t>
      </w:r>
      <w:r>
        <w:fldChar w:fldCharType="end"/>
      </w:r>
      <w:bookmarkEnd w:id="673"/>
      <w:r>
        <w:t xml:space="preserve">. </w:t>
      </w:r>
      <w:r>
        <w:rPr>
          <w:rFonts w:eastAsia="Times New Roman"/>
          <w:color w:val="000000"/>
        </w:rPr>
        <w:t xml:space="preserve">Electricity intensity </w:t>
      </w:r>
      <w:r>
        <w:t>of refineries</w:t>
      </w:r>
      <w:r>
        <w:rPr>
          <w:rFonts w:eastAsia="Times New Roman"/>
          <w:color w:val="000000"/>
        </w:rPr>
        <w:t xml:space="preserve"> (MWh/tonne)</w:t>
      </w:r>
      <w:bookmarkEnd w:id="674"/>
      <w:bookmarkEnd w:id="675"/>
      <w:bookmarkEnd w:id="676"/>
      <w:bookmarkEnd w:id="677"/>
    </w:p>
    <w:p>
      <w:pPr>
        <w:keepNext/>
        <w:rPr>
          <w:b/>
          <w:bCs/>
          <w:noProof/>
        </w:rPr>
      </w:pPr>
      <w:r>
        <w:rPr>
          <w:noProof/>
          <w:lang w:eastAsia="en-GB"/>
        </w:rPr>
        <w:drawing>
          <wp:inline distT="0" distB="0" distL="0" distR="0">
            <wp:extent cx="5760720" cy="2521822"/>
            <wp:effectExtent l="0" t="0" r="0" b="0"/>
            <wp:docPr id="1449027046" name="Picture 144902704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78"/>
                    <pic:cNvPicPr>
                      <a:picLocks noGrp="1" noRot="1" noChangeAspect="1" noMove="1" noResize="1" noEditPoints="1" noAdjustHandles="1" noChangeArrowheads="1" noChangeShapeType="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Natural gas and refinery fuel gases</w:t>
      </w:r>
    </w:p>
    <w:p>
      <w:pPr>
        <w:pStyle w:val="Caption"/>
      </w:pPr>
      <w:bookmarkStart w:id="678" w:name="_Ref524539465"/>
      <w:bookmarkStart w:id="679" w:name="_Toc526433638"/>
      <w:bookmarkStart w:id="680" w:name="_Toc526435580"/>
      <w:bookmarkStart w:id="681" w:name="_Toc527544808"/>
      <w:bookmarkStart w:id="682" w:name="_Toc530741826"/>
      <w:r>
        <w:t xml:space="preserve">Table </w:t>
      </w:r>
      <w:r>
        <w:fldChar w:fldCharType="begin"/>
      </w:r>
      <w:r>
        <w:instrText xml:space="preserve"> SEQ Table \* ARABIC </w:instrText>
      </w:r>
      <w:r>
        <w:fldChar w:fldCharType="separate"/>
      </w:r>
      <w:r>
        <w:t>33</w:t>
      </w:r>
      <w:r>
        <w:fldChar w:fldCharType="end"/>
      </w:r>
      <w:bookmarkEnd w:id="678"/>
      <w:r>
        <w:t xml:space="preserve">. Key gas indicators of </w:t>
      </w:r>
      <w:r>
        <w:rPr>
          <w:lang w:eastAsia="en-GB"/>
        </w:rPr>
        <w:t>refineries</w:t>
      </w:r>
      <w:r>
        <w:t xml:space="preserve"> (EU averages)</w:t>
      </w:r>
      <w:bookmarkEnd w:id="679"/>
      <w:bookmarkEnd w:id="680"/>
      <w:bookmarkEnd w:id="681"/>
      <w:bookmarkEnd w:id="682"/>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7"/>
        <w:gridCol w:w="730"/>
        <w:gridCol w:w="770"/>
        <w:gridCol w:w="769"/>
        <w:gridCol w:w="767"/>
        <w:gridCol w:w="767"/>
        <w:gridCol w:w="767"/>
        <w:gridCol w:w="767"/>
        <w:gridCol w:w="756"/>
      </w:tblGrid>
      <w:tr>
        <w:trPr>
          <w:trHeight w:val="244"/>
          <w:jc w:val="center"/>
        </w:trPr>
        <w:tc>
          <w:tcPr>
            <w:tcW w:w="1681"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397"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2008</w:t>
            </w:r>
          </w:p>
        </w:tc>
        <w:tc>
          <w:tcPr>
            <w:tcW w:w="41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2010</w:t>
            </w:r>
          </w:p>
        </w:tc>
        <w:tc>
          <w:tcPr>
            <w:tcW w:w="419"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2012</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2013</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2014</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2015</w:t>
            </w:r>
          </w:p>
        </w:tc>
        <w:tc>
          <w:tcPr>
            <w:tcW w:w="418"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414"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1681" w:type="pct"/>
            <w:shd w:val="clear" w:color="auto" w:fill="CEEBE6"/>
            <w:noWrap/>
            <w:vAlign w:val="center"/>
          </w:tcPr>
          <w:p>
            <w:pPr>
              <w:spacing w:before="60" w:after="60"/>
              <w:jc w:val="left"/>
              <w:rPr>
                <w:b/>
                <w:bCs/>
                <w:noProof/>
                <w:sz w:val="20"/>
                <w:szCs w:val="16"/>
              </w:rPr>
            </w:pPr>
            <w:r>
              <w:rPr>
                <w:bCs/>
                <w:noProof/>
                <w:sz w:val="20"/>
                <w:szCs w:val="16"/>
              </w:rPr>
              <w:t>Natural gas price (€/MWh)</w:t>
            </w:r>
          </w:p>
        </w:tc>
        <w:tc>
          <w:tcPr>
            <w:tcW w:w="397" w:type="pct"/>
            <w:shd w:val="clear" w:color="auto" w:fill="CEEBE6"/>
            <w:noWrap/>
            <w:vAlign w:val="center"/>
          </w:tcPr>
          <w:p>
            <w:pPr>
              <w:spacing w:before="60" w:after="60"/>
              <w:jc w:val="center"/>
              <w:rPr>
                <w:noProof/>
                <w:sz w:val="20"/>
                <w:szCs w:val="16"/>
                <w:lang w:eastAsia="it-IT"/>
              </w:rPr>
            </w:pPr>
            <w:r>
              <w:rPr>
                <w:noProof/>
                <w:sz w:val="20"/>
                <w:szCs w:val="16"/>
              </w:rPr>
              <w:t>28.6</w:t>
            </w:r>
          </w:p>
        </w:tc>
        <w:tc>
          <w:tcPr>
            <w:tcW w:w="419" w:type="pct"/>
            <w:shd w:val="clear" w:color="auto" w:fill="CEEBE6"/>
            <w:noWrap/>
            <w:vAlign w:val="center"/>
          </w:tcPr>
          <w:p>
            <w:pPr>
              <w:spacing w:before="60" w:after="60"/>
              <w:jc w:val="center"/>
              <w:rPr>
                <w:noProof/>
                <w:sz w:val="20"/>
                <w:szCs w:val="16"/>
              </w:rPr>
            </w:pPr>
            <w:r>
              <w:rPr>
                <w:noProof/>
                <w:sz w:val="20"/>
                <w:szCs w:val="16"/>
              </w:rPr>
              <w:t>23.4</w:t>
            </w:r>
          </w:p>
        </w:tc>
        <w:tc>
          <w:tcPr>
            <w:tcW w:w="419" w:type="pct"/>
            <w:shd w:val="clear" w:color="auto" w:fill="CEEBE6"/>
            <w:noWrap/>
            <w:vAlign w:val="center"/>
          </w:tcPr>
          <w:p>
            <w:pPr>
              <w:spacing w:before="60" w:after="60"/>
              <w:jc w:val="center"/>
              <w:rPr>
                <w:noProof/>
                <w:sz w:val="20"/>
                <w:szCs w:val="16"/>
                <w:lang w:eastAsia="it-IT"/>
              </w:rPr>
            </w:pPr>
            <w:r>
              <w:rPr>
                <w:noProof/>
                <w:sz w:val="20"/>
                <w:szCs w:val="16"/>
              </w:rPr>
              <w:t>28.6</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30.1</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26.4</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23.8</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20.3</w:t>
            </w:r>
          </w:p>
        </w:tc>
        <w:tc>
          <w:tcPr>
            <w:tcW w:w="414" w:type="pct"/>
            <w:shd w:val="clear" w:color="auto" w:fill="CEEBE6"/>
            <w:noWrap/>
            <w:vAlign w:val="center"/>
          </w:tcPr>
          <w:p>
            <w:pPr>
              <w:spacing w:before="60" w:after="60"/>
              <w:jc w:val="center"/>
              <w:rPr>
                <w:noProof/>
                <w:sz w:val="20"/>
                <w:szCs w:val="16"/>
                <w:lang w:eastAsia="it-IT"/>
              </w:rPr>
            </w:pPr>
            <w:r>
              <w:rPr>
                <w:noProof/>
                <w:sz w:val="20"/>
                <w:szCs w:val="16"/>
              </w:rPr>
              <w:t>21.6</w:t>
            </w:r>
          </w:p>
        </w:tc>
      </w:tr>
      <w:tr>
        <w:trPr>
          <w:trHeight w:val="244"/>
          <w:jc w:val="center"/>
        </w:trPr>
        <w:tc>
          <w:tcPr>
            <w:tcW w:w="1681" w:type="pct"/>
            <w:shd w:val="clear" w:color="auto" w:fill="auto"/>
            <w:noWrap/>
            <w:vAlign w:val="center"/>
            <w:hideMark/>
          </w:tcPr>
          <w:p>
            <w:pPr>
              <w:spacing w:before="60" w:after="60"/>
              <w:jc w:val="left"/>
              <w:rPr>
                <w:b/>
                <w:bCs/>
                <w:noProof/>
                <w:sz w:val="20"/>
                <w:szCs w:val="16"/>
              </w:rPr>
            </w:pPr>
            <w:r>
              <w:rPr>
                <w:bCs/>
                <w:noProof/>
                <w:sz w:val="20"/>
                <w:szCs w:val="16"/>
              </w:rPr>
              <w:t>Natural gas costs (€/tonne)</w:t>
            </w:r>
          </w:p>
        </w:tc>
        <w:tc>
          <w:tcPr>
            <w:tcW w:w="397" w:type="pct"/>
            <w:shd w:val="clear" w:color="auto" w:fill="auto"/>
            <w:noWrap/>
            <w:vAlign w:val="center"/>
            <w:hideMark/>
          </w:tcPr>
          <w:p>
            <w:pPr>
              <w:spacing w:before="60" w:after="60"/>
              <w:jc w:val="center"/>
              <w:rPr>
                <w:noProof/>
                <w:sz w:val="20"/>
                <w:szCs w:val="16"/>
                <w:lang w:eastAsia="it-IT"/>
              </w:rPr>
            </w:pPr>
            <w:r>
              <w:rPr>
                <w:noProof/>
                <w:sz w:val="20"/>
                <w:szCs w:val="16"/>
              </w:rPr>
              <w:t>10.7</w:t>
            </w:r>
          </w:p>
        </w:tc>
        <w:tc>
          <w:tcPr>
            <w:tcW w:w="419" w:type="pct"/>
            <w:shd w:val="clear" w:color="auto" w:fill="auto"/>
            <w:noWrap/>
            <w:vAlign w:val="center"/>
            <w:hideMark/>
          </w:tcPr>
          <w:p>
            <w:pPr>
              <w:spacing w:before="60" w:after="60"/>
              <w:jc w:val="center"/>
              <w:rPr>
                <w:noProof/>
                <w:sz w:val="20"/>
                <w:szCs w:val="16"/>
                <w:lang w:eastAsia="it-IT"/>
              </w:rPr>
            </w:pPr>
            <w:r>
              <w:rPr>
                <w:noProof/>
                <w:sz w:val="20"/>
                <w:szCs w:val="16"/>
              </w:rPr>
              <w:t>9.3</w:t>
            </w:r>
          </w:p>
        </w:tc>
        <w:tc>
          <w:tcPr>
            <w:tcW w:w="419" w:type="pct"/>
            <w:shd w:val="clear" w:color="auto" w:fill="auto"/>
            <w:noWrap/>
            <w:vAlign w:val="center"/>
            <w:hideMark/>
          </w:tcPr>
          <w:p>
            <w:pPr>
              <w:spacing w:before="60" w:after="60"/>
              <w:jc w:val="center"/>
              <w:rPr>
                <w:noProof/>
                <w:sz w:val="20"/>
                <w:szCs w:val="16"/>
                <w:lang w:eastAsia="it-IT"/>
              </w:rPr>
            </w:pPr>
            <w:r>
              <w:rPr>
                <w:noProof/>
                <w:sz w:val="20"/>
                <w:szCs w:val="16"/>
              </w:rPr>
              <w:t>11.7</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12.0</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8.2</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5.9</w:t>
            </w:r>
          </w:p>
        </w:tc>
        <w:tc>
          <w:tcPr>
            <w:tcW w:w="418" w:type="pct"/>
            <w:shd w:val="clear" w:color="auto" w:fill="auto"/>
            <w:noWrap/>
            <w:vAlign w:val="center"/>
            <w:hideMark/>
          </w:tcPr>
          <w:p>
            <w:pPr>
              <w:spacing w:before="60" w:after="60"/>
              <w:jc w:val="center"/>
              <w:rPr>
                <w:noProof/>
                <w:sz w:val="20"/>
                <w:szCs w:val="16"/>
                <w:lang w:eastAsia="it-IT"/>
              </w:rPr>
            </w:pPr>
            <w:r>
              <w:rPr>
                <w:noProof/>
                <w:sz w:val="20"/>
                <w:szCs w:val="16"/>
              </w:rPr>
              <w:t>4.6</w:t>
            </w:r>
          </w:p>
        </w:tc>
        <w:tc>
          <w:tcPr>
            <w:tcW w:w="414" w:type="pct"/>
            <w:shd w:val="clear" w:color="auto" w:fill="auto"/>
            <w:noWrap/>
            <w:vAlign w:val="center"/>
            <w:hideMark/>
          </w:tcPr>
          <w:p>
            <w:pPr>
              <w:spacing w:before="60" w:after="60"/>
              <w:jc w:val="center"/>
              <w:rPr>
                <w:noProof/>
                <w:sz w:val="20"/>
                <w:szCs w:val="16"/>
                <w:lang w:eastAsia="it-IT"/>
              </w:rPr>
            </w:pPr>
            <w:r>
              <w:rPr>
                <w:noProof/>
                <w:sz w:val="20"/>
                <w:szCs w:val="16"/>
              </w:rPr>
              <w:t>5.1</w:t>
            </w:r>
          </w:p>
        </w:tc>
      </w:tr>
      <w:tr>
        <w:trPr>
          <w:trHeight w:val="244"/>
          <w:jc w:val="center"/>
        </w:trPr>
        <w:tc>
          <w:tcPr>
            <w:tcW w:w="1681" w:type="pct"/>
            <w:shd w:val="clear" w:color="auto" w:fill="CEEBE6"/>
            <w:noWrap/>
            <w:vAlign w:val="center"/>
          </w:tcPr>
          <w:p>
            <w:pPr>
              <w:spacing w:before="60" w:after="60"/>
              <w:jc w:val="left"/>
              <w:rPr>
                <w:bCs/>
                <w:noProof/>
                <w:sz w:val="20"/>
                <w:szCs w:val="16"/>
              </w:rPr>
            </w:pPr>
            <w:r>
              <w:rPr>
                <w:bCs/>
                <w:noProof/>
                <w:sz w:val="20"/>
                <w:szCs w:val="16"/>
              </w:rPr>
              <w:t>Refinery fuel gases costs (€/tonne)</w:t>
            </w:r>
          </w:p>
        </w:tc>
        <w:tc>
          <w:tcPr>
            <w:tcW w:w="397" w:type="pct"/>
            <w:shd w:val="clear" w:color="auto" w:fill="CEEBE6"/>
            <w:noWrap/>
            <w:vAlign w:val="center"/>
          </w:tcPr>
          <w:p>
            <w:pPr>
              <w:spacing w:before="60" w:after="60"/>
              <w:jc w:val="center"/>
              <w:rPr>
                <w:noProof/>
                <w:sz w:val="20"/>
                <w:szCs w:val="16"/>
              </w:rPr>
            </w:pPr>
            <w:r>
              <w:rPr>
                <w:noProof/>
                <w:sz w:val="20"/>
                <w:szCs w:val="16"/>
              </w:rPr>
              <w:t>2.4</w:t>
            </w:r>
          </w:p>
        </w:tc>
        <w:tc>
          <w:tcPr>
            <w:tcW w:w="419" w:type="pct"/>
            <w:shd w:val="clear" w:color="auto" w:fill="CEEBE6"/>
            <w:noWrap/>
            <w:vAlign w:val="center"/>
          </w:tcPr>
          <w:p>
            <w:pPr>
              <w:spacing w:before="60" w:after="60"/>
              <w:jc w:val="center"/>
              <w:rPr>
                <w:noProof/>
                <w:sz w:val="20"/>
                <w:szCs w:val="16"/>
              </w:rPr>
            </w:pPr>
            <w:r>
              <w:rPr>
                <w:noProof/>
                <w:sz w:val="20"/>
                <w:szCs w:val="16"/>
              </w:rPr>
              <w:t>4.4</w:t>
            </w:r>
          </w:p>
        </w:tc>
        <w:tc>
          <w:tcPr>
            <w:tcW w:w="419" w:type="pct"/>
            <w:shd w:val="clear" w:color="auto" w:fill="CEEBE6"/>
            <w:noWrap/>
            <w:vAlign w:val="center"/>
          </w:tcPr>
          <w:p>
            <w:pPr>
              <w:spacing w:before="60" w:after="60"/>
              <w:jc w:val="center"/>
              <w:rPr>
                <w:noProof/>
                <w:sz w:val="20"/>
                <w:szCs w:val="16"/>
              </w:rPr>
            </w:pPr>
            <w:r>
              <w:rPr>
                <w:noProof/>
                <w:sz w:val="20"/>
                <w:szCs w:val="16"/>
              </w:rPr>
              <w:t>7.9</w:t>
            </w:r>
          </w:p>
        </w:tc>
        <w:tc>
          <w:tcPr>
            <w:tcW w:w="418" w:type="pct"/>
            <w:shd w:val="clear" w:color="auto" w:fill="CEEBE6"/>
            <w:noWrap/>
            <w:vAlign w:val="center"/>
          </w:tcPr>
          <w:p>
            <w:pPr>
              <w:spacing w:before="60" w:after="60"/>
              <w:jc w:val="center"/>
              <w:rPr>
                <w:noProof/>
                <w:sz w:val="20"/>
                <w:szCs w:val="16"/>
              </w:rPr>
            </w:pPr>
            <w:r>
              <w:rPr>
                <w:noProof/>
                <w:sz w:val="20"/>
                <w:szCs w:val="16"/>
              </w:rPr>
              <w:t>6.5</w:t>
            </w:r>
          </w:p>
        </w:tc>
        <w:tc>
          <w:tcPr>
            <w:tcW w:w="418" w:type="pct"/>
            <w:shd w:val="clear" w:color="auto" w:fill="CEEBE6"/>
            <w:noWrap/>
            <w:vAlign w:val="center"/>
          </w:tcPr>
          <w:p>
            <w:pPr>
              <w:spacing w:before="60" w:after="60"/>
              <w:jc w:val="center"/>
              <w:rPr>
                <w:noProof/>
                <w:sz w:val="20"/>
                <w:szCs w:val="16"/>
              </w:rPr>
            </w:pPr>
            <w:r>
              <w:rPr>
                <w:noProof/>
                <w:sz w:val="20"/>
                <w:szCs w:val="16"/>
              </w:rPr>
              <w:t>6.1</w:t>
            </w:r>
          </w:p>
        </w:tc>
        <w:tc>
          <w:tcPr>
            <w:tcW w:w="418" w:type="pct"/>
            <w:shd w:val="clear" w:color="auto" w:fill="CEEBE6"/>
            <w:noWrap/>
            <w:vAlign w:val="center"/>
          </w:tcPr>
          <w:p>
            <w:pPr>
              <w:spacing w:before="60" w:after="60"/>
              <w:jc w:val="center"/>
              <w:rPr>
                <w:noProof/>
                <w:sz w:val="20"/>
                <w:szCs w:val="16"/>
              </w:rPr>
            </w:pPr>
            <w:r>
              <w:rPr>
                <w:noProof/>
                <w:sz w:val="20"/>
                <w:szCs w:val="16"/>
              </w:rPr>
              <w:t>4.6</w:t>
            </w:r>
          </w:p>
        </w:tc>
        <w:tc>
          <w:tcPr>
            <w:tcW w:w="418" w:type="pct"/>
            <w:shd w:val="clear" w:color="auto" w:fill="CEEBE6"/>
            <w:noWrap/>
            <w:vAlign w:val="center"/>
          </w:tcPr>
          <w:p>
            <w:pPr>
              <w:spacing w:before="60" w:after="60"/>
              <w:jc w:val="center"/>
              <w:rPr>
                <w:noProof/>
                <w:sz w:val="20"/>
                <w:szCs w:val="16"/>
              </w:rPr>
            </w:pPr>
            <w:r>
              <w:rPr>
                <w:noProof/>
                <w:sz w:val="20"/>
                <w:szCs w:val="16"/>
              </w:rPr>
              <w:t>7.3</w:t>
            </w:r>
          </w:p>
        </w:tc>
        <w:tc>
          <w:tcPr>
            <w:tcW w:w="414" w:type="pct"/>
            <w:shd w:val="clear" w:color="auto" w:fill="CEEBE6"/>
            <w:noWrap/>
            <w:vAlign w:val="center"/>
          </w:tcPr>
          <w:p>
            <w:pPr>
              <w:spacing w:before="60" w:after="60"/>
              <w:jc w:val="center"/>
              <w:rPr>
                <w:noProof/>
                <w:sz w:val="20"/>
                <w:szCs w:val="16"/>
              </w:rPr>
            </w:pPr>
            <w:r>
              <w:rPr>
                <w:noProof/>
                <w:sz w:val="20"/>
                <w:szCs w:val="16"/>
              </w:rPr>
              <w:t>9</w:t>
            </w:r>
          </w:p>
        </w:tc>
      </w:tr>
      <w:tr>
        <w:trPr>
          <w:trHeight w:val="244"/>
          <w:jc w:val="center"/>
        </w:trPr>
        <w:tc>
          <w:tcPr>
            <w:tcW w:w="1681" w:type="pct"/>
            <w:shd w:val="clear" w:color="auto" w:fill="auto"/>
            <w:noWrap/>
            <w:vAlign w:val="center"/>
            <w:hideMark/>
          </w:tcPr>
          <w:p>
            <w:pPr>
              <w:spacing w:before="60" w:after="60"/>
              <w:jc w:val="left"/>
              <w:rPr>
                <w:b/>
                <w:bCs/>
                <w:noProof/>
                <w:sz w:val="20"/>
                <w:szCs w:val="16"/>
              </w:rPr>
            </w:pPr>
            <w:r>
              <w:rPr>
                <w:b/>
                <w:bCs/>
                <w:noProof/>
                <w:sz w:val="20"/>
                <w:szCs w:val="16"/>
              </w:rPr>
              <w:t>Total gas costs (€/tonne)</w:t>
            </w:r>
          </w:p>
        </w:tc>
        <w:tc>
          <w:tcPr>
            <w:tcW w:w="397" w:type="pct"/>
            <w:shd w:val="clear" w:color="auto" w:fill="auto"/>
            <w:noWrap/>
            <w:vAlign w:val="center"/>
            <w:hideMark/>
          </w:tcPr>
          <w:p>
            <w:pPr>
              <w:spacing w:before="60" w:after="60"/>
              <w:jc w:val="center"/>
              <w:rPr>
                <w:b/>
                <w:bCs/>
                <w:noProof/>
                <w:sz w:val="20"/>
                <w:szCs w:val="16"/>
              </w:rPr>
            </w:pPr>
            <w:r>
              <w:rPr>
                <w:b/>
                <w:bCs/>
                <w:noProof/>
                <w:sz w:val="20"/>
                <w:szCs w:val="16"/>
              </w:rPr>
              <w:t>13.1</w:t>
            </w:r>
          </w:p>
        </w:tc>
        <w:tc>
          <w:tcPr>
            <w:tcW w:w="419" w:type="pct"/>
            <w:shd w:val="clear" w:color="auto" w:fill="auto"/>
            <w:noWrap/>
            <w:vAlign w:val="center"/>
            <w:hideMark/>
          </w:tcPr>
          <w:p>
            <w:pPr>
              <w:spacing w:before="60" w:after="60"/>
              <w:jc w:val="center"/>
              <w:rPr>
                <w:b/>
                <w:bCs/>
                <w:noProof/>
                <w:sz w:val="20"/>
                <w:szCs w:val="16"/>
              </w:rPr>
            </w:pPr>
            <w:r>
              <w:rPr>
                <w:b/>
                <w:bCs/>
                <w:noProof/>
                <w:sz w:val="20"/>
                <w:szCs w:val="16"/>
              </w:rPr>
              <w:t>13.7</w:t>
            </w:r>
          </w:p>
        </w:tc>
        <w:tc>
          <w:tcPr>
            <w:tcW w:w="419" w:type="pct"/>
            <w:shd w:val="clear" w:color="auto" w:fill="auto"/>
            <w:noWrap/>
            <w:vAlign w:val="center"/>
            <w:hideMark/>
          </w:tcPr>
          <w:p>
            <w:pPr>
              <w:spacing w:before="60" w:after="60"/>
              <w:jc w:val="center"/>
              <w:rPr>
                <w:b/>
                <w:bCs/>
                <w:noProof/>
                <w:sz w:val="20"/>
                <w:szCs w:val="16"/>
              </w:rPr>
            </w:pPr>
            <w:r>
              <w:rPr>
                <w:b/>
                <w:bCs/>
                <w:noProof/>
                <w:sz w:val="20"/>
                <w:szCs w:val="16"/>
              </w:rPr>
              <w:t>19.6</w:t>
            </w:r>
          </w:p>
        </w:tc>
        <w:tc>
          <w:tcPr>
            <w:tcW w:w="418" w:type="pct"/>
            <w:shd w:val="clear" w:color="auto" w:fill="auto"/>
            <w:noWrap/>
            <w:vAlign w:val="center"/>
            <w:hideMark/>
          </w:tcPr>
          <w:p>
            <w:pPr>
              <w:spacing w:before="60" w:after="60"/>
              <w:jc w:val="center"/>
              <w:rPr>
                <w:b/>
                <w:bCs/>
                <w:noProof/>
                <w:sz w:val="20"/>
                <w:szCs w:val="16"/>
              </w:rPr>
            </w:pPr>
            <w:r>
              <w:rPr>
                <w:b/>
                <w:bCs/>
                <w:noProof/>
                <w:sz w:val="20"/>
                <w:szCs w:val="16"/>
              </w:rPr>
              <w:t>18.5</w:t>
            </w:r>
          </w:p>
        </w:tc>
        <w:tc>
          <w:tcPr>
            <w:tcW w:w="418" w:type="pct"/>
            <w:shd w:val="clear" w:color="auto" w:fill="auto"/>
            <w:noWrap/>
            <w:vAlign w:val="center"/>
            <w:hideMark/>
          </w:tcPr>
          <w:p>
            <w:pPr>
              <w:spacing w:before="60" w:after="60"/>
              <w:jc w:val="center"/>
              <w:rPr>
                <w:b/>
                <w:bCs/>
                <w:noProof/>
                <w:sz w:val="20"/>
                <w:szCs w:val="16"/>
              </w:rPr>
            </w:pPr>
            <w:r>
              <w:rPr>
                <w:b/>
                <w:bCs/>
                <w:noProof/>
                <w:sz w:val="20"/>
                <w:szCs w:val="16"/>
              </w:rPr>
              <w:t>14.3</w:t>
            </w:r>
          </w:p>
        </w:tc>
        <w:tc>
          <w:tcPr>
            <w:tcW w:w="418" w:type="pct"/>
            <w:shd w:val="clear" w:color="auto" w:fill="auto"/>
            <w:noWrap/>
            <w:vAlign w:val="center"/>
            <w:hideMark/>
          </w:tcPr>
          <w:p>
            <w:pPr>
              <w:spacing w:before="60" w:after="60"/>
              <w:jc w:val="center"/>
              <w:rPr>
                <w:b/>
                <w:bCs/>
                <w:noProof/>
                <w:sz w:val="20"/>
                <w:szCs w:val="16"/>
              </w:rPr>
            </w:pPr>
            <w:r>
              <w:rPr>
                <w:b/>
                <w:bCs/>
                <w:noProof/>
                <w:sz w:val="20"/>
                <w:szCs w:val="16"/>
              </w:rPr>
              <w:t>10.5</w:t>
            </w:r>
          </w:p>
        </w:tc>
        <w:tc>
          <w:tcPr>
            <w:tcW w:w="418" w:type="pct"/>
            <w:shd w:val="clear" w:color="auto" w:fill="auto"/>
            <w:noWrap/>
            <w:vAlign w:val="center"/>
            <w:hideMark/>
          </w:tcPr>
          <w:p>
            <w:pPr>
              <w:spacing w:before="60" w:after="60"/>
              <w:jc w:val="center"/>
              <w:rPr>
                <w:b/>
                <w:bCs/>
                <w:noProof/>
                <w:sz w:val="20"/>
                <w:szCs w:val="16"/>
              </w:rPr>
            </w:pPr>
            <w:r>
              <w:rPr>
                <w:b/>
                <w:bCs/>
                <w:noProof/>
                <w:sz w:val="20"/>
                <w:szCs w:val="16"/>
              </w:rPr>
              <w:t>11.9</w:t>
            </w:r>
          </w:p>
        </w:tc>
        <w:tc>
          <w:tcPr>
            <w:tcW w:w="414" w:type="pct"/>
            <w:shd w:val="clear" w:color="auto" w:fill="auto"/>
            <w:noWrap/>
            <w:vAlign w:val="center"/>
            <w:hideMark/>
          </w:tcPr>
          <w:p>
            <w:pPr>
              <w:spacing w:before="60" w:after="60"/>
              <w:jc w:val="center"/>
              <w:rPr>
                <w:b/>
                <w:bCs/>
                <w:noProof/>
                <w:sz w:val="20"/>
                <w:szCs w:val="16"/>
              </w:rPr>
            </w:pPr>
            <w:r>
              <w:rPr>
                <w:b/>
                <w:bCs/>
                <w:noProof/>
                <w:sz w:val="20"/>
                <w:szCs w:val="16"/>
              </w:rPr>
              <w:t>14.1</w:t>
            </w:r>
          </w:p>
        </w:tc>
      </w:tr>
      <w:tr>
        <w:trPr>
          <w:trHeight w:val="244"/>
          <w:jc w:val="center"/>
        </w:trPr>
        <w:tc>
          <w:tcPr>
            <w:tcW w:w="1681" w:type="pct"/>
            <w:shd w:val="clear" w:color="auto" w:fill="CEEBE6"/>
            <w:noWrap/>
            <w:vAlign w:val="center"/>
          </w:tcPr>
          <w:p>
            <w:pPr>
              <w:spacing w:before="60" w:after="60"/>
              <w:jc w:val="left"/>
              <w:rPr>
                <w:b/>
                <w:bCs/>
                <w:noProof/>
                <w:sz w:val="20"/>
                <w:szCs w:val="16"/>
              </w:rPr>
            </w:pPr>
            <w:r>
              <w:rPr>
                <w:bCs/>
                <w:noProof/>
                <w:sz w:val="20"/>
                <w:szCs w:val="16"/>
              </w:rPr>
              <w:t>Natural gas intensity (MWh/tonne)</w:t>
            </w:r>
          </w:p>
        </w:tc>
        <w:tc>
          <w:tcPr>
            <w:tcW w:w="397" w:type="pct"/>
            <w:shd w:val="clear" w:color="auto" w:fill="CEEBE6"/>
            <w:noWrap/>
            <w:vAlign w:val="center"/>
          </w:tcPr>
          <w:p>
            <w:pPr>
              <w:spacing w:before="60" w:after="60"/>
              <w:jc w:val="center"/>
              <w:rPr>
                <w:noProof/>
                <w:sz w:val="20"/>
                <w:szCs w:val="16"/>
                <w:lang w:eastAsia="it-IT"/>
              </w:rPr>
            </w:pPr>
            <w:r>
              <w:rPr>
                <w:noProof/>
                <w:sz w:val="20"/>
                <w:szCs w:val="16"/>
              </w:rPr>
              <w:t>0.35</w:t>
            </w:r>
          </w:p>
        </w:tc>
        <w:tc>
          <w:tcPr>
            <w:tcW w:w="419" w:type="pct"/>
            <w:shd w:val="clear" w:color="auto" w:fill="CEEBE6"/>
            <w:noWrap/>
            <w:vAlign w:val="center"/>
          </w:tcPr>
          <w:p>
            <w:pPr>
              <w:spacing w:before="60" w:after="60"/>
              <w:jc w:val="center"/>
              <w:rPr>
                <w:noProof/>
                <w:sz w:val="20"/>
                <w:szCs w:val="16"/>
                <w:lang w:eastAsia="it-IT"/>
              </w:rPr>
            </w:pPr>
            <w:r>
              <w:rPr>
                <w:noProof/>
                <w:sz w:val="20"/>
                <w:szCs w:val="16"/>
              </w:rPr>
              <w:t>0.34</w:t>
            </w:r>
          </w:p>
        </w:tc>
        <w:tc>
          <w:tcPr>
            <w:tcW w:w="419" w:type="pct"/>
            <w:shd w:val="clear" w:color="auto" w:fill="CEEBE6"/>
            <w:noWrap/>
            <w:vAlign w:val="center"/>
          </w:tcPr>
          <w:p>
            <w:pPr>
              <w:spacing w:before="60" w:after="60"/>
              <w:jc w:val="center"/>
              <w:rPr>
                <w:noProof/>
                <w:sz w:val="20"/>
                <w:szCs w:val="16"/>
                <w:lang w:eastAsia="it-IT"/>
              </w:rPr>
            </w:pPr>
            <w:r>
              <w:rPr>
                <w:noProof/>
                <w:sz w:val="20"/>
                <w:szCs w:val="16"/>
              </w:rPr>
              <w:t>0.36</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0.38</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0.31</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0.26</w:t>
            </w:r>
          </w:p>
        </w:tc>
        <w:tc>
          <w:tcPr>
            <w:tcW w:w="418" w:type="pct"/>
            <w:shd w:val="clear" w:color="auto" w:fill="CEEBE6"/>
            <w:noWrap/>
            <w:vAlign w:val="center"/>
          </w:tcPr>
          <w:p>
            <w:pPr>
              <w:spacing w:before="60" w:after="60"/>
              <w:jc w:val="center"/>
              <w:rPr>
                <w:noProof/>
                <w:sz w:val="20"/>
                <w:szCs w:val="16"/>
                <w:lang w:eastAsia="it-IT"/>
              </w:rPr>
            </w:pPr>
            <w:r>
              <w:rPr>
                <w:noProof/>
                <w:sz w:val="20"/>
                <w:szCs w:val="16"/>
              </w:rPr>
              <w:t>0.24</w:t>
            </w:r>
          </w:p>
        </w:tc>
        <w:tc>
          <w:tcPr>
            <w:tcW w:w="414" w:type="pct"/>
            <w:shd w:val="clear" w:color="auto" w:fill="CEEBE6"/>
            <w:noWrap/>
            <w:vAlign w:val="center"/>
          </w:tcPr>
          <w:p>
            <w:pPr>
              <w:spacing w:before="60" w:after="60"/>
              <w:jc w:val="center"/>
              <w:rPr>
                <w:noProof/>
                <w:sz w:val="20"/>
                <w:szCs w:val="16"/>
                <w:lang w:eastAsia="it-IT"/>
              </w:rPr>
            </w:pPr>
            <w:r>
              <w:rPr>
                <w:noProof/>
                <w:sz w:val="20"/>
                <w:szCs w:val="16"/>
              </w:rPr>
              <w:t>0.24</w:t>
            </w:r>
          </w:p>
        </w:tc>
      </w:tr>
      <w:tr>
        <w:trPr>
          <w:trHeight w:val="244"/>
          <w:jc w:val="center"/>
        </w:trPr>
        <w:tc>
          <w:tcPr>
            <w:tcW w:w="1681" w:type="pct"/>
            <w:shd w:val="clear" w:color="auto" w:fill="auto"/>
            <w:noWrap/>
            <w:vAlign w:val="center"/>
          </w:tcPr>
          <w:p>
            <w:pPr>
              <w:spacing w:before="60" w:after="60"/>
              <w:jc w:val="left"/>
              <w:rPr>
                <w:bCs/>
                <w:noProof/>
                <w:sz w:val="20"/>
                <w:szCs w:val="16"/>
              </w:rPr>
            </w:pPr>
            <w:r>
              <w:rPr>
                <w:bCs/>
                <w:noProof/>
                <w:sz w:val="20"/>
                <w:szCs w:val="16"/>
              </w:rPr>
              <w:t>Refinery fuel gases intensity (MWh/tonne)</w:t>
            </w:r>
          </w:p>
        </w:tc>
        <w:tc>
          <w:tcPr>
            <w:tcW w:w="397" w:type="pct"/>
            <w:shd w:val="clear" w:color="auto" w:fill="auto"/>
            <w:noWrap/>
            <w:vAlign w:val="center"/>
          </w:tcPr>
          <w:p>
            <w:pPr>
              <w:spacing w:before="60" w:after="60"/>
              <w:jc w:val="center"/>
              <w:rPr>
                <w:noProof/>
                <w:sz w:val="20"/>
                <w:szCs w:val="16"/>
              </w:rPr>
            </w:pPr>
            <w:r>
              <w:rPr>
                <w:noProof/>
                <w:sz w:val="20"/>
                <w:szCs w:val="16"/>
              </w:rPr>
              <w:t>0.5</w:t>
            </w:r>
          </w:p>
        </w:tc>
        <w:tc>
          <w:tcPr>
            <w:tcW w:w="419" w:type="pct"/>
            <w:shd w:val="clear" w:color="auto" w:fill="auto"/>
            <w:noWrap/>
            <w:vAlign w:val="center"/>
          </w:tcPr>
          <w:p>
            <w:pPr>
              <w:spacing w:before="60" w:after="60"/>
              <w:jc w:val="center"/>
              <w:rPr>
                <w:noProof/>
                <w:sz w:val="20"/>
                <w:szCs w:val="16"/>
              </w:rPr>
            </w:pPr>
            <w:r>
              <w:rPr>
                <w:noProof/>
                <w:sz w:val="20"/>
                <w:szCs w:val="16"/>
              </w:rPr>
              <w:t>0.5</w:t>
            </w:r>
          </w:p>
        </w:tc>
        <w:tc>
          <w:tcPr>
            <w:tcW w:w="419" w:type="pct"/>
            <w:shd w:val="clear" w:color="auto" w:fill="auto"/>
            <w:noWrap/>
            <w:vAlign w:val="center"/>
          </w:tcPr>
          <w:p>
            <w:pPr>
              <w:spacing w:before="60" w:after="60"/>
              <w:jc w:val="center"/>
              <w:rPr>
                <w:noProof/>
                <w:sz w:val="20"/>
                <w:szCs w:val="16"/>
              </w:rPr>
            </w:pPr>
            <w:r>
              <w:rPr>
                <w:noProof/>
                <w:sz w:val="20"/>
                <w:szCs w:val="16"/>
              </w:rPr>
              <w:t>0.48</w:t>
            </w:r>
          </w:p>
        </w:tc>
        <w:tc>
          <w:tcPr>
            <w:tcW w:w="418" w:type="pct"/>
            <w:shd w:val="clear" w:color="auto" w:fill="auto"/>
            <w:noWrap/>
            <w:vAlign w:val="center"/>
          </w:tcPr>
          <w:p>
            <w:pPr>
              <w:spacing w:before="60" w:after="60"/>
              <w:jc w:val="center"/>
              <w:rPr>
                <w:noProof/>
                <w:sz w:val="20"/>
                <w:szCs w:val="16"/>
              </w:rPr>
            </w:pPr>
            <w:r>
              <w:rPr>
                <w:noProof/>
                <w:sz w:val="20"/>
                <w:szCs w:val="16"/>
              </w:rPr>
              <w:t>0.46</w:t>
            </w:r>
          </w:p>
        </w:tc>
        <w:tc>
          <w:tcPr>
            <w:tcW w:w="418" w:type="pct"/>
            <w:shd w:val="clear" w:color="auto" w:fill="auto"/>
            <w:noWrap/>
            <w:vAlign w:val="center"/>
          </w:tcPr>
          <w:p>
            <w:pPr>
              <w:spacing w:before="60" w:after="60"/>
              <w:jc w:val="center"/>
              <w:rPr>
                <w:noProof/>
                <w:sz w:val="20"/>
                <w:szCs w:val="16"/>
              </w:rPr>
            </w:pPr>
            <w:r>
              <w:rPr>
                <w:noProof/>
                <w:sz w:val="20"/>
                <w:szCs w:val="16"/>
              </w:rPr>
              <w:t>0.55</w:t>
            </w:r>
          </w:p>
        </w:tc>
        <w:tc>
          <w:tcPr>
            <w:tcW w:w="418" w:type="pct"/>
            <w:shd w:val="clear" w:color="auto" w:fill="auto"/>
            <w:noWrap/>
            <w:vAlign w:val="center"/>
          </w:tcPr>
          <w:p>
            <w:pPr>
              <w:spacing w:before="60" w:after="60"/>
              <w:jc w:val="center"/>
              <w:rPr>
                <w:noProof/>
                <w:sz w:val="20"/>
                <w:szCs w:val="16"/>
              </w:rPr>
            </w:pPr>
            <w:r>
              <w:rPr>
                <w:noProof/>
                <w:sz w:val="20"/>
                <w:szCs w:val="16"/>
              </w:rPr>
              <w:t>0.57</w:t>
            </w:r>
          </w:p>
        </w:tc>
        <w:tc>
          <w:tcPr>
            <w:tcW w:w="418" w:type="pct"/>
            <w:shd w:val="clear" w:color="auto" w:fill="auto"/>
            <w:noWrap/>
            <w:vAlign w:val="center"/>
          </w:tcPr>
          <w:p>
            <w:pPr>
              <w:spacing w:before="60" w:after="60"/>
              <w:jc w:val="center"/>
              <w:rPr>
                <w:noProof/>
                <w:sz w:val="20"/>
                <w:szCs w:val="16"/>
              </w:rPr>
            </w:pPr>
            <w:r>
              <w:rPr>
                <w:noProof/>
                <w:sz w:val="20"/>
                <w:szCs w:val="16"/>
              </w:rPr>
              <w:t>0.45</w:t>
            </w:r>
          </w:p>
        </w:tc>
        <w:tc>
          <w:tcPr>
            <w:tcW w:w="414" w:type="pct"/>
            <w:shd w:val="clear" w:color="auto" w:fill="auto"/>
            <w:noWrap/>
            <w:vAlign w:val="center"/>
          </w:tcPr>
          <w:p>
            <w:pPr>
              <w:spacing w:before="60" w:after="60"/>
              <w:jc w:val="center"/>
              <w:rPr>
                <w:noProof/>
                <w:sz w:val="20"/>
                <w:szCs w:val="16"/>
              </w:rPr>
            </w:pPr>
            <w:r>
              <w:rPr>
                <w:noProof/>
                <w:sz w:val="20"/>
                <w:szCs w:val="16"/>
              </w:rPr>
              <w:t>0.44</w:t>
            </w:r>
          </w:p>
        </w:tc>
      </w:tr>
      <w:tr>
        <w:trPr>
          <w:trHeight w:val="244"/>
          <w:jc w:val="center"/>
        </w:trPr>
        <w:tc>
          <w:tcPr>
            <w:tcW w:w="1681" w:type="pct"/>
            <w:shd w:val="clear" w:color="auto" w:fill="CEEBE6"/>
            <w:noWrap/>
            <w:vAlign w:val="center"/>
          </w:tcPr>
          <w:p>
            <w:pPr>
              <w:keepNext/>
              <w:spacing w:before="60" w:after="60"/>
              <w:jc w:val="left"/>
              <w:rPr>
                <w:b/>
                <w:bCs/>
                <w:noProof/>
                <w:sz w:val="20"/>
                <w:szCs w:val="16"/>
              </w:rPr>
            </w:pPr>
            <w:r>
              <w:rPr>
                <w:b/>
                <w:bCs/>
                <w:noProof/>
                <w:sz w:val="20"/>
                <w:szCs w:val="16"/>
              </w:rPr>
              <w:t>Total gas intensity (MWh/tonne)</w:t>
            </w:r>
          </w:p>
        </w:tc>
        <w:tc>
          <w:tcPr>
            <w:tcW w:w="397" w:type="pct"/>
            <w:shd w:val="clear" w:color="auto" w:fill="CEEBE6"/>
            <w:noWrap/>
            <w:vAlign w:val="center"/>
          </w:tcPr>
          <w:p>
            <w:pPr>
              <w:spacing w:before="60" w:after="60"/>
              <w:jc w:val="center"/>
              <w:rPr>
                <w:b/>
                <w:noProof/>
                <w:sz w:val="20"/>
                <w:szCs w:val="16"/>
              </w:rPr>
            </w:pPr>
            <w:r>
              <w:rPr>
                <w:b/>
                <w:noProof/>
                <w:sz w:val="20"/>
                <w:szCs w:val="16"/>
              </w:rPr>
              <w:t>0.77</w:t>
            </w:r>
          </w:p>
        </w:tc>
        <w:tc>
          <w:tcPr>
            <w:tcW w:w="419" w:type="pct"/>
            <w:shd w:val="clear" w:color="auto" w:fill="CEEBE6"/>
            <w:noWrap/>
            <w:vAlign w:val="center"/>
          </w:tcPr>
          <w:p>
            <w:pPr>
              <w:spacing w:before="60" w:after="60"/>
              <w:jc w:val="center"/>
              <w:rPr>
                <w:b/>
                <w:noProof/>
                <w:sz w:val="20"/>
                <w:szCs w:val="16"/>
              </w:rPr>
            </w:pPr>
            <w:r>
              <w:rPr>
                <w:b/>
                <w:noProof/>
                <w:sz w:val="20"/>
                <w:szCs w:val="16"/>
              </w:rPr>
              <w:t>0.83</w:t>
            </w:r>
          </w:p>
        </w:tc>
        <w:tc>
          <w:tcPr>
            <w:tcW w:w="419" w:type="pct"/>
            <w:shd w:val="clear" w:color="auto" w:fill="CEEBE6"/>
            <w:noWrap/>
            <w:vAlign w:val="center"/>
          </w:tcPr>
          <w:p>
            <w:pPr>
              <w:spacing w:before="60" w:after="60"/>
              <w:jc w:val="center"/>
              <w:rPr>
                <w:b/>
                <w:noProof/>
                <w:sz w:val="20"/>
                <w:szCs w:val="16"/>
              </w:rPr>
            </w:pPr>
            <w:r>
              <w:rPr>
                <w:b/>
                <w:noProof/>
                <w:sz w:val="20"/>
                <w:szCs w:val="16"/>
              </w:rPr>
              <w:t>0.89</w:t>
            </w:r>
          </w:p>
        </w:tc>
        <w:tc>
          <w:tcPr>
            <w:tcW w:w="418" w:type="pct"/>
            <w:shd w:val="clear" w:color="auto" w:fill="CEEBE6"/>
            <w:noWrap/>
            <w:vAlign w:val="center"/>
          </w:tcPr>
          <w:p>
            <w:pPr>
              <w:spacing w:before="60" w:after="60"/>
              <w:jc w:val="center"/>
              <w:rPr>
                <w:b/>
                <w:noProof/>
                <w:sz w:val="20"/>
                <w:szCs w:val="16"/>
              </w:rPr>
            </w:pPr>
            <w:r>
              <w:rPr>
                <w:b/>
                <w:noProof/>
                <w:sz w:val="20"/>
                <w:szCs w:val="16"/>
              </w:rPr>
              <w:t>0.88</w:t>
            </w:r>
          </w:p>
        </w:tc>
        <w:tc>
          <w:tcPr>
            <w:tcW w:w="418" w:type="pct"/>
            <w:shd w:val="clear" w:color="auto" w:fill="CEEBE6"/>
            <w:noWrap/>
            <w:vAlign w:val="center"/>
          </w:tcPr>
          <w:p>
            <w:pPr>
              <w:spacing w:before="60" w:after="60"/>
              <w:jc w:val="center"/>
              <w:rPr>
                <w:b/>
                <w:noProof/>
                <w:sz w:val="20"/>
                <w:szCs w:val="16"/>
              </w:rPr>
            </w:pPr>
            <w:r>
              <w:rPr>
                <w:b/>
                <w:noProof/>
                <w:sz w:val="20"/>
                <w:szCs w:val="16"/>
              </w:rPr>
              <w:t>0.91</w:t>
            </w:r>
          </w:p>
        </w:tc>
        <w:tc>
          <w:tcPr>
            <w:tcW w:w="418" w:type="pct"/>
            <w:shd w:val="clear" w:color="auto" w:fill="CEEBE6"/>
            <w:noWrap/>
            <w:vAlign w:val="center"/>
          </w:tcPr>
          <w:p>
            <w:pPr>
              <w:spacing w:before="60" w:after="60"/>
              <w:jc w:val="center"/>
              <w:rPr>
                <w:b/>
                <w:noProof/>
                <w:sz w:val="20"/>
                <w:szCs w:val="16"/>
              </w:rPr>
            </w:pPr>
            <w:r>
              <w:rPr>
                <w:b/>
                <w:noProof/>
                <w:sz w:val="20"/>
                <w:szCs w:val="16"/>
              </w:rPr>
              <w:t>0.86</w:t>
            </w:r>
          </w:p>
        </w:tc>
        <w:tc>
          <w:tcPr>
            <w:tcW w:w="418" w:type="pct"/>
            <w:shd w:val="clear" w:color="auto" w:fill="CEEBE6"/>
            <w:noWrap/>
            <w:vAlign w:val="center"/>
          </w:tcPr>
          <w:p>
            <w:pPr>
              <w:spacing w:before="60" w:after="60"/>
              <w:jc w:val="center"/>
              <w:rPr>
                <w:b/>
                <w:noProof/>
                <w:sz w:val="20"/>
                <w:szCs w:val="16"/>
              </w:rPr>
            </w:pPr>
            <w:r>
              <w:rPr>
                <w:b/>
                <w:noProof/>
                <w:sz w:val="20"/>
                <w:szCs w:val="16"/>
              </w:rPr>
              <w:t>0.69</w:t>
            </w:r>
          </w:p>
        </w:tc>
        <w:tc>
          <w:tcPr>
            <w:tcW w:w="414" w:type="pct"/>
            <w:shd w:val="clear" w:color="auto" w:fill="CEEBE6"/>
            <w:noWrap/>
            <w:vAlign w:val="center"/>
          </w:tcPr>
          <w:p>
            <w:pPr>
              <w:spacing w:before="60" w:after="60"/>
              <w:jc w:val="center"/>
              <w:rPr>
                <w:b/>
                <w:noProof/>
                <w:sz w:val="20"/>
                <w:szCs w:val="16"/>
              </w:rPr>
            </w:pPr>
            <w:r>
              <w:rPr>
                <w:b/>
                <w:noProof/>
                <w:sz w:val="20"/>
                <w:szCs w:val="16"/>
              </w:rPr>
              <w:t>0.68</w:t>
            </w:r>
          </w:p>
        </w:tc>
      </w:tr>
    </w:tbl>
    <w:p>
      <w:pPr>
        <w:pStyle w:val="Sources"/>
        <w:rPr>
          <w:noProof/>
        </w:rPr>
      </w:pPr>
      <w:r>
        <w:rPr>
          <w:noProof/>
        </w:rPr>
        <w:t>Source: CEPS/Ecofys.</w:t>
      </w:r>
    </w:p>
    <w:p>
      <w:pPr>
        <w:rPr>
          <w:rFonts w:eastAsia="Times New Roman"/>
          <w:bCs/>
          <w:noProof/>
          <w:color w:val="000000"/>
          <w:szCs w:val="24"/>
          <w:lang w:eastAsia="en-GB"/>
        </w:rPr>
      </w:pPr>
    </w:p>
    <w:p>
      <w:pPr>
        <w:pStyle w:val="Caption"/>
        <w:rPr>
          <w:rFonts w:eastAsia="Times New Roman"/>
          <w:color w:val="000000"/>
          <w:lang w:eastAsia="en-GB"/>
        </w:rPr>
      </w:pPr>
      <w:bookmarkStart w:id="683" w:name="_Ref524539514"/>
      <w:bookmarkStart w:id="684" w:name="_Toc526433927"/>
      <w:bookmarkStart w:id="685" w:name="_Toc526435869"/>
      <w:bookmarkStart w:id="686" w:name="_Toc527544750"/>
      <w:bookmarkStart w:id="687" w:name="_Toc530741787"/>
      <w:r>
        <w:t xml:space="preserve">Figure </w:t>
      </w:r>
      <w:r>
        <w:fldChar w:fldCharType="begin"/>
      </w:r>
      <w:r>
        <w:instrText xml:space="preserve"> SEQ Figure \* ARABIC </w:instrText>
      </w:r>
      <w:r>
        <w:fldChar w:fldCharType="separate"/>
      </w:r>
      <w:r>
        <w:t>94</w:t>
      </w:r>
      <w:r>
        <w:fldChar w:fldCharType="end"/>
      </w:r>
      <w:bookmarkEnd w:id="683"/>
      <w:r>
        <w:t xml:space="preserve">. </w:t>
      </w:r>
      <w:r>
        <w:rPr>
          <w:rFonts w:eastAsia="Times New Roman"/>
          <w:color w:val="000000"/>
          <w:lang w:eastAsia="en-GB"/>
        </w:rPr>
        <w:t>Natural gas prices</w:t>
      </w:r>
      <w:r>
        <w:t xml:space="preserve"> of </w:t>
      </w:r>
      <w:r>
        <w:rPr>
          <w:lang w:eastAsia="en-GB"/>
        </w:rPr>
        <w:t>refineries</w:t>
      </w:r>
      <w:r>
        <w:rPr>
          <w:rFonts w:eastAsia="Times New Roman"/>
          <w:color w:val="000000"/>
          <w:lang w:eastAsia="en-GB"/>
        </w:rPr>
        <w:t xml:space="preserve"> (€/MWh)</w:t>
      </w:r>
      <w:bookmarkEnd w:id="684"/>
      <w:bookmarkEnd w:id="685"/>
      <w:bookmarkEnd w:id="686"/>
      <w:bookmarkEnd w:id="687"/>
    </w:p>
    <w:p>
      <w:pPr>
        <w:keepNext/>
        <w:rPr>
          <w:b/>
          <w:bCs/>
          <w:noProof/>
        </w:rPr>
      </w:pPr>
      <w:r>
        <w:rPr>
          <w:noProof/>
          <w:lang w:eastAsia="en-GB"/>
        </w:rPr>
        <w:drawing>
          <wp:inline distT="0" distB="0" distL="0" distR="0">
            <wp:extent cx="5760720" cy="2521822"/>
            <wp:effectExtent l="0" t="0" r="0" b="0"/>
            <wp:docPr id="1449027047" name="Picture 144902704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79"/>
                    <pic:cNvPicPr>
                      <a:picLocks noGrp="1" noRot="1" noChangeAspect="1" noMove="1" noResize="1" noEditPoints="1" noAdjustHandles="1" noChangeArrowheads="1" noChangeShapeType="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688" w:name="_Ref529293709"/>
      <w:bookmarkStart w:id="689" w:name="_Toc530741788"/>
      <w:r>
        <w:t xml:space="preserve">Figure </w:t>
      </w:r>
      <w:r>
        <w:fldChar w:fldCharType="begin"/>
      </w:r>
      <w:r>
        <w:instrText xml:space="preserve"> SEQ Figure \* ARABIC </w:instrText>
      </w:r>
      <w:r>
        <w:fldChar w:fldCharType="separate"/>
      </w:r>
      <w:r>
        <w:t>95</w:t>
      </w:r>
      <w:r>
        <w:fldChar w:fldCharType="end"/>
      </w:r>
      <w:bookmarkEnd w:id="688"/>
      <w:r>
        <w:t xml:space="preserve">. Components of the EU average natural gas price for </w:t>
      </w:r>
      <w:r>
        <w:rPr>
          <w:lang w:eastAsia="en-GB"/>
        </w:rPr>
        <w:t>refineries</w:t>
      </w:r>
      <w:r>
        <w:t xml:space="preserve"> (%)</w:t>
      </w:r>
      <w:bookmarkEnd w:id="689"/>
    </w:p>
    <w:p>
      <w:pPr>
        <w:keepNext/>
        <w:rPr>
          <w:noProof/>
        </w:rPr>
      </w:pPr>
      <w:r>
        <w:rPr>
          <w:noProof/>
          <w:lang w:eastAsia="en-GB"/>
        </w:rPr>
        <w:drawing>
          <wp:inline distT="0" distB="0" distL="0" distR="0">
            <wp:extent cx="5759450" cy="2607273"/>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9450" cy="2607273"/>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p>
      <w:pPr>
        <w:pStyle w:val="Caption"/>
        <w:rPr>
          <w:rFonts w:eastAsia="Times New Roman"/>
          <w:color w:val="000000"/>
          <w:lang w:eastAsia="en-GB"/>
        </w:rPr>
      </w:pPr>
      <w:bookmarkStart w:id="690" w:name="_Ref524539525"/>
      <w:bookmarkStart w:id="691" w:name="_Toc526433928"/>
      <w:bookmarkStart w:id="692" w:name="_Toc526435870"/>
      <w:bookmarkStart w:id="693" w:name="_Toc527544751"/>
      <w:bookmarkStart w:id="694" w:name="_Toc530741789"/>
      <w:r>
        <w:t xml:space="preserve">Figure </w:t>
      </w:r>
      <w:r>
        <w:fldChar w:fldCharType="begin"/>
      </w:r>
      <w:r>
        <w:instrText xml:space="preserve"> SEQ Figure \* ARABIC </w:instrText>
      </w:r>
      <w:r>
        <w:fldChar w:fldCharType="separate"/>
      </w:r>
      <w:r>
        <w:t>96</w:t>
      </w:r>
      <w:r>
        <w:fldChar w:fldCharType="end"/>
      </w:r>
      <w:bookmarkEnd w:id="690"/>
      <w:r>
        <w:t xml:space="preserve">. </w:t>
      </w:r>
      <w:r>
        <w:rPr>
          <w:rFonts w:eastAsia="Times New Roman"/>
          <w:color w:val="000000"/>
          <w:lang w:eastAsia="en-GB"/>
        </w:rPr>
        <w:t>Natural gas costs</w:t>
      </w:r>
      <w:r>
        <w:t xml:space="preserve"> of </w:t>
      </w:r>
      <w:r>
        <w:rPr>
          <w:lang w:eastAsia="en-GB"/>
        </w:rPr>
        <w:t>refineries</w:t>
      </w:r>
      <w:r>
        <w:rPr>
          <w:rFonts w:eastAsia="Times New Roman"/>
          <w:color w:val="000000"/>
          <w:lang w:eastAsia="en-GB"/>
        </w:rPr>
        <w:t xml:space="preserve"> (€/tonne)</w:t>
      </w:r>
      <w:bookmarkEnd w:id="691"/>
      <w:bookmarkEnd w:id="692"/>
      <w:bookmarkEnd w:id="693"/>
      <w:bookmarkEnd w:id="694"/>
    </w:p>
    <w:p>
      <w:pPr>
        <w:keepNext/>
        <w:rPr>
          <w:b/>
          <w:bCs/>
          <w:noProof/>
          <w:lang w:eastAsia="it-IT"/>
        </w:rPr>
      </w:pPr>
      <w:r>
        <w:rPr>
          <w:noProof/>
          <w:lang w:eastAsia="en-GB"/>
        </w:rPr>
        <w:drawing>
          <wp:inline distT="0" distB="0" distL="0" distR="0">
            <wp:extent cx="5760720" cy="2521822"/>
            <wp:effectExtent l="0" t="0" r="0" b="0"/>
            <wp:docPr id="1449027048" name="Picture 144902704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82"/>
                    <pic:cNvPicPr>
                      <a:picLocks noGrp="1" noRot="1" noChangeAspect="1" noMove="1" noResize="1" noEditPoints="1" noAdjustHandles="1" noChangeArrowheads="1" noChangeShapeType="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695" w:name="_Ref526415541"/>
      <w:bookmarkStart w:id="696" w:name="_Ref526415522"/>
      <w:bookmarkStart w:id="697" w:name="_Toc526433929"/>
      <w:bookmarkStart w:id="698" w:name="_Toc526435871"/>
      <w:bookmarkStart w:id="699" w:name="_Toc527544752"/>
      <w:bookmarkStart w:id="700" w:name="_Toc530741790"/>
      <w:r>
        <w:t xml:space="preserve">Figure </w:t>
      </w:r>
      <w:r>
        <w:fldChar w:fldCharType="begin"/>
      </w:r>
      <w:r>
        <w:instrText xml:space="preserve"> SEQ Figure \* ARABIC </w:instrText>
      </w:r>
      <w:r>
        <w:fldChar w:fldCharType="separate"/>
      </w:r>
      <w:r>
        <w:t>97</w:t>
      </w:r>
      <w:r>
        <w:fldChar w:fldCharType="end"/>
      </w:r>
      <w:bookmarkEnd w:id="695"/>
      <w:r>
        <w:t>. Total</w:t>
      </w:r>
      <w:r>
        <w:rPr>
          <w:rFonts w:eastAsia="Times New Roman"/>
          <w:color w:val="000000"/>
          <w:lang w:eastAsia="en-GB"/>
        </w:rPr>
        <w:t xml:space="preserve"> gas costs</w:t>
      </w:r>
      <w:r>
        <w:t xml:space="preserve"> of </w:t>
      </w:r>
      <w:r>
        <w:rPr>
          <w:lang w:eastAsia="en-GB"/>
        </w:rPr>
        <w:t>refineries</w:t>
      </w:r>
      <w:r>
        <w:rPr>
          <w:rFonts w:eastAsia="Times New Roman"/>
          <w:color w:val="000000"/>
          <w:lang w:eastAsia="en-GB"/>
        </w:rPr>
        <w:t xml:space="preserve"> (€/tonne)</w:t>
      </w:r>
      <w:bookmarkEnd w:id="696"/>
      <w:bookmarkEnd w:id="697"/>
      <w:bookmarkEnd w:id="698"/>
      <w:bookmarkEnd w:id="699"/>
      <w:bookmarkEnd w:id="700"/>
    </w:p>
    <w:p>
      <w:pPr>
        <w:keepNext/>
        <w:rPr>
          <w:b/>
          <w:bCs/>
          <w:noProof/>
          <w:lang w:eastAsia="it-IT"/>
        </w:rPr>
      </w:pPr>
      <w:r>
        <w:rPr>
          <w:b/>
          <w:noProof/>
          <w:color w:val="FFFFFF"/>
          <w:lang w:eastAsia="en-GB"/>
        </w:rPr>
        <w:drawing>
          <wp:inline distT="0" distB="0" distL="0" distR="0">
            <wp:extent cx="5617845" cy="2523490"/>
            <wp:effectExtent l="0" t="0" r="1905" b="0"/>
            <wp:docPr id="1449026501" name="Picture 144902650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83"/>
                    <pic:cNvPicPr>
                      <a:picLocks noGrp="1" noRot="1" noChangeAspect="1" noMove="1" noResize="1" noEditPoints="1" noAdjustHandles="1" noChangeArrowheads="1" noChangeShapeType="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7845"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rPr>
      </w:pPr>
      <w:bookmarkStart w:id="701" w:name="_Ref524539533"/>
      <w:bookmarkStart w:id="702" w:name="_Toc526433930"/>
      <w:bookmarkStart w:id="703" w:name="_Toc526435872"/>
      <w:bookmarkStart w:id="704" w:name="_Toc527544753"/>
      <w:bookmarkStart w:id="705" w:name="_Toc530741791"/>
      <w:r>
        <w:t xml:space="preserve">Figure </w:t>
      </w:r>
      <w:r>
        <w:fldChar w:fldCharType="begin"/>
      </w:r>
      <w:r>
        <w:instrText xml:space="preserve"> SEQ Figure \* ARABIC </w:instrText>
      </w:r>
      <w:r>
        <w:fldChar w:fldCharType="separate"/>
      </w:r>
      <w:r>
        <w:t>98</w:t>
      </w:r>
      <w:r>
        <w:fldChar w:fldCharType="end"/>
      </w:r>
      <w:bookmarkEnd w:id="701"/>
      <w:r>
        <w:t xml:space="preserve">. </w:t>
      </w:r>
      <w:r>
        <w:rPr>
          <w:rFonts w:eastAsia="Times New Roman"/>
          <w:color w:val="000000"/>
        </w:rPr>
        <w:t xml:space="preserve">Natural gas intensity </w:t>
      </w:r>
      <w:r>
        <w:t>of refineries</w:t>
      </w:r>
      <w:r>
        <w:rPr>
          <w:rFonts w:eastAsia="Times New Roman"/>
          <w:color w:val="000000"/>
        </w:rPr>
        <w:t xml:space="preserve"> (MWh/tonne)</w:t>
      </w:r>
      <w:bookmarkEnd w:id="702"/>
      <w:bookmarkEnd w:id="703"/>
      <w:bookmarkEnd w:id="704"/>
      <w:bookmarkEnd w:id="705"/>
    </w:p>
    <w:p>
      <w:pPr>
        <w:keepNext/>
        <w:rPr>
          <w:b/>
          <w:bCs/>
          <w:noProof/>
          <w:lang w:eastAsia="it-IT"/>
        </w:rPr>
      </w:pPr>
      <w:r>
        <w:rPr>
          <w:noProof/>
          <w:lang w:eastAsia="en-GB"/>
        </w:rPr>
        <w:drawing>
          <wp:inline distT="0" distB="0" distL="0" distR="0">
            <wp:extent cx="5760720" cy="2521822"/>
            <wp:effectExtent l="0" t="0" r="0" b="0"/>
            <wp:docPr id="1449026496" name="Picture 1449026496"/>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84"/>
                    <pic:cNvPicPr>
                      <a:picLocks noGrp="1" noRot="1" noChangeAspect="1" noMove="1" noResize="1" noEditPoints="1" noAdjustHandles="1" noChangeArrowheads="1" noChangeShapeType="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2521822"/>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noProof/>
        </w:rPr>
      </w:pPr>
    </w:p>
    <w:p>
      <w:pPr>
        <w:pStyle w:val="Caption"/>
        <w:rPr>
          <w:rFonts w:eastAsia="Times New Roman"/>
          <w:color w:val="000000"/>
          <w:lang w:eastAsia="en-GB"/>
        </w:rPr>
      </w:pPr>
      <w:bookmarkStart w:id="706" w:name="_Toc526433931"/>
      <w:bookmarkStart w:id="707" w:name="_Toc526435873"/>
      <w:bookmarkStart w:id="708" w:name="_Toc527544754"/>
      <w:bookmarkStart w:id="709" w:name="_Toc530741792"/>
      <w:r>
        <w:t xml:space="preserve">Figure </w:t>
      </w:r>
      <w:r>
        <w:fldChar w:fldCharType="begin"/>
      </w:r>
      <w:r>
        <w:instrText xml:space="preserve"> SEQ Figure \* ARABIC </w:instrText>
      </w:r>
      <w:r>
        <w:fldChar w:fldCharType="separate"/>
      </w:r>
      <w:r>
        <w:t>99</w:t>
      </w:r>
      <w:r>
        <w:fldChar w:fldCharType="end"/>
      </w:r>
      <w:r>
        <w:t xml:space="preserve">. Total </w:t>
      </w:r>
      <w:r>
        <w:rPr>
          <w:rFonts w:eastAsia="Times New Roman"/>
          <w:color w:val="000000"/>
          <w:lang w:eastAsia="en-GB"/>
        </w:rPr>
        <w:t xml:space="preserve">gas intensity </w:t>
      </w:r>
      <w:r>
        <w:t xml:space="preserve">of </w:t>
      </w:r>
      <w:r>
        <w:rPr>
          <w:lang w:eastAsia="en-GB"/>
        </w:rPr>
        <w:t>refineries</w:t>
      </w:r>
      <w:r>
        <w:rPr>
          <w:rFonts w:eastAsia="Times New Roman"/>
          <w:color w:val="000000"/>
          <w:lang w:eastAsia="en-GB"/>
        </w:rPr>
        <w:t xml:space="preserve"> (MWh/tonne)</w:t>
      </w:r>
      <w:bookmarkEnd w:id="706"/>
      <w:bookmarkEnd w:id="707"/>
      <w:bookmarkEnd w:id="708"/>
      <w:bookmarkEnd w:id="709"/>
    </w:p>
    <w:p>
      <w:pPr>
        <w:keepNext/>
        <w:rPr>
          <w:b/>
          <w:bCs/>
          <w:noProof/>
          <w:lang w:eastAsia="it-IT"/>
        </w:rPr>
      </w:pPr>
      <w:r>
        <w:rPr>
          <w:b/>
          <w:noProof/>
          <w:color w:val="FFFFFF"/>
          <w:lang w:eastAsia="en-GB"/>
        </w:rPr>
        <w:drawing>
          <wp:inline distT="0" distB="0" distL="0" distR="0">
            <wp:extent cx="5727700" cy="2523490"/>
            <wp:effectExtent l="0" t="0" r="6350" b="0"/>
            <wp:docPr id="1449026500" name="Picture 1449026500"/>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87"/>
                    <pic:cNvPicPr>
                      <a:picLocks noGrp="1" noRot="1" noChangeAspect="1" noMove="1" noResize="1" noEditPoints="1" noAdjustHandles="1" noChangeArrowheads="1" noChangeShapeType="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7700" cy="2523490"/>
                    </a:xfrm>
                    <a:prstGeom prst="rect">
                      <a:avLst/>
                    </a:prstGeom>
                    <a:noFill/>
                    <a:ln>
                      <a:noFill/>
                    </a:ln>
                  </pic:spPr>
                </pic:pic>
              </a:graphicData>
            </a:graphic>
          </wp:inline>
        </w:drawing>
      </w:r>
    </w:p>
    <w:p>
      <w:pPr>
        <w:pStyle w:val="Sources"/>
        <w:tabs>
          <w:tab w:val="left" w:pos="284"/>
        </w:tabs>
        <w:rPr>
          <w:noProof/>
        </w:rPr>
      </w:pPr>
      <w:r>
        <w:rPr>
          <w:noProof/>
        </w:rPr>
        <w:tab/>
        <w:t>Source: CEPS/Ecofys.</w:t>
      </w:r>
    </w:p>
    <w:p>
      <w:pPr>
        <w:rPr>
          <w:rFonts w:eastAsia="Times New Roman"/>
          <w:bCs/>
          <w:noProof/>
          <w:color w:val="000000"/>
          <w:szCs w:val="24"/>
          <w:lang w:eastAsia="en-GB"/>
        </w:rPr>
      </w:pPr>
    </w:p>
    <w:p>
      <w:pPr>
        <w:spacing w:after="0"/>
        <w:jc w:val="left"/>
        <w:rPr>
          <w:rFonts w:eastAsia="Times New Roman"/>
          <w:b/>
          <w:bCs/>
          <w:i/>
          <w:noProof/>
          <w:color w:val="000000"/>
          <w:szCs w:val="24"/>
          <w:lang w:eastAsia="en-GB"/>
        </w:rPr>
      </w:pPr>
      <w:r>
        <w:rPr>
          <w:rFonts w:eastAsia="Times New Roman"/>
          <w:b/>
          <w:bCs/>
          <w:i/>
          <w:noProof/>
          <w:color w:val="000000"/>
          <w:szCs w:val="24"/>
          <w:lang w:eastAsia="en-GB"/>
        </w:rPr>
        <w:br w:type="page"/>
      </w:r>
    </w:p>
    <w:p>
      <w:pPr>
        <w:rPr>
          <w:rFonts w:eastAsia="Times New Roman"/>
          <w:b/>
          <w:bCs/>
          <w:i/>
          <w:noProof/>
          <w:color w:val="000000"/>
          <w:szCs w:val="24"/>
          <w:lang w:eastAsia="en-GB"/>
        </w:rPr>
      </w:pPr>
      <w:r>
        <w:rPr>
          <w:rFonts w:eastAsia="Times New Roman"/>
          <w:b/>
          <w:bCs/>
          <w:i/>
          <w:noProof/>
          <w:color w:val="000000"/>
          <w:szCs w:val="24"/>
          <w:lang w:eastAsia="en-GB"/>
        </w:rPr>
        <w:t>Other fuels</w:t>
      </w:r>
      <w:r>
        <w:rPr>
          <w:noProof/>
        </w:rPr>
        <w:t xml:space="preserve"> </w:t>
      </w:r>
      <w:r>
        <w:rPr>
          <w:rFonts w:eastAsia="Times New Roman"/>
          <w:b/>
          <w:bCs/>
          <w:i/>
          <w:noProof/>
          <w:color w:val="000000"/>
          <w:szCs w:val="24"/>
          <w:lang w:eastAsia="en-GB"/>
        </w:rPr>
        <w:t>including feedstocks</w:t>
      </w:r>
    </w:p>
    <w:p>
      <w:pPr>
        <w:pStyle w:val="Caption"/>
      </w:pPr>
      <w:bookmarkStart w:id="710" w:name="_Ref526417494"/>
      <w:bookmarkStart w:id="711" w:name="_Toc526433639"/>
      <w:bookmarkStart w:id="712" w:name="_Toc526435581"/>
      <w:bookmarkStart w:id="713" w:name="_Toc527544809"/>
      <w:bookmarkStart w:id="714" w:name="_Toc530741827"/>
      <w:r>
        <w:t xml:space="preserve">Table </w:t>
      </w:r>
      <w:r>
        <w:fldChar w:fldCharType="begin"/>
      </w:r>
      <w:r>
        <w:instrText xml:space="preserve"> SEQ Table \* ARABIC </w:instrText>
      </w:r>
      <w:r>
        <w:fldChar w:fldCharType="separate"/>
      </w:r>
      <w:r>
        <w:t>34</w:t>
      </w:r>
      <w:r>
        <w:fldChar w:fldCharType="end"/>
      </w:r>
      <w:bookmarkEnd w:id="710"/>
      <w:r>
        <w:t xml:space="preserve">. Key other fuel indicators of </w:t>
      </w:r>
      <w:r>
        <w:rPr>
          <w:lang w:eastAsia="en-GB"/>
        </w:rPr>
        <w:t>refineries</w:t>
      </w:r>
      <w:r>
        <w:t xml:space="preserve"> (EU averages)</w:t>
      </w:r>
      <w:bookmarkEnd w:id="711"/>
      <w:bookmarkEnd w:id="712"/>
      <w:bookmarkEnd w:id="713"/>
      <w:bookmarkEnd w:id="714"/>
    </w:p>
    <w:tbl>
      <w:tblPr>
        <w:tblW w:w="2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768"/>
        <w:gridCol w:w="768"/>
      </w:tblGrid>
      <w:tr>
        <w:trPr>
          <w:trHeight w:val="244"/>
          <w:tblHeader/>
          <w:jc w:val="center"/>
        </w:trPr>
        <w:tc>
          <w:tcPr>
            <w:tcW w:w="3346"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82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827" w:type="pct"/>
            <w:tcBorders>
              <w:top w:val="single" w:sz="4" w:space="0" w:color="auto"/>
              <w:left w:val="single" w:sz="4" w:space="0" w:color="auto"/>
              <w:bottom w:val="single" w:sz="4" w:space="0" w:color="auto"/>
              <w:right w:val="single" w:sz="4" w:space="0" w:color="auto"/>
            </w:tcBorders>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3346" w:type="pct"/>
            <w:tcBorders>
              <w:top w:val="single" w:sz="4" w:space="0" w:color="auto"/>
            </w:tcBorders>
            <w:shd w:val="clear" w:color="auto" w:fill="CEEBE6"/>
            <w:noWrap/>
            <w:vAlign w:val="center"/>
            <w:hideMark/>
          </w:tcPr>
          <w:p>
            <w:pPr>
              <w:spacing w:before="60" w:after="60"/>
              <w:jc w:val="left"/>
              <w:rPr>
                <w:noProof/>
                <w:sz w:val="20"/>
                <w:szCs w:val="16"/>
              </w:rPr>
            </w:pPr>
            <w:r>
              <w:rPr>
                <w:noProof/>
                <w:sz w:val="20"/>
                <w:szCs w:val="16"/>
              </w:rPr>
              <w:t>Crude oil price (€/MWh)</w:t>
            </w:r>
          </w:p>
        </w:tc>
        <w:tc>
          <w:tcPr>
            <w:tcW w:w="827" w:type="pct"/>
            <w:tcBorders>
              <w:top w:val="single" w:sz="4" w:space="0" w:color="auto"/>
            </w:tcBorders>
            <w:shd w:val="clear" w:color="auto" w:fill="CEEBE6"/>
            <w:noWrap/>
          </w:tcPr>
          <w:p>
            <w:pPr>
              <w:spacing w:before="60" w:after="60"/>
              <w:jc w:val="center"/>
              <w:rPr>
                <w:noProof/>
                <w:sz w:val="20"/>
                <w:szCs w:val="16"/>
              </w:rPr>
            </w:pPr>
            <w:r>
              <w:rPr>
                <w:noProof/>
                <w:sz w:val="20"/>
                <w:szCs w:val="16"/>
              </w:rPr>
              <w:t>24.4</w:t>
            </w:r>
          </w:p>
        </w:tc>
        <w:tc>
          <w:tcPr>
            <w:tcW w:w="827" w:type="pct"/>
            <w:tcBorders>
              <w:top w:val="single" w:sz="4" w:space="0" w:color="auto"/>
            </w:tcBorders>
            <w:shd w:val="clear" w:color="auto" w:fill="CEEBE6"/>
            <w:noWrap/>
          </w:tcPr>
          <w:p>
            <w:pPr>
              <w:spacing w:before="60" w:after="60"/>
              <w:jc w:val="center"/>
              <w:rPr>
                <w:noProof/>
                <w:sz w:val="20"/>
                <w:szCs w:val="16"/>
              </w:rPr>
            </w:pPr>
            <w:r>
              <w:rPr>
                <w:noProof/>
                <w:sz w:val="20"/>
                <w:szCs w:val="16"/>
              </w:rPr>
              <w:t>29.3</w:t>
            </w:r>
          </w:p>
        </w:tc>
      </w:tr>
      <w:tr>
        <w:trPr>
          <w:trHeight w:val="244"/>
          <w:jc w:val="center"/>
        </w:trPr>
        <w:tc>
          <w:tcPr>
            <w:tcW w:w="3346" w:type="pct"/>
            <w:shd w:val="clear" w:color="auto" w:fill="auto"/>
            <w:noWrap/>
            <w:vAlign w:val="center"/>
            <w:hideMark/>
          </w:tcPr>
          <w:p>
            <w:pPr>
              <w:spacing w:before="60" w:after="60"/>
              <w:jc w:val="left"/>
              <w:rPr>
                <w:noProof/>
                <w:color w:val="000000"/>
                <w:sz w:val="20"/>
                <w:szCs w:val="16"/>
              </w:rPr>
            </w:pPr>
            <w:r>
              <w:rPr>
                <w:noProof/>
                <w:sz w:val="20"/>
                <w:szCs w:val="16"/>
              </w:rPr>
              <w:t>Crude oil costs (€/tonne)</w:t>
            </w:r>
          </w:p>
        </w:tc>
        <w:tc>
          <w:tcPr>
            <w:tcW w:w="827" w:type="pct"/>
            <w:shd w:val="clear" w:color="auto" w:fill="auto"/>
            <w:noWrap/>
            <w:vAlign w:val="center"/>
          </w:tcPr>
          <w:p>
            <w:pPr>
              <w:spacing w:before="60" w:after="60"/>
              <w:jc w:val="center"/>
              <w:rPr>
                <w:noProof/>
                <w:sz w:val="20"/>
                <w:szCs w:val="16"/>
              </w:rPr>
            </w:pPr>
            <w:r>
              <w:rPr>
                <w:noProof/>
                <w:sz w:val="20"/>
                <w:szCs w:val="16"/>
              </w:rPr>
              <w:t>331.5</w:t>
            </w:r>
          </w:p>
        </w:tc>
        <w:tc>
          <w:tcPr>
            <w:tcW w:w="827" w:type="pct"/>
            <w:shd w:val="clear" w:color="auto" w:fill="auto"/>
            <w:noWrap/>
            <w:vAlign w:val="center"/>
          </w:tcPr>
          <w:p>
            <w:pPr>
              <w:spacing w:before="60" w:after="60"/>
              <w:jc w:val="center"/>
              <w:rPr>
                <w:noProof/>
                <w:sz w:val="20"/>
                <w:szCs w:val="16"/>
              </w:rPr>
            </w:pPr>
            <w:r>
              <w:rPr>
                <w:noProof/>
                <w:sz w:val="20"/>
                <w:szCs w:val="16"/>
              </w:rPr>
              <w:t>395.8</w:t>
            </w:r>
          </w:p>
        </w:tc>
      </w:tr>
      <w:tr>
        <w:trPr>
          <w:trHeight w:val="244"/>
          <w:jc w:val="center"/>
        </w:trPr>
        <w:tc>
          <w:tcPr>
            <w:tcW w:w="3346" w:type="pct"/>
            <w:shd w:val="clear" w:color="auto" w:fill="CEEBE6"/>
            <w:noWrap/>
            <w:vAlign w:val="center"/>
            <w:hideMark/>
          </w:tcPr>
          <w:p>
            <w:pPr>
              <w:spacing w:before="60" w:after="60"/>
              <w:jc w:val="left"/>
              <w:rPr>
                <w:noProof/>
                <w:sz w:val="20"/>
                <w:szCs w:val="16"/>
              </w:rPr>
            </w:pPr>
            <w:r>
              <w:rPr>
                <w:noProof/>
                <w:sz w:val="20"/>
                <w:szCs w:val="16"/>
              </w:rPr>
              <w:t>Crude oil intensity (MWh/tonne)</w:t>
            </w:r>
          </w:p>
        </w:tc>
        <w:tc>
          <w:tcPr>
            <w:tcW w:w="827" w:type="pct"/>
            <w:shd w:val="clear" w:color="auto" w:fill="CEEBE6"/>
            <w:noWrap/>
            <w:vAlign w:val="center"/>
          </w:tcPr>
          <w:p>
            <w:pPr>
              <w:spacing w:before="60" w:after="60"/>
              <w:jc w:val="center"/>
              <w:rPr>
                <w:noProof/>
                <w:sz w:val="20"/>
                <w:szCs w:val="16"/>
              </w:rPr>
            </w:pPr>
            <w:r>
              <w:rPr>
                <w:noProof/>
                <w:sz w:val="20"/>
                <w:szCs w:val="16"/>
              </w:rPr>
              <w:t>13.76</w:t>
            </w:r>
          </w:p>
        </w:tc>
        <w:tc>
          <w:tcPr>
            <w:tcW w:w="827" w:type="pct"/>
            <w:shd w:val="clear" w:color="auto" w:fill="CEEBE6"/>
            <w:noWrap/>
            <w:vAlign w:val="center"/>
          </w:tcPr>
          <w:p>
            <w:pPr>
              <w:spacing w:before="60" w:after="60"/>
              <w:jc w:val="center"/>
              <w:rPr>
                <w:noProof/>
                <w:sz w:val="20"/>
                <w:szCs w:val="16"/>
              </w:rPr>
            </w:pPr>
            <w:r>
              <w:rPr>
                <w:noProof/>
                <w:sz w:val="20"/>
                <w:szCs w:val="16"/>
              </w:rPr>
              <w:t>13.62</w:t>
            </w:r>
          </w:p>
        </w:tc>
      </w:tr>
      <w:tr>
        <w:trPr>
          <w:trHeight w:val="244"/>
          <w:jc w:val="center"/>
        </w:trPr>
        <w:tc>
          <w:tcPr>
            <w:tcW w:w="3346" w:type="pct"/>
            <w:shd w:val="clear" w:color="auto" w:fill="auto"/>
            <w:noWrap/>
            <w:vAlign w:val="center"/>
          </w:tcPr>
          <w:p>
            <w:pPr>
              <w:spacing w:before="60" w:after="60"/>
              <w:jc w:val="left"/>
              <w:rPr>
                <w:noProof/>
                <w:sz w:val="20"/>
                <w:szCs w:val="16"/>
              </w:rPr>
            </w:pPr>
            <w:r>
              <w:rPr>
                <w:noProof/>
                <w:sz w:val="20"/>
                <w:szCs w:val="16"/>
              </w:rPr>
              <w:t>Fuel oil price (€/MWh)</w:t>
            </w:r>
          </w:p>
        </w:tc>
        <w:tc>
          <w:tcPr>
            <w:tcW w:w="827" w:type="pct"/>
            <w:shd w:val="clear" w:color="auto" w:fill="auto"/>
            <w:noWrap/>
            <w:vAlign w:val="center"/>
          </w:tcPr>
          <w:p>
            <w:pPr>
              <w:spacing w:before="60" w:after="60"/>
              <w:jc w:val="center"/>
              <w:rPr>
                <w:noProof/>
                <w:sz w:val="20"/>
                <w:szCs w:val="16"/>
              </w:rPr>
            </w:pPr>
            <w:r>
              <w:rPr>
                <w:noProof/>
                <w:sz w:val="20"/>
                <w:szCs w:val="16"/>
              </w:rPr>
              <w:t>14.9</w:t>
            </w:r>
          </w:p>
        </w:tc>
        <w:tc>
          <w:tcPr>
            <w:tcW w:w="827" w:type="pct"/>
            <w:shd w:val="clear" w:color="auto" w:fill="auto"/>
            <w:noWrap/>
            <w:vAlign w:val="center"/>
          </w:tcPr>
          <w:p>
            <w:pPr>
              <w:spacing w:before="60" w:after="60"/>
              <w:jc w:val="center"/>
              <w:rPr>
                <w:noProof/>
                <w:sz w:val="20"/>
                <w:szCs w:val="16"/>
              </w:rPr>
            </w:pPr>
            <w:r>
              <w:rPr>
                <w:noProof/>
                <w:sz w:val="20"/>
                <w:szCs w:val="16"/>
              </w:rPr>
              <w:t>19.9</w:t>
            </w:r>
          </w:p>
        </w:tc>
      </w:tr>
      <w:tr>
        <w:trPr>
          <w:trHeight w:val="244"/>
          <w:jc w:val="center"/>
        </w:trPr>
        <w:tc>
          <w:tcPr>
            <w:tcW w:w="3346" w:type="pct"/>
            <w:shd w:val="clear" w:color="auto" w:fill="CEEBE6"/>
            <w:noWrap/>
            <w:vAlign w:val="center"/>
            <w:hideMark/>
          </w:tcPr>
          <w:p>
            <w:pPr>
              <w:spacing w:before="60" w:after="60"/>
              <w:jc w:val="left"/>
              <w:rPr>
                <w:noProof/>
                <w:sz w:val="20"/>
                <w:szCs w:val="16"/>
              </w:rPr>
            </w:pPr>
            <w:r>
              <w:rPr>
                <w:noProof/>
                <w:sz w:val="20"/>
                <w:szCs w:val="16"/>
              </w:rPr>
              <w:t>Fuel oil costs (€/tonne)</w:t>
            </w:r>
          </w:p>
        </w:tc>
        <w:tc>
          <w:tcPr>
            <w:tcW w:w="827" w:type="pct"/>
            <w:shd w:val="clear" w:color="auto" w:fill="CEEBE6"/>
            <w:noWrap/>
            <w:vAlign w:val="center"/>
          </w:tcPr>
          <w:p>
            <w:pPr>
              <w:spacing w:before="60" w:after="60"/>
              <w:jc w:val="center"/>
              <w:rPr>
                <w:noProof/>
                <w:sz w:val="20"/>
                <w:szCs w:val="16"/>
              </w:rPr>
            </w:pPr>
            <w:r>
              <w:rPr>
                <w:noProof/>
                <w:sz w:val="20"/>
                <w:szCs w:val="16"/>
              </w:rPr>
              <w:t>2.2</w:t>
            </w:r>
          </w:p>
        </w:tc>
        <w:tc>
          <w:tcPr>
            <w:tcW w:w="827" w:type="pct"/>
            <w:shd w:val="clear" w:color="auto" w:fill="CEEBE6"/>
            <w:noWrap/>
            <w:vAlign w:val="center"/>
          </w:tcPr>
          <w:p>
            <w:pPr>
              <w:spacing w:before="60" w:after="60"/>
              <w:jc w:val="center"/>
              <w:rPr>
                <w:noProof/>
                <w:sz w:val="20"/>
                <w:szCs w:val="16"/>
              </w:rPr>
            </w:pPr>
            <w:r>
              <w:rPr>
                <w:noProof/>
                <w:sz w:val="20"/>
                <w:szCs w:val="16"/>
              </w:rPr>
              <w:t>2.5</w:t>
            </w:r>
          </w:p>
        </w:tc>
      </w:tr>
      <w:tr>
        <w:trPr>
          <w:trHeight w:val="244"/>
          <w:jc w:val="center"/>
        </w:trPr>
        <w:tc>
          <w:tcPr>
            <w:tcW w:w="3346" w:type="pct"/>
            <w:shd w:val="clear" w:color="auto" w:fill="auto"/>
            <w:noWrap/>
            <w:vAlign w:val="center"/>
          </w:tcPr>
          <w:p>
            <w:pPr>
              <w:spacing w:before="60" w:after="60"/>
              <w:jc w:val="left"/>
              <w:rPr>
                <w:noProof/>
                <w:sz w:val="20"/>
                <w:szCs w:val="16"/>
              </w:rPr>
            </w:pPr>
            <w:r>
              <w:rPr>
                <w:noProof/>
                <w:sz w:val="20"/>
                <w:szCs w:val="16"/>
              </w:rPr>
              <w:t>Fuel oil intensity (MWh/tonne)</w:t>
            </w:r>
          </w:p>
        </w:tc>
        <w:tc>
          <w:tcPr>
            <w:tcW w:w="827" w:type="pct"/>
            <w:shd w:val="clear" w:color="auto" w:fill="auto"/>
            <w:noWrap/>
            <w:vAlign w:val="center"/>
          </w:tcPr>
          <w:p>
            <w:pPr>
              <w:spacing w:before="60" w:after="60"/>
              <w:jc w:val="center"/>
              <w:rPr>
                <w:noProof/>
                <w:sz w:val="20"/>
                <w:szCs w:val="16"/>
              </w:rPr>
            </w:pPr>
            <w:r>
              <w:rPr>
                <w:noProof/>
                <w:sz w:val="20"/>
                <w:szCs w:val="16"/>
              </w:rPr>
              <w:t>0.14</w:t>
            </w:r>
          </w:p>
        </w:tc>
        <w:tc>
          <w:tcPr>
            <w:tcW w:w="827" w:type="pct"/>
            <w:shd w:val="clear" w:color="auto" w:fill="auto"/>
            <w:noWrap/>
            <w:vAlign w:val="center"/>
          </w:tcPr>
          <w:p>
            <w:pPr>
              <w:spacing w:before="60" w:after="60"/>
              <w:jc w:val="center"/>
              <w:rPr>
                <w:noProof/>
                <w:sz w:val="20"/>
                <w:szCs w:val="16"/>
              </w:rPr>
            </w:pPr>
            <w:r>
              <w:rPr>
                <w:noProof/>
                <w:sz w:val="20"/>
                <w:szCs w:val="16"/>
              </w:rPr>
              <w:t>0.11</w:t>
            </w:r>
          </w:p>
        </w:tc>
      </w:tr>
      <w:tr>
        <w:trPr>
          <w:trHeight w:val="244"/>
          <w:jc w:val="center"/>
        </w:trPr>
        <w:tc>
          <w:tcPr>
            <w:tcW w:w="3346" w:type="pct"/>
            <w:shd w:val="clear" w:color="auto" w:fill="CEEBE6"/>
            <w:noWrap/>
            <w:vAlign w:val="center"/>
            <w:hideMark/>
          </w:tcPr>
          <w:p>
            <w:pPr>
              <w:spacing w:before="60" w:after="60"/>
              <w:jc w:val="left"/>
              <w:rPr>
                <w:noProof/>
                <w:sz w:val="20"/>
                <w:szCs w:val="16"/>
              </w:rPr>
            </w:pPr>
            <w:r>
              <w:rPr>
                <w:noProof/>
                <w:sz w:val="20"/>
                <w:szCs w:val="16"/>
              </w:rPr>
              <w:t>Coke price (€/MWh)</w:t>
            </w:r>
          </w:p>
        </w:tc>
        <w:tc>
          <w:tcPr>
            <w:tcW w:w="827" w:type="pct"/>
            <w:shd w:val="clear" w:color="auto" w:fill="CEEBE6"/>
            <w:noWrap/>
            <w:vAlign w:val="center"/>
          </w:tcPr>
          <w:p>
            <w:pPr>
              <w:spacing w:before="60" w:after="60"/>
              <w:jc w:val="center"/>
              <w:rPr>
                <w:noProof/>
                <w:sz w:val="20"/>
                <w:szCs w:val="16"/>
              </w:rPr>
            </w:pPr>
            <w:r>
              <w:rPr>
                <w:noProof/>
                <w:sz w:val="20"/>
                <w:szCs w:val="16"/>
              </w:rPr>
              <w:t>15.3</w:t>
            </w:r>
          </w:p>
        </w:tc>
        <w:tc>
          <w:tcPr>
            <w:tcW w:w="827" w:type="pct"/>
            <w:shd w:val="clear" w:color="auto" w:fill="CEEBE6"/>
            <w:noWrap/>
            <w:vAlign w:val="center"/>
          </w:tcPr>
          <w:p>
            <w:pPr>
              <w:spacing w:before="60" w:after="60"/>
              <w:jc w:val="center"/>
              <w:rPr>
                <w:noProof/>
                <w:sz w:val="20"/>
                <w:szCs w:val="16"/>
              </w:rPr>
            </w:pPr>
            <w:r>
              <w:rPr>
                <w:noProof/>
                <w:sz w:val="20"/>
                <w:szCs w:val="16"/>
              </w:rPr>
              <w:t>20.7</w:t>
            </w:r>
          </w:p>
        </w:tc>
      </w:tr>
      <w:tr>
        <w:trPr>
          <w:trHeight w:val="244"/>
          <w:jc w:val="center"/>
        </w:trPr>
        <w:tc>
          <w:tcPr>
            <w:tcW w:w="3346" w:type="pct"/>
            <w:shd w:val="clear" w:color="auto" w:fill="auto"/>
            <w:noWrap/>
            <w:vAlign w:val="center"/>
          </w:tcPr>
          <w:p>
            <w:pPr>
              <w:spacing w:before="60" w:after="60"/>
              <w:jc w:val="left"/>
              <w:rPr>
                <w:noProof/>
                <w:sz w:val="20"/>
                <w:szCs w:val="16"/>
              </w:rPr>
            </w:pPr>
            <w:r>
              <w:rPr>
                <w:noProof/>
                <w:sz w:val="20"/>
                <w:szCs w:val="16"/>
              </w:rPr>
              <w:t>Coke costs (€/tonne)</w:t>
            </w:r>
          </w:p>
        </w:tc>
        <w:tc>
          <w:tcPr>
            <w:tcW w:w="827" w:type="pct"/>
            <w:shd w:val="clear" w:color="auto" w:fill="auto"/>
            <w:noWrap/>
          </w:tcPr>
          <w:p>
            <w:pPr>
              <w:spacing w:before="60" w:after="60"/>
              <w:jc w:val="center"/>
              <w:rPr>
                <w:noProof/>
                <w:sz w:val="20"/>
                <w:szCs w:val="16"/>
              </w:rPr>
            </w:pPr>
            <w:r>
              <w:rPr>
                <w:noProof/>
                <w:sz w:val="20"/>
                <w:szCs w:val="16"/>
              </w:rPr>
              <w:t>2.0</w:t>
            </w:r>
          </w:p>
        </w:tc>
        <w:tc>
          <w:tcPr>
            <w:tcW w:w="827" w:type="pct"/>
            <w:shd w:val="clear" w:color="auto" w:fill="auto"/>
            <w:noWrap/>
          </w:tcPr>
          <w:p>
            <w:pPr>
              <w:spacing w:before="60" w:after="60"/>
              <w:jc w:val="center"/>
              <w:rPr>
                <w:noProof/>
                <w:sz w:val="20"/>
                <w:szCs w:val="16"/>
              </w:rPr>
            </w:pPr>
            <w:r>
              <w:rPr>
                <w:noProof/>
                <w:sz w:val="20"/>
                <w:szCs w:val="16"/>
              </w:rPr>
              <w:t>2.4</w:t>
            </w:r>
          </w:p>
        </w:tc>
      </w:tr>
      <w:tr>
        <w:trPr>
          <w:trHeight w:val="244"/>
          <w:jc w:val="center"/>
        </w:trPr>
        <w:tc>
          <w:tcPr>
            <w:tcW w:w="3346" w:type="pct"/>
            <w:shd w:val="clear" w:color="auto" w:fill="CEEBE6"/>
            <w:noWrap/>
            <w:vAlign w:val="center"/>
            <w:hideMark/>
          </w:tcPr>
          <w:p>
            <w:pPr>
              <w:keepNext/>
              <w:spacing w:before="60" w:after="60"/>
              <w:jc w:val="left"/>
              <w:rPr>
                <w:noProof/>
                <w:sz w:val="20"/>
                <w:szCs w:val="16"/>
              </w:rPr>
            </w:pPr>
            <w:r>
              <w:rPr>
                <w:noProof/>
                <w:sz w:val="20"/>
                <w:szCs w:val="16"/>
              </w:rPr>
              <w:t>Coke intensity (MWh/tonne)</w:t>
            </w:r>
          </w:p>
        </w:tc>
        <w:tc>
          <w:tcPr>
            <w:tcW w:w="827" w:type="pct"/>
            <w:shd w:val="clear" w:color="auto" w:fill="CEEBE6"/>
            <w:noWrap/>
            <w:vAlign w:val="center"/>
          </w:tcPr>
          <w:p>
            <w:pPr>
              <w:keepNext/>
              <w:spacing w:before="60" w:after="60"/>
              <w:jc w:val="center"/>
              <w:rPr>
                <w:noProof/>
                <w:sz w:val="20"/>
                <w:szCs w:val="16"/>
              </w:rPr>
            </w:pPr>
            <w:r>
              <w:rPr>
                <w:noProof/>
                <w:sz w:val="20"/>
                <w:szCs w:val="16"/>
              </w:rPr>
              <w:t>0.13</w:t>
            </w:r>
          </w:p>
        </w:tc>
        <w:tc>
          <w:tcPr>
            <w:tcW w:w="827" w:type="pct"/>
            <w:shd w:val="clear" w:color="auto" w:fill="CEEBE6"/>
            <w:noWrap/>
            <w:vAlign w:val="center"/>
          </w:tcPr>
          <w:p>
            <w:pPr>
              <w:keepNext/>
              <w:spacing w:before="60" w:after="60"/>
              <w:jc w:val="center"/>
              <w:rPr>
                <w:noProof/>
                <w:sz w:val="20"/>
                <w:szCs w:val="16"/>
              </w:rPr>
            </w:pPr>
            <w:r>
              <w:rPr>
                <w:noProof/>
                <w:sz w:val="20"/>
                <w:szCs w:val="16"/>
              </w:rPr>
              <w:t>0.12</w:t>
            </w:r>
          </w:p>
        </w:tc>
      </w:tr>
    </w:tbl>
    <w:p>
      <w:pPr>
        <w:pStyle w:val="Sources"/>
        <w:tabs>
          <w:tab w:val="left" w:pos="2268"/>
        </w:tabs>
        <w:rPr>
          <w:noProof/>
        </w:rPr>
      </w:pPr>
      <w:r>
        <w:rPr>
          <w:noProof/>
        </w:rPr>
        <w:tab/>
        <w:t>Source: CEPS/Ecofys.</w:t>
      </w:r>
    </w:p>
    <w:p>
      <w:pPr>
        <w:rPr>
          <w:rFonts w:eastAsia="Times New Roman"/>
          <w:bCs/>
          <w:noProof/>
          <w:color w:val="000000"/>
          <w:szCs w:val="24"/>
          <w:lang w:eastAsia="en-GB"/>
        </w:rPr>
      </w:pPr>
    </w:p>
    <w:p>
      <w:pPr>
        <w:rPr>
          <w:rFonts w:eastAsia="Times New Roman"/>
          <w:b/>
          <w:bCs/>
          <w:i/>
          <w:noProof/>
          <w:color w:val="000000"/>
          <w:szCs w:val="24"/>
          <w:lang w:eastAsia="en-GB"/>
        </w:rPr>
      </w:pPr>
      <w:r>
        <w:rPr>
          <w:rFonts w:eastAsia="Times New Roman"/>
          <w:b/>
          <w:bCs/>
          <w:i/>
          <w:noProof/>
          <w:color w:val="000000"/>
          <w:szCs w:val="24"/>
          <w:lang w:eastAsia="en-GB"/>
        </w:rPr>
        <w:t>Competitiveness</w:t>
      </w:r>
    </w:p>
    <w:p>
      <w:pPr>
        <w:pStyle w:val="Caption"/>
      </w:pPr>
      <w:bookmarkStart w:id="715" w:name="_Ref524539472"/>
      <w:bookmarkStart w:id="716" w:name="_Toc526433640"/>
      <w:bookmarkStart w:id="717" w:name="_Toc526435582"/>
      <w:bookmarkStart w:id="718" w:name="_Toc527544810"/>
      <w:bookmarkStart w:id="719" w:name="_Toc530741828"/>
      <w:r>
        <w:t xml:space="preserve">Table </w:t>
      </w:r>
      <w:r>
        <w:fldChar w:fldCharType="begin"/>
      </w:r>
      <w:r>
        <w:instrText xml:space="preserve"> SEQ Table \* ARABIC </w:instrText>
      </w:r>
      <w:r>
        <w:fldChar w:fldCharType="separate"/>
      </w:r>
      <w:r>
        <w:t>35</w:t>
      </w:r>
      <w:r>
        <w:fldChar w:fldCharType="end"/>
      </w:r>
      <w:bookmarkEnd w:id="715"/>
      <w:r>
        <w:t xml:space="preserve">. Key competitiveness indicators of </w:t>
      </w:r>
      <w:r>
        <w:rPr>
          <w:lang w:eastAsia="en-GB"/>
        </w:rPr>
        <w:t>refineries</w:t>
      </w:r>
      <w:r>
        <w:t xml:space="preserve"> (EU averages)</w:t>
      </w:r>
      <w:bookmarkEnd w:id="716"/>
      <w:bookmarkEnd w:id="717"/>
      <w:bookmarkEnd w:id="718"/>
      <w:bookmarkEnd w:id="719"/>
    </w:p>
    <w:tbl>
      <w:tblPr>
        <w:tblW w:w="34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0"/>
        <w:gridCol w:w="839"/>
        <w:gridCol w:w="839"/>
      </w:tblGrid>
      <w:tr>
        <w:trPr>
          <w:trHeight w:val="244"/>
          <w:tblHeader/>
          <w:jc w:val="center"/>
        </w:trPr>
        <w:tc>
          <w:tcPr>
            <w:tcW w:w="3693" w:type="pct"/>
            <w:shd w:val="clear" w:color="auto" w:fill="317C6F"/>
            <w:noWrap/>
            <w:vAlign w:val="center"/>
            <w:hideMark/>
          </w:tcPr>
          <w:p>
            <w:pPr>
              <w:spacing w:before="60" w:after="60"/>
              <w:jc w:val="left"/>
              <w:rPr>
                <w:b/>
                <w:bCs/>
                <w:noProof/>
                <w:color w:val="FFFFFF"/>
                <w:sz w:val="20"/>
                <w:szCs w:val="16"/>
              </w:rPr>
            </w:pPr>
            <w:r>
              <w:rPr>
                <w:b/>
                <w:bCs/>
                <w:noProof/>
                <w:color w:val="FFFFFF"/>
                <w:sz w:val="20"/>
                <w:szCs w:val="16"/>
              </w:rPr>
              <w:t>Indicator</w:t>
            </w:r>
          </w:p>
        </w:tc>
        <w:tc>
          <w:tcPr>
            <w:tcW w:w="65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2016</w:t>
            </w:r>
          </w:p>
        </w:tc>
        <w:tc>
          <w:tcPr>
            <w:tcW w:w="653" w:type="pct"/>
            <w:shd w:val="clear" w:color="auto" w:fill="317C6F"/>
            <w:noWrap/>
            <w:vAlign w:val="center"/>
            <w:hideMark/>
          </w:tcPr>
          <w:p>
            <w:pPr>
              <w:spacing w:before="60" w:after="60"/>
              <w:jc w:val="center"/>
              <w:rPr>
                <w:b/>
                <w:bCs/>
                <w:noProof/>
                <w:color w:val="FFFFFF"/>
                <w:sz w:val="20"/>
                <w:szCs w:val="16"/>
              </w:rPr>
            </w:pPr>
            <w:r>
              <w:rPr>
                <w:b/>
                <w:bCs/>
                <w:noProof/>
                <w:color w:val="FFFFFF"/>
                <w:sz w:val="20"/>
                <w:szCs w:val="16"/>
              </w:rPr>
              <w:t>2017</w:t>
            </w:r>
          </w:p>
        </w:tc>
      </w:tr>
      <w:tr>
        <w:trPr>
          <w:trHeight w:val="244"/>
          <w:jc w:val="center"/>
        </w:trPr>
        <w:tc>
          <w:tcPr>
            <w:tcW w:w="3693" w:type="pct"/>
            <w:shd w:val="clear" w:color="auto" w:fill="CEEBE6"/>
            <w:noWrap/>
            <w:vAlign w:val="center"/>
          </w:tcPr>
          <w:p>
            <w:pPr>
              <w:spacing w:before="60" w:after="60"/>
              <w:jc w:val="left"/>
              <w:rPr>
                <w:bCs/>
                <w:noProof/>
                <w:sz w:val="20"/>
                <w:szCs w:val="16"/>
              </w:rPr>
            </w:pPr>
            <w:r>
              <w:rPr>
                <w:bCs/>
                <w:noProof/>
                <w:sz w:val="20"/>
                <w:szCs w:val="16"/>
              </w:rPr>
              <w:t>Share of electricity costs in production costs (%)</w:t>
            </w:r>
          </w:p>
        </w:tc>
        <w:tc>
          <w:tcPr>
            <w:tcW w:w="653" w:type="pct"/>
            <w:shd w:val="clear" w:color="auto" w:fill="CEEBE6"/>
            <w:noWrap/>
            <w:vAlign w:val="center"/>
          </w:tcPr>
          <w:p>
            <w:pPr>
              <w:spacing w:before="60" w:after="60"/>
              <w:jc w:val="center"/>
              <w:rPr>
                <w:noProof/>
                <w:sz w:val="20"/>
                <w:szCs w:val="16"/>
              </w:rPr>
            </w:pPr>
            <w:r>
              <w:rPr>
                <w:noProof/>
                <w:sz w:val="20"/>
                <w:szCs w:val="16"/>
              </w:rPr>
              <w:t>0.8</w:t>
            </w:r>
          </w:p>
        </w:tc>
        <w:tc>
          <w:tcPr>
            <w:tcW w:w="653" w:type="pct"/>
            <w:shd w:val="clear" w:color="auto" w:fill="CEEBE6"/>
            <w:noWrap/>
            <w:vAlign w:val="center"/>
          </w:tcPr>
          <w:p>
            <w:pPr>
              <w:spacing w:before="60" w:after="60"/>
              <w:jc w:val="center"/>
              <w:rPr>
                <w:noProof/>
                <w:sz w:val="20"/>
                <w:szCs w:val="16"/>
              </w:rPr>
            </w:pPr>
            <w:r>
              <w:rPr>
                <w:noProof/>
                <w:sz w:val="20"/>
                <w:szCs w:val="16"/>
              </w:rPr>
              <w:t>0.8</w:t>
            </w:r>
          </w:p>
        </w:tc>
      </w:tr>
      <w:tr>
        <w:trPr>
          <w:trHeight w:val="244"/>
          <w:jc w:val="center"/>
        </w:trPr>
        <w:tc>
          <w:tcPr>
            <w:tcW w:w="3693" w:type="pct"/>
            <w:shd w:val="clear" w:color="auto" w:fill="auto"/>
            <w:noWrap/>
            <w:vAlign w:val="center"/>
          </w:tcPr>
          <w:p>
            <w:pPr>
              <w:spacing w:before="60" w:after="60"/>
              <w:jc w:val="left"/>
              <w:rPr>
                <w:bCs/>
                <w:noProof/>
                <w:sz w:val="20"/>
                <w:szCs w:val="16"/>
              </w:rPr>
            </w:pPr>
            <w:r>
              <w:rPr>
                <w:bCs/>
                <w:noProof/>
                <w:sz w:val="20"/>
                <w:szCs w:val="16"/>
              </w:rPr>
              <w:t>Share of natural gas costs in production costs (%)</w:t>
            </w:r>
          </w:p>
        </w:tc>
        <w:tc>
          <w:tcPr>
            <w:tcW w:w="653" w:type="pct"/>
            <w:shd w:val="clear" w:color="auto" w:fill="auto"/>
            <w:noWrap/>
            <w:vAlign w:val="center"/>
          </w:tcPr>
          <w:p>
            <w:pPr>
              <w:spacing w:before="60" w:after="60"/>
              <w:jc w:val="center"/>
              <w:rPr>
                <w:noProof/>
                <w:sz w:val="20"/>
                <w:szCs w:val="16"/>
              </w:rPr>
            </w:pPr>
            <w:r>
              <w:rPr>
                <w:noProof/>
                <w:sz w:val="20"/>
                <w:szCs w:val="16"/>
              </w:rPr>
              <w:t>1.1</w:t>
            </w:r>
          </w:p>
        </w:tc>
        <w:tc>
          <w:tcPr>
            <w:tcW w:w="653" w:type="pct"/>
            <w:shd w:val="clear" w:color="auto" w:fill="auto"/>
            <w:noWrap/>
            <w:vAlign w:val="center"/>
          </w:tcPr>
          <w:p>
            <w:pPr>
              <w:spacing w:before="60" w:after="60"/>
              <w:jc w:val="center"/>
              <w:rPr>
                <w:noProof/>
                <w:sz w:val="20"/>
                <w:szCs w:val="16"/>
              </w:rPr>
            </w:pPr>
            <w:r>
              <w:rPr>
                <w:noProof/>
                <w:sz w:val="20"/>
                <w:szCs w:val="16"/>
              </w:rPr>
              <w:t>1.1</w:t>
            </w:r>
          </w:p>
        </w:tc>
      </w:tr>
      <w:tr>
        <w:trPr>
          <w:trHeight w:val="244"/>
          <w:jc w:val="center"/>
        </w:trPr>
        <w:tc>
          <w:tcPr>
            <w:tcW w:w="3693" w:type="pct"/>
            <w:shd w:val="clear" w:color="auto" w:fill="CEEBE6"/>
            <w:noWrap/>
            <w:vAlign w:val="center"/>
          </w:tcPr>
          <w:p>
            <w:pPr>
              <w:spacing w:before="60" w:after="60"/>
              <w:jc w:val="left"/>
              <w:rPr>
                <w:bCs/>
                <w:noProof/>
                <w:sz w:val="20"/>
                <w:szCs w:val="16"/>
              </w:rPr>
            </w:pPr>
            <w:r>
              <w:rPr>
                <w:bCs/>
                <w:noProof/>
                <w:sz w:val="20"/>
                <w:szCs w:val="16"/>
              </w:rPr>
              <w:t>Share of other gases costs in production costs (%)</w:t>
            </w:r>
          </w:p>
        </w:tc>
        <w:tc>
          <w:tcPr>
            <w:tcW w:w="653" w:type="pct"/>
            <w:shd w:val="clear" w:color="auto" w:fill="CEEBE6"/>
            <w:noWrap/>
            <w:vAlign w:val="center"/>
          </w:tcPr>
          <w:p>
            <w:pPr>
              <w:spacing w:before="60" w:after="60"/>
              <w:jc w:val="center"/>
              <w:rPr>
                <w:noProof/>
                <w:sz w:val="20"/>
                <w:szCs w:val="16"/>
              </w:rPr>
            </w:pPr>
            <w:r>
              <w:rPr>
                <w:noProof/>
                <w:sz w:val="20"/>
                <w:szCs w:val="16"/>
              </w:rPr>
              <w:t>1.7</w:t>
            </w:r>
          </w:p>
        </w:tc>
        <w:tc>
          <w:tcPr>
            <w:tcW w:w="653" w:type="pct"/>
            <w:shd w:val="clear" w:color="auto" w:fill="CEEBE6"/>
            <w:noWrap/>
            <w:vAlign w:val="center"/>
          </w:tcPr>
          <w:p>
            <w:pPr>
              <w:spacing w:before="60" w:after="60"/>
              <w:jc w:val="center"/>
              <w:rPr>
                <w:noProof/>
                <w:sz w:val="20"/>
                <w:szCs w:val="16"/>
              </w:rPr>
            </w:pPr>
            <w:r>
              <w:rPr>
                <w:noProof/>
                <w:sz w:val="20"/>
                <w:szCs w:val="16"/>
              </w:rPr>
              <w:t>1.7</w:t>
            </w:r>
          </w:p>
        </w:tc>
      </w:tr>
      <w:tr>
        <w:trPr>
          <w:trHeight w:val="244"/>
          <w:jc w:val="center"/>
        </w:trPr>
        <w:tc>
          <w:tcPr>
            <w:tcW w:w="3693" w:type="pct"/>
            <w:shd w:val="clear" w:color="auto" w:fill="auto"/>
            <w:noWrap/>
            <w:vAlign w:val="center"/>
          </w:tcPr>
          <w:p>
            <w:pPr>
              <w:spacing w:before="60" w:after="60"/>
              <w:jc w:val="left"/>
              <w:rPr>
                <w:bCs/>
                <w:noProof/>
                <w:sz w:val="20"/>
                <w:szCs w:val="16"/>
              </w:rPr>
            </w:pPr>
            <w:r>
              <w:rPr>
                <w:bCs/>
                <w:noProof/>
                <w:sz w:val="20"/>
                <w:szCs w:val="16"/>
              </w:rPr>
              <w:t>Share of crude oil costs in production costs (%)</w:t>
            </w:r>
          </w:p>
        </w:tc>
        <w:tc>
          <w:tcPr>
            <w:tcW w:w="653" w:type="pct"/>
            <w:shd w:val="clear" w:color="auto" w:fill="auto"/>
            <w:noWrap/>
            <w:vAlign w:val="center"/>
          </w:tcPr>
          <w:p>
            <w:pPr>
              <w:spacing w:before="60" w:after="60"/>
              <w:jc w:val="center"/>
              <w:rPr>
                <w:noProof/>
                <w:sz w:val="20"/>
                <w:szCs w:val="16"/>
              </w:rPr>
            </w:pPr>
            <w:r>
              <w:rPr>
                <w:noProof/>
                <w:sz w:val="20"/>
                <w:szCs w:val="16"/>
              </w:rPr>
              <w:t>79.8</w:t>
            </w:r>
          </w:p>
        </w:tc>
        <w:tc>
          <w:tcPr>
            <w:tcW w:w="653" w:type="pct"/>
            <w:shd w:val="clear" w:color="auto" w:fill="auto"/>
            <w:noWrap/>
            <w:vAlign w:val="center"/>
          </w:tcPr>
          <w:p>
            <w:pPr>
              <w:spacing w:before="60" w:after="60"/>
              <w:jc w:val="center"/>
              <w:rPr>
                <w:noProof/>
                <w:sz w:val="20"/>
                <w:szCs w:val="16"/>
              </w:rPr>
            </w:pPr>
            <w:r>
              <w:rPr>
                <w:noProof/>
                <w:sz w:val="20"/>
                <w:szCs w:val="16"/>
              </w:rPr>
              <w:t>81.1</w:t>
            </w:r>
          </w:p>
        </w:tc>
      </w:tr>
      <w:tr>
        <w:trPr>
          <w:trHeight w:val="244"/>
          <w:jc w:val="center"/>
        </w:trPr>
        <w:tc>
          <w:tcPr>
            <w:tcW w:w="3693" w:type="pct"/>
            <w:shd w:val="clear" w:color="auto" w:fill="CEEBE6"/>
            <w:noWrap/>
            <w:vAlign w:val="center"/>
          </w:tcPr>
          <w:p>
            <w:pPr>
              <w:spacing w:before="60" w:after="60"/>
              <w:jc w:val="left"/>
              <w:rPr>
                <w:bCs/>
                <w:noProof/>
                <w:sz w:val="20"/>
                <w:szCs w:val="16"/>
              </w:rPr>
            </w:pPr>
            <w:r>
              <w:rPr>
                <w:bCs/>
                <w:noProof/>
                <w:sz w:val="20"/>
                <w:szCs w:val="16"/>
              </w:rPr>
              <w:t>Share of fuel oil costs in production costs (%)</w:t>
            </w:r>
          </w:p>
        </w:tc>
        <w:tc>
          <w:tcPr>
            <w:tcW w:w="653" w:type="pct"/>
            <w:shd w:val="clear" w:color="auto" w:fill="CEEBE6"/>
            <w:noWrap/>
            <w:vAlign w:val="center"/>
          </w:tcPr>
          <w:p>
            <w:pPr>
              <w:spacing w:before="60" w:after="60"/>
              <w:jc w:val="center"/>
              <w:rPr>
                <w:noProof/>
                <w:sz w:val="20"/>
                <w:szCs w:val="16"/>
              </w:rPr>
            </w:pPr>
            <w:r>
              <w:rPr>
                <w:noProof/>
                <w:sz w:val="20"/>
                <w:szCs w:val="16"/>
              </w:rPr>
              <w:t>0.5</w:t>
            </w:r>
          </w:p>
        </w:tc>
        <w:tc>
          <w:tcPr>
            <w:tcW w:w="653" w:type="pct"/>
            <w:shd w:val="clear" w:color="auto" w:fill="CEEBE6"/>
            <w:noWrap/>
            <w:vAlign w:val="center"/>
          </w:tcPr>
          <w:p>
            <w:pPr>
              <w:spacing w:before="60" w:after="60"/>
              <w:jc w:val="center"/>
              <w:rPr>
                <w:noProof/>
                <w:sz w:val="20"/>
                <w:szCs w:val="16"/>
              </w:rPr>
            </w:pPr>
            <w:r>
              <w:rPr>
                <w:noProof/>
                <w:sz w:val="20"/>
                <w:szCs w:val="16"/>
              </w:rPr>
              <w:t>0.5</w:t>
            </w:r>
          </w:p>
        </w:tc>
      </w:tr>
      <w:tr>
        <w:trPr>
          <w:trHeight w:val="244"/>
          <w:jc w:val="center"/>
        </w:trPr>
        <w:tc>
          <w:tcPr>
            <w:tcW w:w="3693" w:type="pct"/>
            <w:shd w:val="clear" w:color="auto" w:fill="auto"/>
            <w:noWrap/>
            <w:vAlign w:val="center"/>
          </w:tcPr>
          <w:p>
            <w:pPr>
              <w:spacing w:before="60" w:after="60"/>
              <w:jc w:val="left"/>
              <w:rPr>
                <w:bCs/>
                <w:noProof/>
                <w:sz w:val="20"/>
                <w:szCs w:val="16"/>
              </w:rPr>
            </w:pPr>
            <w:r>
              <w:rPr>
                <w:bCs/>
                <w:noProof/>
                <w:sz w:val="20"/>
                <w:szCs w:val="16"/>
              </w:rPr>
              <w:t>Share of petroleum coke costs in production costs (%)</w:t>
            </w:r>
          </w:p>
        </w:tc>
        <w:tc>
          <w:tcPr>
            <w:tcW w:w="653" w:type="pct"/>
            <w:shd w:val="clear" w:color="auto" w:fill="auto"/>
            <w:noWrap/>
            <w:vAlign w:val="center"/>
          </w:tcPr>
          <w:p>
            <w:pPr>
              <w:spacing w:before="60" w:after="60"/>
              <w:jc w:val="center"/>
              <w:rPr>
                <w:noProof/>
                <w:sz w:val="20"/>
                <w:szCs w:val="16"/>
              </w:rPr>
            </w:pPr>
            <w:r>
              <w:rPr>
                <w:noProof/>
                <w:sz w:val="20"/>
                <w:szCs w:val="16"/>
              </w:rPr>
              <w:t>0.5</w:t>
            </w:r>
          </w:p>
        </w:tc>
        <w:tc>
          <w:tcPr>
            <w:tcW w:w="653" w:type="pct"/>
            <w:shd w:val="clear" w:color="auto" w:fill="auto"/>
            <w:noWrap/>
            <w:vAlign w:val="center"/>
          </w:tcPr>
          <w:p>
            <w:pPr>
              <w:spacing w:before="60" w:after="60"/>
              <w:jc w:val="center"/>
              <w:rPr>
                <w:noProof/>
                <w:sz w:val="20"/>
                <w:szCs w:val="16"/>
              </w:rPr>
            </w:pPr>
            <w:r>
              <w:rPr>
                <w:noProof/>
                <w:sz w:val="20"/>
                <w:szCs w:val="16"/>
              </w:rPr>
              <w:t>0.5</w:t>
            </w:r>
          </w:p>
        </w:tc>
      </w:tr>
      <w:tr>
        <w:trPr>
          <w:trHeight w:val="244"/>
          <w:jc w:val="center"/>
        </w:trPr>
        <w:tc>
          <w:tcPr>
            <w:tcW w:w="3693" w:type="pct"/>
            <w:shd w:val="clear" w:color="auto" w:fill="CEEBE6"/>
            <w:noWrap/>
            <w:vAlign w:val="center"/>
          </w:tcPr>
          <w:p>
            <w:pPr>
              <w:spacing w:before="60" w:after="60"/>
              <w:jc w:val="left"/>
              <w:rPr>
                <w:bCs/>
                <w:noProof/>
                <w:sz w:val="20"/>
                <w:szCs w:val="16"/>
              </w:rPr>
            </w:pPr>
            <w:r>
              <w:rPr>
                <w:bCs/>
                <w:noProof/>
                <w:sz w:val="20"/>
                <w:szCs w:val="16"/>
              </w:rPr>
              <w:t>Share of total energy costs in production costs (%)</w:t>
            </w:r>
          </w:p>
        </w:tc>
        <w:tc>
          <w:tcPr>
            <w:tcW w:w="653" w:type="pct"/>
            <w:shd w:val="clear" w:color="auto" w:fill="CEEBE6"/>
            <w:noWrap/>
            <w:vAlign w:val="center"/>
          </w:tcPr>
          <w:p>
            <w:pPr>
              <w:spacing w:before="60" w:after="60"/>
              <w:jc w:val="center"/>
              <w:rPr>
                <w:noProof/>
                <w:sz w:val="20"/>
                <w:szCs w:val="16"/>
              </w:rPr>
            </w:pPr>
            <w:r>
              <w:rPr>
                <w:noProof/>
                <w:sz w:val="20"/>
                <w:szCs w:val="16"/>
              </w:rPr>
              <w:t>84.4</w:t>
            </w:r>
          </w:p>
        </w:tc>
        <w:tc>
          <w:tcPr>
            <w:tcW w:w="653" w:type="pct"/>
            <w:shd w:val="clear" w:color="auto" w:fill="CEEBE6"/>
            <w:noWrap/>
            <w:vAlign w:val="center"/>
          </w:tcPr>
          <w:p>
            <w:pPr>
              <w:spacing w:before="60" w:after="60"/>
              <w:jc w:val="center"/>
              <w:rPr>
                <w:noProof/>
                <w:sz w:val="20"/>
                <w:szCs w:val="16"/>
              </w:rPr>
            </w:pPr>
            <w:r>
              <w:rPr>
                <w:noProof/>
                <w:sz w:val="20"/>
                <w:szCs w:val="16"/>
              </w:rPr>
              <w:t>85.6</w:t>
            </w:r>
          </w:p>
        </w:tc>
      </w:tr>
      <w:tr>
        <w:trPr>
          <w:trHeight w:val="244"/>
          <w:jc w:val="center"/>
        </w:trPr>
        <w:tc>
          <w:tcPr>
            <w:tcW w:w="3693" w:type="pct"/>
            <w:shd w:val="clear" w:color="auto" w:fill="auto"/>
            <w:noWrap/>
            <w:vAlign w:val="center"/>
          </w:tcPr>
          <w:p>
            <w:pPr>
              <w:spacing w:before="60" w:after="60"/>
              <w:jc w:val="left"/>
              <w:rPr>
                <w:bCs/>
                <w:noProof/>
                <w:sz w:val="20"/>
                <w:szCs w:val="16"/>
              </w:rPr>
            </w:pPr>
            <w:r>
              <w:rPr>
                <w:bCs/>
                <w:noProof/>
                <w:sz w:val="20"/>
                <w:szCs w:val="16"/>
              </w:rPr>
              <w:t>Total energy costs (€/tonne)</w:t>
            </w:r>
          </w:p>
        </w:tc>
        <w:tc>
          <w:tcPr>
            <w:tcW w:w="653" w:type="pct"/>
            <w:shd w:val="clear" w:color="auto" w:fill="auto"/>
            <w:noWrap/>
            <w:vAlign w:val="center"/>
          </w:tcPr>
          <w:p>
            <w:pPr>
              <w:spacing w:before="60" w:after="60"/>
              <w:jc w:val="center"/>
              <w:rPr>
                <w:noProof/>
                <w:sz w:val="20"/>
                <w:szCs w:val="16"/>
              </w:rPr>
            </w:pPr>
            <w:r>
              <w:rPr>
                <w:noProof/>
                <w:sz w:val="20"/>
                <w:szCs w:val="16"/>
              </w:rPr>
              <w:t>343.9</w:t>
            </w:r>
          </w:p>
        </w:tc>
        <w:tc>
          <w:tcPr>
            <w:tcW w:w="653" w:type="pct"/>
            <w:shd w:val="clear" w:color="auto" w:fill="auto"/>
            <w:noWrap/>
            <w:vAlign w:val="center"/>
          </w:tcPr>
          <w:p>
            <w:pPr>
              <w:spacing w:before="60" w:after="60"/>
              <w:jc w:val="center"/>
              <w:rPr>
                <w:noProof/>
                <w:sz w:val="20"/>
                <w:szCs w:val="16"/>
              </w:rPr>
            </w:pPr>
            <w:r>
              <w:rPr>
                <w:noProof/>
                <w:sz w:val="20"/>
                <w:szCs w:val="16"/>
              </w:rPr>
              <w:t>409.8</w:t>
            </w:r>
          </w:p>
        </w:tc>
      </w:tr>
      <w:tr>
        <w:trPr>
          <w:trHeight w:val="244"/>
          <w:jc w:val="center"/>
        </w:trPr>
        <w:tc>
          <w:tcPr>
            <w:tcW w:w="3693" w:type="pct"/>
            <w:shd w:val="clear" w:color="auto" w:fill="CEEBE6"/>
            <w:noWrap/>
            <w:vAlign w:val="center"/>
          </w:tcPr>
          <w:p>
            <w:pPr>
              <w:spacing w:before="60" w:after="60"/>
              <w:jc w:val="left"/>
              <w:rPr>
                <w:b/>
                <w:bCs/>
                <w:noProof/>
                <w:sz w:val="20"/>
                <w:szCs w:val="16"/>
              </w:rPr>
            </w:pPr>
            <w:r>
              <w:rPr>
                <w:bCs/>
                <w:noProof/>
                <w:sz w:val="20"/>
                <w:szCs w:val="16"/>
              </w:rPr>
              <w:t>EBITDA (€/tonne)</w:t>
            </w:r>
          </w:p>
        </w:tc>
        <w:tc>
          <w:tcPr>
            <w:tcW w:w="653" w:type="pct"/>
            <w:shd w:val="clear" w:color="auto" w:fill="CEEBE6"/>
            <w:noWrap/>
            <w:vAlign w:val="center"/>
          </w:tcPr>
          <w:p>
            <w:pPr>
              <w:spacing w:before="60" w:after="60"/>
              <w:jc w:val="center"/>
              <w:rPr>
                <w:noProof/>
                <w:sz w:val="20"/>
                <w:szCs w:val="16"/>
              </w:rPr>
            </w:pPr>
            <w:r>
              <w:rPr>
                <w:noProof/>
                <w:sz w:val="20"/>
                <w:szCs w:val="16"/>
              </w:rPr>
              <w:t>36.9</w:t>
            </w:r>
          </w:p>
        </w:tc>
        <w:tc>
          <w:tcPr>
            <w:tcW w:w="653" w:type="pct"/>
            <w:shd w:val="clear" w:color="auto" w:fill="CEEBE6"/>
            <w:noWrap/>
            <w:vAlign w:val="center"/>
          </w:tcPr>
          <w:p>
            <w:pPr>
              <w:spacing w:before="60" w:after="60"/>
              <w:jc w:val="center"/>
              <w:rPr>
                <w:noProof/>
                <w:sz w:val="20"/>
                <w:szCs w:val="16"/>
              </w:rPr>
            </w:pPr>
            <w:r>
              <w:rPr>
                <w:noProof/>
                <w:sz w:val="20"/>
                <w:szCs w:val="16"/>
              </w:rPr>
              <w:t>44.2</w:t>
            </w:r>
          </w:p>
        </w:tc>
      </w:tr>
      <w:tr>
        <w:trPr>
          <w:trHeight w:val="244"/>
          <w:jc w:val="center"/>
        </w:trPr>
        <w:tc>
          <w:tcPr>
            <w:tcW w:w="3693" w:type="pct"/>
            <w:shd w:val="clear" w:color="auto" w:fill="auto"/>
            <w:noWrap/>
            <w:vAlign w:val="center"/>
          </w:tcPr>
          <w:p>
            <w:pPr>
              <w:keepNext/>
              <w:spacing w:before="60" w:after="60"/>
              <w:jc w:val="left"/>
              <w:rPr>
                <w:bCs/>
                <w:noProof/>
                <w:sz w:val="20"/>
                <w:szCs w:val="16"/>
              </w:rPr>
            </w:pPr>
            <w:r>
              <w:rPr>
                <w:noProof/>
                <w:sz w:val="20"/>
              </w:rPr>
              <w:t>Ratio of total energy costs to EBITDA</w:t>
            </w:r>
          </w:p>
        </w:tc>
        <w:tc>
          <w:tcPr>
            <w:tcW w:w="653" w:type="pct"/>
            <w:shd w:val="clear" w:color="auto" w:fill="auto"/>
            <w:noWrap/>
            <w:vAlign w:val="center"/>
          </w:tcPr>
          <w:p>
            <w:pPr>
              <w:spacing w:before="60" w:after="60"/>
              <w:jc w:val="center"/>
              <w:rPr>
                <w:noProof/>
                <w:sz w:val="20"/>
                <w:szCs w:val="16"/>
              </w:rPr>
            </w:pPr>
            <w:r>
              <w:rPr>
                <w:noProof/>
                <w:sz w:val="20"/>
                <w:szCs w:val="16"/>
              </w:rPr>
              <w:t>9.3</w:t>
            </w:r>
          </w:p>
        </w:tc>
        <w:tc>
          <w:tcPr>
            <w:tcW w:w="653" w:type="pct"/>
            <w:shd w:val="clear" w:color="auto" w:fill="auto"/>
            <w:noWrap/>
            <w:vAlign w:val="center"/>
          </w:tcPr>
          <w:p>
            <w:pPr>
              <w:spacing w:before="60" w:after="60"/>
              <w:jc w:val="center"/>
              <w:rPr>
                <w:noProof/>
                <w:sz w:val="20"/>
                <w:szCs w:val="16"/>
              </w:rPr>
            </w:pPr>
            <w:r>
              <w:rPr>
                <w:noProof/>
                <w:sz w:val="20"/>
                <w:szCs w:val="16"/>
              </w:rPr>
              <w:t>9.3</w:t>
            </w:r>
          </w:p>
        </w:tc>
      </w:tr>
    </w:tbl>
    <w:p>
      <w:pPr>
        <w:pStyle w:val="Sources"/>
        <w:tabs>
          <w:tab w:val="left" w:pos="1418"/>
        </w:tabs>
        <w:rPr>
          <w:noProof/>
        </w:rPr>
      </w:pPr>
      <w:r>
        <w:rPr>
          <w:noProof/>
        </w:rPr>
        <w:tab/>
        <w:t>Source: CEPS/Ecofys.</w:t>
      </w:r>
    </w:p>
    <w:p>
      <w:pPr>
        <w:rPr>
          <w:noProof/>
          <w:lang w:eastAsia="it-IT"/>
        </w:rPr>
      </w:pPr>
    </w:p>
    <w:p>
      <w:pPr>
        <w:pStyle w:val="Caption"/>
        <w:rPr>
          <w:rFonts w:eastAsia="Times New Roman"/>
          <w:color w:val="000000"/>
        </w:rPr>
      </w:pPr>
      <w:bookmarkStart w:id="720" w:name="_Ref524539578"/>
      <w:bookmarkStart w:id="721" w:name="_Toc526433932"/>
      <w:bookmarkStart w:id="722" w:name="_Toc526435874"/>
      <w:bookmarkStart w:id="723" w:name="_Toc527544755"/>
      <w:bookmarkStart w:id="724" w:name="_Toc530741793"/>
      <w:r>
        <w:t xml:space="preserve">Figure </w:t>
      </w:r>
      <w:r>
        <w:fldChar w:fldCharType="begin"/>
      </w:r>
      <w:r>
        <w:instrText xml:space="preserve"> SEQ Figure \* ARABIC </w:instrText>
      </w:r>
      <w:r>
        <w:fldChar w:fldCharType="separate"/>
      </w:r>
      <w:r>
        <w:t>100</w:t>
      </w:r>
      <w:r>
        <w:fldChar w:fldCharType="end"/>
      </w:r>
      <w:bookmarkEnd w:id="720"/>
      <w:r>
        <w:t xml:space="preserve">. </w:t>
      </w:r>
      <w:r>
        <w:rPr>
          <w:rFonts w:eastAsia="Times New Roman"/>
          <w:color w:val="000000"/>
        </w:rPr>
        <w:t xml:space="preserve">Energy costs versus EBITDA </w:t>
      </w:r>
      <w:r>
        <w:t>of refineries</w:t>
      </w:r>
      <w:r>
        <w:rPr>
          <w:rFonts w:eastAsia="Times New Roman"/>
          <w:color w:val="000000"/>
        </w:rPr>
        <w:t xml:space="preserve"> (€/tonne)</w:t>
      </w:r>
      <w:bookmarkEnd w:id="721"/>
      <w:bookmarkEnd w:id="722"/>
      <w:bookmarkEnd w:id="723"/>
      <w:bookmarkEnd w:id="724"/>
    </w:p>
    <w:p>
      <w:pPr>
        <w:pStyle w:val="Sources"/>
        <w:keepNext/>
        <w:rPr>
          <w:noProof/>
        </w:rPr>
      </w:pPr>
      <w:r>
        <w:rPr>
          <w:noProof/>
          <w:lang w:eastAsia="en-GB"/>
        </w:rPr>
        <w:drawing>
          <wp:inline distT="0" distB="0" distL="0" distR="0">
            <wp:extent cx="5759450" cy="353706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59450" cy="3537060"/>
                    </a:xfrm>
                    <a:prstGeom prst="rect">
                      <a:avLst/>
                    </a:prstGeom>
                    <a:noFill/>
                    <a:ln>
                      <a:noFill/>
                    </a:ln>
                  </pic:spPr>
                </pic:pic>
              </a:graphicData>
            </a:graphic>
          </wp:inline>
        </w:drawing>
      </w:r>
    </w:p>
    <w:p>
      <w:pPr>
        <w:pStyle w:val="Sources"/>
        <w:tabs>
          <w:tab w:val="left" w:pos="142"/>
        </w:tabs>
        <w:rPr>
          <w:noProof/>
        </w:rPr>
      </w:pPr>
      <w:r>
        <w:rPr>
          <w:noProof/>
        </w:rPr>
        <w:tab/>
        <w:t>Source: CEPS/Ecofys.</w:t>
      </w:r>
    </w:p>
    <w:p>
      <w:pPr>
        <w:rPr>
          <w:noProof/>
        </w:rPr>
      </w:pPr>
    </w:p>
    <w:sectPr>
      <w:headerReference w:type="even" r:id="rId119"/>
      <w:headerReference w:type="default" r:id="rId120"/>
      <w:footerReference w:type="even" r:id="rId121"/>
      <w:footerReference w:type="default" r:id="rId122"/>
      <w:headerReference w:type="first" r:id="rId123"/>
      <w:footerReference w:type="first" r:id="rId124"/>
      <w:pgSz w:w="11906" w:h="16838" w:code="9"/>
      <w:pgMar w:top="1134" w:right="1418" w:bottom="1134"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3022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w:t>
      </w:r>
      <w:r>
        <w:tab/>
        <w:t>Note that the estimates for this statistical indicator are generally not reported in this annex but they are all available in the CEPS and Ecofys study.</w:t>
      </w:r>
    </w:p>
  </w:footnote>
  <w:footnote w:id="3">
    <w:p>
      <w:pPr>
        <w:pStyle w:val="FootnoteText"/>
      </w:pPr>
      <w:r>
        <w:rPr>
          <w:rStyle w:val="FootnoteReference"/>
        </w:rPr>
        <w:footnoteRef/>
      </w:r>
      <w:r>
        <w:t xml:space="preserve"> </w:t>
      </w:r>
      <w:r>
        <w:tab/>
        <w:t>The construction of a '</w:t>
      </w:r>
      <w:r>
        <w:rPr>
          <w:szCs w:val="24"/>
        </w:rPr>
        <w:t>statistically representative' plant sample per sector was not feasible due to the constraints of the study. Instead, a sample of typical plants with a broad geographical coverage and which represents at least 10% of the sectoral turnover or production capacity was built for each sector. Result findings were further cross-checked through stakeholder consultation and secondary data validation.</w:t>
      </w:r>
    </w:p>
  </w:footnote>
  <w:footnote w:id="4">
    <w:p>
      <w:pPr>
        <w:pStyle w:val="FootnoteText"/>
      </w:pPr>
      <w:r>
        <w:rPr>
          <w:rStyle w:val="FootnoteReference"/>
        </w:rPr>
        <w:footnoteRef/>
      </w:r>
      <w:r>
        <w:t xml:space="preserve"> </w:t>
      </w:r>
      <w:r>
        <w:tab/>
        <w:t xml:space="preserve">For a given year, in a given sector, </w:t>
      </w:r>
      <w:r>
        <w:rPr>
          <w:lang w:eastAsia="de-DE"/>
        </w:rPr>
        <w:t>it may happen that data cannot be showed for confidentiality reasons.</w:t>
      </w:r>
    </w:p>
  </w:footnote>
  <w:footnote w:id="5">
    <w:p>
      <w:pPr>
        <w:pStyle w:val="FootnoteText"/>
      </w:pPr>
      <w:r>
        <w:rPr>
          <w:rStyle w:val="FootnoteReference"/>
        </w:rPr>
        <w:footnoteRef/>
      </w:r>
      <w:r>
        <w:t xml:space="preserve"> </w:t>
      </w:r>
      <w:r>
        <w:tab/>
        <w:t>CEPS et al. (2016). Composition and drivers of energy prices and costs: Case studies in selected energy-intensive industries.</w:t>
      </w:r>
    </w:p>
  </w:footnote>
  <w:footnote w:id="6">
    <w:p>
      <w:pPr>
        <w:pStyle w:val="FootnoteText"/>
      </w:pPr>
      <w:r>
        <w:rPr>
          <w:rStyle w:val="FootnoteReference"/>
        </w:rPr>
        <w:footnoteRef/>
      </w:r>
      <w:r>
        <w:t xml:space="preserve"> </w:t>
      </w:r>
      <w:r>
        <w:tab/>
        <w:t>CEPS and Ecofys (2018). Study on composition and drivers of energy prices and costs: case studies in selected energy intensive industries – 2018.</w:t>
      </w:r>
    </w:p>
  </w:footnote>
  <w:footnote w:id="7">
    <w:p>
      <w:pPr>
        <w:pStyle w:val="FootnoteText"/>
      </w:pPr>
      <w:r>
        <w:rPr>
          <w:rStyle w:val="FootnoteReference"/>
        </w:rPr>
        <w:footnoteRef/>
      </w:r>
      <w:r>
        <w:t xml:space="preserve"> </w:t>
      </w:r>
      <w:r>
        <w:tab/>
        <w:t>This ratio includes both operational and capital costs. It would be bigger if only operational productions costs were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EE222A"/>
    <w:lvl w:ilvl="0">
      <w:start w:val="1"/>
      <w:numFmt w:val="decimal"/>
      <w:lvlText w:val="%1."/>
      <w:lvlJc w:val="left"/>
      <w:pPr>
        <w:tabs>
          <w:tab w:val="num" w:pos="1492"/>
        </w:tabs>
        <w:ind w:left="1492" w:hanging="360"/>
      </w:pPr>
    </w:lvl>
  </w:abstractNum>
  <w:abstractNum w:abstractNumId="1">
    <w:nsid w:val="FFFFFF7D"/>
    <w:multiLevelType w:val="singleLevel"/>
    <w:tmpl w:val="29AE7AC4"/>
    <w:lvl w:ilvl="0">
      <w:start w:val="1"/>
      <w:numFmt w:val="decimal"/>
      <w:lvlText w:val="%1."/>
      <w:lvlJc w:val="left"/>
      <w:pPr>
        <w:tabs>
          <w:tab w:val="num" w:pos="1209"/>
        </w:tabs>
        <w:ind w:left="1209" w:hanging="360"/>
      </w:pPr>
    </w:lvl>
  </w:abstractNum>
  <w:abstractNum w:abstractNumId="2">
    <w:nsid w:val="FFFFFF7E"/>
    <w:multiLevelType w:val="singleLevel"/>
    <w:tmpl w:val="26645250"/>
    <w:lvl w:ilvl="0">
      <w:start w:val="1"/>
      <w:numFmt w:val="decimal"/>
      <w:lvlText w:val="%1."/>
      <w:lvlJc w:val="left"/>
      <w:pPr>
        <w:tabs>
          <w:tab w:val="num" w:pos="926"/>
        </w:tabs>
        <w:ind w:left="926" w:hanging="360"/>
      </w:pPr>
    </w:lvl>
  </w:abstractNum>
  <w:abstractNum w:abstractNumId="3">
    <w:nsid w:val="FFFFFF7F"/>
    <w:multiLevelType w:val="singleLevel"/>
    <w:tmpl w:val="C576BFF6"/>
    <w:lvl w:ilvl="0">
      <w:start w:val="1"/>
      <w:numFmt w:val="decimal"/>
      <w:lvlText w:val="%1."/>
      <w:lvlJc w:val="left"/>
      <w:pPr>
        <w:tabs>
          <w:tab w:val="num" w:pos="643"/>
        </w:tabs>
        <w:ind w:left="643" w:hanging="360"/>
      </w:pPr>
    </w:lvl>
  </w:abstractNum>
  <w:abstractNum w:abstractNumId="4">
    <w:nsid w:val="FFFFFF81"/>
    <w:multiLevelType w:val="singleLevel"/>
    <w:tmpl w:val="2676E5B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6">
    <w:nsid w:val="FFFFFF83"/>
    <w:multiLevelType w:val="singleLevel"/>
    <w:tmpl w:val="C004E3F6"/>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4912BA3A"/>
    <w:lvl w:ilvl="0">
      <w:start w:val="1"/>
      <w:numFmt w:val="decimal"/>
      <w:lvlText w:val="%1."/>
      <w:lvlJc w:val="left"/>
      <w:pPr>
        <w:tabs>
          <w:tab w:val="num" w:pos="360"/>
        </w:tabs>
        <w:ind w:left="360" w:hanging="360"/>
      </w:pPr>
    </w:lvl>
  </w:abstractNum>
  <w:abstractNum w:abstractNumId="8">
    <w:nsid w:val="21783D8D"/>
    <w:multiLevelType w:val="multilevel"/>
    <w:tmpl w:val="55DA1D9E"/>
    <w:lvl w:ilvl="0">
      <w:start w:val="1"/>
      <w:numFmt w:val="decimal"/>
      <w:pStyle w:val="Heading1"/>
      <w:lvlText w:val="%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02658C8"/>
    <w:multiLevelType w:val="multilevel"/>
    <w:tmpl w:val="6ED42B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EB43EE9"/>
    <w:multiLevelType w:val="multilevel"/>
    <w:tmpl w:val="3EE8AD30"/>
    <w:numStyleLink w:val="Style1"/>
  </w:abstractNum>
  <w:abstractNum w:abstractNumId="12">
    <w:nsid w:val="4B46037D"/>
    <w:multiLevelType w:val="hybridMultilevel"/>
    <w:tmpl w:val="6FE4E828"/>
    <w:lvl w:ilvl="0" w:tplc="69C8A758">
      <w:numFmt w:val="bullet"/>
      <w:lvlText w:val=""/>
      <w:lvlJc w:val="left"/>
      <w:pPr>
        <w:ind w:left="108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5"/>
  </w:num>
  <w:num w:numId="2">
    <w:abstractNumId w:val="12"/>
  </w:num>
  <w:num w:numId="3">
    <w:abstractNumId w:val="8"/>
  </w:num>
  <w:num w:numId="4">
    <w:abstractNumId w:val="10"/>
  </w:num>
  <w:num w:numId="5">
    <w:abstractNumId w:val="11"/>
  </w:num>
  <w:num w:numId="6">
    <w:abstractNumId w:val="1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7"/>
  </w:num>
  <w:num w:numId="14">
    <w:abstractNumId w:val="3"/>
  </w:num>
  <w:num w:numId="15">
    <w:abstractNumId w:val="2"/>
  </w:num>
  <w:num w:numId="16">
    <w:abstractNumId w:val="1"/>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revisionView w:markup="0"/>
  <w:defaultTabStop w:val="720"/>
  <w:characterSpacingControl w:val="doNotCompress"/>
  <w:hdrShapeDefaults>
    <o:shapedefaults v:ext="edit" spidmax="2027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61E3D09-20B7-43A1-AC09-C63B831689C7"/>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6"/>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7"/>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3"/>
      </w:numPr>
      <w:spacing w:before="200"/>
      <w:outlineLvl w:val="2"/>
    </w:pPr>
    <w:rPr>
      <w:rFonts w:eastAsia="Times New Roman"/>
      <w:b/>
      <w:bCs/>
      <w:color w:val="000000"/>
      <w:sz w:val="32"/>
      <w:szCs w:val="32"/>
      <w:lang w:eastAsia="en-GB"/>
    </w:rPr>
  </w:style>
  <w:style w:type="paragraph" w:styleId="Heading4">
    <w:name w:val="heading 4"/>
    <w:basedOn w:val="Normal"/>
    <w:next w:val="Normal"/>
    <w:link w:val="Heading4Char"/>
    <w:uiPriority w:val="9"/>
    <w:unhideWhenUsed/>
    <w:qFormat/>
    <w:pPr>
      <w:keepNext/>
      <w:keepLines/>
      <w:numPr>
        <w:ilvl w:val="3"/>
        <w:numId w:val="3"/>
      </w:numPr>
      <w:spacing w:before="200"/>
      <w:ind w:left="862" w:hanging="862"/>
      <w:outlineLvl w:val="3"/>
    </w:pPr>
    <w:rPr>
      <w:rFonts w:eastAsia="Times New Roman"/>
      <w:b/>
      <w:bCs/>
      <w:iCs/>
      <w:color w:val="000000"/>
      <w:sz w:val="32"/>
      <w:szCs w:val="32"/>
      <w:lang w:eastAsia="en-GB"/>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7"/>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7"/>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7"/>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7"/>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rPr>
  </w:style>
  <w:style w:type="character" w:customStyle="1" w:styleId="Heading4Char">
    <w:name w:val="Heading 4 Char"/>
    <w:link w:val="Heading4"/>
    <w:uiPriority w:val="9"/>
    <w:rPr>
      <w:rFonts w:ascii="Times New Roman" w:eastAsia="Times New Roman" w:hAnsi="Times New Roman"/>
      <w:b/>
      <w:bCs/>
      <w:iCs/>
      <w:color w:val="000000"/>
      <w:sz w:val="32"/>
      <w:szCs w:val="32"/>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imes New Roman Bold" w:hAnsi="Times New Roman Bold" w:cstheme="minorHAnsi"/>
      <w:b/>
      <w:bCs/>
      <w:caps/>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cstheme="minorHAnsi"/>
      <w:smallCaps/>
      <w:noProof/>
      <w:szCs w:val="20"/>
    </w:rPr>
  </w:style>
  <w:style w:type="paragraph" w:styleId="TOC3">
    <w:name w:val="toc 3"/>
    <w:basedOn w:val="Normal"/>
    <w:next w:val="Normal"/>
    <w:autoRedefine/>
    <w:uiPriority w:val="39"/>
    <w:unhideWhenUsed/>
    <w:qFormat/>
    <w:pPr>
      <w:spacing w:after="0"/>
      <w:ind w:left="440"/>
      <w:jc w:val="left"/>
    </w:pPr>
    <w:rPr>
      <w:rFonts w:cstheme="minorHAnsi"/>
      <w:i/>
      <w:iCs/>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qFormat/>
    <w:pPr>
      <w:spacing w:after="0"/>
      <w:ind w:left="170" w:hanging="17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1"/>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i/>
      <w:iCs/>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pPr>
      <w:spacing w:before="60"/>
    </w:pPr>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4"/>
      </w:numPr>
    </w:pPr>
  </w:style>
  <w:style w:type="numbering" w:customStyle="1" w:styleId="Style2">
    <w:name w:val="Style2"/>
    <w:uiPriority w:val="99"/>
    <w:pPr>
      <w:numPr>
        <w:numId w:val="6"/>
      </w:numPr>
    </w:pPr>
  </w:style>
  <w:style w:type="paragraph" w:customStyle="1" w:styleId="broodtekst">
    <w:name w:val="broodtekst"/>
    <w:basedOn w:val="Normal"/>
    <w:link w:val="broodtekstChar"/>
    <w:uiPriority w:val="99"/>
    <w:pPr>
      <w:keepNext/>
      <w:numPr>
        <w:numId w:val="5"/>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7"/>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3"/>
      </w:numPr>
      <w:spacing w:before="200"/>
      <w:outlineLvl w:val="2"/>
    </w:pPr>
    <w:rPr>
      <w:rFonts w:eastAsia="Times New Roman"/>
      <w:b/>
      <w:bCs/>
      <w:color w:val="000000"/>
      <w:sz w:val="32"/>
      <w:szCs w:val="32"/>
      <w:lang w:eastAsia="en-GB"/>
    </w:rPr>
  </w:style>
  <w:style w:type="paragraph" w:styleId="Heading4">
    <w:name w:val="heading 4"/>
    <w:basedOn w:val="Normal"/>
    <w:next w:val="Normal"/>
    <w:link w:val="Heading4Char"/>
    <w:uiPriority w:val="9"/>
    <w:unhideWhenUsed/>
    <w:qFormat/>
    <w:pPr>
      <w:keepNext/>
      <w:keepLines/>
      <w:numPr>
        <w:ilvl w:val="3"/>
        <w:numId w:val="3"/>
      </w:numPr>
      <w:spacing w:before="200"/>
      <w:ind w:left="862" w:hanging="862"/>
      <w:outlineLvl w:val="3"/>
    </w:pPr>
    <w:rPr>
      <w:rFonts w:eastAsia="Times New Roman"/>
      <w:b/>
      <w:bCs/>
      <w:iCs/>
      <w:color w:val="000000"/>
      <w:sz w:val="32"/>
      <w:szCs w:val="32"/>
      <w:lang w:eastAsia="en-GB"/>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7"/>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7"/>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7"/>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7"/>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rPr>
  </w:style>
  <w:style w:type="character" w:customStyle="1" w:styleId="Heading4Char">
    <w:name w:val="Heading 4 Char"/>
    <w:link w:val="Heading4"/>
    <w:uiPriority w:val="9"/>
    <w:rPr>
      <w:rFonts w:ascii="Times New Roman" w:eastAsia="Times New Roman" w:hAnsi="Times New Roman"/>
      <w:b/>
      <w:bCs/>
      <w:iCs/>
      <w:color w:val="000000"/>
      <w:sz w:val="32"/>
      <w:szCs w:val="32"/>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imes New Roman Bold" w:hAnsi="Times New Roman Bold" w:cstheme="minorHAnsi"/>
      <w:b/>
      <w:bCs/>
      <w:caps/>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cstheme="minorHAnsi"/>
      <w:smallCaps/>
      <w:noProof/>
      <w:szCs w:val="20"/>
    </w:rPr>
  </w:style>
  <w:style w:type="paragraph" w:styleId="TOC3">
    <w:name w:val="toc 3"/>
    <w:basedOn w:val="Normal"/>
    <w:next w:val="Normal"/>
    <w:autoRedefine/>
    <w:uiPriority w:val="39"/>
    <w:unhideWhenUsed/>
    <w:qFormat/>
    <w:pPr>
      <w:spacing w:after="0"/>
      <w:ind w:left="440"/>
      <w:jc w:val="left"/>
    </w:pPr>
    <w:rPr>
      <w:rFonts w:cstheme="minorHAnsi"/>
      <w:i/>
      <w:iCs/>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qFormat/>
    <w:pPr>
      <w:spacing w:after="0"/>
      <w:ind w:left="170" w:hanging="17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1"/>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i/>
      <w:iCs/>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pPr>
      <w:spacing w:before="60"/>
    </w:pPr>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4"/>
      </w:numPr>
    </w:pPr>
  </w:style>
  <w:style w:type="numbering" w:customStyle="1" w:styleId="Style2">
    <w:name w:val="Style2"/>
    <w:uiPriority w:val="99"/>
    <w:pPr>
      <w:numPr>
        <w:numId w:val="6"/>
      </w:numPr>
    </w:pPr>
  </w:style>
  <w:style w:type="paragraph" w:customStyle="1" w:styleId="broodtekst">
    <w:name w:val="broodtekst"/>
    <w:basedOn w:val="Normal"/>
    <w:link w:val="broodtekstChar"/>
    <w:uiPriority w:val="99"/>
    <w:pPr>
      <w:keepNext/>
      <w:numPr>
        <w:numId w:val="5"/>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54484951">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image" Target="media/image95.png"/><Relationship Id="rId16" Type="http://schemas.openxmlformats.org/officeDocument/2006/relationships/footer" Target="footer2.xml"/><Relationship Id="rId107" Type="http://schemas.openxmlformats.org/officeDocument/2006/relationships/image" Target="media/image90.emf"/><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emf"/><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emf"/><Relationship Id="rId118" Type="http://schemas.openxmlformats.org/officeDocument/2006/relationships/image" Target="media/image101.emf"/><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emf"/><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emf"/><Relationship Id="rId116" Type="http://schemas.openxmlformats.org/officeDocument/2006/relationships/image" Target="media/image99.png"/><Relationship Id="rId124" Type="http://schemas.openxmlformats.org/officeDocument/2006/relationships/footer" Target="footer6.xml"/><Relationship Id="rId20" Type="http://schemas.openxmlformats.org/officeDocument/2006/relationships/image" Target="media/image3.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chart" Target="charts/chart1.xml"/><Relationship Id="rId86" Type="http://schemas.openxmlformats.org/officeDocument/2006/relationships/image" Target="media/image69.emf"/><Relationship Id="rId94" Type="http://schemas.openxmlformats.org/officeDocument/2006/relationships/image" Target="media/image77.png"/><Relationship Id="rId99" Type="http://schemas.openxmlformats.org/officeDocument/2006/relationships/image" Target="media/image82.emf"/><Relationship Id="rId101" Type="http://schemas.openxmlformats.org/officeDocument/2006/relationships/image" Target="media/image84.png"/><Relationship Id="rId12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emf"/><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emf"/><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emf"/><Relationship Id="rId120" Type="http://schemas.openxmlformats.org/officeDocument/2006/relationships/header" Target="header5.xml"/><Relationship Id="rId125"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4.emf"/><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[Glass Tableware Visualization Tool 2.1.xlsx]Compenent Breakdown!PivotTable6</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s>
    <c:plotArea>
      <c:layout/>
      <c:barChart>
        <c:barDir val="col"/>
        <c:grouping val="percentStacked"/>
        <c:varyColors val="0"/>
        <c:ser>
          <c:idx val="0"/>
          <c:order val="0"/>
          <c:tx>
            <c:strRef>
              <c:f>'Compenent Breakdown'!$B$30</c:f>
              <c:strCache>
                <c:ptCount val="1"/>
                <c:pt idx="0">
                  <c:v>Average of Electricity energy component</c:v>
                </c:pt>
              </c:strCache>
            </c:strRef>
          </c:tx>
          <c:spPr>
            <a:solidFill>
              <a:schemeClr val="accent1"/>
            </a:solidFill>
            <a:ln>
              <a:noFill/>
            </a:ln>
            <a:effectLst/>
          </c:spPr>
          <c:invertIfNegative val="0"/>
          <c:cat>
            <c:strRef>
              <c:f>'Compenent Breakdown'!$A$31:$A$40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'Compenent Breakdown'!$B$31:$B$40</c:f>
              <c:numCache>
                <c:formatCode>General</c:formatCode>
                <c:ptCount val="10"/>
                <c:pt idx="0">
                  <c:v>47.541543431041838</c:v>
                </c:pt>
                <c:pt idx="1">
                  <c:v>56.0953115486017</c:v>
                </c:pt>
                <c:pt idx="2">
                  <c:v>54.177042482092837</c:v>
                </c:pt>
                <c:pt idx="3">
                  <c:v>56.521350875076322</c:v>
                </c:pt>
                <c:pt idx="4">
                  <c:v>61.106514312129498</c:v>
                </c:pt>
                <c:pt idx="5">
                  <c:v>56.657851641261892</c:v>
                </c:pt>
                <c:pt idx="6">
                  <c:v>54.406661781336418</c:v>
                </c:pt>
                <c:pt idx="7">
                  <c:v>52.08920063812598</c:v>
                </c:pt>
                <c:pt idx="8">
                  <c:v>47.64221225379476</c:v>
                </c:pt>
                <c:pt idx="9">
                  <c:v>49.163194878432449</c:v>
                </c:pt>
              </c:numCache>
            </c:numRef>
          </c:val>
          <c:extLst xmlns:c16r2="http://schemas.microsoft.com/office/drawing/2015/06/chart">
            <c:ext xmlns:c16="http://schemas.microsoft.com/office/drawing/2014/chart" uri="{C3380CC4-5D6E-409C-BE32-E72D297353CC}">
              <c16:uniqueId val="{00000000-8209-41DF-A042-1FA05BA417E6}"/>
            </c:ext>
          </c:extLst>
        </c:ser>
        <c:ser>
          <c:idx val="1"/>
          <c:order val="1"/>
          <c:tx>
            <c:strRef>
              <c:f>'Compenent Breakdown'!$C$30</c:f>
              <c:strCache>
                <c:ptCount val="1"/>
                <c:pt idx="0">
                  <c:v>Average of Electricity network+capacity component</c:v>
                </c:pt>
              </c:strCache>
            </c:strRef>
          </c:tx>
          <c:spPr>
            <a:solidFill>
              <a:schemeClr val="accent2"/>
            </a:solidFill>
            <a:ln>
              <a:noFill/>
            </a:ln>
            <a:effectLst/>
          </c:spPr>
          <c:invertIfNegative val="0"/>
          <c:cat>
            <c:strRef>
              <c:f>'Compenent Breakdown'!$A$31:$A$40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'Compenent Breakdown'!$C$31:$C$40</c:f>
              <c:numCache>
                <c:formatCode>General</c:formatCode>
                <c:ptCount val="10"/>
                <c:pt idx="0">
                  <c:v>12.02895245340285</c:v>
                </c:pt>
                <c:pt idx="1">
                  <c:v>15.419590347295969</c:v>
                </c:pt>
                <c:pt idx="2">
                  <c:v>14.344303395154579</c:v>
                </c:pt>
                <c:pt idx="3">
                  <c:v>14.68933661370453</c:v>
                </c:pt>
                <c:pt idx="4">
                  <c:v>19.841054305290449</c:v>
                </c:pt>
                <c:pt idx="5">
                  <c:v>22.35598009048012</c:v>
                </c:pt>
                <c:pt idx="6">
                  <c:v>23.38028617678334</c:v>
                </c:pt>
                <c:pt idx="7">
                  <c:v>22.99762476083157</c:v>
                </c:pt>
                <c:pt idx="8">
                  <c:v>24.55612023409989</c:v>
                </c:pt>
                <c:pt idx="9">
                  <c:v>23.14358447492237</c:v>
                </c:pt>
              </c:numCache>
            </c:numRef>
          </c:val>
          <c:extLst xmlns:c16r2="http://schemas.microsoft.com/office/drawing/2015/06/chart">
            <c:ext xmlns:c16="http://schemas.microsoft.com/office/drawing/2014/chart" uri="{C3380CC4-5D6E-409C-BE32-E72D297353CC}">
              <c16:uniqueId val="{00000001-8209-41DF-A042-1FA05BA417E6}"/>
            </c:ext>
          </c:extLst>
        </c:ser>
        <c:ser>
          <c:idx val="2"/>
          <c:order val="2"/>
          <c:tx>
            <c:strRef>
              <c:f>'Compenent Breakdown'!$D$30</c:f>
              <c:strCache>
                <c:ptCount val="1"/>
                <c:pt idx="0">
                  <c:v>Average of Electricity RES levies</c:v>
                </c:pt>
              </c:strCache>
            </c:strRef>
          </c:tx>
          <c:spPr>
            <a:solidFill>
              <a:schemeClr val="accent3"/>
            </a:solidFill>
            <a:ln>
              <a:noFill/>
            </a:ln>
            <a:effectLst/>
          </c:spPr>
          <c:invertIfNegative val="0"/>
          <c:cat>
            <c:strRef>
              <c:f>'Compenent Breakdown'!$A$31:$A$40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'Compenent Breakdown'!$D$31:$D$40</c:f>
              <c:numCache>
                <c:formatCode>General</c:formatCode>
                <c:ptCount val="10"/>
                <c:pt idx="0">
                  <c:v>2.159001492577787</c:v>
                </c:pt>
                <c:pt idx="1">
                  <c:v>1.6218950669197281</c:v>
                </c:pt>
                <c:pt idx="2">
                  <c:v>3.1071237194842518</c:v>
                </c:pt>
                <c:pt idx="3">
                  <c:v>3.222587601979646</c:v>
                </c:pt>
                <c:pt idx="4">
                  <c:v>6.782432422903776</c:v>
                </c:pt>
                <c:pt idx="5">
                  <c:v>8.0573965590076106</c:v>
                </c:pt>
                <c:pt idx="6">
                  <c:v>8.3764534436414628</c:v>
                </c:pt>
                <c:pt idx="7">
                  <c:v>9.8595936513458398</c:v>
                </c:pt>
                <c:pt idx="8">
                  <c:v>9.85624539137096</c:v>
                </c:pt>
                <c:pt idx="9">
                  <c:v>8.7073698940538566</c:v>
                </c:pt>
              </c:numCache>
            </c:numRef>
          </c:val>
          <c:extLst xmlns:c16r2="http://schemas.microsoft.com/office/drawing/2015/06/chart">
            <c:ext xmlns:c16="http://schemas.microsoft.com/office/drawing/2014/chart" uri="{C3380CC4-5D6E-409C-BE32-E72D297353CC}">
              <c16:uniqueId val="{00000002-8209-41DF-A042-1FA05BA417E6}"/>
            </c:ext>
          </c:extLst>
        </c:ser>
        <c:ser>
          <c:idx val="3"/>
          <c:order val="3"/>
          <c:tx>
            <c:strRef>
              <c:f>'Compenent Breakdown'!$E$30</c:f>
              <c:strCache>
                <c:ptCount val="1"/>
                <c:pt idx="0">
                  <c:v>Average of Electricity other non-recoverable taxes/levies</c:v>
                </c:pt>
              </c:strCache>
            </c:strRef>
          </c:tx>
          <c:spPr>
            <a:solidFill>
              <a:schemeClr val="accent4"/>
            </a:solidFill>
            <a:ln>
              <a:noFill/>
            </a:ln>
            <a:effectLst/>
          </c:spPr>
          <c:invertIfNegative val="0"/>
          <c:cat>
            <c:strRef>
              <c:f>'Compenent Breakdown'!$A$31:$A$40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'Compenent Breakdown'!$E$31:$E$40</c:f>
              <c:numCache>
                <c:formatCode>General</c:formatCode>
                <c:ptCount val="10"/>
                <c:pt idx="0">
                  <c:v>2.1045836524427508</c:v>
                </c:pt>
                <c:pt idx="1">
                  <c:v>2.2340772421407031</c:v>
                </c:pt>
                <c:pt idx="2">
                  <c:v>1.5497580999032901</c:v>
                </c:pt>
                <c:pt idx="3">
                  <c:v>1.307664140664258</c:v>
                </c:pt>
                <c:pt idx="4">
                  <c:v>1.612515462882717</c:v>
                </c:pt>
                <c:pt idx="5">
                  <c:v>2.7942176976911832</c:v>
                </c:pt>
                <c:pt idx="6">
                  <c:v>2.1621866187630658</c:v>
                </c:pt>
                <c:pt idx="7">
                  <c:v>2.038402392032062</c:v>
                </c:pt>
                <c:pt idx="8">
                  <c:v>2.055049767817215</c:v>
                </c:pt>
                <c:pt idx="9">
                  <c:v>2.0020439687655678</c:v>
                </c:pt>
              </c:numCache>
            </c:numRef>
          </c:val>
          <c:extLst xmlns:c16r2="http://schemas.microsoft.com/office/drawing/2015/06/chart">
            <c:ext xmlns:c16="http://schemas.microsoft.com/office/drawing/2014/chart" uri="{C3380CC4-5D6E-409C-BE32-E72D297353CC}">
              <c16:uniqueId val="{00000003-8209-41DF-A042-1FA05BA417E6}"/>
            </c:ext>
          </c:extLst>
        </c:ser>
        <c:dLbls>
          <c:showLegendKey val="0"/>
          <c:showVal val="0"/>
          <c:showCatName val="0"/>
          <c:showSerName val="0"/>
          <c:showPercent val="0"/>
          <c:showBubbleSize val="0"/>
        </c:dLbls>
        <c:gapWidth val="150"/>
        <c:overlap val="100"/>
        <c:axId val="97655424"/>
        <c:axId val="97673600"/>
      </c:barChart>
      <c:catAx>
        <c:axId val="976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73600"/>
        <c:crosses val="autoZero"/>
        <c:auto val="1"/>
        <c:lblAlgn val="ctr"/>
        <c:lblOffset val="100"/>
        <c:noMultiLvlLbl val="0"/>
      </c:catAx>
      <c:valAx>
        <c:axId val="97673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drawings/_rels/drawing1.xml.rels><?xml version="1.0" encoding="UTF-8" standalone="yes"?>
<Relationships xmlns="http://schemas.openxmlformats.org/package/2006/relationships"><Relationship Id="rId1" Type="http://schemas.openxmlformats.org/officeDocument/2006/relationships/image" Target="../media/image64.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5909250" cy="1578292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2.xml><?xml version="1.0" encoding="utf-8"?>
<ds:datastoreItem xmlns:ds="http://schemas.openxmlformats.org/officeDocument/2006/customXml" ds:itemID="{60F3CF95-D75C-42D0-8F2C-7262C9F2C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08ABC-8F73-471A-9BE4-B1C2D332CE2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abd62ad-0606-492b-b6b3-a241217a7a72"/>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DFFC8D11-3C9A-4521-9FBC-A5C9E50C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2354</TotalTime>
  <Pages>12</Pages>
  <Words>20614</Words>
  <Characters>111318</Characters>
  <Application>Microsoft Office Word</Application>
  <DocSecurity>0</DocSecurity>
  <Lines>3975</Lines>
  <Paragraphs>3068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128864</CharactersWithSpaces>
  <SharedDoc>false</SharedDoc>
  <HLinks>
    <vt:vector size="246" baseType="variant">
      <vt:variant>
        <vt:i4>6946942</vt:i4>
      </vt:variant>
      <vt:variant>
        <vt:i4>366</vt:i4>
      </vt:variant>
      <vt:variant>
        <vt:i4>0</vt:i4>
      </vt:variant>
      <vt:variant>
        <vt:i4>5</vt:i4>
      </vt:variant>
      <vt:variant>
        <vt:lpwstr>http://www2.deloitte.com/global/en/pages/manufacturing/articles/global-manufacturing-competitiveness-index.html</vt:lpwstr>
      </vt:variant>
      <vt:variant>
        <vt:lpwstr/>
      </vt:variant>
      <vt:variant>
        <vt:i4>2556031</vt:i4>
      </vt:variant>
      <vt:variant>
        <vt:i4>363</vt:i4>
      </vt:variant>
      <vt:variant>
        <vt:i4>0</vt:i4>
      </vt:variant>
      <vt:variant>
        <vt:i4>5</vt:i4>
      </vt:variant>
      <vt:variant>
        <vt:lpwstr>https://openknowledge.worldbank.org/bitstream/handle/10986/2248/673620PUB0EPI007869B009780821389379.pdf?sequence=1</vt:lpwstr>
      </vt:variant>
      <vt:variant>
        <vt:lpwstr/>
      </vt:variant>
      <vt:variant>
        <vt:i4>8126499</vt:i4>
      </vt:variant>
      <vt:variant>
        <vt:i4>360</vt:i4>
      </vt:variant>
      <vt:variant>
        <vt:i4>0</vt:i4>
      </vt:variant>
      <vt:variant>
        <vt:i4>5</vt:i4>
      </vt:variant>
      <vt:variant>
        <vt:lpwstr>http://www.oecd.org/economy/reform/</vt:lpwstr>
      </vt:variant>
      <vt:variant>
        <vt:lpwstr/>
      </vt:variant>
      <vt:variant>
        <vt:i4>3801133</vt:i4>
      </vt:variant>
      <vt:variant>
        <vt:i4>357</vt:i4>
      </vt:variant>
      <vt:variant>
        <vt:i4>0</vt:i4>
      </vt:variant>
      <vt:variant>
        <vt:i4>5</vt:i4>
      </vt:variant>
      <vt:variant>
        <vt:lpwstr>http://www.imd.org/wcc/</vt:lpwstr>
      </vt:variant>
      <vt:variant>
        <vt:lpwstr/>
      </vt:variant>
      <vt:variant>
        <vt:i4>6619252</vt:i4>
      </vt:variant>
      <vt:variant>
        <vt:i4>354</vt:i4>
      </vt:variant>
      <vt:variant>
        <vt:i4>0</vt:i4>
      </vt:variant>
      <vt:variant>
        <vt:i4>5</vt:i4>
      </vt:variant>
      <vt:variant>
        <vt:lpwstr>http://reports.weforum.org/global-competitiveness-report-2015-2016/</vt:lpwstr>
      </vt:variant>
      <vt:variant>
        <vt:lpwstr/>
      </vt:variant>
      <vt:variant>
        <vt:i4>1114170</vt:i4>
      </vt:variant>
      <vt:variant>
        <vt:i4>122</vt:i4>
      </vt:variant>
      <vt:variant>
        <vt:i4>0</vt:i4>
      </vt:variant>
      <vt:variant>
        <vt:i4>5</vt:i4>
      </vt:variant>
      <vt:variant>
        <vt:lpwstr/>
      </vt:variant>
      <vt:variant>
        <vt:lpwstr>_Toc446605814</vt:lpwstr>
      </vt:variant>
      <vt:variant>
        <vt:i4>1114170</vt:i4>
      </vt:variant>
      <vt:variant>
        <vt:i4>116</vt:i4>
      </vt:variant>
      <vt:variant>
        <vt:i4>0</vt:i4>
      </vt:variant>
      <vt:variant>
        <vt:i4>5</vt:i4>
      </vt:variant>
      <vt:variant>
        <vt:lpwstr/>
      </vt:variant>
      <vt:variant>
        <vt:lpwstr>_Toc446605813</vt:lpwstr>
      </vt:variant>
      <vt:variant>
        <vt:i4>1114170</vt:i4>
      </vt:variant>
      <vt:variant>
        <vt:i4>110</vt:i4>
      </vt:variant>
      <vt:variant>
        <vt:i4>0</vt:i4>
      </vt:variant>
      <vt:variant>
        <vt:i4>5</vt:i4>
      </vt:variant>
      <vt:variant>
        <vt:lpwstr/>
      </vt:variant>
      <vt:variant>
        <vt:lpwstr>_Toc446605812</vt:lpwstr>
      </vt:variant>
      <vt:variant>
        <vt:i4>1114170</vt:i4>
      </vt:variant>
      <vt:variant>
        <vt:i4>104</vt:i4>
      </vt:variant>
      <vt:variant>
        <vt:i4>0</vt:i4>
      </vt:variant>
      <vt:variant>
        <vt:i4>5</vt:i4>
      </vt:variant>
      <vt:variant>
        <vt:lpwstr/>
      </vt:variant>
      <vt:variant>
        <vt:lpwstr>_Toc446605811</vt:lpwstr>
      </vt:variant>
      <vt:variant>
        <vt:i4>1114170</vt:i4>
      </vt:variant>
      <vt:variant>
        <vt:i4>98</vt:i4>
      </vt:variant>
      <vt:variant>
        <vt:i4>0</vt:i4>
      </vt:variant>
      <vt:variant>
        <vt:i4>5</vt:i4>
      </vt:variant>
      <vt:variant>
        <vt:lpwstr/>
      </vt:variant>
      <vt:variant>
        <vt:lpwstr>_Toc446605810</vt:lpwstr>
      </vt:variant>
      <vt:variant>
        <vt:i4>1048634</vt:i4>
      </vt:variant>
      <vt:variant>
        <vt:i4>92</vt:i4>
      </vt:variant>
      <vt:variant>
        <vt:i4>0</vt:i4>
      </vt:variant>
      <vt:variant>
        <vt:i4>5</vt:i4>
      </vt:variant>
      <vt:variant>
        <vt:lpwstr/>
      </vt:variant>
      <vt:variant>
        <vt:lpwstr>_Toc446605809</vt:lpwstr>
      </vt:variant>
      <vt:variant>
        <vt:i4>1048634</vt:i4>
      </vt:variant>
      <vt:variant>
        <vt:i4>86</vt:i4>
      </vt:variant>
      <vt:variant>
        <vt:i4>0</vt:i4>
      </vt:variant>
      <vt:variant>
        <vt:i4>5</vt:i4>
      </vt:variant>
      <vt:variant>
        <vt:lpwstr/>
      </vt:variant>
      <vt:variant>
        <vt:lpwstr>_Toc446605808</vt:lpwstr>
      </vt:variant>
      <vt:variant>
        <vt:i4>1048634</vt:i4>
      </vt:variant>
      <vt:variant>
        <vt:i4>80</vt:i4>
      </vt:variant>
      <vt:variant>
        <vt:i4>0</vt:i4>
      </vt:variant>
      <vt:variant>
        <vt:i4>5</vt:i4>
      </vt:variant>
      <vt:variant>
        <vt:lpwstr/>
      </vt:variant>
      <vt:variant>
        <vt:lpwstr>_Toc446605807</vt:lpwstr>
      </vt:variant>
      <vt:variant>
        <vt:i4>1048634</vt:i4>
      </vt:variant>
      <vt:variant>
        <vt:i4>74</vt:i4>
      </vt:variant>
      <vt:variant>
        <vt:i4>0</vt:i4>
      </vt:variant>
      <vt:variant>
        <vt:i4>5</vt:i4>
      </vt:variant>
      <vt:variant>
        <vt:lpwstr/>
      </vt:variant>
      <vt:variant>
        <vt:lpwstr>_Toc446605806</vt:lpwstr>
      </vt:variant>
      <vt:variant>
        <vt:i4>1048634</vt:i4>
      </vt:variant>
      <vt:variant>
        <vt:i4>68</vt:i4>
      </vt:variant>
      <vt:variant>
        <vt:i4>0</vt:i4>
      </vt:variant>
      <vt:variant>
        <vt:i4>5</vt:i4>
      </vt:variant>
      <vt:variant>
        <vt:lpwstr/>
      </vt:variant>
      <vt:variant>
        <vt:lpwstr>_Toc446605805</vt:lpwstr>
      </vt:variant>
      <vt:variant>
        <vt:i4>1048634</vt:i4>
      </vt:variant>
      <vt:variant>
        <vt:i4>62</vt:i4>
      </vt:variant>
      <vt:variant>
        <vt:i4>0</vt:i4>
      </vt:variant>
      <vt:variant>
        <vt:i4>5</vt:i4>
      </vt:variant>
      <vt:variant>
        <vt:lpwstr/>
      </vt:variant>
      <vt:variant>
        <vt:lpwstr>_Toc446605804</vt:lpwstr>
      </vt:variant>
      <vt:variant>
        <vt:i4>1048634</vt:i4>
      </vt:variant>
      <vt:variant>
        <vt:i4>56</vt:i4>
      </vt:variant>
      <vt:variant>
        <vt:i4>0</vt:i4>
      </vt:variant>
      <vt:variant>
        <vt:i4>5</vt:i4>
      </vt:variant>
      <vt:variant>
        <vt:lpwstr/>
      </vt:variant>
      <vt:variant>
        <vt:lpwstr>_Toc446605803</vt:lpwstr>
      </vt:variant>
      <vt:variant>
        <vt:i4>1048634</vt:i4>
      </vt:variant>
      <vt:variant>
        <vt:i4>50</vt:i4>
      </vt:variant>
      <vt:variant>
        <vt:i4>0</vt:i4>
      </vt:variant>
      <vt:variant>
        <vt:i4>5</vt:i4>
      </vt:variant>
      <vt:variant>
        <vt:lpwstr/>
      </vt:variant>
      <vt:variant>
        <vt:lpwstr>_Toc446605802</vt:lpwstr>
      </vt:variant>
      <vt:variant>
        <vt:i4>1048634</vt:i4>
      </vt:variant>
      <vt:variant>
        <vt:i4>44</vt:i4>
      </vt:variant>
      <vt:variant>
        <vt:i4>0</vt:i4>
      </vt:variant>
      <vt:variant>
        <vt:i4>5</vt:i4>
      </vt:variant>
      <vt:variant>
        <vt:lpwstr/>
      </vt:variant>
      <vt:variant>
        <vt:lpwstr>_Toc446605801</vt:lpwstr>
      </vt:variant>
      <vt:variant>
        <vt:i4>1048634</vt:i4>
      </vt:variant>
      <vt:variant>
        <vt:i4>38</vt:i4>
      </vt:variant>
      <vt:variant>
        <vt:i4>0</vt:i4>
      </vt:variant>
      <vt:variant>
        <vt:i4>5</vt:i4>
      </vt:variant>
      <vt:variant>
        <vt:lpwstr/>
      </vt:variant>
      <vt:variant>
        <vt:lpwstr>_Toc446605800</vt:lpwstr>
      </vt:variant>
      <vt:variant>
        <vt:i4>1638453</vt:i4>
      </vt:variant>
      <vt:variant>
        <vt:i4>32</vt:i4>
      </vt:variant>
      <vt:variant>
        <vt:i4>0</vt:i4>
      </vt:variant>
      <vt:variant>
        <vt:i4>5</vt:i4>
      </vt:variant>
      <vt:variant>
        <vt:lpwstr/>
      </vt:variant>
      <vt:variant>
        <vt:lpwstr>_Toc446605799</vt:lpwstr>
      </vt:variant>
      <vt:variant>
        <vt:i4>1638453</vt:i4>
      </vt:variant>
      <vt:variant>
        <vt:i4>26</vt:i4>
      </vt:variant>
      <vt:variant>
        <vt:i4>0</vt:i4>
      </vt:variant>
      <vt:variant>
        <vt:i4>5</vt:i4>
      </vt:variant>
      <vt:variant>
        <vt:lpwstr/>
      </vt:variant>
      <vt:variant>
        <vt:lpwstr>_Toc446605798</vt:lpwstr>
      </vt:variant>
      <vt:variant>
        <vt:i4>1638453</vt:i4>
      </vt:variant>
      <vt:variant>
        <vt:i4>20</vt:i4>
      </vt:variant>
      <vt:variant>
        <vt:i4>0</vt:i4>
      </vt:variant>
      <vt:variant>
        <vt:i4>5</vt:i4>
      </vt:variant>
      <vt:variant>
        <vt:lpwstr/>
      </vt:variant>
      <vt:variant>
        <vt:lpwstr>_Toc446605797</vt:lpwstr>
      </vt:variant>
      <vt:variant>
        <vt:i4>1638453</vt:i4>
      </vt:variant>
      <vt:variant>
        <vt:i4>14</vt:i4>
      </vt:variant>
      <vt:variant>
        <vt:i4>0</vt:i4>
      </vt:variant>
      <vt:variant>
        <vt:i4>5</vt:i4>
      </vt:variant>
      <vt:variant>
        <vt:lpwstr/>
      </vt:variant>
      <vt:variant>
        <vt:lpwstr>_Toc446605796</vt:lpwstr>
      </vt:variant>
      <vt:variant>
        <vt:i4>1638453</vt:i4>
      </vt:variant>
      <vt:variant>
        <vt:i4>8</vt:i4>
      </vt:variant>
      <vt:variant>
        <vt:i4>0</vt:i4>
      </vt:variant>
      <vt:variant>
        <vt:i4>5</vt:i4>
      </vt:variant>
      <vt:variant>
        <vt:lpwstr/>
      </vt:variant>
      <vt:variant>
        <vt:lpwstr>_Toc446605795</vt:lpwstr>
      </vt:variant>
      <vt:variant>
        <vt:i4>1638453</vt:i4>
      </vt:variant>
      <vt:variant>
        <vt:i4>2</vt:i4>
      </vt:variant>
      <vt:variant>
        <vt:i4>0</vt:i4>
      </vt:variant>
      <vt:variant>
        <vt:i4>5</vt:i4>
      </vt:variant>
      <vt:variant>
        <vt:lpwstr/>
      </vt:variant>
      <vt:variant>
        <vt:lpwstr>_Toc446605794</vt:lpwstr>
      </vt:variant>
      <vt:variant>
        <vt:i4>6094854</vt:i4>
      </vt:variant>
      <vt:variant>
        <vt:i4>42</vt:i4>
      </vt:variant>
      <vt:variant>
        <vt:i4>0</vt:i4>
      </vt:variant>
      <vt:variant>
        <vt:i4>5</vt:i4>
      </vt:variant>
      <vt:variant>
        <vt:lpwstr>https://ec.europa.eu/energy/en/statistics/weekly-oil-bulletin</vt:lpwstr>
      </vt:variant>
      <vt:variant>
        <vt:lpwstr/>
      </vt:variant>
      <vt:variant>
        <vt:i4>6225993</vt:i4>
      </vt:variant>
      <vt:variant>
        <vt:i4>39</vt:i4>
      </vt:variant>
      <vt:variant>
        <vt:i4>0</vt:i4>
      </vt:variant>
      <vt:variant>
        <vt:i4>5</vt:i4>
      </vt:variant>
      <vt:variant>
        <vt:lpwstr>https://ec.europa.eu/energy/sites/ener/files/documents/1999-280_council_decision.pdf</vt:lpwstr>
      </vt:variant>
      <vt:variant>
        <vt:lpwstr/>
      </vt:variant>
      <vt:variant>
        <vt:i4>2883592</vt:i4>
      </vt:variant>
      <vt:variant>
        <vt:i4>36</vt:i4>
      </vt:variant>
      <vt:variant>
        <vt:i4>0</vt:i4>
      </vt:variant>
      <vt:variant>
        <vt:i4>5</vt:i4>
      </vt:variant>
      <vt:variant>
        <vt:lpwstr>http://ec.europa.eu/taxation_customs/resources/documents/taxation/vat/how_vat_works/rates/vat_rates_en.pdf</vt:lpwstr>
      </vt:variant>
      <vt:variant>
        <vt:lpwstr/>
      </vt:variant>
      <vt:variant>
        <vt:i4>2228246</vt:i4>
      </vt:variant>
      <vt:variant>
        <vt:i4>33</vt:i4>
      </vt:variant>
      <vt:variant>
        <vt:i4>0</vt:i4>
      </vt:variant>
      <vt:variant>
        <vt:i4>5</vt:i4>
      </vt:variant>
      <vt:variant>
        <vt:lpwstr>http://ec.europa.eu/taxation_customs/resources/documents/taxation/excise_duties/energy_products/rates/excise_duties_energy_products_en.pdf</vt:lpwstr>
      </vt:variant>
      <vt:variant>
        <vt:lpwstr/>
      </vt:variant>
      <vt:variant>
        <vt:i4>7536674</vt:i4>
      </vt:variant>
      <vt:variant>
        <vt:i4>30</vt:i4>
      </vt:variant>
      <vt:variant>
        <vt:i4>0</vt:i4>
      </vt:variant>
      <vt:variant>
        <vt:i4>5</vt:i4>
      </vt:variant>
      <vt:variant>
        <vt:lpwstr>http://ec.europa.eu/taxation_customs/resources/documents/taxation/excise_duties/energy_products/rates/excise_duties-part_ii_energy_products_en.pdf</vt:lpwstr>
      </vt:variant>
      <vt:variant>
        <vt:lpwstr/>
      </vt:variant>
      <vt:variant>
        <vt:i4>5898258</vt:i4>
      </vt:variant>
      <vt:variant>
        <vt:i4>27</vt:i4>
      </vt:variant>
      <vt:variant>
        <vt:i4>0</vt:i4>
      </vt:variant>
      <vt:variant>
        <vt:i4>5</vt:i4>
      </vt:variant>
      <vt:variant>
        <vt:lpwstr>http://eur-lex.europa.eu/LexUriServ/LexUriServ.do?uri=OJ:L:2003:283:0051:0070:EN:PDF</vt:lpwstr>
      </vt:variant>
      <vt:variant>
        <vt:lpwstr/>
      </vt:variant>
      <vt:variant>
        <vt:i4>1245252</vt:i4>
      </vt:variant>
      <vt:variant>
        <vt:i4>24</vt:i4>
      </vt:variant>
      <vt:variant>
        <vt:i4>0</vt:i4>
      </vt:variant>
      <vt:variant>
        <vt:i4>5</vt:i4>
      </vt:variant>
      <vt:variant>
        <vt:lpwstr>http://www.oecd-library.org/docserver/download/6114031ec011.pdf?expires=1461084656&amp;id=id&amp;accname=oid031827&amp;checksum=12F571270E33482CF12EF7226D88CE98</vt:lpwstr>
      </vt:variant>
      <vt:variant>
        <vt:lpwstr/>
      </vt:variant>
      <vt:variant>
        <vt:i4>589894</vt:i4>
      </vt:variant>
      <vt:variant>
        <vt:i4>21</vt:i4>
      </vt:variant>
      <vt:variant>
        <vt:i4>0</vt:i4>
      </vt:variant>
      <vt:variant>
        <vt:i4>5</vt:i4>
      </vt:variant>
      <vt:variant>
        <vt:lpwstr>https://www.imf.org/external/pubs/ft/wp/2015/wp15105.pdf</vt:lpwstr>
      </vt:variant>
      <vt:variant>
        <vt:lpwstr/>
      </vt:variant>
      <vt:variant>
        <vt:i4>3276927</vt:i4>
      </vt:variant>
      <vt:variant>
        <vt:i4>18</vt:i4>
      </vt:variant>
      <vt:variant>
        <vt:i4>0</vt:i4>
      </vt:variant>
      <vt:variant>
        <vt:i4>5</vt:i4>
      </vt:variant>
      <vt:variant>
        <vt:lpwstr>http://ec.europa.eu/environment/enveco/taxation/pdf/201412ffs_final_report.pdf</vt:lpwstr>
      </vt:variant>
      <vt:variant>
        <vt:lpwstr/>
      </vt:variant>
      <vt:variant>
        <vt:i4>3080234</vt:i4>
      </vt:variant>
      <vt:variant>
        <vt:i4>15</vt:i4>
      </vt:variant>
      <vt:variant>
        <vt:i4>0</vt:i4>
      </vt:variant>
      <vt:variant>
        <vt:i4>5</vt:i4>
      </vt:variant>
      <vt:variant>
        <vt:lpwstr>https://ec.europa.eu/energy/sites/ener/files/documents/20141013_subsidies_costs_eu_energy.pdf</vt:lpwstr>
      </vt:variant>
      <vt:variant>
        <vt:lpwstr/>
      </vt:variant>
      <vt:variant>
        <vt:i4>7274618</vt:i4>
      </vt:variant>
      <vt:variant>
        <vt:i4>12</vt:i4>
      </vt:variant>
      <vt:variant>
        <vt:i4>0</vt:i4>
      </vt:variant>
      <vt:variant>
        <vt:i4>5</vt:i4>
      </vt:variant>
      <vt:variant>
        <vt:lpwstr>http://www.odyssee-mure.eu/</vt:lpwstr>
      </vt:variant>
      <vt:variant>
        <vt:lpwstr/>
      </vt:variant>
      <vt:variant>
        <vt:i4>4718617</vt:i4>
      </vt:variant>
      <vt:variant>
        <vt:i4>9</vt:i4>
      </vt:variant>
      <vt:variant>
        <vt:i4>0</vt:i4>
      </vt:variant>
      <vt:variant>
        <vt:i4>5</vt:i4>
      </vt:variant>
      <vt:variant>
        <vt:lpwstr>http://www.ecb.europa.eu/stats/exchange/eurofxref/html/index.en.html</vt:lpwstr>
      </vt:variant>
      <vt:variant>
        <vt:lpwstr/>
      </vt:variant>
      <vt:variant>
        <vt:i4>6488163</vt:i4>
      </vt:variant>
      <vt:variant>
        <vt:i4>6</vt:i4>
      </vt:variant>
      <vt:variant>
        <vt:i4>0</vt:i4>
      </vt:variant>
      <vt:variant>
        <vt:i4>5</vt:i4>
      </vt:variant>
      <vt:variant>
        <vt:lpwstr>http://www.bafa.de/bafa/de/energie/erdgas/ausgewaehlte_statistiken/egasmon_xls.xls</vt:lpwstr>
      </vt:variant>
      <vt:variant>
        <vt:lpwstr/>
      </vt:variant>
      <vt:variant>
        <vt:i4>3539005</vt:i4>
      </vt:variant>
      <vt:variant>
        <vt:i4>3</vt:i4>
      </vt:variant>
      <vt:variant>
        <vt:i4>0</vt:i4>
      </vt:variant>
      <vt:variant>
        <vt:i4>5</vt:i4>
      </vt:variant>
      <vt:variant>
        <vt:lpwstr>https://ec.europa.eu/energy/en/statistics/eu-crude-oil-imports</vt:lpwstr>
      </vt:variant>
      <vt:variant>
        <vt:lpwstr/>
      </vt:variant>
      <vt:variant>
        <vt:i4>3538994</vt:i4>
      </vt:variant>
      <vt:variant>
        <vt:i4>0</vt:i4>
      </vt:variant>
      <vt:variant>
        <vt:i4>0</vt:i4>
      </vt:variant>
      <vt:variant>
        <vt:i4>5</vt:i4>
      </vt:variant>
      <vt:variant>
        <vt:lpwstr>http://eur-lex.europa.eu/legal-content/EN/ALL/?uri=CELEX:31995R2964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95</cp:revision>
  <cp:lastPrinted>2018-11-22T18:35:00Z</cp:lastPrinted>
  <dcterms:created xsi:type="dcterms:W3CDTF">2018-10-18T11:20:00Z</dcterms:created>
  <dcterms:modified xsi:type="dcterms:W3CDTF">2018-12-18T09:45:00Z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6</vt:lpwstr>
  </property>
  <property fmtid="{D5CDD505-2E9C-101B-9397-08002B2CF9AE}" pid="3" name="Total parts">
    <vt:lpwstr>11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0x010100258AA79CEB83498886A3A08681123250005E2AC295F185DC4590AEB664EBBB01D6</vt:lpwstr>
  </property>
  <property fmtid="{D5CDD505-2E9C-101B-9397-08002B2CF9AE}" pid="7" name="IsMyDocuments">
    <vt:bool>true</vt:bool>
  </property>
  <property fmtid="{D5CDD505-2E9C-101B-9397-08002B2CF9AE}" pid="8" name="Last edited using">
    <vt:lpwstr>LW 6.0.1, Build 20180503</vt:lpwstr>
  </property>
  <property fmtid="{D5CDD505-2E9C-101B-9397-08002B2CF9AE}" pid="9" name="Created using">
    <vt:lpwstr>LW 6.0.1, Build 20180503</vt:lpwstr>
  </property>
</Properties>
</file>