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0271F08C-B489-44FE-BA24-C8848DE5BF04" style="width:451.5pt;height:489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u w:val="single"/>
        </w:rPr>
      </w:pPr>
      <w:bookmarkStart w:id="1" w:name="_GoBack"/>
      <w:bookmarkEnd w:id="1"/>
      <w:r>
        <w:rPr>
          <w:rFonts w:ascii="Times New Roman" w:hAnsi="Times New Roman"/>
          <w:b/>
          <w:noProof/>
          <w:u w:val="single"/>
        </w:rPr>
        <w:lastRenderedPageBreak/>
        <w:t>ПРИЛОЖЕНИЕ</w:t>
      </w:r>
    </w:p>
    <w:p>
      <w:pPr>
        <w:pStyle w:val="Pa35"/>
        <w:rPr>
          <w:rFonts w:ascii="Times New Roman" w:hAnsi="Times New Roman" w:cs="Times New Roman"/>
          <w:noProof/>
          <w:color w:val="000000"/>
          <w:sz w:val="23"/>
          <w:szCs w:val="23"/>
        </w:rPr>
      </w:pPr>
      <w:r>
        <w:rPr>
          <w:rStyle w:val="A13"/>
          <w:rFonts w:ascii="Times New Roman" w:hAnsi="Times New Roman"/>
          <w:noProof/>
          <w:sz w:val="23"/>
        </w:rPr>
        <w:t>ИЗПЪЛНЕНИЕ НА ЗАКОНОДАТЕЛНИТЕ ПРИОРИТЕТИ</w:t>
      </w:r>
      <w:r>
        <w:rPr>
          <w:rStyle w:val="A13"/>
          <w:rFonts w:ascii="Times New Roman" w:hAnsi="Times New Roman" w:cs="Times New Roman"/>
          <w:noProof/>
          <w:sz w:val="23"/>
          <w:szCs w:val="23"/>
        </w:rPr>
        <w:br/>
      </w:r>
    </w:p>
    <w:tbl>
      <w:tblPr>
        <w:tblStyle w:val="TableGrid"/>
        <w:tblW w:w="11326" w:type="dxa"/>
        <w:tblInd w:w="250" w:type="dxa"/>
        <w:tblLook w:val="04A0" w:firstRow="1" w:lastRow="0" w:firstColumn="1" w:lastColumn="0" w:noHBand="0" w:noVBand="1"/>
      </w:tblPr>
      <w:tblGrid>
        <w:gridCol w:w="392"/>
        <w:gridCol w:w="10934"/>
      </w:tblGrid>
      <w:tr>
        <w:tc>
          <w:tcPr>
            <w:tcW w:w="392" w:type="dxa"/>
            <w:tcBorders>
              <w:right w:val="single" w:sz="4" w:space="0" w:color="auto"/>
            </w:tcBorders>
            <w:shd w:val="clear" w:color="auto" w:fill="00B050"/>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noProof/>
                <w:color w:val="000000"/>
              </w:rPr>
              <w:t>Представени са предложения и е постигнато споразумение</w:t>
            </w:r>
          </w:p>
        </w:tc>
      </w:tr>
      <w:tr>
        <w:tc>
          <w:tcPr>
            <w:tcW w:w="392" w:type="dxa"/>
            <w:tcBorders>
              <w:right w:val="single" w:sz="4" w:space="0" w:color="auto"/>
            </w:tcBorders>
            <w:shd w:val="clear" w:color="auto" w:fill="FFFF00"/>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noProof/>
                <w:color w:val="000000"/>
              </w:rPr>
              <w:t>Възможно е бързо постигане на споразумение, като се следват обичайните процедури</w:t>
            </w:r>
          </w:p>
        </w:tc>
      </w:tr>
      <w:tr>
        <w:tc>
          <w:tcPr>
            <w:tcW w:w="392" w:type="dxa"/>
            <w:tcBorders>
              <w:right w:val="single" w:sz="4" w:space="0" w:color="auto"/>
            </w:tcBorders>
            <w:shd w:val="clear" w:color="auto" w:fill="F79646" w:themeFill="accent6"/>
          </w:tcPr>
          <w:p>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rPr>
            </w:pPr>
            <w:r>
              <w:rPr>
                <w:rFonts w:ascii="Times New Roman" w:hAnsi="Times New Roman"/>
                <w:noProof/>
                <w:color w:val="000000"/>
              </w:rPr>
              <w:t>Възможно е постигане на споразумение при наличие на твърд политически ангажимент от страна на всички институции на ЕС</w:t>
            </w:r>
          </w:p>
        </w:tc>
      </w:tr>
    </w:tbl>
    <w:p>
      <w:pPr>
        <w:pStyle w:val="Pa35"/>
        <w:rPr>
          <w:rStyle w:val="A13"/>
          <w:rFonts w:ascii="Times New Roman" w:hAnsi="Times New Roman" w:cs="Times New Roman"/>
          <w:noProof/>
          <w:sz w:val="23"/>
          <w:szCs w:val="23"/>
        </w:rPr>
      </w:pPr>
    </w:p>
    <w:p>
      <w:pPr>
        <w:pStyle w:val="Pa35"/>
        <w:rPr>
          <w:rStyle w:val="A13"/>
          <w:rFonts w:ascii="Times New Roman" w:hAnsi="Times New Roman" w:cs="Times New Roman"/>
          <w:noProof/>
          <w:sz w:val="23"/>
          <w:szCs w:val="23"/>
        </w:rPr>
      </w:pPr>
      <w:r>
        <w:rPr>
          <w:rStyle w:val="A13"/>
          <w:rFonts w:ascii="Times New Roman" w:hAnsi="Times New Roman"/>
          <w:noProof/>
          <w:sz w:val="23"/>
        </w:rPr>
        <w:t>I) Инициативи в рамките на речта за състоянието на Съюза през 2018 г.</w:t>
      </w:r>
      <w:r>
        <w:rPr>
          <w:rStyle w:val="FootnoteReference"/>
          <w:rFonts w:ascii="Times New Roman" w:hAnsi="Times New Roman"/>
          <w:b/>
          <w:noProof/>
          <w:color w:val="000000"/>
          <w:sz w:val="23"/>
        </w:rPr>
        <w:footnoteReference w:id="1"/>
      </w:r>
    </w:p>
    <w:p>
      <w:pPr>
        <w:rPr>
          <w:rFonts w:ascii="Times New Roman" w:hAnsi="Times New Roman" w:cs="Times New Roman"/>
          <w:noProof/>
        </w:rPr>
      </w:pPr>
    </w:p>
    <w:tbl>
      <w:tblPr>
        <w:tblStyle w:val="TableGrid"/>
        <w:tblW w:w="0" w:type="auto"/>
        <w:jc w:val="center"/>
        <w:tblLook w:val="04A0" w:firstRow="1" w:lastRow="0" w:firstColumn="1" w:lastColumn="0" w:noHBand="0" w:noVBand="1"/>
      </w:tblPr>
      <w:tblGrid>
        <w:gridCol w:w="3085"/>
        <w:gridCol w:w="2521"/>
        <w:gridCol w:w="1400"/>
        <w:gridCol w:w="1417"/>
        <w:gridCol w:w="1536"/>
      </w:tblGrid>
      <w:tr>
        <w:trPr>
          <w:jc w:val="center"/>
        </w:trPr>
        <w:tc>
          <w:tcPr>
            <w:tcW w:w="3085" w:type="dxa"/>
            <w:vAlign w:val="center"/>
          </w:tcPr>
          <w:p>
            <w:pPr>
              <w:jc w:val="center"/>
              <w:rPr>
                <w:rFonts w:ascii="Times New Roman" w:hAnsi="Times New Roman" w:cs="Times New Roman"/>
                <w:b/>
                <w:noProof/>
              </w:rPr>
            </w:pPr>
            <w:r>
              <w:rPr>
                <w:rFonts w:ascii="Times New Roman" w:hAnsi="Times New Roman"/>
                <w:b/>
                <w:noProof/>
              </w:rPr>
              <w:t>Политика</w:t>
            </w:r>
          </w:p>
        </w:tc>
        <w:tc>
          <w:tcPr>
            <w:tcW w:w="2521" w:type="dxa"/>
            <w:vAlign w:val="center"/>
          </w:tcPr>
          <w:p>
            <w:pPr>
              <w:jc w:val="center"/>
              <w:rPr>
                <w:rFonts w:ascii="Times New Roman" w:hAnsi="Times New Roman" w:cs="Times New Roman"/>
                <w:b/>
                <w:noProof/>
              </w:rPr>
            </w:pPr>
            <w:r>
              <w:rPr>
                <w:rFonts w:ascii="Times New Roman" w:hAnsi="Times New Roman"/>
                <w:b/>
                <w:noProof/>
              </w:rPr>
              <w:t>Описание</w:t>
            </w:r>
          </w:p>
        </w:tc>
        <w:tc>
          <w:tcPr>
            <w:tcW w:w="1378" w:type="dxa"/>
            <w:vAlign w:val="center"/>
          </w:tcPr>
          <w:p>
            <w:pPr>
              <w:jc w:val="center"/>
              <w:rPr>
                <w:rFonts w:ascii="Times New Roman" w:hAnsi="Times New Roman" w:cs="Times New Roman"/>
                <w:b/>
                <w:noProof/>
              </w:rPr>
            </w:pPr>
            <w:r>
              <w:rPr>
                <w:rFonts w:ascii="Times New Roman" w:hAnsi="Times New Roman"/>
                <w:b/>
                <w:noProof/>
              </w:rPr>
              <w:t>Европейска комисия</w:t>
            </w:r>
          </w:p>
        </w:tc>
        <w:tc>
          <w:tcPr>
            <w:tcW w:w="1276" w:type="dxa"/>
            <w:vAlign w:val="center"/>
          </w:tcPr>
          <w:p>
            <w:pPr>
              <w:jc w:val="center"/>
              <w:rPr>
                <w:rFonts w:ascii="Times New Roman" w:hAnsi="Times New Roman" w:cs="Times New Roman"/>
                <w:b/>
                <w:noProof/>
              </w:rPr>
            </w:pPr>
            <w:r>
              <w:rPr>
                <w:rFonts w:ascii="Times New Roman" w:hAnsi="Times New Roman"/>
                <w:b/>
                <w:noProof/>
              </w:rPr>
              <w:t>Европейски парламент</w:t>
            </w:r>
          </w:p>
        </w:tc>
        <w:tc>
          <w:tcPr>
            <w:tcW w:w="1146" w:type="dxa"/>
            <w:vAlign w:val="center"/>
          </w:tcPr>
          <w:p>
            <w:pPr>
              <w:jc w:val="center"/>
              <w:rPr>
                <w:rFonts w:ascii="Times New Roman" w:hAnsi="Times New Roman" w:cs="Times New Roman"/>
                <w:b/>
                <w:noProof/>
              </w:rPr>
            </w:pPr>
            <w:r>
              <w:rPr>
                <w:rFonts w:ascii="Times New Roman" w:hAnsi="Times New Roman"/>
                <w:b/>
                <w:noProof/>
              </w:rPr>
              <w:t>Съвет на Европейския съюз</w:t>
            </w: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Предотвратяване на разпространението на терористично съдържание онлайн</w:t>
            </w:r>
            <w:r>
              <w:rPr>
                <w:rStyle w:val="FootnoteReference"/>
                <w:rFonts w:ascii="Times New Roman" w:hAnsi="Times New Roman"/>
                <w:noProof/>
                <w:sz w:val="20"/>
              </w:rPr>
              <w:footnoteReference w:id="2"/>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2018 г.; Съветът прие своя мандат на 6 декември 2018 г.</w:t>
            </w:r>
          </w:p>
        </w:tc>
        <w:tc>
          <w:tcPr>
            <w:tcW w:w="1378"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46" w:type="dxa"/>
            <w:shd w:val="clear" w:color="auto" w:fill="FFFF0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Разширяване на компетентността на Европейската прокуратура с цел включване в нея на борбата срещу трансграничните терористични престъпления</w:t>
            </w:r>
            <w:r>
              <w:rPr>
                <w:rStyle w:val="FootnoteReference"/>
                <w:rFonts w:ascii="Times New Roman" w:hAnsi="Times New Roman"/>
                <w:noProof/>
                <w:sz w:val="20"/>
              </w:rPr>
              <w:footnoteReference w:id="3"/>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2018 г.</w:t>
            </w:r>
          </w:p>
        </w:tc>
        <w:tc>
          <w:tcPr>
            <w:tcW w:w="1378"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46"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Целево изменение в Регламента относно финансирането на политическите партии по отношение на процедура за проверка, свързана с нарушения на правилата за защита на личните данни в контекста на изборите за Европейски парламент</w:t>
            </w:r>
            <w:r>
              <w:rPr>
                <w:rStyle w:val="FootnoteReference"/>
                <w:rFonts w:ascii="Times New Roman" w:hAnsi="Times New Roman"/>
                <w:noProof/>
                <w:sz w:val="20"/>
              </w:rPr>
              <w:footnoteReference w:id="4"/>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2018 г.</w:t>
            </w:r>
          </w:p>
        </w:tc>
        <w:tc>
          <w:tcPr>
            <w:tcW w:w="1378"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46"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Укрепване на капацитета на Европейската агенция за гранична и брегова охрана</w:t>
            </w:r>
            <w:r>
              <w:rPr>
                <w:rStyle w:val="FootnoteReference"/>
                <w:rFonts w:ascii="Times New Roman" w:hAnsi="Times New Roman"/>
                <w:noProof/>
                <w:sz w:val="20"/>
              </w:rPr>
              <w:footnoteReference w:id="5"/>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2018 г.</w:t>
            </w:r>
          </w:p>
        </w:tc>
        <w:tc>
          <w:tcPr>
            <w:tcW w:w="1378"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46" w:type="dxa"/>
            <w:shd w:val="clear" w:color="auto" w:fill="F79646" w:themeFill="accent6"/>
            <w:vAlign w:val="center"/>
          </w:tcPr>
          <w:p>
            <w:pPr>
              <w:spacing w:before="180" w:after="180"/>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Европейски център за промишлени, технологични и изследователски експертни познания в областта на киберсигурността</w:t>
            </w:r>
            <w:r>
              <w:rPr>
                <w:rStyle w:val="FootnoteReference"/>
                <w:rFonts w:ascii="Times New Roman" w:hAnsi="Times New Roman"/>
                <w:noProof/>
                <w:sz w:val="20"/>
              </w:rPr>
              <w:footnoteReference w:id="6"/>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2018 г.</w:t>
            </w:r>
          </w:p>
        </w:tc>
        <w:tc>
          <w:tcPr>
            <w:tcW w:w="1378" w:type="dxa"/>
            <w:shd w:val="clear" w:color="auto" w:fill="00B050"/>
            <w:vAlign w:val="center"/>
          </w:tcPr>
          <w:p>
            <w:pPr>
              <w:spacing w:before="180" w:after="180"/>
              <w:rPr>
                <w:rFonts w:ascii="Times New Roman" w:hAnsi="Times New Roman" w:cs="Times New Roman"/>
                <w:noProof/>
                <w:sz w:val="20"/>
                <w:szCs w:val="20"/>
              </w:rPr>
            </w:pPr>
          </w:p>
        </w:tc>
        <w:tc>
          <w:tcPr>
            <w:tcW w:w="1276" w:type="dxa"/>
            <w:shd w:val="clear" w:color="auto" w:fill="F79646" w:themeFill="accent6"/>
            <w:vAlign w:val="center"/>
          </w:tcPr>
          <w:p>
            <w:pPr>
              <w:spacing w:before="180" w:after="180"/>
              <w:rPr>
                <w:rFonts w:ascii="Times New Roman" w:hAnsi="Times New Roman" w:cs="Times New Roman"/>
                <w:noProof/>
                <w:sz w:val="20"/>
                <w:szCs w:val="20"/>
              </w:rPr>
            </w:pPr>
          </w:p>
        </w:tc>
        <w:tc>
          <w:tcPr>
            <w:tcW w:w="1146" w:type="dxa"/>
            <w:shd w:val="clear" w:color="auto" w:fill="F79646" w:themeFill="accent6"/>
            <w:vAlign w:val="center"/>
          </w:tcPr>
          <w:p>
            <w:pPr>
              <w:spacing w:before="180" w:after="180"/>
              <w:rPr>
                <w:rFonts w:ascii="Times New Roman" w:hAnsi="Times New Roman" w:cs="Times New Roman"/>
                <w:noProof/>
                <w:sz w:val="20"/>
                <w:szCs w:val="20"/>
              </w:rPr>
            </w:pPr>
          </w:p>
        </w:tc>
      </w:tr>
    </w:tbl>
    <w:p>
      <w:pPr>
        <w:rPr>
          <w:rStyle w:val="A13"/>
          <w:rFonts w:ascii="Times New Roman" w:hAnsi="Times New Roman" w:cs="Times New Roman"/>
          <w:noProof/>
          <w:color w:val="auto"/>
          <w:sz w:val="23"/>
          <w:szCs w:val="23"/>
        </w:rPr>
      </w:pPr>
      <w:r>
        <w:rPr>
          <w:noProof/>
        </w:rPr>
        <w:br w:type="page"/>
      </w:r>
    </w:p>
    <w:p>
      <w:pPr>
        <w:pStyle w:val="Pa35"/>
        <w:rPr>
          <w:rStyle w:val="A13"/>
          <w:rFonts w:ascii="Times New Roman" w:hAnsi="Times New Roman" w:cs="Times New Roman"/>
          <w:noProof/>
          <w:color w:val="auto"/>
          <w:sz w:val="23"/>
          <w:szCs w:val="23"/>
        </w:rPr>
      </w:pPr>
    </w:p>
    <w:p>
      <w:pPr>
        <w:pStyle w:val="Pa35"/>
        <w:rPr>
          <w:rFonts w:ascii="Times New Roman" w:hAnsi="Times New Roman" w:cs="Times New Roman"/>
          <w:noProof/>
        </w:rPr>
      </w:pPr>
      <w:r>
        <w:rPr>
          <w:rStyle w:val="A13"/>
          <w:rFonts w:ascii="Times New Roman" w:hAnsi="Times New Roman"/>
          <w:noProof/>
          <w:color w:val="auto"/>
          <w:sz w:val="23"/>
        </w:rPr>
        <w:t>II) Приоритети, договорени в съвместната декларация</w:t>
      </w:r>
      <w:r>
        <w:rPr>
          <w:rStyle w:val="FootnoteReference"/>
          <w:rFonts w:ascii="Times New Roman" w:hAnsi="Times New Roman"/>
          <w:b/>
          <w:noProof/>
          <w:sz w:val="23"/>
        </w:rPr>
        <w:footnoteReference w:id="7"/>
      </w:r>
      <w:r>
        <w:rPr>
          <w:rStyle w:val="A13"/>
          <w:rFonts w:ascii="Times New Roman" w:hAnsi="Times New Roman" w:cs="Times New Roman"/>
          <w:noProof/>
          <w:color w:val="auto"/>
          <w:sz w:val="23"/>
          <w:szCs w:val="23"/>
        </w:rPr>
        <w:br/>
      </w:r>
    </w:p>
    <w:tbl>
      <w:tblPr>
        <w:tblStyle w:val="TableGrid"/>
        <w:tblW w:w="0" w:type="auto"/>
        <w:jc w:val="center"/>
        <w:tblLook w:val="04A0" w:firstRow="1" w:lastRow="0" w:firstColumn="1" w:lastColumn="0" w:noHBand="0" w:noVBand="1"/>
      </w:tblPr>
      <w:tblGrid>
        <w:gridCol w:w="3085"/>
        <w:gridCol w:w="2521"/>
        <w:gridCol w:w="1400"/>
        <w:gridCol w:w="1417"/>
        <w:gridCol w:w="1536"/>
      </w:tblGrid>
      <w:tr>
        <w:trPr>
          <w:tblHeader/>
          <w:jc w:val="center"/>
        </w:trPr>
        <w:tc>
          <w:tcPr>
            <w:tcW w:w="3085" w:type="dxa"/>
            <w:vAlign w:val="center"/>
          </w:tcPr>
          <w:p>
            <w:pPr>
              <w:jc w:val="center"/>
              <w:rPr>
                <w:rFonts w:ascii="Times New Roman" w:hAnsi="Times New Roman" w:cs="Times New Roman"/>
                <w:b/>
                <w:noProof/>
              </w:rPr>
            </w:pPr>
            <w:r>
              <w:rPr>
                <w:rFonts w:ascii="Times New Roman" w:hAnsi="Times New Roman"/>
                <w:b/>
                <w:noProof/>
              </w:rPr>
              <w:t>Политика</w:t>
            </w:r>
          </w:p>
        </w:tc>
        <w:tc>
          <w:tcPr>
            <w:tcW w:w="2521" w:type="dxa"/>
            <w:vAlign w:val="center"/>
          </w:tcPr>
          <w:p>
            <w:pPr>
              <w:jc w:val="center"/>
              <w:rPr>
                <w:rFonts w:ascii="Times New Roman" w:hAnsi="Times New Roman" w:cs="Times New Roman"/>
                <w:b/>
                <w:noProof/>
              </w:rPr>
            </w:pPr>
            <w:r>
              <w:rPr>
                <w:rFonts w:ascii="Times New Roman" w:hAnsi="Times New Roman"/>
                <w:b/>
                <w:noProof/>
              </w:rPr>
              <w:t>Описание</w:t>
            </w:r>
          </w:p>
        </w:tc>
        <w:tc>
          <w:tcPr>
            <w:tcW w:w="1378" w:type="dxa"/>
            <w:vAlign w:val="center"/>
          </w:tcPr>
          <w:p>
            <w:pPr>
              <w:jc w:val="center"/>
              <w:rPr>
                <w:rFonts w:ascii="Times New Roman" w:hAnsi="Times New Roman" w:cs="Times New Roman"/>
                <w:b/>
                <w:noProof/>
              </w:rPr>
            </w:pPr>
            <w:r>
              <w:rPr>
                <w:rFonts w:ascii="Times New Roman" w:hAnsi="Times New Roman"/>
                <w:b/>
                <w:noProof/>
              </w:rPr>
              <w:t>Европейска комисия</w:t>
            </w:r>
          </w:p>
        </w:tc>
        <w:tc>
          <w:tcPr>
            <w:tcW w:w="1276" w:type="dxa"/>
            <w:vAlign w:val="center"/>
          </w:tcPr>
          <w:p>
            <w:pPr>
              <w:jc w:val="center"/>
              <w:rPr>
                <w:rFonts w:ascii="Times New Roman" w:hAnsi="Times New Roman" w:cs="Times New Roman"/>
                <w:b/>
                <w:noProof/>
              </w:rPr>
            </w:pPr>
            <w:r>
              <w:rPr>
                <w:rFonts w:ascii="Times New Roman" w:hAnsi="Times New Roman"/>
                <w:b/>
                <w:noProof/>
              </w:rPr>
              <w:t>Европейски парламент</w:t>
            </w:r>
          </w:p>
        </w:tc>
        <w:tc>
          <w:tcPr>
            <w:tcW w:w="1146" w:type="dxa"/>
            <w:vAlign w:val="center"/>
          </w:tcPr>
          <w:p>
            <w:pPr>
              <w:jc w:val="center"/>
              <w:rPr>
                <w:rFonts w:ascii="Times New Roman" w:hAnsi="Times New Roman" w:cs="Times New Roman"/>
                <w:b/>
                <w:noProof/>
              </w:rPr>
            </w:pPr>
            <w:r>
              <w:rPr>
                <w:rFonts w:ascii="Times New Roman" w:hAnsi="Times New Roman"/>
                <w:b/>
                <w:noProof/>
              </w:rPr>
              <w:t>Съвет на Европейския съюз</w:t>
            </w: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Система на ЕС за информация за пътуванията и разрешаването им</w:t>
            </w:r>
            <w:r>
              <w:rPr>
                <w:rStyle w:val="FootnoteReference"/>
                <w:rFonts w:ascii="Times New Roman" w:hAnsi="Times New Roman"/>
                <w:noProof/>
                <w:sz w:val="20"/>
              </w:rPr>
              <w:footnoteReference w:id="8"/>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ноември 2016 г.; постигнато споразумение между съзаконодателите; официално приемане през есента на 2018 г.</w:t>
            </w:r>
          </w:p>
        </w:tc>
        <w:tc>
          <w:tcPr>
            <w:tcW w:w="1378"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4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Европейската агенция за оперативното управление на широкомащабни информационни системи в пространството на свобода, сигурност и правосъдие</w:t>
            </w:r>
            <w:r>
              <w:rPr>
                <w:rStyle w:val="FootnoteReference"/>
                <w:rFonts w:ascii="Times New Roman" w:hAnsi="Times New Roman"/>
                <w:noProof/>
                <w:sz w:val="20"/>
              </w:rPr>
              <w:footnoteReference w:id="9"/>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юни 2017 г.; постигнато споразумение между съзаконодателите; официално приемане през есента на 2018 г.</w:t>
            </w:r>
          </w:p>
        </w:tc>
        <w:tc>
          <w:tcPr>
            <w:tcW w:w="1378"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4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Укрепване на Шенгенската информационна система</w:t>
            </w:r>
            <w:r>
              <w:rPr>
                <w:rStyle w:val="FootnoteReference"/>
                <w:rFonts w:ascii="Times New Roman" w:hAnsi="Times New Roman"/>
                <w:noProof/>
                <w:sz w:val="20"/>
              </w:rPr>
              <w:footnoteReference w:id="10"/>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Предложения от декември 2016 г.; постигнато споразумение между съзаконодателите; официално приемане през есента на 2018 г.</w:t>
            </w:r>
          </w:p>
        </w:tc>
        <w:tc>
          <w:tcPr>
            <w:tcW w:w="1378"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4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Изпиране на пари и финансиране на тероризма</w:t>
            </w:r>
            <w:r>
              <w:rPr>
                <w:rStyle w:val="FootnoteReference"/>
                <w:rFonts w:ascii="Times New Roman" w:hAnsi="Times New Roman"/>
                <w:noProof/>
                <w:sz w:val="20"/>
              </w:rPr>
              <w:footnoteReference w:id="11"/>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юли 2016 г.; официално приемане през май 2018 г.</w:t>
            </w:r>
          </w:p>
        </w:tc>
        <w:tc>
          <w:tcPr>
            <w:tcW w:w="1378"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4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Система за влизане/излизане</w:t>
            </w:r>
            <w:r>
              <w:rPr>
                <w:rStyle w:val="FootnoteReference"/>
                <w:rFonts w:ascii="Times New Roman" w:hAnsi="Times New Roman"/>
                <w:noProof/>
                <w:sz w:val="20"/>
              </w:rPr>
              <w:footnoteReference w:id="12"/>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април 2016 г.; официално приемане през ноември 2017 г.</w:t>
            </w:r>
          </w:p>
        </w:tc>
        <w:tc>
          <w:tcPr>
            <w:tcW w:w="1378"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4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Контрол на придобиването и притежаването на оръжие</w:t>
            </w:r>
            <w:r>
              <w:rPr>
                <w:rStyle w:val="FootnoteReference"/>
                <w:rFonts w:ascii="Times New Roman" w:hAnsi="Times New Roman"/>
                <w:noProof/>
                <w:sz w:val="20"/>
              </w:rPr>
              <w:footnoteReference w:id="13"/>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ноември 2015 г.; официално приемане през май 2017 г.</w:t>
            </w:r>
          </w:p>
        </w:tc>
        <w:tc>
          <w:tcPr>
            <w:tcW w:w="1378"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4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Директива за борбата с тероризма</w:t>
            </w:r>
            <w:r>
              <w:rPr>
                <w:rStyle w:val="FootnoteReference"/>
                <w:rFonts w:ascii="Times New Roman" w:hAnsi="Times New Roman"/>
                <w:noProof/>
                <w:sz w:val="20"/>
              </w:rPr>
              <w:footnoteReference w:id="14"/>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декември 2015 г.; официално приемане през март 2017 г.</w:t>
            </w:r>
          </w:p>
        </w:tc>
        <w:tc>
          <w:tcPr>
            <w:tcW w:w="1378"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4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Акт за киберсигурността</w:t>
            </w:r>
            <w:r>
              <w:rPr>
                <w:rStyle w:val="FootnoteReference"/>
                <w:rFonts w:ascii="Times New Roman" w:hAnsi="Times New Roman"/>
                <w:noProof/>
                <w:sz w:val="20"/>
              </w:rPr>
              <w:footnoteReference w:id="15"/>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2017 г.; постигнато споразумение между съзаконодателите; официално приемане през 2019 г.</w:t>
            </w:r>
          </w:p>
          <w:p>
            <w:pPr>
              <w:spacing w:before="180" w:after="180"/>
              <w:rPr>
                <w:rFonts w:ascii="Times New Roman" w:hAnsi="Times New Roman" w:cs="Times New Roman"/>
                <w:noProof/>
                <w:sz w:val="20"/>
                <w:szCs w:val="20"/>
              </w:rPr>
            </w:pPr>
          </w:p>
        </w:tc>
        <w:tc>
          <w:tcPr>
            <w:tcW w:w="1378"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00B050"/>
            <w:vAlign w:val="center"/>
          </w:tcPr>
          <w:p>
            <w:pPr>
              <w:spacing w:before="180" w:after="180"/>
              <w:jc w:val="center"/>
              <w:rPr>
                <w:rFonts w:ascii="Times New Roman" w:hAnsi="Times New Roman" w:cs="Times New Roman"/>
                <w:noProof/>
                <w:sz w:val="20"/>
                <w:szCs w:val="20"/>
              </w:rPr>
            </w:pPr>
          </w:p>
        </w:tc>
        <w:tc>
          <w:tcPr>
            <w:tcW w:w="1146" w:type="dxa"/>
            <w:shd w:val="clear" w:color="auto" w:fill="00B050"/>
            <w:vAlign w:val="center"/>
          </w:tcPr>
          <w:p>
            <w:pPr>
              <w:spacing w:before="180" w:after="180"/>
              <w:jc w:val="center"/>
              <w:rPr>
                <w:rFonts w:ascii="Times New Roman" w:hAnsi="Times New Roman" w:cs="Times New Roman"/>
                <w:noProof/>
                <w:sz w:val="20"/>
                <w:szCs w:val="20"/>
              </w:rPr>
            </w:pPr>
          </w:p>
        </w:tc>
      </w:tr>
      <w:tr>
        <w:trPr>
          <w:jc w:val="center"/>
        </w:trPr>
        <w:tc>
          <w:tcPr>
            <w:tcW w:w="3085" w:type="dxa"/>
            <w:tcBorders>
              <w:bottom w:val="single" w:sz="4" w:space="0" w:color="auto"/>
            </w:tcBorders>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Европейска информационна система за регистрите за съдимост</w:t>
            </w:r>
            <w:r>
              <w:rPr>
                <w:rStyle w:val="FootnoteReference"/>
                <w:rFonts w:ascii="Times New Roman" w:hAnsi="Times New Roman"/>
                <w:noProof/>
                <w:sz w:val="20"/>
              </w:rPr>
              <w:footnoteReference w:id="16"/>
            </w:r>
          </w:p>
        </w:tc>
        <w:tc>
          <w:tcPr>
            <w:tcW w:w="2521" w:type="dxa"/>
            <w:tcBorders>
              <w:bottom w:val="single" w:sz="4" w:space="0" w:color="auto"/>
            </w:tcBorders>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Предложения от януари 2016 г., допълнени през юни 2017 г.; последна фаза на тристранните обсъждания.</w:t>
            </w:r>
          </w:p>
        </w:tc>
        <w:tc>
          <w:tcPr>
            <w:tcW w:w="1378" w:type="dxa"/>
            <w:tcBorders>
              <w:bottom w:val="single" w:sz="4" w:space="0" w:color="auto"/>
            </w:tcBorders>
            <w:shd w:val="clear" w:color="auto" w:fill="00B050"/>
            <w:vAlign w:val="center"/>
          </w:tcPr>
          <w:p>
            <w:pPr>
              <w:spacing w:before="180" w:after="180"/>
              <w:jc w:val="center"/>
              <w:rPr>
                <w:rFonts w:ascii="Times New Roman" w:hAnsi="Times New Roman" w:cs="Times New Roman"/>
                <w:noProof/>
                <w:sz w:val="20"/>
                <w:szCs w:val="20"/>
              </w:rPr>
            </w:pPr>
          </w:p>
        </w:tc>
        <w:tc>
          <w:tcPr>
            <w:tcW w:w="1276" w:type="dxa"/>
            <w:tcBorders>
              <w:bottom w:val="single" w:sz="4" w:space="0" w:color="auto"/>
            </w:tcBorders>
            <w:shd w:val="clear" w:color="auto" w:fill="FFFF00"/>
            <w:vAlign w:val="center"/>
          </w:tcPr>
          <w:p>
            <w:pPr>
              <w:spacing w:before="180" w:after="180"/>
              <w:jc w:val="center"/>
              <w:rPr>
                <w:rFonts w:ascii="Times New Roman" w:hAnsi="Times New Roman" w:cs="Times New Roman"/>
                <w:noProof/>
                <w:sz w:val="20"/>
                <w:szCs w:val="20"/>
              </w:rPr>
            </w:pPr>
          </w:p>
        </w:tc>
        <w:tc>
          <w:tcPr>
            <w:tcW w:w="1146" w:type="dxa"/>
            <w:tcBorders>
              <w:bottom w:val="single" w:sz="4" w:space="0" w:color="auto"/>
            </w:tcBorders>
            <w:shd w:val="clear" w:color="auto" w:fill="FFFF00"/>
            <w:vAlign w:val="center"/>
          </w:tcPr>
          <w:p>
            <w:pPr>
              <w:spacing w:before="180" w:after="180"/>
              <w:jc w:val="center"/>
              <w:rPr>
                <w:rFonts w:ascii="Times New Roman" w:hAnsi="Times New Roman" w:cs="Times New Roman"/>
                <w:noProof/>
                <w:sz w:val="20"/>
                <w:szCs w:val="20"/>
              </w:rPr>
            </w:pPr>
          </w:p>
        </w:tc>
      </w:tr>
      <w:tr>
        <w:trPr>
          <w:jc w:val="center"/>
        </w:trPr>
        <w:tc>
          <w:tcPr>
            <w:tcW w:w="3085" w:type="dxa"/>
            <w:tcBorders>
              <w:top w:val="single" w:sz="4" w:space="0" w:color="auto"/>
            </w:tcBorders>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Оперативна съвместимост на информационните системи на ЕС за управление на сигурността, границите и миграцията</w:t>
            </w:r>
            <w:r>
              <w:rPr>
                <w:rStyle w:val="FootnoteReference"/>
                <w:rFonts w:ascii="Times New Roman" w:hAnsi="Times New Roman"/>
                <w:noProof/>
                <w:sz w:val="20"/>
              </w:rPr>
              <w:footnoteReference w:id="17"/>
            </w:r>
          </w:p>
        </w:tc>
        <w:tc>
          <w:tcPr>
            <w:tcW w:w="2521" w:type="dxa"/>
            <w:tcBorders>
              <w:top w:val="single" w:sz="4" w:space="0" w:color="auto"/>
            </w:tcBorders>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Предложения от декември 2017 г.; изменени през юни 2018 г.; последна фаза на тристранните обсъждания.</w:t>
            </w:r>
          </w:p>
        </w:tc>
        <w:tc>
          <w:tcPr>
            <w:tcW w:w="1378" w:type="dxa"/>
            <w:tcBorders>
              <w:top w:val="single" w:sz="4" w:space="0" w:color="auto"/>
            </w:tcBorders>
            <w:shd w:val="clear" w:color="auto" w:fill="00B050"/>
            <w:vAlign w:val="center"/>
          </w:tcPr>
          <w:p>
            <w:pPr>
              <w:spacing w:before="180" w:after="180"/>
              <w:jc w:val="center"/>
              <w:rPr>
                <w:rFonts w:ascii="Times New Roman" w:hAnsi="Times New Roman" w:cs="Times New Roman"/>
                <w:noProof/>
                <w:sz w:val="20"/>
                <w:szCs w:val="20"/>
              </w:rPr>
            </w:pPr>
          </w:p>
        </w:tc>
        <w:tc>
          <w:tcPr>
            <w:tcW w:w="1276" w:type="dxa"/>
            <w:tcBorders>
              <w:top w:val="single" w:sz="4" w:space="0" w:color="auto"/>
            </w:tcBorders>
            <w:shd w:val="clear" w:color="auto" w:fill="FFFF00"/>
            <w:vAlign w:val="center"/>
          </w:tcPr>
          <w:p>
            <w:pPr>
              <w:spacing w:before="180" w:after="180"/>
              <w:jc w:val="center"/>
              <w:rPr>
                <w:rFonts w:ascii="Times New Roman" w:hAnsi="Times New Roman" w:cs="Times New Roman"/>
                <w:noProof/>
                <w:sz w:val="20"/>
                <w:szCs w:val="20"/>
              </w:rPr>
            </w:pPr>
          </w:p>
        </w:tc>
        <w:tc>
          <w:tcPr>
            <w:tcW w:w="1146" w:type="dxa"/>
            <w:tcBorders>
              <w:top w:val="single" w:sz="4" w:space="0" w:color="auto"/>
            </w:tcBorders>
            <w:shd w:val="clear" w:color="auto" w:fill="FFFF0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Трансграничен достъп на правоприлагащите органи до електронни доказателства</w:t>
            </w:r>
            <w:r>
              <w:rPr>
                <w:rStyle w:val="FootnoteReference"/>
                <w:rFonts w:ascii="Times New Roman" w:hAnsi="Times New Roman"/>
                <w:noProof/>
                <w:sz w:val="20"/>
              </w:rPr>
              <w:footnoteReference w:id="18"/>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Предложения от април 2018 г.; Съветът е приел своя мандат за водене на преговори; Европейският парламент трябва да приеме своя мандат за водене на преговори и да започне тристранни обсъждания.</w:t>
            </w:r>
          </w:p>
        </w:tc>
        <w:tc>
          <w:tcPr>
            <w:tcW w:w="1378"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F79646" w:themeFill="accent6"/>
            <w:vAlign w:val="center"/>
          </w:tcPr>
          <w:p>
            <w:pPr>
              <w:spacing w:before="180" w:after="180"/>
              <w:jc w:val="center"/>
              <w:rPr>
                <w:rFonts w:ascii="Times New Roman" w:hAnsi="Times New Roman" w:cs="Times New Roman"/>
                <w:noProof/>
                <w:sz w:val="20"/>
                <w:szCs w:val="20"/>
              </w:rPr>
            </w:pPr>
          </w:p>
        </w:tc>
        <w:tc>
          <w:tcPr>
            <w:tcW w:w="1146" w:type="dxa"/>
            <w:shd w:val="clear" w:color="auto" w:fill="FFFF0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Трансграничен достъп и използване на финансови данни от правоприлагащите органи</w:t>
            </w:r>
            <w:r>
              <w:rPr>
                <w:rStyle w:val="FootnoteReference"/>
                <w:rFonts w:ascii="Times New Roman" w:hAnsi="Times New Roman"/>
                <w:noProof/>
                <w:sz w:val="20"/>
              </w:rPr>
              <w:footnoteReference w:id="19"/>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април 2018 г.; Съветът е приел своя мандат за водене на преговори; съзаконодателите трябва да започнат тристранни обсъждания.</w:t>
            </w:r>
          </w:p>
        </w:tc>
        <w:tc>
          <w:tcPr>
            <w:tcW w:w="1378"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FFFF00"/>
            <w:vAlign w:val="center"/>
          </w:tcPr>
          <w:p>
            <w:pPr>
              <w:spacing w:before="180" w:after="180"/>
              <w:jc w:val="center"/>
              <w:rPr>
                <w:rFonts w:ascii="Times New Roman" w:hAnsi="Times New Roman" w:cs="Times New Roman"/>
                <w:noProof/>
                <w:sz w:val="20"/>
                <w:szCs w:val="20"/>
              </w:rPr>
            </w:pPr>
          </w:p>
        </w:tc>
        <w:tc>
          <w:tcPr>
            <w:tcW w:w="1146" w:type="dxa"/>
            <w:shd w:val="clear" w:color="auto" w:fill="FFFF00"/>
            <w:vAlign w:val="center"/>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rPr>
            </w:pPr>
            <w:r>
              <w:rPr>
                <w:rFonts w:ascii="Times New Roman" w:hAnsi="Times New Roman"/>
                <w:noProof/>
                <w:sz w:val="20"/>
              </w:rPr>
              <w:t>Укрепване на системата Евродак</w:t>
            </w:r>
            <w:r>
              <w:rPr>
                <w:rStyle w:val="FootnoteReference"/>
                <w:rFonts w:ascii="Times New Roman" w:hAnsi="Times New Roman"/>
                <w:noProof/>
                <w:sz w:val="20"/>
              </w:rPr>
              <w:footnoteReference w:id="20"/>
            </w:r>
          </w:p>
        </w:tc>
        <w:tc>
          <w:tcPr>
            <w:tcW w:w="2521" w:type="dxa"/>
            <w:vAlign w:val="center"/>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май 2016 г.; Европейският парламент и Съветът трябва да приключат тристранните обсъждания.</w:t>
            </w:r>
          </w:p>
        </w:tc>
        <w:tc>
          <w:tcPr>
            <w:tcW w:w="1378" w:type="dxa"/>
            <w:shd w:val="clear" w:color="auto" w:fill="00B050"/>
            <w:vAlign w:val="center"/>
          </w:tcPr>
          <w:p>
            <w:pPr>
              <w:spacing w:before="180" w:after="180"/>
              <w:jc w:val="center"/>
              <w:rPr>
                <w:rFonts w:ascii="Times New Roman" w:hAnsi="Times New Roman" w:cs="Times New Roman"/>
                <w:noProof/>
                <w:sz w:val="20"/>
                <w:szCs w:val="20"/>
              </w:rPr>
            </w:pPr>
          </w:p>
        </w:tc>
        <w:tc>
          <w:tcPr>
            <w:tcW w:w="1276" w:type="dxa"/>
            <w:shd w:val="clear" w:color="auto" w:fill="F79646" w:themeFill="accent6"/>
            <w:vAlign w:val="center"/>
          </w:tcPr>
          <w:p>
            <w:pPr>
              <w:spacing w:before="180" w:after="180"/>
              <w:jc w:val="center"/>
              <w:rPr>
                <w:rFonts w:ascii="Times New Roman" w:hAnsi="Times New Roman" w:cs="Times New Roman"/>
                <w:noProof/>
                <w:sz w:val="20"/>
                <w:szCs w:val="20"/>
              </w:rPr>
            </w:pPr>
          </w:p>
        </w:tc>
        <w:tc>
          <w:tcPr>
            <w:tcW w:w="1146" w:type="dxa"/>
            <w:shd w:val="clear" w:color="auto" w:fill="F79646" w:themeFill="accent6"/>
            <w:vAlign w:val="center"/>
          </w:tcPr>
          <w:p>
            <w:pPr>
              <w:spacing w:before="180" w:after="180"/>
              <w:jc w:val="center"/>
              <w:rPr>
                <w:rFonts w:ascii="Times New Roman" w:hAnsi="Times New Roman" w:cs="Times New Roman"/>
                <w:noProof/>
                <w:sz w:val="20"/>
                <w:szCs w:val="20"/>
              </w:rPr>
            </w:pPr>
          </w:p>
        </w:tc>
      </w:tr>
    </w:tbl>
    <w:p>
      <w:pPr>
        <w:rPr>
          <w:rFonts w:ascii="Times New Roman" w:hAnsi="Times New Roman" w:cs="Times New Roman"/>
          <w:noProof/>
        </w:rPr>
      </w:pPr>
    </w:p>
    <w:p>
      <w:pPr>
        <w:rPr>
          <w:rStyle w:val="A13"/>
          <w:rFonts w:ascii="Times New Roman" w:hAnsi="Times New Roman" w:cs="Times New Roman"/>
          <w:noProof/>
          <w:sz w:val="23"/>
          <w:szCs w:val="23"/>
        </w:rPr>
      </w:pPr>
      <w:r>
        <w:rPr>
          <w:noProof/>
        </w:rPr>
        <w:br w:type="page"/>
      </w:r>
    </w:p>
    <w:p>
      <w:pPr>
        <w:pStyle w:val="Pa35"/>
        <w:rPr>
          <w:rFonts w:ascii="Times New Roman" w:hAnsi="Times New Roman" w:cs="Times New Roman"/>
          <w:noProof/>
        </w:rPr>
      </w:pPr>
      <w:r>
        <w:rPr>
          <w:rStyle w:val="A13"/>
          <w:rFonts w:ascii="Times New Roman" w:hAnsi="Times New Roman"/>
          <w:noProof/>
          <w:sz w:val="23"/>
        </w:rPr>
        <w:t xml:space="preserve">III) </w:t>
      </w:r>
      <w:r>
        <w:rPr>
          <w:rStyle w:val="A13"/>
          <w:rFonts w:ascii="Times New Roman" w:hAnsi="Times New Roman"/>
          <w:noProof/>
          <w:color w:val="auto"/>
          <w:sz w:val="23"/>
        </w:rPr>
        <w:t>Други законодателни инициативи, които са в процес на обсъждане в рамките на Съюза на сигурност</w:t>
      </w:r>
      <w:r>
        <w:rPr>
          <w:rStyle w:val="A13"/>
          <w:rFonts w:ascii="Times New Roman" w:hAnsi="Times New Roman" w:cs="Times New Roman"/>
          <w:noProof/>
          <w:color w:val="auto"/>
          <w:sz w:val="23"/>
          <w:szCs w:val="23"/>
        </w:rPr>
        <w:br/>
      </w:r>
    </w:p>
    <w:tbl>
      <w:tblPr>
        <w:tblStyle w:val="TableGrid"/>
        <w:tblW w:w="0" w:type="auto"/>
        <w:jc w:val="center"/>
        <w:tblLook w:val="04A0" w:firstRow="1" w:lastRow="0" w:firstColumn="1" w:lastColumn="0" w:noHBand="0" w:noVBand="1"/>
      </w:tblPr>
      <w:tblGrid>
        <w:gridCol w:w="3085"/>
        <w:gridCol w:w="2521"/>
        <w:gridCol w:w="1400"/>
        <w:gridCol w:w="1417"/>
        <w:gridCol w:w="1536"/>
      </w:tblGrid>
      <w:tr>
        <w:trPr>
          <w:jc w:val="center"/>
        </w:trPr>
        <w:tc>
          <w:tcPr>
            <w:tcW w:w="3085" w:type="dxa"/>
            <w:vAlign w:val="center"/>
          </w:tcPr>
          <w:p>
            <w:pPr>
              <w:jc w:val="center"/>
              <w:rPr>
                <w:rFonts w:ascii="Times New Roman" w:hAnsi="Times New Roman" w:cs="Times New Roman"/>
                <w:b/>
                <w:noProof/>
              </w:rPr>
            </w:pPr>
            <w:r>
              <w:rPr>
                <w:rFonts w:ascii="Times New Roman" w:hAnsi="Times New Roman"/>
                <w:b/>
                <w:noProof/>
              </w:rPr>
              <w:t>Политика</w:t>
            </w:r>
          </w:p>
        </w:tc>
        <w:tc>
          <w:tcPr>
            <w:tcW w:w="2521" w:type="dxa"/>
            <w:vAlign w:val="center"/>
          </w:tcPr>
          <w:p>
            <w:pPr>
              <w:jc w:val="center"/>
              <w:rPr>
                <w:rFonts w:ascii="Times New Roman" w:hAnsi="Times New Roman" w:cs="Times New Roman"/>
                <w:b/>
                <w:noProof/>
              </w:rPr>
            </w:pPr>
            <w:r>
              <w:rPr>
                <w:rFonts w:ascii="Times New Roman" w:hAnsi="Times New Roman"/>
                <w:b/>
                <w:noProof/>
              </w:rPr>
              <w:t>Описание</w:t>
            </w:r>
          </w:p>
        </w:tc>
        <w:tc>
          <w:tcPr>
            <w:tcW w:w="1378" w:type="dxa"/>
            <w:vAlign w:val="center"/>
          </w:tcPr>
          <w:p>
            <w:pPr>
              <w:jc w:val="center"/>
              <w:rPr>
                <w:rFonts w:ascii="Times New Roman" w:hAnsi="Times New Roman" w:cs="Times New Roman"/>
                <w:b/>
                <w:noProof/>
              </w:rPr>
            </w:pPr>
            <w:r>
              <w:rPr>
                <w:rFonts w:ascii="Times New Roman" w:hAnsi="Times New Roman"/>
                <w:b/>
                <w:noProof/>
              </w:rPr>
              <w:t>Европейска комисия</w:t>
            </w:r>
          </w:p>
        </w:tc>
        <w:tc>
          <w:tcPr>
            <w:tcW w:w="1276" w:type="dxa"/>
            <w:vAlign w:val="center"/>
          </w:tcPr>
          <w:p>
            <w:pPr>
              <w:jc w:val="center"/>
              <w:rPr>
                <w:rFonts w:ascii="Times New Roman" w:hAnsi="Times New Roman" w:cs="Times New Roman"/>
                <w:b/>
                <w:noProof/>
              </w:rPr>
            </w:pPr>
            <w:r>
              <w:rPr>
                <w:rFonts w:ascii="Times New Roman" w:hAnsi="Times New Roman"/>
                <w:b/>
                <w:noProof/>
              </w:rPr>
              <w:t>Европейски парламент</w:t>
            </w:r>
          </w:p>
        </w:tc>
        <w:tc>
          <w:tcPr>
            <w:tcW w:w="1146" w:type="dxa"/>
            <w:vAlign w:val="center"/>
          </w:tcPr>
          <w:p>
            <w:pPr>
              <w:jc w:val="center"/>
              <w:rPr>
                <w:rFonts w:ascii="Times New Roman" w:hAnsi="Times New Roman" w:cs="Times New Roman"/>
                <w:b/>
                <w:noProof/>
              </w:rPr>
            </w:pPr>
            <w:r>
              <w:rPr>
                <w:rFonts w:ascii="Times New Roman" w:hAnsi="Times New Roman"/>
                <w:b/>
                <w:noProof/>
              </w:rPr>
              <w:t>Съвет на Европейския съюз</w:t>
            </w: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Борба с измамата и подправянето на непарични платежни средства</w:t>
            </w:r>
            <w:r>
              <w:rPr>
                <w:rStyle w:val="FootnoteReference"/>
                <w:rFonts w:ascii="Times New Roman" w:hAnsi="Times New Roman"/>
                <w:noProof/>
                <w:sz w:val="20"/>
              </w:rPr>
              <w:footnoteReference w:id="21"/>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Предложение от септември 2017 г.; тристранните обсъждания са в ход.</w:t>
            </w:r>
          </w:p>
        </w:tc>
        <w:tc>
          <w:tcPr>
            <w:tcW w:w="1378"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FFF00"/>
          </w:tcPr>
          <w:p>
            <w:pPr>
              <w:spacing w:before="180" w:after="180"/>
              <w:jc w:val="center"/>
              <w:rPr>
                <w:rFonts w:ascii="Times New Roman" w:hAnsi="Times New Roman" w:cs="Times New Roman"/>
                <w:noProof/>
                <w:sz w:val="20"/>
                <w:szCs w:val="20"/>
              </w:rPr>
            </w:pPr>
          </w:p>
        </w:tc>
        <w:tc>
          <w:tcPr>
            <w:tcW w:w="1146" w:type="dxa"/>
            <w:shd w:val="clear" w:color="auto" w:fill="FFFF00"/>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Ограничаване на предлагането на пазара и използването на прекурсори на взривни вещества</w:t>
            </w:r>
            <w:r>
              <w:rPr>
                <w:rStyle w:val="FootnoteReference"/>
                <w:rFonts w:ascii="Times New Roman" w:hAnsi="Times New Roman"/>
                <w:noProof/>
                <w:sz w:val="20"/>
              </w:rPr>
              <w:footnoteReference w:id="22"/>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април 2018 г.; Европейският парламент и Съветът трябва да приемат своите мандати за водене на преговори и да започнат тристранни обсъждания.</w:t>
            </w:r>
          </w:p>
        </w:tc>
        <w:tc>
          <w:tcPr>
            <w:tcW w:w="1378"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79646" w:themeFill="accent6"/>
          </w:tcPr>
          <w:p>
            <w:pPr>
              <w:spacing w:before="180" w:after="180"/>
              <w:jc w:val="center"/>
              <w:rPr>
                <w:rFonts w:ascii="Times New Roman" w:hAnsi="Times New Roman" w:cs="Times New Roman"/>
                <w:noProof/>
                <w:sz w:val="20"/>
                <w:szCs w:val="20"/>
              </w:rPr>
            </w:pPr>
          </w:p>
        </w:tc>
        <w:tc>
          <w:tcPr>
            <w:tcW w:w="1146" w:type="dxa"/>
            <w:shd w:val="clear" w:color="auto" w:fill="F79646" w:themeFill="accent6"/>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Подобряване на защитните елементи на националните лични карти и документи за пребиваване</w:t>
            </w:r>
            <w:r>
              <w:rPr>
                <w:rStyle w:val="FootnoteReference"/>
                <w:rFonts w:ascii="Times New Roman" w:hAnsi="Times New Roman"/>
                <w:noProof/>
                <w:sz w:val="20"/>
              </w:rPr>
              <w:footnoteReference w:id="23"/>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април 2018 г.; Европейският парламент и Съветът са приели своите мандати за водене на преговори и трябва да започнат тристранни обсъждания.</w:t>
            </w:r>
          </w:p>
        </w:tc>
        <w:tc>
          <w:tcPr>
            <w:tcW w:w="1378"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FFF00"/>
          </w:tcPr>
          <w:p>
            <w:pPr>
              <w:spacing w:before="180" w:after="180"/>
              <w:jc w:val="center"/>
              <w:rPr>
                <w:rFonts w:ascii="Times New Roman" w:hAnsi="Times New Roman" w:cs="Times New Roman"/>
                <w:noProof/>
                <w:sz w:val="20"/>
                <w:szCs w:val="20"/>
              </w:rPr>
            </w:pPr>
          </w:p>
        </w:tc>
        <w:tc>
          <w:tcPr>
            <w:tcW w:w="1146" w:type="dxa"/>
            <w:shd w:val="clear" w:color="auto" w:fill="FFFF00"/>
          </w:tcPr>
          <w:p>
            <w:pPr>
              <w:spacing w:before="180" w:after="180"/>
              <w:jc w:val="center"/>
              <w:rPr>
                <w:rFonts w:ascii="Times New Roman" w:hAnsi="Times New Roman" w:cs="Times New Roman"/>
                <w:noProof/>
                <w:sz w:val="20"/>
                <w:szCs w:val="20"/>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rPr>
            </w:pPr>
            <w:r>
              <w:rPr>
                <w:rFonts w:ascii="Times New Roman" w:hAnsi="Times New Roman"/>
                <w:noProof/>
                <w:sz w:val="20"/>
              </w:rPr>
              <w:t>Укрепване на Визовата информационна система</w:t>
            </w:r>
            <w:r>
              <w:rPr>
                <w:rStyle w:val="FootnoteReference"/>
                <w:rFonts w:ascii="Times New Roman" w:hAnsi="Times New Roman"/>
                <w:noProof/>
                <w:sz w:val="20"/>
              </w:rPr>
              <w:footnoteReference w:id="24"/>
            </w:r>
          </w:p>
        </w:tc>
        <w:tc>
          <w:tcPr>
            <w:tcW w:w="2521" w:type="dxa"/>
          </w:tcPr>
          <w:p>
            <w:pPr>
              <w:spacing w:before="180" w:after="180"/>
              <w:rPr>
                <w:rFonts w:ascii="Times New Roman" w:hAnsi="Times New Roman" w:cs="Times New Roman"/>
                <w:noProof/>
                <w:sz w:val="20"/>
                <w:szCs w:val="20"/>
              </w:rPr>
            </w:pPr>
            <w:r>
              <w:rPr>
                <w:rFonts w:ascii="Times New Roman" w:hAnsi="Times New Roman"/>
                <w:noProof/>
                <w:sz w:val="20"/>
              </w:rPr>
              <w:t>Предложение от май 2018 г.; Европейският парламент и Съветът трябва да приемат своите мандати за водене на преговори и да започнат тристранни обсъждания.</w:t>
            </w:r>
          </w:p>
        </w:tc>
        <w:tc>
          <w:tcPr>
            <w:tcW w:w="1378" w:type="dxa"/>
            <w:shd w:val="clear" w:color="auto" w:fill="00B050"/>
          </w:tcPr>
          <w:p>
            <w:pPr>
              <w:spacing w:before="180" w:after="180"/>
              <w:jc w:val="center"/>
              <w:rPr>
                <w:rFonts w:ascii="Times New Roman" w:hAnsi="Times New Roman" w:cs="Times New Roman"/>
                <w:noProof/>
                <w:sz w:val="20"/>
                <w:szCs w:val="20"/>
              </w:rPr>
            </w:pPr>
          </w:p>
        </w:tc>
        <w:tc>
          <w:tcPr>
            <w:tcW w:w="1276" w:type="dxa"/>
            <w:shd w:val="clear" w:color="auto" w:fill="F79646" w:themeFill="accent6"/>
          </w:tcPr>
          <w:p>
            <w:pPr>
              <w:spacing w:before="180" w:after="180"/>
              <w:jc w:val="center"/>
              <w:rPr>
                <w:rFonts w:ascii="Times New Roman" w:hAnsi="Times New Roman" w:cs="Times New Roman"/>
                <w:noProof/>
                <w:sz w:val="20"/>
                <w:szCs w:val="20"/>
              </w:rPr>
            </w:pPr>
          </w:p>
        </w:tc>
        <w:tc>
          <w:tcPr>
            <w:tcW w:w="1146" w:type="dxa"/>
            <w:shd w:val="clear" w:color="auto" w:fill="F79646" w:themeFill="accent6"/>
          </w:tcPr>
          <w:p>
            <w:pPr>
              <w:spacing w:before="180" w:after="180"/>
              <w:jc w:val="center"/>
              <w:rPr>
                <w:rFonts w:ascii="Times New Roman" w:hAnsi="Times New Roman" w:cs="Times New Roman"/>
                <w:noProof/>
                <w:sz w:val="20"/>
                <w:szCs w:val="20"/>
              </w:rPr>
            </w:pPr>
          </w:p>
        </w:tc>
      </w:tr>
    </w:tbl>
    <w:p>
      <w:pPr>
        <w:tabs>
          <w:tab w:val="left" w:pos="6345"/>
        </w:tabs>
        <w:rPr>
          <w:rFonts w:ascii="Times New Roman" w:hAnsi="Times New Roman" w:cs="Times New Roman"/>
          <w:noProof/>
          <w:sz w:val="2"/>
          <w:szCs w:val="2"/>
        </w:rPr>
      </w:pPr>
    </w:p>
    <w:sectPr>
      <w:headerReference w:type="even" r:id="rId15"/>
      <w:headerReference w:type="default" r:id="rId16"/>
      <w:footerReference w:type="even" r:id="rId17"/>
      <w:footerReference w:type="default" r:id="rId18"/>
      <w:headerReference w:type="first" r:id="rId19"/>
      <w:footerReference w:type="first" r:id="rId20"/>
      <w:pgSz w:w="11910" w:h="16840"/>
      <w:pgMar w:top="1020" w:right="400" w:bottom="0" w:left="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1739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https://ec.europa.eu/commission/sites/beta-political/files/soteu2018-speech_bg_0.pdf</w:t>
        </w:r>
      </w:hyperlink>
      <w:r>
        <w:rPr>
          <w:rFonts w:ascii="Times New Roman" w:hAnsi="Times New Roman"/>
        </w:rPr>
        <w:t xml:space="preserve">. Вж. също писмото на председателя Юнкер за намеренията: </w:t>
      </w:r>
      <w:hyperlink r:id="rId2">
        <w:r>
          <w:rPr>
            <w:rStyle w:val="Hyperlink"/>
            <w:rFonts w:ascii="Times New Roman" w:hAnsi="Times New Roman"/>
          </w:rPr>
          <w:t>https://ec.europa.eu/commission/sites/beta-political/files/soteu2018-letter-of-intent_bg.pdf</w:t>
        </w:r>
      </w:hyperlink>
      <w:r>
        <w:rPr>
          <w:rFonts w:ascii="Times New Roman" w:hAnsi="Times New Roman"/>
        </w:rPr>
        <w:t>.</w:t>
      </w:r>
    </w:p>
  </w:footnote>
  <w:footnote w:id="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640 final, 12.9.2018 г.</w:t>
      </w:r>
    </w:p>
  </w:footnote>
  <w:footnote w:id="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641 final, 12.9.2018 г.</w:t>
      </w:r>
    </w:p>
  </w:footnote>
  <w:footnote w:id="4">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636 final, 12.9.2018 г.</w:t>
      </w:r>
    </w:p>
  </w:footnote>
  <w:footnote w:id="5">
    <w:p>
      <w:pPr>
        <w:pStyle w:val="FootnoteText"/>
        <w:ind w:left="567" w:hanging="567"/>
        <w:jc w:val="both"/>
        <w:rPr>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631 final, 12.9.2018 г.</w:t>
      </w:r>
      <w:r>
        <w:t xml:space="preserve">  </w:t>
      </w:r>
    </w:p>
  </w:footnote>
  <w:footnote w:id="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630 final, 12.9.2018 г.</w:t>
      </w:r>
    </w:p>
  </w:footnote>
  <w:footnote w:id="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https://ec.europa.eu/commission/sites/beta-political/files/joint-declaration-eu-legislative-priorities-2018-19_en.pdf</w:t>
        </w:r>
      </w:hyperlink>
      <w:r>
        <w:rPr>
          <w:rFonts w:ascii="Times New Roman" w:hAnsi="Times New Roman"/>
        </w:rPr>
        <w:t>.</w:t>
      </w:r>
    </w:p>
  </w:footnote>
  <w:footnote w:id="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731 final, 16.11.2016 г.</w:t>
      </w:r>
    </w:p>
  </w:footnote>
  <w:footnote w:id="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352 final, 29.6.2017 г.</w:t>
      </w:r>
    </w:p>
  </w:footnote>
  <w:footnote w:id="1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881 final, 21.12.2016 г., COM(2016) 882 final, 21.12.2016 г. и COM(2016) 883 final, 21.12.2016 г.</w:t>
      </w:r>
    </w:p>
  </w:footnote>
  <w:footnote w:id="11">
    <w:p>
      <w:pPr>
        <w:pStyle w:val="FootnoteText"/>
        <w:ind w:left="567" w:hanging="567"/>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2018/841, 30.5.2018 г.</w:t>
      </w:r>
    </w:p>
  </w:footnote>
  <w:footnote w:id="12">
    <w:p>
      <w:pPr>
        <w:pStyle w:val="FootnoteText"/>
        <w:ind w:left="567" w:hanging="567"/>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2017/2226, 30.11.2017 г.</w:t>
      </w:r>
    </w:p>
  </w:footnote>
  <w:footnote w:id="13">
    <w:p>
      <w:pPr>
        <w:pStyle w:val="FootnoteText"/>
        <w:ind w:left="567" w:hanging="567"/>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2017/853, 17.5.2017 г.</w:t>
      </w:r>
    </w:p>
  </w:footnote>
  <w:footnote w:id="14">
    <w:p>
      <w:pPr>
        <w:pStyle w:val="FootnoteText"/>
        <w:ind w:left="567" w:hanging="567"/>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2017/541, 15.3.2017 г.</w:t>
      </w:r>
    </w:p>
  </w:footnote>
  <w:footnote w:id="15">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477 final, 13.9.2017 г.</w:t>
      </w:r>
    </w:p>
  </w:footnote>
  <w:footnote w:id="16">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7 final, 19.1.2016 г. и COM(2017) 344 final, 29.6.2017 г.</w:t>
      </w:r>
    </w:p>
  </w:footnote>
  <w:footnote w:id="17">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793 final, 12.12.2017 г., COM(2017) 794 final, 12.12.2017 г., COM(2018) 478 final, 13.6.2018 г. и COM(2018) 480 final, 13.6.2018 г.</w:t>
      </w:r>
    </w:p>
  </w:footnote>
  <w:footnote w:id="18">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225 final, 17.4.2018 г. и COM(2018) 226 final, 17.4.2018 г.</w:t>
      </w:r>
    </w:p>
  </w:footnote>
  <w:footnote w:id="19">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213 final, 17.4.2018 г.</w:t>
      </w:r>
    </w:p>
  </w:footnote>
  <w:footnote w:id="20">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272 final, 4.5.2016 г.</w:t>
      </w:r>
    </w:p>
  </w:footnote>
  <w:footnote w:id="21">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489 final, 13.9.2017 г.</w:t>
      </w:r>
    </w:p>
  </w:footnote>
  <w:footnote w:id="22">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209 final, 17.4.2018 г.</w:t>
      </w:r>
    </w:p>
  </w:footnote>
  <w:footnote w:id="23">
    <w:p>
      <w:pPr>
        <w:pStyle w:val="FootnoteText"/>
        <w:ind w:left="567" w:hanging="56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212 final, 17.4.2018 г.</w:t>
      </w:r>
    </w:p>
  </w:footnote>
  <w:footnote w:id="24">
    <w:p>
      <w:pPr>
        <w:tabs>
          <w:tab w:val="left" w:pos="567"/>
        </w:tabs>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z w:val="20"/>
        </w:rPr>
        <w:t>COM(2018) 302 final, 16.5.2018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EGL Julian (CAB-KING)">
    <w15:presenceInfo w15:providerId="None" w15:userId="SIEGL Julian (CAB-KING)"/>
  </w15:person>
  <w15:person w15:author="BESSOT Nicolas (HOME)">
    <w15:presenceInfo w15:providerId="None" w15:userId="BESSOT Nicolas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271F08C-B489-44FE-BA24-C8848DE5BF04"/>
    <w:docVar w:name="LW_COVERPAGE_TYPE" w:val="1"/>
    <w:docVar w:name="LW_CROSSREFERENCE" w:val="&lt;UNUSED&gt;"/>
    <w:docVar w:name="LW_DocType" w:val="NORMAL"/>
    <w:docVar w:name="LW_EMISSION" w:val="11.12.2018"/>
    <w:docVar w:name="LW_EMISSION_ISODATE" w:val="2018-12-11"/>
    <w:docVar w:name="LW_EMISSION_LOCATION" w:val="STR"/>
    <w:docVar w:name="LW_EMISSION_PREFIX" w:val="Страсбург,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7?\u1077?\u1076?\u1077?\u1084?\u1085?\u1072?\u1076?\u1077?\u1089?\u1077?\u1090?\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_x000b__x000b_\u1057?\u1087?\u1080?\u1089?\u1098?\u1082? \u1089?\u1098?\u1089? \u1079?\u1072?\u1082?\u1086?\u1085?\u1086?\u1076?\u1072?\u1090?\u1077?\u1083?\u1085?\u1080? \u1080?\u1085?\u1080?\u1094?\u1080?\u1072?\u1090?\u1080?\u1074?\u1080?_x000b_ _x000b__x000b_"/>
    <w:docVar w:name="LW_PART_NBR" w:val="1"/>
    <w:docVar w:name="LW_PART_NBR_TOTAL" w:val="1"/>
    <w:docVar w:name="LW_REF.INST.NEW" w:val="COM"/>
    <w:docVar w:name="LW_REF.INST.NEW_ADOPTED" w:val="final"/>
    <w:docVar w:name="LW_REF.INST.NEW_TEXT" w:val="(2018) 8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odyText">
    <w:name w:val="Body Text"/>
    <w:basedOn w:val="Normal"/>
    <w:link w:val="BodyTextChar"/>
    <w:uiPriority w:val="1"/>
    <w:qFormat/>
    <w:pPr>
      <w:widowControl w:val="0"/>
      <w:autoSpaceDE w:val="0"/>
      <w:autoSpaceDN w:val="0"/>
      <w:spacing w:before="4" w:after="0" w:line="240" w:lineRule="auto"/>
      <w:ind w:left="40"/>
    </w:pPr>
    <w:rPr>
      <w:rFonts w:ascii="EC Square Sans Pro" w:eastAsia="EC Square Sans Pro" w:hAnsi="EC Square Sans Pro" w:cs="EC Square Sans Pro"/>
      <w:sz w:val="18"/>
      <w:szCs w:val="18"/>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sz w:val="18"/>
      <w:szCs w:val="18"/>
      <w:lang w:eastAsia="bg-BG" w:bidi="bg-BG"/>
    </w:rPr>
  </w:style>
  <w:style w:type="character" w:styleId="Hyperlink">
    <w:name w:val="Hyperlink"/>
    <w:basedOn w:val="DefaultParagraphFont"/>
    <w:uiPriority w:val="99"/>
    <w:unhideWhenUsed/>
    <w:rPr>
      <w:color w:val="0000FF" w:themeColor="hyperlink"/>
      <w:u w:val="single"/>
    </w:rPr>
  </w:style>
  <w:style w:type="paragraph" w:customStyle="1" w:styleId="Pa35">
    <w:name w:val="Pa35"/>
    <w:basedOn w:val="Normal"/>
    <w:next w:val="Normal"/>
    <w:uiPriority w:val="99"/>
    <w:pPr>
      <w:autoSpaceDE w:val="0"/>
      <w:autoSpaceDN w:val="0"/>
      <w:adjustRightInd w:val="0"/>
      <w:spacing w:after="0" w:line="195" w:lineRule="atLeast"/>
    </w:pPr>
    <w:rPr>
      <w:rFonts w:ascii="EC Square Sans Pro" w:hAnsi="EC Square Sans Pro"/>
      <w:sz w:val="24"/>
      <w:szCs w:val="24"/>
    </w:rPr>
  </w:style>
  <w:style w:type="character" w:customStyle="1" w:styleId="A13">
    <w:name w:val="A13"/>
    <w:uiPriority w:val="99"/>
    <w:rPr>
      <w:rFonts w:cs="EC Square Sans Pro"/>
      <w:b/>
      <w:bCs/>
      <w:color w:val="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odyText">
    <w:name w:val="Body Text"/>
    <w:basedOn w:val="Normal"/>
    <w:link w:val="BodyTextChar"/>
    <w:uiPriority w:val="1"/>
    <w:qFormat/>
    <w:pPr>
      <w:widowControl w:val="0"/>
      <w:autoSpaceDE w:val="0"/>
      <w:autoSpaceDN w:val="0"/>
      <w:spacing w:before="4" w:after="0" w:line="240" w:lineRule="auto"/>
      <w:ind w:left="40"/>
    </w:pPr>
    <w:rPr>
      <w:rFonts w:ascii="EC Square Sans Pro" w:eastAsia="EC Square Sans Pro" w:hAnsi="EC Square Sans Pro" w:cs="EC Square Sans Pro"/>
      <w:sz w:val="18"/>
      <w:szCs w:val="18"/>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sz w:val="18"/>
      <w:szCs w:val="18"/>
      <w:lang w:eastAsia="bg-BG" w:bidi="bg-BG"/>
    </w:rPr>
  </w:style>
  <w:style w:type="character" w:styleId="Hyperlink">
    <w:name w:val="Hyperlink"/>
    <w:basedOn w:val="DefaultParagraphFont"/>
    <w:uiPriority w:val="99"/>
    <w:unhideWhenUsed/>
    <w:rPr>
      <w:color w:val="0000FF" w:themeColor="hyperlink"/>
      <w:u w:val="single"/>
    </w:rPr>
  </w:style>
  <w:style w:type="paragraph" w:customStyle="1" w:styleId="Pa35">
    <w:name w:val="Pa35"/>
    <w:basedOn w:val="Normal"/>
    <w:next w:val="Normal"/>
    <w:uiPriority w:val="99"/>
    <w:pPr>
      <w:autoSpaceDE w:val="0"/>
      <w:autoSpaceDN w:val="0"/>
      <w:adjustRightInd w:val="0"/>
      <w:spacing w:after="0" w:line="195" w:lineRule="atLeast"/>
    </w:pPr>
    <w:rPr>
      <w:rFonts w:ascii="EC Square Sans Pro" w:hAnsi="EC Square Sans Pro"/>
      <w:sz w:val="24"/>
      <w:szCs w:val="24"/>
    </w:rPr>
  </w:style>
  <w:style w:type="character" w:customStyle="1" w:styleId="A13">
    <w:name w:val="A13"/>
    <w:uiPriority w:val="99"/>
    <w:rPr>
      <w:rFonts w:cs="EC Square Sans Pro"/>
      <w:b/>
      <w:bCs/>
      <w:color w:val="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joint-declaration-eu-legislative-priorities-2018-19_en.pdf" TargetMode="External"/><Relationship Id="rId2" Type="http://schemas.openxmlformats.org/officeDocument/2006/relationships/hyperlink" Target="https://ec.europa.eu/commission/sites/beta-political/files/soteu2018-letter-of-intent_bg.pdf" TargetMode="External"/><Relationship Id="rId1" Type="http://schemas.openxmlformats.org/officeDocument/2006/relationships/hyperlink" Target="https://ec.europa.eu/commission/sites/beta-political/files/soteu2018-speech_bg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0983EE-916D-4EB3-A020-4EE9C42A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652</Words>
  <Characters>4097</Characters>
  <Application>Microsoft Office Word</Application>
  <DocSecurity>0</DocSecurity>
  <Lines>315</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WES PDFC Administrator</cp:lastModifiedBy>
  <cp:revision>13</cp:revision>
  <cp:lastPrinted>2018-10-03T13:10:00Z</cp:lastPrinted>
  <dcterms:created xsi:type="dcterms:W3CDTF">2018-12-11T07:59:00Z</dcterms:created>
  <dcterms:modified xsi:type="dcterms:W3CDTF">2019-01-11T16:07:00Z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