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69A258-820C-49FC-A2F6-5863D5F53FA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12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 ВЪВЕДЕНИЕ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документ е седемнадесетият доклад за напредъка по създаването на ефективен и истински Съюз на сигурност. Той обхваща развитието в две основни насоки: борбата с тероризма, организираната престъпност и средствата, които ги подкрепят, и укрепването на нашите защитни механизми и изграждането на устойчивост по отношение на тези заплахи. През последните месеци Европейският парламент и Съветът постигнаха значителен напредък по редица законодателни приоритети. Въпреки това все още предстои да бъде постигнато политическо споразумение за голям брой важни приоритетни досиета, а съзаконодателите трябва да положат допълнителни усилия. Следващите избори за Европейски парламент ще се проведат през май 2019 г., като времето е от съществено значение за изпълнението на неприети приоритетни предложения, представени от Комисията за завършването на Съюза на сигурност, както призова председателят Жан-Клод Юнкер в своята реч за състоянието на Съюза през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 заседанието на Европейския съвет</w:t>
      </w:r>
      <w:r>
        <w:rPr>
          <w:rStyle w:val="FootnoteReference"/>
          <w:noProof/>
          <w:sz w:val="24"/>
        </w:rPr>
        <w:footnoteReference w:id="2"/>
      </w:r>
      <w:r>
        <w:rPr>
          <w:rFonts w:ascii="Times New Roman" w:hAnsi="Times New Roman"/>
          <w:noProof/>
          <w:sz w:val="24"/>
        </w:rPr>
        <w:t xml:space="preserve"> на 18 октомври 2018 г. лидерите на ЕС потвърдиха отново ангажимента си за укрепване на вътрешната сигурност на Съюза, като признаха, че през последните години е постигнат реален напредък за укрепване на вътрешната сигурност чрез по-добро сътрудничество, конкретни мерки на място и приемането на голям брой правни текстове. Въз основа на това Европейският съвет призова за напредък по текущите законодателни предложения на Комисията за предотвратяване, реагиране и възпиране на кибератаки, предотвратяване на разпространението на терористично съдържание онлайн, осигуряване на бърз и ефективен трансграничен достъп до електронни доказателства, улесняване на достъпа до финансова информация и подобряване на оперативната съвместимост на информационните системи и базите данни. Настоящият доклад посочва актуалното състояние на преговорите по тези важни инициативи, като призовава съзаконодателите да работят за бързото им приемане (вж. също така списъка на всички инициативи в рамките на Съюза на сигурност в приложение I). Европейският съвет призова и за разглеждане на инициативата на Комисията за разширяване на компетентността на Европейската прокуратура с цел включване в нея на борбата срещу трансграничните терористични престъпления и за Комисията е важно да се проучат ползите от този подход. Освен това държавните и правителствените ръководители подчертаха значението на защитата на демократичните системи на Съюза и борбата с дезинформацията в контекста на предстоящите европейски избори. На следващото заседание на Европейския съвет на 13 и 14 декември 2018 г. ще се разгледа и разпространението на кампании за дезинформация, което представлява огромно предизвикателство за демократичните системи и изисква спешни действия, за да се осигурят преди всичко свободни и честни избори на европейско и национално равнище. С оглед на това, настоящият доклад взема под внимание напредъка, постигнат по отношение на гарантирането на устойчивостта на изборния процес в рамките на Съюза.</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В своята съвместна декларация относно законодателните приоритети на ЕС за 2018—2019 г.</w:t>
      </w:r>
      <w:r>
        <w:rPr>
          <w:rStyle w:val="FootnoteReference"/>
          <w:noProof/>
          <w:sz w:val="24"/>
        </w:rPr>
        <w:footnoteReference w:id="3"/>
      </w:r>
      <w:r>
        <w:rPr>
          <w:rFonts w:ascii="Times New Roman" w:hAnsi="Times New Roman"/>
          <w:noProof/>
          <w:sz w:val="24"/>
        </w:rPr>
        <w:t xml:space="preserve"> председателите на Европейския парламент, на Съвета и на Комисията определиха защитата на сигурността на гражданите на ЕС като един от най-големите приоритети. Трите институции поеха ангажимент да обработват предложенията в рамките на Съюза на сигурност като спешни приоритетни досиета, които трябва да бъдат приети преди края на текущия законодателен мандат. Въз основа на напредъка, постигнат през последната година, работата трябва да продължи и Комисията призовава съзаконодателите да положат повече усилия при преговорите.</w:t>
      </w:r>
    </w:p>
    <w:p>
      <w:pPr>
        <w:widowControl w:val="0"/>
        <w:spacing w:after="240" w:line="240" w:lineRule="auto"/>
        <w:jc w:val="both"/>
        <w:rPr>
          <w:rFonts w:ascii="Times New Roman" w:hAnsi="Times New Roman" w:cs="Times New Roman"/>
          <w:b/>
          <w:noProof/>
          <w:sz w:val="24"/>
          <w:szCs w:val="24"/>
        </w:rPr>
      </w:pPr>
      <w:r>
        <w:rPr>
          <w:rFonts w:ascii="Times New Roman" w:hAnsi="Times New Roman"/>
          <w:noProof/>
          <w:sz w:val="24"/>
        </w:rPr>
        <w:t>Комисията очаква приемането от страна на Европейския парламент</w:t>
      </w:r>
      <w:r>
        <w:rPr>
          <w:rFonts w:ascii="Times New Roman" w:hAnsi="Times New Roman"/>
          <w:b/>
          <w:noProof/>
          <w:sz w:val="24"/>
        </w:rPr>
        <w:t xml:space="preserve"> </w:t>
      </w:r>
      <w:r>
        <w:rPr>
          <w:rFonts w:ascii="Times New Roman" w:hAnsi="Times New Roman"/>
          <w:noProof/>
          <w:sz w:val="24"/>
        </w:rPr>
        <w:t>на доклад</w:t>
      </w:r>
      <w:r>
        <w:rPr>
          <w:rFonts w:ascii="Times New Roman" w:hAnsi="Times New Roman"/>
          <w:b/>
          <w:noProof/>
          <w:sz w:val="24"/>
        </w:rPr>
        <w:t xml:space="preserve"> </w:t>
      </w:r>
      <w:r>
        <w:rPr>
          <w:rFonts w:ascii="Times New Roman" w:hAnsi="Times New Roman"/>
          <w:noProof/>
          <w:sz w:val="24"/>
        </w:rPr>
        <w:t>относно констатациите и препоръките на Специалната комисия относно тероризма, планирано за 12 декември 2018 г. Докладът ще бъде важен принос към работата по борбата с тероризма и по-нататъшното развитие на Съюза на сигурност.</w:t>
      </w:r>
      <w:r>
        <w:rPr>
          <w:noProof/>
        </w:rPr>
        <w:br w:type="page"/>
      </w: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II. ИЗПЪЛНЕНИЕ НА ЗАКОНОДАТЕЛНИ ПРИОРИТЕТИ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През последните месеци съзаконодателите постигнаха значителен напредък по редица законодателни приоритети, по-специално за укрепване на Шенгенската информационна система, относно Акта за киберсигурността и относно непаричните платежни средства. За голям брой важни приоритетни досиета обаче все още не е постигнато политическо споразумение и са необходими допълнителни усилия, за да се гарантира приемането им преди изборите за Европейски парламент (вж. също така списъка на всички инициативи в рамките на Съюза на сигурност в приложение I).</w:t>
      </w:r>
    </w:p>
    <w:p>
      <w:pPr>
        <w:widowControl w:val="0"/>
        <w:numPr>
          <w:ilvl w:val="0"/>
          <w:numId w:val="15"/>
        </w:numPr>
        <w:spacing w:after="240" w:line="240" w:lineRule="auto"/>
        <w:ind w:left="357" w:hanging="357"/>
        <w:rPr>
          <w:rFonts w:ascii="Times New Roman" w:hAnsi="Times New Roman" w:cs="Times New Roman"/>
          <w:i/>
          <w:noProof/>
          <w:sz w:val="24"/>
          <w:szCs w:val="24"/>
        </w:rPr>
      </w:pPr>
      <w:r>
        <w:rPr>
          <w:rFonts w:ascii="Times New Roman" w:hAnsi="Times New Roman"/>
          <w:i/>
          <w:noProof/>
          <w:sz w:val="24"/>
        </w:rPr>
        <w:t>По-надеждни и по-интелигентни информационни системи за управление на сигурността, границите и миграцията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приветства добрия напредък, постигнат от Европейския парламент и Съвета по законодателните предложения за постигане на </w:t>
      </w:r>
      <w:r>
        <w:rPr>
          <w:rFonts w:ascii="Times New Roman" w:hAnsi="Times New Roman"/>
          <w:b/>
          <w:noProof/>
          <w:sz w:val="24"/>
        </w:rPr>
        <w:t>оперативна съвместимост на информационните системи на ЕС</w:t>
      </w:r>
      <w:r>
        <w:rPr>
          <w:rFonts w:ascii="Times New Roman" w:hAnsi="Times New Roman"/>
          <w:noProof/>
          <w:sz w:val="24"/>
        </w:rPr>
        <w:t xml:space="preserve"> за управление на сигурността, границите и миграцията</w:t>
      </w:r>
      <w:r>
        <w:rPr>
          <w:rStyle w:val="FootnoteReference"/>
          <w:noProof/>
          <w:sz w:val="24"/>
        </w:rPr>
        <w:footnoteReference w:id="4"/>
      </w:r>
      <w:r>
        <w:rPr>
          <w:noProof/>
        </w:rPr>
        <w:t>.</w:t>
      </w:r>
      <w:r>
        <w:rPr>
          <w:rFonts w:ascii="Times New Roman" w:hAnsi="Times New Roman"/>
          <w:noProof/>
          <w:sz w:val="24"/>
        </w:rPr>
        <w:t xml:space="preserve"> Предложенията ще предоставят на граничните служители, имиграционните служители и служителите на правоприлагащите органи на държавите членки точна и надеждна информация, както и способността да разкриват използването на множество самоличности и да се борят с измамите с фалшива самоличност. Тристранните срещи бяха проведени на 24 октомври 2018 г., 15 ноември 2018 г. и 27 ноември 2018 г. В съответствие със съвместната декларация, Комисията призовава съзаконодателите да постигнат политическо съгласие по време на следващата тристранна среща на 13 декември 2018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Оперативната съвместимост на информационните системи ще включва </w:t>
      </w:r>
      <w:r>
        <w:rPr>
          <w:rFonts w:ascii="Times New Roman" w:hAnsi="Times New Roman"/>
          <w:b/>
          <w:noProof/>
          <w:sz w:val="24"/>
        </w:rPr>
        <w:t>Визовата информационна система</w:t>
      </w:r>
      <w:r>
        <w:rPr>
          <w:rFonts w:ascii="Times New Roman" w:hAnsi="Times New Roman"/>
          <w:noProof/>
          <w:sz w:val="24"/>
        </w:rPr>
        <w:t>. Продължава работата в Европейския парламент и в Съвета по законодателното предложение от май 2018 г.,</w:t>
      </w:r>
      <w:r>
        <w:rPr>
          <w:rStyle w:val="FootnoteReference"/>
          <w:noProof/>
          <w:sz w:val="24"/>
        </w:rPr>
        <w:footnoteReference w:id="5"/>
      </w:r>
      <w:r>
        <w:rPr>
          <w:rFonts w:ascii="Times New Roman" w:hAnsi="Times New Roman"/>
          <w:noProof/>
          <w:sz w:val="24"/>
        </w:rPr>
        <w:t xml:space="preserve"> което цели да се даде възможност за по-задълбочени цялостни проверки на кандидатите за виза, да се отстранят пропуските, свързани със сигурността, посредством по-добър обмен на информация между държавите членки и да се гарантира пълна оперативна съвместимост с други бази данни на равнище ЕС. Комисията призовава съзаконодателите да приемат своите мандати за водене на преговори възможно най-скоро с оглед постигане на съгласие по това досие по време на текущия мандат на Европейския парламент.</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След като бъде одобрена, оперативната съвместимост на информационните системи също ще даде възможност за пълно използване на предимствата на </w:t>
      </w:r>
      <w:r>
        <w:rPr>
          <w:rFonts w:ascii="Times New Roman" w:hAnsi="Times New Roman"/>
          <w:b/>
          <w:noProof/>
          <w:sz w:val="24"/>
        </w:rPr>
        <w:t>укрепената Шенгенската информационна система,</w:t>
      </w:r>
      <w:r>
        <w:rPr>
          <w:rFonts w:ascii="Times New Roman" w:hAnsi="Times New Roman"/>
          <w:noProof/>
          <w:sz w:val="24"/>
        </w:rPr>
        <w:t xml:space="preserve"> приета от съзаконодателите на 28 ноември 2018 г</w:t>
      </w:r>
      <w:r>
        <w:rPr>
          <w:rStyle w:val="FootnoteReference"/>
          <w:noProof/>
          <w:sz w:val="24"/>
        </w:rPr>
        <w:footnoteReference w:id="6"/>
      </w:r>
      <w:r>
        <w:rPr>
          <w:noProof/>
        </w:rPr>
        <w:t>.</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Оперативната съвместимост следва също да включва предложеното</w:t>
      </w:r>
      <w:r>
        <w:rPr>
          <w:rStyle w:val="FootnoteReference"/>
          <w:noProof/>
          <w:sz w:val="24"/>
        </w:rPr>
        <w:footnoteReference w:id="7"/>
      </w:r>
      <w:r>
        <w:rPr>
          <w:rFonts w:ascii="Times New Roman" w:hAnsi="Times New Roman"/>
          <w:noProof/>
          <w:sz w:val="24"/>
        </w:rPr>
        <w:t xml:space="preserve"> разширяване на обхвата на </w:t>
      </w:r>
      <w:r>
        <w:rPr>
          <w:rFonts w:ascii="Times New Roman" w:hAnsi="Times New Roman"/>
          <w:b/>
          <w:noProof/>
          <w:sz w:val="24"/>
        </w:rPr>
        <w:t>Европейската информационна система за регистрите за съдимост</w:t>
      </w:r>
      <w:r>
        <w:rPr>
          <w:rFonts w:ascii="Times New Roman" w:hAnsi="Times New Roman"/>
          <w:noProof/>
          <w:sz w:val="24"/>
        </w:rPr>
        <w:t xml:space="preserve"> с включването на граждани на трети държави. В предложението се предвижда създаването на централизирана база данни, която ще позволи бърза проверка на това дали някоя държава членка разполага с информация за присъди на гражданин на държава извън ЕС. Комисията призовава съзаконодателите да приключат преговорите по тази приоритетна законодателна инициатива на следващото тристранно заседание на 11 декември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Оперативната съвместимост на информационните системи ще включва и Евродак. Предложението на Комисията за укрепване на системата </w:t>
      </w:r>
      <w:r>
        <w:rPr>
          <w:rFonts w:ascii="Times New Roman" w:hAnsi="Times New Roman"/>
          <w:b/>
          <w:noProof/>
          <w:sz w:val="24"/>
        </w:rPr>
        <w:t>Евродак</w:t>
      </w:r>
      <w:r>
        <w:rPr>
          <w:rStyle w:val="FootnoteReference"/>
          <w:noProof/>
          <w:sz w:val="24"/>
        </w:rPr>
        <w:footnoteReference w:id="8"/>
      </w:r>
      <w:r>
        <w:rPr>
          <w:rFonts w:ascii="Times New Roman" w:hAnsi="Times New Roman"/>
          <w:noProof/>
          <w:sz w:val="24"/>
        </w:rPr>
        <w:t xml:space="preserve"> ще разшири обхвата ѝ, като тя ще включва не само определянето на кандидати за убежище, но и на незаконно пребиваващи граждани на трети държави и лица, които влизат незаконно в ЕС. Наскоро Комисията посочи предимствата от приемането на това предложение като едно от петте предложения в рамките на общата европейска система за убежище, по които скоро ще бъде постигнато съгласие</w:t>
      </w:r>
      <w:r>
        <w:rPr>
          <w:rStyle w:val="FootnoteReference"/>
          <w:noProof/>
          <w:sz w:val="24"/>
        </w:rPr>
        <w:footnoteReference w:id="9"/>
      </w:r>
      <w:r>
        <w:rPr>
          <w:noProof/>
        </w:rPr>
        <w:t>.</w:t>
      </w:r>
      <w:r>
        <w:rPr>
          <w:rFonts w:ascii="Times New Roman" w:hAnsi="Times New Roman"/>
          <w:noProof/>
          <w:sz w:val="24"/>
        </w:rPr>
        <w:t xml:space="preserve"> Тези предложения следва да бъдат приети преди изборите за Европейски парламент.</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noProof/>
              </w:rPr>
              <w:br w:type="page"/>
            </w:r>
            <w:r>
              <w:rPr>
                <w:rFonts w:ascii="Times New Roman" w:hAnsi="Times New Roman"/>
                <w:noProof/>
                <w:sz w:val="24"/>
              </w:rPr>
              <w:t>За да бъдат осигурени по-надеждни и по-интелигентни информационни системи за управление на сигурността, границите и миграцията, Комисията призовава Европейския парламент и Съвета:</w:t>
            </w:r>
          </w:p>
          <w:p>
            <w:pPr>
              <w:spacing w:before="240"/>
              <w:jc w:val="both"/>
              <w:rPr>
                <w:rFonts w:ascii="Times New Roman" w:hAnsi="Times New Roman" w:cs="Times New Roman"/>
                <w:i/>
                <w:noProof/>
                <w:sz w:val="24"/>
                <w:szCs w:val="24"/>
              </w:rPr>
            </w:pPr>
            <w:r>
              <w:rPr>
                <w:rFonts w:ascii="Times New Roman" w:hAnsi="Times New Roman"/>
                <w:i/>
                <w:noProof/>
                <w:sz w:val="24"/>
              </w:rPr>
              <w:t>Приоритети в рамките на съвместната декларация:</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постигнат споразумение относно законодателните предложения за </w:t>
            </w:r>
            <w:r>
              <w:rPr>
                <w:rFonts w:ascii="Times New Roman" w:hAnsi="Times New Roman"/>
                <w:b/>
                <w:noProof/>
                <w:sz w:val="24"/>
              </w:rPr>
              <w:t xml:space="preserve">оперативна съвместимост </w:t>
            </w:r>
            <w:r>
              <w:rPr>
                <w:rFonts w:ascii="Times New Roman" w:hAnsi="Times New Roman"/>
                <w:noProof/>
                <w:sz w:val="24"/>
              </w:rPr>
              <w:t>до края на тази година;</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постигнат споразумение относно законодателното предложение за разширяване обхвата на </w:t>
            </w:r>
            <w:r>
              <w:rPr>
                <w:rFonts w:ascii="Times New Roman" w:hAnsi="Times New Roman"/>
                <w:b/>
                <w:noProof/>
                <w:sz w:val="24"/>
              </w:rPr>
              <w:t>Европейската информационна система за регистрите за съдимост</w:t>
            </w:r>
            <w:r>
              <w:rPr>
                <w:rFonts w:ascii="Times New Roman" w:hAnsi="Times New Roman"/>
                <w:noProof/>
                <w:sz w:val="24"/>
              </w:rPr>
              <w:t xml:space="preserve"> с включването на гражданите на трети държави до декември 2018 г.;</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законодателното предложение за </w:t>
            </w:r>
            <w:r>
              <w:rPr>
                <w:rFonts w:ascii="Times New Roman" w:hAnsi="Times New Roman"/>
                <w:b/>
                <w:noProof/>
                <w:sz w:val="24"/>
              </w:rPr>
              <w:t xml:space="preserve">Евродак, </w:t>
            </w:r>
            <w:r>
              <w:rPr>
                <w:rFonts w:ascii="Times New Roman" w:hAnsi="Times New Roman"/>
                <w:noProof/>
                <w:sz w:val="24"/>
              </w:rPr>
              <w:t>по което предстои да бъде постигнато споразумение, преди изборите за Европейски парламент.</w:t>
            </w:r>
          </w:p>
          <w:p>
            <w:pPr>
              <w:jc w:val="both"/>
              <w:rPr>
                <w:rFonts w:ascii="Times New Roman" w:hAnsi="Times New Roman" w:cs="Times New Roman"/>
                <w:i/>
                <w:noProof/>
                <w:sz w:val="24"/>
                <w:szCs w:val="24"/>
              </w:rPr>
            </w:pPr>
            <w:r>
              <w:rPr>
                <w:rFonts w:ascii="Times New Roman" w:hAnsi="Times New Roman"/>
                <w:i/>
                <w:noProof/>
                <w:sz w:val="24"/>
              </w:rPr>
              <w:t>Други:</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своите съответни мандати за водене на преговори възможно най-скоро по законодателното предложение за укрепване на </w:t>
            </w:r>
            <w:r>
              <w:rPr>
                <w:rFonts w:ascii="Times New Roman" w:hAnsi="Times New Roman"/>
                <w:b/>
                <w:noProof/>
                <w:sz w:val="24"/>
              </w:rPr>
              <w:t>Визовата информационна система</w:t>
            </w:r>
            <w:r>
              <w:rPr>
                <w:rFonts w:ascii="Times New Roman" w:hAnsi="Times New Roman"/>
                <w:noProof/>
                <w:sz w:val="24"/>
              </w:rPr>
              <w:t xml:space="preserve">. </w:t>
            </w:r>
          </w:p>
        </w:tc>
      </w:tr>
    </w:tbl>
    <w:p>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Укрепване на сигурността чрез засилено управление на външните граници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Силната и надеждна защита на външните граници е предпоставка за сигурност при свободното движение без контрол по вътрешните граници. Защитата е съвместна задача на държавите членки, които трябва да гарантират управлението на своите външни граници, както в свой собствен интерес, така и в интерес на всички, с помощта на </w:t>
      </w:r>
      <w:r>
        <w:rPr>
          <w:rFonts w:ascii="Times New Roman" w:hAnsi="Times New Roman"/>
          <w:b/>
          <w:noProof/>
          <w:sz w:val="24"/>
        </w:rPr>
        <w:t>Европейската агенция за гранична и брегова охрана</w:t>
      </w:r>
      <w:r>
        <w:rPr>
          <w:rFonts w:ascii="Times New Roman" w:hAnsi="Times New Roman"/>
          <w:noProof/>
          <w:sz w:val="24"/>
        </w:rPr>
        <w:t>. В отговор на заключенията на Европейския съвет от юни 2018 г</w:t>
      </w:r>
      <w:r>
        <w:rPr>
          <w:rStyle w:val="FootnoteReference"/>
          <w:noProof/>
          <w:sz w:val="24"/>
        </w:rPr>
        <w:footnoteReference w:id="10"/>
      </w:r>
      <w:r>
        <w:rPr>
          <w:rFonts w:ascii="Times New Roman" w:hAnsi="Times New Roman"/>
          <w:noProof/>
          <w:sz w:val="24"/>
        </w:rPr>
        <w:t>. през септември 2018 г. Комисията предложи</w:t>
      </w:r>
      <w:r>
        <w:rPr>
          <w:rStyle w:val="FootnoteReference"/>
          <w:noProof/>
          <w:sz w:val="24"/>
        </w:rPr>
        <w:footnoteReference w:id="11"/>
      </w:r>
      <w:r>
        <w:rPr>
          <w:rFonts w:ascii="Times New Roman" w:hAnsi="Times New Roman"/>
          <w:noProof/>
          <w:sz w:val="24"/>
        </w:rPr>
        <w:t xml:space="preserve"> по-нататъшно консолидиране на европейската гранична и брегова охрана, за да се предостави на агенцията по-надежден и постоянен капацитет за подкрепа. В предложението на Комисията се запазва основната отговорност на държавите членки за защита на външните граници, но агенцията ще получи необходимите инструменти за подсигуряване на тази защита с постоянен корпус от 10 000 гранични служители. Неговото постепенно, но бързо създаване ще усили незабавно колективната способност на ЕС за защита на външните граници и за ефективно извършване на връщанията от ЕС.</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 време на заседанието на Съвета по правосъдие и вътрешни работи на 6 декември 2018 г. беше постигнат частичен общ подход относно връщането и външните аспекти на предложението на Комисията. Въпреки това ще е необходимо да се засили работата по всички аспекти на предложението, с оглед на това да се получи мандат във възможно най-кратък срок през януари за започване на тристранните разговори с Европейския парламент. В Европейския парламент докладът на Комисията по граждански свободи, правосъдие и вътрешни работи се очаква да бъде приет през януари 2019 г. Това предложение е ясен приоритет</w:t>
      </w:r>
      <w:r>
        <w:rPr>
          <w:rFonts w:ascii="Times New Roman" w:hAnsi="Times New Roman"/>
          <w:b/>
          <w:noProof/>
          <w:sz w:val="24"/>
        </w:rPr>
        <w:t xml:space="preserve"> </w:t>
      </w:r>
      <w:r>
        <w:rPr>
          <w:rFonts w:ascii="Times New Roman" w:hAnsi="Times New Roman"/>
          <w:noProof/>
          <w:sz w:val="24"/>
        </w:rPr>
        <w:t>за Европейския съюз и Комисията призовава Европейския парламент и Съвета да приемат предложеното законодателство по време на текущия мандат на Европейския парламент.</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rFonts w:ascii="Times New Roman" w:hAnsi="Times New Roman"/>
                <w:noProof/>
                <w:sz w:val="24"/>
              </w:rPr>
              <w:t>С цел укрепване на сигурността чрез засилено управление на външните граници Комисията призовава Европейския парламент и Съвета:</w:t>
            </w:r>
          </w:p>
          <w:p>
            <w:pPr>
              <w:spacing w:before="240"/>
              <w:jc w:val="both"/>
              <w:rPr>
                <w:rFonts w:ascii="Times New Roman" w:hAnsi="Times New Roman" w:cs="Times New Roman"/>
                <w:i/>
                <w:noProof/>
                <w:sz w:val="24"/>
                <w:szCs w:val="24"/>
              </w:rPr>
            </w:pPr>
            <w:r>
              <w:rPr>
                <w:rFonts w:ascii="Times New Roman" w:hAnsi="Times New Roman"/>
                <w:i/>
                <w:noProof/>
                <w:sz w:val="24"/>
              </w:rPr>
              <w:t>Инициативи в рамките на речта за състоянието на Съюза през 2018 г.:</w:t>
            </w:r>
          </w:p>
          <w:p>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noProof/>
                <w:sz w:val="24"/>
              </w:rPr>
              <w:t xml:space="preserve">да приемат възможно най-скоро своите пълни мандати за водене на преговори по законодателното предложение за укрепване на </w:t>
            </w:r>
            <w:r>
              <w:rPr>
                <w:rFonts w:ascii="Times New Roman" w:hAnsi="Times New Roman"/>
                <w:b/>
                <w:noProof/>
                <w:sz w:val="24"/>
              </w:rPr>
              <w:t>европейската гранична и брегова охрана</w:t>
            </w:r>
            <w:r>
              <w:rPr>
                <w:rFonts w:ascii="Times New Roman" w:hAnsi="Times New Roman"/>
                <w:noProof/>
                <w:sz w:val="24"/>
              </w:rPr>
              <w:t>, за да приемат законодателството по време на текущия мандат на Европейския парламент.</w:t>
            </w:r>
          </w:p>
        </w:tc>
      </w:tr>
    </w:tbl>
    <w:p>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Предотвратяване на радикализацията</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ход са преговорите в Съвета по предложението за регламент относно </w:t>
      </w:r>
      <w:r>
        <w:rPr>
          <w:rFonts w:ascii="Times New Roman" w:hAnsi="Times New Roman"/>
          <w:b/>
          <w:noProof/>
          <w:sz w:val="24"/>
        </w:rPr>
        <w:t xml:space="preserve">терористично съдържание онлайн, </w:t>
      </w:r>
      <w:r>
        <w:rPr>
          <w:rFonts w:ascii="Times New Roman" w:hAnsi="Times New Roman"/>
          <w:noProof/>
          <w:sz w:val="24"/>
        </w:rPr>
        <w:t>предложен от Комисията по време на речта за състоянието на Съюза през 2018 г.</w:t>
      </w:r>
      <w:r>
        <w:rPr>
          <w:rStyle w:val="FootnoteReference"/>
          <w:noProof/>
          <w:sz w:val="24"/>
        </w:rPr>
        <w:footnoteReference w:id="12"/>
      </w:r>
      <w:r>
        <w:rPr>
          <w:noProof/>
        </w:rPr>
        <w:t>.</w:t>
      </w:r>
      <w:r>
        <w:rPr>
          <w:rFonts w:ascii="Times New Roman" w:hAnsi="Times New Roman"/>
          <w:noProof/>
          <w:sz w:val="24"/>
        </w:rPr>
        <w:t xml:space="preserve"> Целта му е да предостави ясна, хармонизирана правна рамка за предотвратяване на злоупотребата с доставчици на хостинг услуги за разпространението на терористично съдържание, като същевременно гарантира пълна защита на основните права. Предложеният регламент е в отговор на спешни искания както от Европейския съвет,</w:t>
      </w:r>
      <w:r>
        <w:rPr>
          <w:rStyle w:val="FootnoteReference"/>
          <w:noProof/>
          <w:sz w:val="24"/>
        </w:rPr>
        <w:footnoteReference w:id="13"/>
      </w:r>
      <w:r>
        <w:rPr>
          <w:rFonts w:ascii="Times New Roman" w:hAnsi="Times New Roman"/>
          <w:noProof/>
          <w:sz w:val="24"/>
        </w:rPr>
        <w:t xml:space="preserve"> така и от Европейския парламент</w:t>
      </w:r>
      <w:r>
        <w:rPr>
          <w:rStyle w:val="FootnoteReference"/>
          <w:noProof/>
          <w:sz w:val="24"/>
        </w:rPr>
        <w:footnoteReference w:id="14"/>
      </w:r>
      <w:r>
        <w:rPr>
          <w:noProof/>
        </w:rPr>
        <w:t>.</w:t>
      </w:r>
      <w:r>
        <w:rPr>
          <w:rFonts w:ascii="Times New Roman" w:hAnsi="Times New Roman"/>
          <w:noProof/>
          <w:sz w:val="24"/>
        </w:rPr>
        <w:t xml:space="preserve"> Комисията приветства приемането на общ подход на заседанието на Съвета по правосъдие и вътрешни работи на 6 декември 2018 г. Комисията настоятелно приканва Европейския парламент да ускори работата си по настоящото предложение с оглед на приемането му в рамките на настоящия законодателен мандат.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Успоредно с това Комисията продължава изцяло да подкрепя държавите членки и доставчиците на хостинг услуги в усилията им да се справят с терористичното съдържание онлайн. </w:t>
      </w:r>
      <w:r>
        <w:rPr>
          <w:rFonts w:ascii="Times New Roman" w:hAnsi="Times New Roman"/>
          <w:b/>
          <w:noProof/>
          <w:sz w:val="24"/>
        </w:rPr>
        <w:t>Интернет</w:t>
      </w:r>
      <w:r>
        <w:rPr>
          <w:rFonts w:ascii="Times New Roman" w:hAnsi="Times New Roman"/>
          <w:noProof/>
          <w:sz w:val="24"/>
        </w:rPr>
        <w:t xml:space="preserve"> </w:t>
      </w:r>
      <w:r>
        <w:rPr>
          <w:rFonts w:ascii="Times New Roman" w:hAnsi="Times New Roman"/>
          <w:b/>
          <w:noProof/>
          <w:sz w:val="24"/>
        </w:rPr>
        <w:t>форумът на ЕС</w:t>
      </w:r>
      <w:r>
        <w:rPr>
          <w:rFonts w:ascii="Times New Roman" w:hAnsi="Times New Roman"/>
          <w:noProof/>
          <w:sz w:val="24"/>
        </w:rPr>
        <w:t xml:space="preserve"> ще продължи да насърчава доброволното сътрудничество между държавите членки и доставчиците на хостинг услуги и действията за намаляване на достъпността на терористичното съдържание онлайн и за предоставяне на възможности на гражданското общество да увеличи обема на ефективните алтернативни послания онлайн. Четвъртата министерска среща на интернет форума на ЕС се състоя на 5 декември 2018 г. По време на срещата се направи преглед на напредъка през последните дванадесет месеца по отношение на премахването на терористично съдържание от интернет.</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също така продължава да </w:t>
      </w:r>
      <w:r>
        <w:rPr>
          <w:rFonts w:ascii="Times New Roman" w:hAnsi="Times New Roman"/>
          <w:b/>
          <w:noProof/>
          <w:sz w:val="24"/>
        </w:rPr>
        <w:t>подкрепя предотвратяването на радикализацията в държавите членки</w:t>
      </w:r>
      <w:r>
        <w:rPr>
          <w:rFonts w:ascii="Times New Roman" w:hAnsi="Times New Roman"/>
          <w:noProof/>
          <w:sz w:val="24"/>
        </w:rPr>
        <w:t>. В първото си заседание във Виена на 24 октомври 2018 г. управителният съвет за действия на Съюза по предотвратяване и противодействие на радикализацията</w:t>
      </w:r>
      <w:r>
        <w:rPr>
          <w:rFonts w:ascii="Times New Roman" w:hAnsi="Times New Roman"/>
          <w:noProof/>
          <w:sz w:val="24"/>
          <w:vertAlign w:val="superscript"/>
        </w:rPr>
        <w:footnoteReference w:id="15"/>
      </w:r>
      <w:r>
        <w:rPr>
          <w:rFonts w:ascii="Times New Roman" w:hAnsi="Times New Roman"/>
          <w:b/>
          <w:noProof/>
          <w:sz w:val="24"/>
        </w:rPr>
        <w:t xml:space="preserve"> </w:t>
      </w:r>
      <w:r>
        <w:rPr>
          <w:rFonts w:ascii="Times New Roman" w:hAnsi="Times New Roman"/>
          <w:noProof/>
          <w:sz w:val="24"/>
        </w:rPr>
        <w:t>постигна съгласие относно годишните стратегически насоки за действия и инициативи на равнището на ЕС за 2019 г. Стратегическите приоритети се основават на информация от специалисти (заключения от конференцията на високо равнище на Мрежата за осведоменост по въпросите на радикализацията и пленарното заседание на Мрежата за осведоменост по въпросите на радикализацията от 11 и 12 октомври 2018 г.), изследователи (научноизследователската конференция на Мрежата за осведоменост по въпросите на радикализацията от 17 октомври 2018 г.), други европейски мрежи и инициативи (като по-конкретно Европейската мрежа за стратегическа комуникация), както и на принос от страна на създателите на политики.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Като част от работната програма за 2018 г. на </w:t>
      </w:r>
      <w:r>
        <w:rPr>
          <w:rFonts w:ascii="Times New Roman" w:hAnsi="Times New Roman"/>
          <w:b/>
          <w:noProof/>
          <w:sz w:val="24"/>
        </w:rPr>
        <w:t>фонд „Вътрешна сигурност“</w:t>
      </w:r>
      <w:r>
        <w:rPr>
          <w:rFonts w:ascii="Times New Roman" w:hAnsi="Times New Roman"/>
          <w:noProof/>
          <w:sz w:val="24"/>
        </w:rPr>
        <w:t xml:space="preserve"> за полицейско сътрудничество и предотвратяване на престъпността, на 28 ноември 2018 г. Комисията отправи покана за представяне на предложения за целево финансиране в размер на 5 милиона евро за предотвратяване и противодействие на радикализацията, насочени към приоритетни области, определени от експертната група на високо равнище на Комисията по въпросите на радикализацията: обществената ангажираност, местното измерение, многоведомствения подход и младежта.</w:t>
      </w:r>
      <w:r>
        <w:rPr>
          <w:rStyle w:val="FootnoteReference"/>
          <w:noProof/>
          <w:sz w:val="24"/>
        </w:rPr>
        <w:footnoteReference w:id="16"/>
      </w:r>
      <w:r>
        <w:rPr>
          <w:noProof/>
        </w:rPr>
        <w:t>.</w:t>
      </w:r>
      <w:r>
        <w:rPr>
          <w:rFonts w:ascii="Times New Roman" w:hAnsi="Times New Roman"/>
          <w:noProof/>
          <w:sz w:val="24"/>
        </w:rPr>
        <w:t xml:space="preserve"> Освен това организациите на гражданското общество, които се стремят да противодействат на терористичната пропаганда чрез предоставянето на положителни алтернативи, ще бъдат подкрепени с финансиране от ЕС чрез Програмата за овластяване на гражданското общество, по която са заделени средства в размер на 12 милиона евро за обучение и финансиране на партньорите от гражданското общество за организиране на кампании за противодействие на терористичната пропаганда онлайн. </w:t>
      </w:r>
    </w:p>
    <w:p>
      <w:pPr>
        <w:spacing w:after="0" w:line="240" w:lineRule="auto"/>
        <w:jc w:val="both"/>
        <w:rPr>
          <w:rFonts w:ascii="Times New Roman" w:hAnsi="Times New Roman" w:cs="Times New Roman"/>
          <w:noProof/>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rFonts w:ascii="Times New Roman" w:hAnsi="Times New Roman"/>
                <w:noProof/>
                <w:sz w:val="24"/>
              </w:rPr>
              <w:t>С цел предотвратяване на радикализацията Комисията призовава Европейския парламент:</w:t>
            </w:r>
          </w:p>
          <w:p>
            <w:pPr>
              <w:spacing w:before="240"/>
              <w:jc w:val="both"/>
              <w:rPr>
                <w:rFonts w:ascii="Times New Roman" w:hAnsi="Times New Roman" w:cs="Times New Roman"/>
                <w:i/>
                <w:noProof/>
                <w:sz w:val="24"/>
                <w:szCs w:val="24"/>
              </w:rPr>
            </w:pPr>
            <w:r>
              <w:rPr>
                <w:rFonts w:ascii="Times New Roman" w:hAnsi="Times New Roman"/>
                <w:i/>
                <w:noProof/>
                <w:sz w:val="24"/>
              </w:rPr>
              <w:t>Инициатива в рамките на речта за състоянието на Съюза през 2018 г.:</w:t>
            </w:r>
          </w:p>
          <w:p>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noProof/>
                <w:sz w:val="24"/>
              </w:rPr>
              <w:t xml:space="preserve">да приеме приоритетно своя мандат за водене на преговори по законодателното предложение за предотвратяване на разпространението на </w:t>
            </w:r>
            <w:r>
              <w:rPr>
                <w:rFonts w:ascii="Times New Roman" w:hAnsi="Times New Roman"/>
                <w:b/>
                <w:noProof/>
                <w:sz w:val="24"/>
              </w:rPr>
              <w:t>терористично съдържание онлайн</w:t>
            </w:r>
            <w:r>
              <w:rPr>
                <w:rFonts w:ascii="Times New Roman" w:hAnsi="Times New Roman"/>
                <w:noProof/>
                <w:sz w:val="24"/>
              </w:rPr>
              <w:t>, за да приеме законодателството по време на текущия мандат на Европейския парламент.</w:t>
            </w:r>
          </w:p>
        </w:tc>
      </w:tr>
    </w:tbl>
    <w:p>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Справяне с дезинформацията и гарантиране на устойчивостта на изборния процес</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Както беше поискано от Европейския съвет през юни 2018 г., Комисията и върховният представител, в сътрудничество с държавите членки, представиха на 5 декември 2018 г. </w:t>
      </w:r>
      <w:r>
        <w:rPr>
          <w:rFonts w:ascii="Times New Roman" w:hAnsi="Times New Roman"/>
          <w:b/>
          <w:noProof/>
          <w:sz w:val="24"/>
        </w:rPr>
        <w:t>план за действие</w:t>
      </w:r>
      <w:r>
        <w:rPr>
          <w:rStyle w:val="FootnoteReference"/>
          <w:noProof/>
          <w:sz w:val="24"/>
        </w:rPr>
        <w:footnoteReference w:id="17"/>
      </w:r>
      <w:r>
        <w:rPr>
          <w:rFonts w:ascii="Times New Roman" w:hAnsi="Times New Roman"/>
          <w:b/>
          <w:noProof/>
          <w:sz w:val="24"/>
        </w:rPr>
        <w:t xml:space="preserve"> </w:t>
      </w:r>
      <w:r>
        <w:rPr>
          <w:rFonts w:ascii="Times New Roman" w:hAnsi="Times New Roman"/>
          <w:noProof/>
          <w:sz w:val="24"/>
        </w:rPr>
        <w:t>с допълнителни конкретни предложения за координиран отговор от страна на ЕС на</w:t>
      </w:r>
      <w:r>
        <w:rPr>
          <w:rFonts w:ascii="Times New Roman" w:hAnsi="Times New Roman"/>
          <w:b/>
          <w:noProof/>
          <w:sz w:val="24"/>
        </w:rPr>
        <w:t xml:space="preserve"> предизвикателството, свързано с дезинформацията</w:t>
      </w:r>
      <w:r>
        <w:rPr>
          <w:rFonts w:ascii="Times New Roman" w:hAnsi="Times New Roman"/>
          <w:noProof/>
          <w:sz w:val="24"/>
        </w:rPr>
        <w:t>, включително подходящи мандати и повече ресурси за съответните екипи за стратегическа комуникация на Европейската служба за външна дейност.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Комисията внимателно следи изпълнението на действията за справяне с дезинформацията, обявени в съобщението ѝ от април 2018 г. относно борбата с онлайн дезинформацията.</w:t>
      </w:r>
      <w:r>
        <w:rPr>
          <w:rStyle w:val="FootnoteReference"/>
          <w:noProof/>
          <w:sz w:val="24"/>
        </w:rPr>
        <w:footnoteReference w:id="18"/>
      </w:r>
      <w:r>
        <w:rPr>
          <w:noProof/>
        </w:rPr>
        <w:t>.</w:t>
      </w:r>
      <w:r>
        <w:rPr>
          <w:rFonts w:ascii="Times New Roman" w:hAnsi="Times New Roman"/>
          <w:noProof/>
          <w:sz w:val="24"/>
        </w:rPr>
        <w:t xml:space="preserve"> На 16 октомври 2018 г. първоначалните участници се присъединиха към </w:t>
      </w:r>
      <w:r>
        <w:rPr>
          <w:rFonts w:ascii="Times New Roman" w:hAnsi="Times New Roman"/>
          <w:b/>
          <w:noProof/>
          <w:sz w:val="24"/>
        </w:rPr>
        <w:t>Кодекса за поведение във връзка с дезинформацията</w:t>
      </w:r>
      <w:r>
        <w:rPr>
          <w:rFonts w:ascii="Times New Roman" w:hAnsi="Times New Roman"/>
          <w:noProof/>
          <w:sz w:val="24"/>
        </w:rPr>
        <w:t xml:space="preserve"> за онлайн платформите и сектора на онлайн рекламата. Те включват трите основни платформи (Facebook, Google/YouTube, Twitter) и доставчика на интернет браузъра Mozilla, плюс търговските асоциации, представляващи други онлайн платформи и рекламния сектор. Кодексът съдържа 15 поети ангажимента, които са разгледани в пет глави: 1) контрол над рекламното позициониране; 2) политическа реклама и тематично ориентирана реклама; 3) интегритет на услугите; 4) оправомощаване на потребителите; и 5) по-силни позиции на научноизследователската общност. Комисията ще извършва внимателно и непрекъснато наблюдение на изпълнението на Кодекса през първите 12 месеца, по-специално с оглед на изборите за Европейски парламент през 2019 г.</w:t>
      </w:r>
      <w:r>
        <w:rPr>
          <w:rStyle w:val="FootnoteReference"/>
          <w:noProof/>
          <w:sz w:val="24"/>
        </w:rPr>
        <w:footnoteReference w:id="19"/>
      </w:r>
      <w:r>
        <w:rPr>
          <w:noProof/>
        </w:rPr>
        <w:t>.</w:t>
      </w:r>
      <w:r>
        <w:rPr>
          <w:rFonts w:ascii="Times New Roman" w:hAnsi="Times New Roman"/>
          <w:noProof/>
          <w:sz w:val="24"/>
        </w:rPr>
        <w:t xml:space="preserve"> Ако прилагането и въздействието на Кодекса за поведение се окажат незадоволителни, Комисията може да предложи по-нататъшни мерки, включително от регулаторно естество.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 цел да се гарантира </w:t>
      </w:r>
      <w:r>
        <w:rPr>
          <w:rFonts w:ascii="Times New Roman" w:hAnsi="Times New Roman"/>
          <w:b/>
          <w:noProof/>
          <w:sz w:val="24"/>
        </w:rPr>
        <w:t>устойчивостта на изборния процес</w:t>
      </w:r>
      <w:r>
        <w:rPr>
          <w:rFonts w:ascii="Times New Roman" w:hAnsi="Times New Roman"/>
          <w:noProof/>
          <w:sz w:val="24"/>
        </w:rPr>
        <w:t>, Комисията внесе редица инициативи за справяне със заплахата от атаки срещу изборната инфраструктура и информационните системи на предизборните кампании, както и с риска от злоупотреба с лични данни с цел съзнателно да се повлияе на резултата от изборите за Европейски парламент. На 12 септември 2018 г. Комисията прие съобщение за гарантиране на свободни и честни избори</w:t>
      </w:r>
      <w:r>
        <w:rPr>
          <w:rStyle w:val="FootnoteReference"/>
          <w:noProof/>
          <w:sz w:val="24"/>
        </w:rPr>
        <w:footnoteReference w:id="20"/>
      </w:r>
      <w:r>
        <w:rPr>
          <w:rFonts w:ascii="Times New Roman" w:hAnsi="Times New Roman"/>
          <w:noProof/>
          <w:sz w:val="24"/>
        </w:rPr>
        <w:t xml:space="preserve"> и Препоръка относно мрежите за изборно сътрудничество, прозрачността онлайн, защитата от инциденти в сферата на киберсигурността и борбата с кампаниите за дезинформация във връзка с изборите за Европейски парламент. Мрежата за сътрудничество на европейските избори ще осигури форум за координиране на изпълнението на препоръката, а заключенията на Съвета по тези мерки са планирани за началото на 2019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Заедно със съобщението и препоръката, Комисията също така представи насоки относно прилагането на законодателството на ЕС за защита на данните, целящо да подпомогне съответните участници при прилагането на задълженията за защита на данните съгласно правото на ЕС в контекста на изборите</w:t>
      </w:r>
      <w:r>
        <w:rPr>
          <w:rStyle w:val="FootnoteReference"/>
          <w:noProof/>
          <w:sz w:val="24"/>
        </w:rPr>
        <w:footnoteReference w:id="21"/>
      </w:r>
      <w:r>
        <w:rPr>
          <w:rFonts w:ascii="Times New Roman" w:hAnsi="Times New Roman"/>
          <w:noProof/>
          <w:sz w:val="24"/>
        </w:rPr>
        <w:t xml:space="preserve">, както и </w:t>
      </w:r>
      <w:r>
        <w:rPr>
          <w:rFonts w:ascii="Times New Roman" w:hAnsi="Times New Roman"/>
          <w:b/>
          <w:noProof/>
          <w:sz w:val="24"/>
        </w:rPr>
        <w:t>законодателно предложение за целево изменение на регламента от 2014 г. относно финансирането на политическите партии</w:t>
      </w:r>
      <w:r>
        <w:rPr>
          <w:rStyle w:val="FootnoteReference"/>
          <w:noProof/>
          <w:sz w:val="24"/>
        </w:rPr>
        <w:footnoteReference w:id="22"/>
      </w:r>
      <w:r>
        <w:rPr>
          <w:noProof/>
        </w:rPr>
        <w:t>.</w:t>
      </w:r>
      <w:r>
        <w:rPr>
          <w:rFonts w:ascii="Times New Roman" w:hAnsi="Times New Roman"/>
          <w:noProof/>
          <w:sz w:val="24"/>
        </w:rPr>
        <w:t xml:space="preserve"> Комисията по конституционни въпроси на Европейския парламент гласува своя доклад на 6 декември 2018 г., а на пленарното си заседание Европейският парламент предстои да приеме своя мандат за водене на преговори по време на сесията през декември 2018 г.</w:t>
      </w:r>
      <w:r>
        <w:rPr>
          <w:rFonts w:ascii="Times New Roman" w:hAnsi="Times New Roman"/>
          <w:i/>
          <w:noProof/>
          <w:sz w:val="24"/>
        </w:rPr>
        <w:t xml:space="preserve"> </w:t>
      </w:r>
      <w:r>
        <w:rPr>
          <w:rFonts w:ascii="Times New Roman" w:hAnsi="Times New Roman"/>
          <w:noProof/>
          <w:sz w:val="24"/>
        </w:rPr>
        <w:t>Комисията призовава Съвета да приеме своя мандат за водене на преговори през декември 2018 г., така че и двамата съзаконодатели да могат да започнат тристранните срещи без отлагане, за да може да се гарантира, че предложените целеви изменения са въведени навреме за изборите за Европейски парламент през 2019 г.</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 15 и 16 октомври Комисията организира </w:t>
      </w:r>
      <w:r>
        <w:rPr>
          <w:rFonts w:ascii="Times New Roman" w:hAnsi="Times New Roman"/>
          <w:b/>
          <w:noProof/>
          <w:sz w:val="24"/>
        </w:rPr>
        <w:t>конференция на високо равнище относно заплахите от кибератаки, свързани с избори</w:t>
      </w:r>
      <w:r>
        <w:rPr>
          <w:rFonts w:ascii="Times New Roman" w:hAnsi="Times New Roman"/>
          <w:noProof/>
          <w:sz w:val="24"/>
        </w:rPr>
        <w:t xml:space="preserve">, целяща да информира текущата работа на Европейската комисия за подобряване на сигурността и устойчивостта на изборните процеси срещу постоянно развиващите се кибернетични заплахи. Конференцията събра водещи специалисти от цял свят, които да обсъдят как най-добре да се предприемат последващи мерки по съществуващи инициативи. Конференцията беше последвана от семинар на високо равнище за държавите членки, организиран с цел да се съберат националните избирателни комисии и длъжностните лица, работещи в сферата на киберсигурността. Това бе първият случай, в който избирателните органи и органите в областта на киберсигурността се срещнаха, за да обсъдят най-добрите начини за справяне със заплахите от кибератаки, свързани с избори.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време на </w:t>
      </w:r>
      <w:r>
        <w:rPr>
          <w:rFonts w:ascii="Times New Roman" w:hAnsi="Times New Roman"/>
          <w:b/>
          <w:noProof/>
          <w:sz w:val="24"/>
        </w:rPr>
        <w:t>колоквиума за основните права,</w:t>
      </w:r>
      <w:r>
        <w:rPr>
          <w:rFonts w:ascii="Times New Roman" w:hAnsi="Times New Roman"/>
          <w:noProof/>
          <w:sz w:val="24"/>
        </w:rPr>
        <w:t xml:space="preserve"> състоял се на 26 и 27 ноември 2018 г., се събраха високопоставени национални и европейски политици, представители на академичните среди и представители на гражданското общество, медиите, международни организации и частния сектор, за да обсъдят обширната тема за демокрацията в ЕС. Заключенията на колоквиума ще се използват в работата на мрежата за сътрудничество на европейските избори, която Комисията ще свика за първи път през януари.</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i/>
                <w:noProof/>
                <w:sz w:val="24"/>
                <w:szCs w:val="24"/>
              </w:rPr>
            </w:pPr>
            <w:r>
              <w:rPr>
                <w:rFonts w:ascii="Times New Roman" w:hAnsi="Times New Roman"/>
                <w:noProof/>
                <w:sz w:val="24"/>
              </w:rPr>
              <w:t>С цел справяне с дезинформацията и гарантиране на устойчивостта на изборния процес, Комисията призовава Европейския парламент и Съвета:</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Инициативи в рамките на речта за състоянието на Съюза през 2018 г.:</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гарантират, че предложените </w:t>
            </w:r>
            <w:r>
              <w:rPr>
                <w:rFonts w:ascii="Times New Roman" w:hAnsi="Times New Roman"/>
                <w:b/>
                <w:noProof/>
                <w:sz w:val="24"/>
              </w:rPr>
              <w:t>целеви изменения на Регламента относно финансирането на политическите партии</w:t>
            </w:r>
            <w:r>
              <w:rPr>
                <w:rFonts w:ascii="Times New Roman" w:hAnsi="Times New Roman"/>
                <w:noProof/>
                <w:sz w:val="24"/>
              </w:rPr>
              <w:t xml:space="preserve"> са въведени навреме за изборите за Европейски парламент през 2019 г..</w:t>
            </w:r>
          </w:p>
          <w:p>
            <w:pPr>
              <w:jc w:val="both"/>
              <w:rPr>
                <w:rFonts w:ascii="Times New Roman" w:hAnsi="Times New Roman" w:cs="Times New Roman"/>
                <w:i/>
                <w:noProof/>
                <w:sz w:val="24"/>
                <w:szCs w:val="24"/>
              </w:rPr>
            </w:pPr>
            <w:r>
              <w:rPr>
                <w:rFonts w:ascii="Times New Roman" w:hAnsi="Times New Roman"/>
                <w:i/>
                <w:noProof/>
                <w:sz w:val="24"/>
              </w:rPr>
              <w:t>Писмо за намеренията от 2018 г.:</w:t>
            </w:r>
          </w:p>
          <w:p>
            <w:pPr>
              <w:pStyle w:val="ListParagraph"/>
              <w:numPr>
                <w:ilvl w:val="0"/>
                <w:numId w:val="16"/>
              </w:numPr>
              <w:jc w:val="both"/>
              <w:rPr>
                <w:noProof/>
                <w:color w:val="1F497D"/>
              </w:rPr>
            </w:pPr>
            <w:r>
              <w:rPr>
                <w:rFonts w:ascii="Times New Roman" w:hAnsi="Times New Roman"/>
                <w:noProof/>
                <w:sz w:val="24"/>
              </w:rPr>
              <w:t xml:space="preserve">да изпълнят бързо и решително действията, предвидени в </w:t>
            </w:r>
            <w:r>
              <w:rPr>
                <w:rFonts w:ascii="Times New Roman" w:hAnsi="Times New Roman"/>
                <w:b/>
                <w:noProof/>
                <w:sz w:val="24"/>
              </w:rPr>
              <w:t>Съвместния план за действие за борба с дезинформацията,</w:t>
            </w:r>
            <w:r>
              <w:rPr>
                <w:rFonts w:ascii="Times New Roman" w:hAnsi="Times New Roman"/>
                <w:noProof/>
                <w:sz w:val="24"/>
              </w:rPr>
              <w:t xml:space="preserve"> представен от Европейската комисия на 5 декември 2018 г..</w:t>
            </w:r>
          </w:p>
        </w:tc>
      </w:tr>
    </w:tbl>
    <w:p>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Повишаване на киберсигурността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Като част от действията, посочени в съвместното съобщение от септември 2017 г.</w:t>
      </w:r>
      <w:r>
        <w:rPr>
          <w:rStyle w:val="FootnoteReference"/>
          <w:noProof/>
          <w:sz w:val="24"/>
        </w:rPr>
        <w:footnoteReference w:id="23"/>
      </w:r>
      <w:r>
        <w:rPr>
          <w:rStyle w:val="FootnoteReference"/>
          <w:noProof/>
        </w:rPr>
        <w:t xml:space="preserve"> </w:t>
      </w:r>
      <w:r>
        <w:rPr>
          <w:rFonts w:ascii="Times New Roman" w:hAnsi="Times New Roman"/>
          <w:noProof/>
          <w:sz w:val="24"/>
        </w:rPr>
        <w:t xml:space="preserve">„Устойчивост, възпиране и отбрана: изграждане на силна киберсигурност за ЕС“, съзаконодателите проведоха пет тристранни срещи от 13 септември 2018 г. до 10 декември 2018 г. относно предложението за </w:t>
      </w:r>
      <w:r>
        <w:rPr>
          <w:rFonts w:ascii="Times New Roman" w:hAnsi="Times New Roman"/>
          <w:b/>
          <w:noProof/>
          <w:sz w:val="24"/>
        </w:rPr>
        <w:t>Акт за киберсигурността</w:t>
      </w:r>
      <w:r>
        <w:rPr>
          <w:rStyle w:val="FootnoteReference"/>
          <w:noProof/>
          <w:sz w:val="24"/>
        </w:rPr>
        <w:footnoteReference w:id="24"/>
      </w:r>
      <w:r>
        <w:rPr>
          <w:rFonts w:ascii="Times New Roman" w:hAnsi="Times New Roman"/>
          <w:noProof/>
          <w:sz w:val="24"/>
        </w:rPr>
        <w:t xml:space="preserve"> и достигнаха политическо споразумение. Този закон, който ще сега бъде официално приет и ще влезе в сила възможно най-скоро, засилва мандата на Агенцията на ЕС за мрежова и информационна сигурност. С него също така се създава рамка на ЕС за сертифициране на киберсигурността за информационни и комуникационни технологични продукти, услуги и процеси.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приветства напредъка, постигнат по нейното законодателно предложение относно </w:t>
      </w:r>
      <w:r>
        <w:rPr>
          <w:rFonts w:ascii="Times New Roman" w:hAnsi="Times New Roman"/>
          <w:b/>
          <w:noProof/>
          <w:sz w:val="24"/>
        </w:rPr>
        <w:t>непаричните платежни средства</w:t>
      </w:r>
      <w:r>
        <w:rPr>
          <w:rStyle w:val="FootnoteReference"/>
          <w:noProof/>
          <w:sz w:val="24"/>
        </w:rPr>
        <w:footnoteReference w:id="25"/>
      </w:r>
      <w:r>
        <w:rPr>
          <w:noProof/>
        </w:rPr>
        <w:t>.</w:t>
      </w:r>
      <w:r>
        <w:rPr>
          <w:rFonts w:ascii="Times New Roman" w:hAnsi="Times New Roman"/>
          <w:noProof/>
          <w:sz w:val="24"/>
        </w:rPr>
        <w:t xml:space="preserve"> С предложените правила ще се актуализира правната уредба на ЕС срещу измамите и подправянето на непарични платежни средства, като се предвидят действия за справяне с новите предизвикателства и технологични разработки като виртуалните валути и мобилните плащания, като се премахнат пречките пред оперативното сътрудничество и се засилят превантивните мерки и помощта за пострадалите. През септември 2018 г. започнаха тристранни обсъждания, последното от които бе проведено на 28 ноември 2018 г. и доведе до временно споразумение. Комисията призовава съзаконодателите да приключат преговорите по това досие на следващото тристранно заседание на 12 декември 2018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Въз основа на обявените през 2017 г. амбициозни инициативи в областта на киберсигурността, предложението на Комисията от септември 2018 г. за регламент за създаване на </w:t>
      </w:r>
      <w:r>
        <w:rPr>
          <w:rFonts w:ascii="Times New Roman" w:hAnsi="Times New Roman"/>
          <w:b/>
          <w:noProof/>
          <w:sz w:val="24"/>
        </w:rPr>
        <w:t>Европейски център за промишлени, технологични и изследователски експертни познания в областта на киберсигурността</w:t>
      </w:r>
      <w:r>
        <w:rPr>
          <w:rFonts w:ascii="Times New Roman" w:hAnsi="Times New Roman"/>
          <w:noProof/>
          <w:sz w:val="24"/>
        </w:rPr>
        <w:t xml:space="preserve"> </w:t>
      </w:r>
      <w:r>
        <w:rPr>
          <w:rFonts w:ascii="Times New Roman" w:hAnsi="Times New Roman"/>
          <w:b/>
          <w:noProof/>
          <w:sz w:val="24"/>
        </w:rPr>
        <w:t>с Мрежа от национални координационни центрове</w:t>
      </w:r>
      <w:r>
        <w:rPr>
          <w:rFonts w:ascii="Times New Roman" w:hAnsi="Times New Roman"/>
          <w:noProof/>
          <w:sz w:val="24"/>
        </w:rPr>
        <w:t xml:space="preserve"> има за цел да подкрепи технологичните и промишлените способности в областта на киберсигурността и представлява крайъгълен камък за една Европа, която закриля. Това върви ръка за ръка с основната цел за повишаване на конкурентоспособността на сектора на киберсигурността в Съюза и превръщане на киберсигурността в конкурентно предимство на други европейски промишлени отрасли. Комисията призовава Европейския парламент и Съвета да приемат бързо съответните си мандати за водене на преговори с оглед на започването на тристранни обсъждания във възможно най-кратки срокове, като се вземат предвид текущите преговори по програмата „Цифрова Европа“.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Предвид глобалния характер на кибернетичните заплахи, международното сътрудничество в областта на киберсигурността е от съществено значение. На 23—24 октомври 2018 г. представители на Министерството на вътрешната сигурност на САЩ и Европейската комисия се срещнаха за </w:t>
      </w:r>
      <w:r>
        <w:rPr>
          <w:rFonts w:ascii="Times New Roman" w:hAnsi="Times New Roman"/>
          <w:b/>
          <w:noProof/>
          <w:sz w:val="24"/>
        </w:rPr>
        <w:t>семинар относно подходи на политиката за киберсигурност</w:t>
      </w:r>
      <w:r>
        <w:rPr>
          <w:rFonts w:ascii="Times New Roman" w:hAnsi="Times New Roman"/>
          <w:noProof/>
          <w:sz w:val="24"/>
        </w:rPr>
        <w:t xml:space="preserve"> с цел проучване на възможностите за засилване на сътрудничеството. Участниците установиха няколко възможности за улесняване на двустранната ангажираност и насърчиха допълнително текущия обмен на информация относно съответното сертифициране, управлението на риска по веригата за доставки, управлението на работната сила и уменията, както и приоритетите на научноизследователската и развойната дейност по отношение на киберсигурността.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месеци Европейската служба за външна дейност в сътрудничество с Комисията проведе още един кръг </w:t>
      </w:r>
      <w:r>
        <w:rPr>
          <w:rFonts w:ascii="Times New Roman" w:hAnsi="Times New Roman"/>
          <w:b/>
          <w:noProof/>
          <w:sz w:val="24"/>
        </w:rPr>
        <w:t>кибердиалози</w:t>
      </w:r>
      <w:r>
        <w:rPr>
          <w:rFonts w:ascii="Times New Roman" w:hAnsi="Times New Roman"/>
          <w:noProof/>
          <w:sz w:val="24"/>
        </w:rPr>
        <w:t xml:space="preserve"> със Съединените американски щати (10 септември 2018 г.), Китай (16 ноември 2018 г.) и планира да проведе такъв с Индия на 12 декември 2018 г. По време на кибердиалозите бяха обсъдени изпълнението на нормите за киберпространството, мерките за укрепване на доверието по отношение на киберсигурността и прилагането на международното право за киберпространството. През последните месеци също така бе постигнат значителен напредък в прилагането на рамката за съвместен дипломатически отговор на ЕС срещу зловредни кибердейности („</w:t>
      </w:r>
      <w:r>
        <w:rPr>
          <w:rFonts w:ascii="Times New Roman" w:hAnsi="Times New Roman"/>
          <w:b/>
          <w:noProof/>
          <w:sz w:val="24"/>
        </w:rPr>
        <w:t>инструментариум за кибердипломация</w:t>
      </w:r>
      <w:r>
        <w:rPr>
          <w:rFonts w:ascii="Times New Roman" w:hAnsi="Times New Roman"/>
          <w:noProof/>
          <w:sz w:val="24"/>
        </w:rPr>
        <w:t>“)</w:t>
      </w:r>
      <w:r>
        <w:rPr>
          <w:rStyle w:val="FootnoteReference"/>
          <w:noProof/>
          <w:sz w:val="24"/>
        </w:rPr>
        <w:footnoteReference w:id="26"/>
      </w:r>
      <w:r>
        <w:rPr>
          <w:rFonts w:ascii="Times New Roman" w:hAnsi="Times New Roman"/>
          <w:noProof/>
          <w:sz w:val="24"/>
        </w:rPr>
        <w:t xml:space="preserve">, както беше поискано от Европейския съвет през юни 2018 г. и в неговите заключения от октомври 2018 г. относно въвеждане на ограничителни мерки на ЕС срещу кибернетични атаки.  </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i/>
                <w:noProof/>
                <w:sz w:val="24"/>
                <w:szCs w:val="24"/>
              </w:rPr>
            </w:pPr>
            <w:r>
              <w:rPr>
                <w:rFonts w:ascii="Times New Roman" w:hAnsi="Times New Roman"/>
                <w:noProof/>
                <w:sz w:val="24"/>
              </w:rPr>
              <w:t>С цел повишаване на киберсигурността Комисията призовава Европейския парламент и Съвета:</w:t>
            </w:r>
            <w:r>
              <w:rPr>
                <w:rFonts w:ascii="Times New Roman" w:hAnsi="Times New Roman"/>
                <w:i/>
                <w:noProof/>
                <w:sz w:val="24"/>
              </w:rPr>
              <w:t xml:space="preserve"> </w:t>
            </w:r>
          </w:p>
          <w:p>
            <w:pPr>
              <w:spacing w:before="240"/>
              <w:jc w:val="both"/>
              <w:rPr>
                <w:rFonts w:ascii="Times New Roman" w:hAnsi="Times New Roman" w:cs="Times New Roman"/>
                <w:noProof/>
                <w:sz w:val="24"/>
                <w:szCs w:val="24"/>
              </w:rPr>
            </w:pPr>
            <w:r>
              <w:rPr>
                <w:rFonts w:ascii="Times New Roman" w:hAnsi="Times New Roman"/>
                <w:i/>
                <w:noProof/>
                <w:sz w:val="24"/>
              </w:rPr>
              <w:t>Инициативи в рамките на речта за състоянието на Съюза през 2018 г.:</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приемат възможно най-скоро своите мандати за водене на преговори по законодателното предложение относно </w:t>
            </w:r>
            <w:r>
              <w:rPr>
                <w:rFonts w:ascii="Times New Roman" w:hAnsi="Times New Roman"/>
                <w:b/>
                <w:noProof/>
                <w:sz w:val="24"/>
              </w:rPr>
              <w:t>Европейския център за промишлени, технологични и изследователски</w:t>
            </w:r>
            <w:r>
              <w:rPr>
                <w:rFonts w:ascii="Times New Roman" w:hAnsi="Times New Roman"/>
                <w:noProof/>
                <w:sz w:val="24"/>
              </w:rPr>
              <w:t xml:space="preserve"> </w:t>
            </w:r>
            <w:r>
              <w:rPr>
                <w:rFonts w:ascii="Times New Roman" w:hAnsi="Times New Roman"/>
                <w:b/>
                <w:noProof/>
                <w:sz w:val="24"/>
              </w:rPr>
              <w:t xml:space="preserve">експертни познания в областта на киберсигурността </w:t>
            </w:r>
            <w:r>
              <w:rPr>
                <w:rFonts w:ascii="Times New Roman" w:hAnsi="Times New Roman"/>
                <w:noProof/>
                <w:sz w:val="24"/>
              </w:rPr>
              <w:t>и</w:t>
            </w:r>
            <w:r>
              <w:rPr>
                <w:rFonts w:ascii="Times New Roman" w:hAnsi="Times New Roman"/>
                <w:b/>
                <w:noProof/>
                <w:sz w:val="24"/>
              </w:rPr>
              <w:t xml:space="preserve"> Мрежата от национални координационни центрове</w:t>
            </w:r>
            <w:r>
              <w:rPr>
                <w:rFonts w:ascii="Times New Roman" w:hAnsi="Times New Roman"/>
                <w:noProof/>
                <w:sz w:val="24"/>
              </w:rPr>
              <w:t>, за да се постигне възможно най-голям напредък по време на текущия мандат на Европейския парламент.</w:t>
            </w:r>
          </w:p>
          <w:p>
            <w:pPr>
              <w:jc w:val="both"/>
              <w:rPr>
                <w:rFonts w:ascii="Times New Roman" w:hAnsi="Times New Roman" w:cs="Times New Roman"/>
                <w:i/>
                <w:noProof/>
                <w:sz w:val="24"/>
                <w:szCs w:val="24"/>
              </w:rPr>
            </w:pPr>
            <w:r>
              <w:rPr>
                <w:rFonts w:ascii="Times New Roman" w:hAnsi="Times New Roman"/>
                <w:i/>
                <w:noProof/>
                <w:sz w:val="24"/>
              </w:rPr>
              <w:t>Други:</w:t>
            </w:r>
          </w:p>
          <w:p>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noProof/>
                <w:sz w:val="24"/>
              </w:rPr>
              <w:t xml:space="preserve">да се финализира постигането на споразумение през декември 2018 г. във връзка със законодателното предложение относно </w:t>
            </w:r>
            <w:r>
              <w:rPr>
                <w:rFonts w:ascii="Times New Roman" w:hAnsi="Times New Roman"/>
                <w:b/>
                <w:noProof/>
                <w:sz w:val="24"/>
              </w:rPr>
              <w:t>непаричните платежни средства</w:t>
            </w:r>
            <w:r>
              <w:rPr>
                <w:rFonts w:ascii="Times New Roman" w:hAnsi="Times New Roman"/>
                <w:noProof/>
                <w:sz w:val="24"/>
              </w:rPr>
              <w:t>.</w:t>
            </w:r>
          </w:p>
        </w:tc>
      </w:tr>
    </w:tbl>
    <w:p>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i/>
          <w:noProof/>
          <w:sz w:val="24"/>
        </w:rPr>
        <w:t>Ограничаване на пространството за действие на терористите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Ефективното разследване, наказателно преследване и издаване на присъди за престъпления се основават до голяма степен на електронните доказателства. Наличието на такива доказателства е особено важно в наказателното преследване на трансгранични престъпления, като например тероризма и киберпрестъпността. Комисията приветства приемането от Съвета по правосъдие и вътрешни работи на 7 декември 2018 г. на общ подход по предложения регламент на Комисията от април 2018 г. за подобряване на трансграничния достъп до </w:t>
      </w:r>
      <w:r>
        <w:rPr>
          <w:rFonts w:ascii="Times New Roman" w:hAnsi="Times New Roman"/>
          <w:b/>
          <w:noProof/>
          <w:sz w:val="24"/>
        </w:rPr>
        <w:t>електронни доказателства</w:t>
      </w:r>
      <w:r>
        <w:rPr>
          <w:rFonts w:ascii="Times New Roman" w:hAnsi="Times New Roman"/>
          <w:noProof/>
          <w:sz w:val="24"/>
        </w:rPr>
        <w:t xml:space="preserve"> в наказателните разследвания</w:t>
      </w:r>
      <w:r>
        <w:rPr>
          <w:rStyle w:val="FootnoteReference"/>
          <w:noProof/>
          <w:sz w:val="24"/>
        </w:rPr>
        <w:footnoteReference w:id="27"/>
      </w:r>
      <w:r>
        <w:rPr>
          <w:noProof/>
        </w:rPr>
        <w:t>.</w:t>
      </w:r>
      <w:r>
        <w:rPr>
          <w:rFonts w:ascii="Times New Roman" w:hAnsi="Times New Roman"/>
          <w:noProof/>
          <w:sz w:val="24"/>
        </w:rPr>
        <w:t xml:space="preserve"> Предвид значението на електронните доказателства за наказателното разследване при почти всички видове престъпления и като взема предвид съвместната декларация, Комисията приканва Европейския парламент да ускори работата си по това предложение с оглед на приемането му в рамките на настоящия законодателен мандат.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международното</w:t>
      </w:r>
      <w:r>
        <w:rPr>
          <w:rFonts w:ascii="Times New Roman" w:hAnsi="Times New Roman"/>
          <w:noProof/>
          <w:sz w:val="24"/>
        </w:rPr>
        <w:t xml:space="preserve"> </w:t>
      </w:r>
      <w:r>
        <w:rPr>
          <w:rFonts w:ascii="Times New Roman" w:hAnsi="Times New Roman"/>
          <w:b/>
          <w:noProof/>
          <w:sz w:val="24"/>
        </w:rPr>
        <w:t>развитие в областта на електронните доказателства</w:t>
      </w:r>
      <w:r>
        <w:rPr>
          <w:rFonts w:ascii="Times New Roman" w:hAnsi="Times New Roman"/>
          <w:noProof/>
          <w:sz w:val="24"/>
        </w:rPr>
        <w:t xml:space="preserve"> Комисията следи отблизо развитието на текущите преговори по втори допълнителен протокол към Конвенцията на Съвета на Европа от Будапеща за престъпленията в кибернетичното пространство във връзка с достъпа до електронни доказателства. Освен това, постигането на споразумение със Съединените щати би осигурило правна яснота за правоприлагащите органи от двете страни и би помогнало да се избегнат конфликтни правни задължения за доставчиците на услуги. На срещата на министрите ЕС—САЩ по въпросите на правосъдието и вътрешните работи, която се проведе на 8—9 ноември 2018 г. във Вашингтон, представителите на ЕС и САЩ подчертаха значението на бързия трансграничен достъп до електронни доказателства, както за правоприлагащите, така и за съдебните органи. Намерението на Комисията е да предложи, съвместно и възможно най-скоро, приемането на две препоръки за указания за водене на преговори по тези два международни аспекта, като се вземе под внимание постигнатият напредък в обсъжданията на предложенията относно електронните доказателства и необходимостта от достатъчно яснота относно параметрите и предпазните мерки на бъдещите вътрешни договорености в ЕС.</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sz w:val="24"/>
        </w:rPr>
        <w:t>Предвид значението на предоставянет</w:t>
      </w:r>
      <w:r>
        <w:rPr>
          <w:rFonts w:ascii="Times New Roman" w:hAnsi="Times New Roman"/>
          <w:noProof/>
          <w:color w:val="000000" w:themeColor="text1"/>
          <w:sz w:val="24"/>
        </w:rPr>
        <w:t xml:space="preserve">о на достъп на правоприлагащите органи до финансова информация, през април 2018 г. Комисията прие законодателно предложение за </w:t>
      </w:r>
      <w:r>
        <w:rPr>
          <w:rFonts w:ascii="Times New Roman" w:hAnsi="Times New Roman"/>
          <w:b/>
          <w:noProof/>
          <w:color w:val="000000" w:themeColor="text1"/>
          <w:sz w:val="24"/>
        </w:rPr>
        <w:t xml:space="preserve">улесняване на използването на финансова и друга информация </w:t>
      </w:r>
      <w:r>
        <w:rPr>
          <w:rFonts w:ascii="Times New Roman" w:hAnsi="Times New Roman"/>
          <w:noProof/>
          <w:color w:val="000000" w:themeColor="text1"/>
          <w:sz w:val="24"/>
        </w:rPr>
        <w:t>за предотвратяването, разкриването, разследването или наказателното преследване на тежки престъпления</w:t>
      </w:r>
      <w:r>
        <w:rPr>
          <w:rStyle w:val="FootnoteReference"/>
          <w:noProof/>
          <w:color w:val="000000" w:themeColor="text1"/>
          <w:sz w:val="24"/>
        </w:rPr>
        <w:footnoteReference w:id="28"/>
      </w:r>
      <w:r>
        <w:rPr>
          <w:noProof/>
        </w:rPr>
        <w:t>.</w:t>
      </w:r>
      <w:r>
        <w:rPr>
          <w:rFonts w:ascii="Times New Roman" w:hAnsi="Times New Roman"/>
          <w:noProof/>
          <w:color w:val="000000" w:themeColor="text1"/>
          <w:sz w:val="24"/>
        </w:rPr>
        <w:t xml:space="preserve"> Предложението има за цел да предостави на съответните правоприлагащи органи и служби за възстановяване на активи пряк достъп до информация за банкови сметки, съхранявана в национални централизирани регистри за банковите сметки, и да засили сътрудничеството между националните звена за финансово разузнаване и правоприлагащите органи. На 21 ноември 2018 г. </w:t>
      </w:r>
      <w:r>
        <w:rPr>
          <w:rFonts w:ascii="Times New Roman" w:hAnsi="Times New Roman"/>
          <w:noProof/>
          <w:sz w:val="24"/>
        </w:rPr>
        <w:t xml:space="preserve">Съветът </w:t>
      </w:r>
      <w:r>
        <w:rPr>
          <w:rFonts w:ascii="Times New Roman" w:hAnsi="Times New Roman"/>
          <w:noProof/>
          <w:color w:val="000000" w:themeColor="text1"/>
          <w:sz w:val="24"/>
        </w:rPr>
        <w:t>прие общ подход по това досие. След приемането на доклада от страна на Комисията по граждански свободи, правосъдие и вътрешни работи на 3 декември 2018 г. се очаква Европейският парламент да постигне съгласие по отношение на своя мандат за водене на преговори по време на пленарната сесия през декември 2018 г. Комисията приветства постигнатия напредък и приканва съзаконодателите да придвижат напред междуинституционалните преговори без забавяне, с цел да постигнат съгласие преди изборите за Европейски парламент.</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През април 2018 г. Комисията представи законодателно предложение относно </w:t>
      </w:r>
      <w:r>
        <w:rPr>
          <w:rFonts w:ascii="Times New Roman" w:hAnsi="Times New Roman"/>
          <w:b/>
          <w:noProof/>
          <w:sz w:val="24"/>
        </w:rPr>
        <w:t>ограниченията относно предлагането на пазара и използването на прекурсори на взривни вещества</w:t>
      </w:r>
      <w:r>
        <w:rPr>
          <w:rStyle w:val="FootnoteReference"/>
          <w:noProof/>
          <w:sz w:val="24"/>
        </w:rPr>
        <w:footnoteReference w:id="29"/>
      </w:r>
      <w:r>
        <w:rPr>
          <w:rFonts w:ascii="Times New Roman" w:hAnsi="Times New Roman"/>
          <w:noProof/>
          <w:sz w:val="24"/>
        </w:rPr>
        <w:t xml:space="preserve"> с цел да се ограничи достъпа до опасни прекурсори на взривни вещества, които могат да се използват злонамерено за производство на самоделни взривни устройства. Предложението има за цел да се преодолеят пропуските по отношение на сигурността чрез редица мерки, като например забраната на допълнителни химични вещества, задължителни проверки на съдебните досиета на лицата, които кандидатстват за лиценз за закупуване на ограничени вещества, и разясняване на факта, че правилата, приложими за икономическите оператори, се прилагат и за дружества, които осъществяват дейност онлайн. Очаква се Комисията на Европейския парламент по граждански свободи, правосъдие и вътрешни работи да приеме доклада си на 10 декември 2018 г. Предвид постигнатия напредък по това досие</w:t>
      </w:r>
      <w:r>
        <w:rPr>
          <w:rFonts w:ascii="Times" w:hAnsi="Times"/>
          <w:noProof/>
          <w:sz w:val="24"/>
        </w:rPr>
        <w:t>, К</w:t>
      </w:r>
      <w:r>
        <w:rPr>
          <w:rFonts w:ascii="Times New Roman" w:hAnsi="Times New Roman"/>
          <w:noProof/>
          <w:sz w:val="24"/>
        </w:rPr>
        <w:t>омисията призовава Съвета да приеме своя мандат за водене на преговори още през декември 2018 г. и двамата съзаконодатели да постигнат съгласие по време на текущия мандат на Европейския парламент.</w:t>
      </w:r>
    </w:p>
    <w:p>
      <w:pPr>
        <w:spacing w:after="0" w:line="240" w:lineRule="auto"/>
        <w:jc w:val="both"/>
        <w:rPr>
          <w:rFonts w:ascii="Times New Roman" w:hAnsi="Times New Roman" w:cs="Times New Roman"/>
          <w:noProof/>
          <w:sz w:val="24"/>
          <w:szCs w:val="24"/>
        </w:rPr>
      </w:pPr>
      <w:r>
        <w:rPr>
          <w:rFonts w:ascii="Times New Roman" w:hAnsi="Times New Roman"/>
          <w:noProof/>
          <w:sz w:val="24"/>
        </w:rPr>
        <w:t>Друго законодателно предложение, внесено от Комисията през април 2018 г., цели повишаване на сигурността на личните карти на гражданите на Съюза и на документите за пребиваване</w:t>
      </w:r>
      <w:r>
        <w:rPr>
          <w:rStyle w:val="FootnoteReference"/>
          <w:noProof/>
          <w:sz w:val="24"/>
        </w:rPr>
        <w:footnoteReference w:id="30"/>
      </w:r>
      <w:r>
        <w:rPr>
          <w:noProof/>
        </w:rPr>
        <w:t>.</w:t>
      </w:r>
      <w:r>
        <w:rPr>
          <w:rFonts w:ascii="Times New Roman" w:hAnsi="Times New Roman"/>
          <w:noProof/>
          <w:sz w:val="24"/>
        </w:rPr>
        <w:t xml:space="preserve"> В предложението по-специално се въвеждат минимални </w:t>
      </w:r>
      <w:r>
        <w:rPr>
          <w:rFonts w:ascii="Times New Roman" w:hAnsi="Times New Roman"/>
          <w:b/>
          <w:noProof/>
          <w:sz w:val="24"/>
        </w:rPr>
        <w:t>защитни елементи за лични карти</w:t>
      </w:r>
      <w:r>
        <w:rPr>
          <w:rFonts w:ascii="Times New Roman" w:hAnsi="Times New Roman"/>
          <w:noProof/>
          <w:sz w:val="24"/>
        </w:rPr>
        <w:t>, които ще трябва да включват биометрични идентификатори (портретна снимка и два пръстови отпечатъка) в безконтактен чип. Предложението е включено като приоритетно предложение в процес на разглеждане в рамките на работната програма на Комисията за 2019 г. На 14 ноември 2018 г. Съветът прие мандат за започване на преговори с Европейския парламент по предложението. На 3 декември 2018 г. Парламентът постигна съгласие за започването на преговори въз основа на доклада на Комисията по граждански свободи, правосъдие и вътрешни работи. Тристранните обсъждания ще започнат скоро и Комисията се ангажира да подкрепи съзаконодателите за приемането на предложението преди следващите избори за Европейски парламент, което вече е постижимо.</w:t>
      </w:r>
    </w:p>
    <w:p>
      <w:pPr>
        <w:rPr>
          <w:noProof/>
        </w:rPr>
      </w:pPr>
    </w:p>
    <w:tbl>
      <w:tblPr>
        <w:tblStyle w:val="TableGrid"/>
        <w:tblW w:w="0" w:type="auto"/>
        <w:tblLook w:val="04A0" w:firstRow="1" w:lastRow="0" w:firstColumn="1" w:lastColumn="0" w:noHBand="0" w:noVBand="1"/>
      </w:tblPr>
      <w:tblGrid>
        <w:gridCol w:w="9286"/>
      </w:tblGrid>
      <w:tr>
        <w:tc>
          <w:tcPr>
            <w:tcW w:w="9286"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За да се затвори пространството за действие на терористите, Комисията призовава:</w:t>
            </w:r>
          </w:p>
          <w:p>
            <w:pPr>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rPr>
              <w:t>Приоритети в рамките на съвместната декларация:</w:t>
            </w:r>
          </w:p>
          <w:p>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Европейският парламент да приеме спешно своя мандат за водене на преговори по законодателните предложения относно </w:t>
            </w:r>
            <w:r>
              <w:rPr>
                <w:rFonts w:ascii="Times New Roman" w:hAnsi="Times New Roman"/>
                <w:b/>
                <w:noProof/>
                <w:color w:val="000000" w:themeColor="text1"/>
                <w:sz w:val="24"/>
              </w:rPr>
              <w:t>електронните доказателства</w:t>
            </w:r>
            <w:r>
              <w:rPr>
                <w:rFonts w:ascii="Times New Roman" w:hAnsi="Times New Roman"/>
                <w:noProof/>
                <w:color w:val="000000" w:themeColor="text1"/>
                <w:sz w:val="24"/>
              </w:rPr>
              <w:t xml:space="preserve"> и да започне незабавно тристранни обсъждания със Съвета;</w:t>
            </w:r>
          </w:p>
          <w:p>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Европейският парламент и Съветът да постигнат съгласие по законодателното предложение относно </w:t>
            </w:r>
            <w:r>
              <w:rPr>
                <w:rFonts w:ascii="Times New Roman" w:hAnsi="Times New Roman"/>
                <w:b/>
                <w:noProof/>
                <w:color w:val="000000" w:themeColor="text1"/>
                <w:sz w:val="24"/>
              </w:rPr>
              <w:t>улесняването на използването на финансова информация</w:t>
            </w:r>
            <w:r>
              <w:rPr>
                <w:rFonts w:ascii="Times New Roman" w:hAnsi="Times New Roman"/>
                <w:noProof/>
                <w:color w:val="000000" w:themeColor="text1"/>
                <w:sz w:val="24"/>
              </w:rPr>
              <w:t xml:space="preserve"> преди изборите за Европейски парламент.</w:t>
            </w:r>
          </w:p>
          <w:p>
            <w:pPr>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rPr>
              <w:t>Други:</w:t>
            </w:r>
          </w:p>
          <w:p>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Европейският парламент и Съветът да приемат до края на 2018 г. своите мандати за водене на преговори по законодателното предложение за засилване на </w:t>
            </w:r>
            <w:r>
              <w:rPr>
                <w:rFonts w:ascii="Times New Roman" w:hAnsi="Times New Roman"/>
                <w:b/>
                <w:noProof/>
                <w:color w:val="000000" w:themeColor="text1"/>
                <w:sz w:val="24"/>
              </w:rPr>
              <w:t>ограниченията относно предлагането на пазара и използването на прекурсори на взривни вещества</w:t>
            </w:r>
            <w:r>
              <w:rPr>
                <w:rFonts w:ascii="Times New Roman" w:hAnsi="Times New Roman"/>
                <w:noProof/>
                <w:color w:val="000000" w:themeColor="text1"/>
                <w:sz w:val="24"/>
              </w:rPr>
              <w:t xml:space="preserve">; </w:t>
            </w:r>
          </w:p>
          <w:p>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Европейският парламент и Съветът да постигнат съгласие по законодателното предложение за подобряване на </w:t>
            </w:r>
            <w:r>
              <w:rPr>
                <w:rFonts w:ascii="Times New Roman" w:hAnsi="Times New Roman"/>
                <w:b/>
                <w:noProof/>
                <w:color w:val="000000" w:themeColor="text1"/>
                <w:sz w:val="24"/>
              </w:rPr>
              <w:t>защитните елементи на националните лични карти и документи за пребиваване,</w:t>
            </w:r>
            <w:r>
              <w:rPr>
                <w:rFonts w:ascii="Times New Roman" w:hAnsi="Times New Roman"/>
                <w:noProof/>
                <w:color w:val="000000" w:themeColor="text1"/>
                <w:sz w:val="24"/>
              </w:rPr>
              <w:t xml:space="preserve"> за да може то да бъде прието преди изборите за Европейски парламент.</w:t>
            </w:r>
          </w:p>
        </w:tc>
      </w:tr>
    </w:tbl>
    <w:p>
      <w:pPr>
        <w:spacing w:after="0" w:line="240" w:lineRule="auto"/>
        <w:jc w:val="both"/>
        <w:rPr>
          <w:rFonts w:ascii="Times New Roman" w:hAnsi="Times New Roman" w:cs="Times New Roman"/>
          <w:noProof/>
          <w:sz w:val="24"/>
          <w:szCs w:val="24"/>
        </w:rPr>
      </w:pPr>
    </w:p>
    <w:p>
      <w:pPr>
        <w:spacing w:before="240" w:after="240" w:line="240" w:lineRule="auto"/>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ИЗПЪЛНЕНИЕ НА ДРУГИ ПРИОРИТЕТНИ ДОСИЕТА ВЪВ ВРЪЗКА СЪС СИГУРНОСТТА</w:t>
      </w:r>
    </w:p>
    <w:p>
      <w:pPr>
        <w:widowControl w:val="0"/>
        <w:numPr>
          <w:ilvl w:val="0"/>
          <w:numId w:val="17"/>
        </w:numPr>
        <w:spacing w:after="240" w:line="240" w:lineRule="auto"/>
        <w:rPr>
          <w:rFonts w:ascii="Times New Roman" w:hAnsi="Times New Roman" w:cs="Times New Roman"/>
          <w:i/>
          <w:noProof/>
          <w:sz w:val="24"/>
          <w:szCs w:val="24"/>
        </w:rPr>
      </w:pPr>
      <w:r>
        <w:rPr>
          <w:rFonts w:ascii="Times New Roman" w:hAnsi="Times New Roman"/>
          <w:i/>
          <w:noProof/>
          <w:sz w:val="24"/>
        </w:rPr>
        <w:t>Изпълнение на законодателни мерки в рамките на Съюза на сигурност</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Пълното и правилно прилагане на договорените мерки е приоритет от първостепенно значение за осигуряването на ползите от един ефективен и истински Съюз на сигурност</w:t>
      </w:r>
      <w:r>
        <w:rPr>
          <w:rFonts w:ascii="Times New Roman" w:hAnsi="Times New Roman"/>
          <w:noProof/>
          <w:color w:val="000000" w:themeColor="text1"/>
          <w:sz w:val="24"/>
        </w:rPr>
        <w:t>. Комисията подкрепя активно държавите членки, включително чрез предоставянето на финансиране и чрез улесняване на обмена на най-добри практики. Когато е необходимо, Комисията също така използва изцяло своите правомощия съгласно Договорите за прилагането на правото на ЕС, включително действия за установяване на нарушения, когато е целесъобразно.</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Предвид че крайният срок за изпълнението на </w:t>
      </w:r>
      <w:r>
        <w:rPr>
          <w:rFonts w:ascii="Times New Roman" w:hAnsi="Times New Roman"/>
          <w:b/>
          <w:noProof/>
          <w:color w:val="000000" w:themeColor="text1"/>
          <w:sz w:val="24"/>
        </w:rPr>
        <w:t>Директивата на ЕС за резервационните данни на пътниците</w:t>
      </w:r>
      <w:r>
        <w:rPr>
          <w:rStyle w:val="FootnoteReference"/>
          <w:noProof/>
          <w:color w:val="000000" w:themeColor="text1"/>
          <w:sz w:val="24"/>
        </w:rPr>
        <w:footnoteReference w:id="31"/>
      </w:r>
      <w:r>
        <w:rPr>
          <w:rFonts w:ascii="Times New Roman" w:hAnsi="Times New Roman"/>
          <w:b/>
          <w:noProof/>
          <w:color w:val="000000" w:themeColor="text1"/>
          <w:sz w:val="24"/>
        </w:rPr>
        <w:t xml:space="preserve"> </w:t>
      </w:r>
      <w:r>
        <w:rPr>
          <w:rFonts w:ascii="Times New Roman" w:hAnsi="Times New Roman"/>
          <w:noProof/>
          <w:color w:val="000000" w:themeColor="text1"/>
          <w:sz w:val="24"/>
        </w:rPr>
        <w:t>изтече на 25 май 2018 г., Комисията започна процедура за нарушение на 19 юли 2018 г. срещу 14 държави членки за неуведомяване за приемането на национална правна уредба, която транспонира изцяло Директивата</w:t>
      </w:r>
      <w:r>
        <w:rPr>
          <w:rStyle w:val="FootnoteReference"/>
          <w:noProof/>
          <w:color w:val="000000" w:themeColor="text1"/>
          <w:sz w:val="24"/>
        </w:rPr>
        <w:footnoteReference w:id="32"/>
      </w:r>
      <w:r>
        <w:rPr>
          <w:rFonts w:ascii="Times New Roman" w:hAnsi="Times New Roman"/>
          <w:noProof/>
          <w:color w:val="000000" w:themeColor="text1"/>
          <w:sz w:val="24"/>
        </w:rPr>
        <w:t xml:space="preserve"> — важен инструмент в борбата с тероризма и тежките престъпления. Оттогава, пет държави членки са уведомили за пълно транспониране.</w:t>
      </w:r>
      <w:r>
        <w:rPr>
          <w:rStyle w:val="FootnoteReference"/>
          <w:noProof/>
          <w:color w:val="000000" w:themeColor="text1"/>
          <w:sz w:val="24"/>
        </w:rPr>
        <w:footnoteReference w:id="33"/>
      </w:r>
      <w:r>
        <w:rPr>
          <w:noProof/>
        </w:rPr>
        <w:t>.</w:t>
      </w:r>
      <w:r>
        <w:rPr>
          <w:rFonts w:ascii="Times New Roman" w:hAnsi="Times New Roman"/>
          <w:noProof/>
          <w:color w:val="000000" w:themeColor="text1"/>
          <w:sz w:val="24"/>
        </w:rPr>
        <w:t xml:space="preserve"> Успоредно с това Комисията продължава да подпомага всички държави членки в усилията им за завършване на разработването на техните системи за регистриране на резервационните данни на пътниците, включително чрез улесняване на обмена на информация и най-добри практики.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Крайният срок за транспониране на </w:t>
      </w:r>
      <w:r>
        <w:rPr>
          <w:rFonts w:ascii="Times New Roman" w:hAnsi="Times New Roman"/>
          <w:b/>
          <w:noProof/>
          <w:sz w:val="24"/>
        </w:rPr>
        <w:t>Директивата относно борбата с тероризма</w:t>
      </w:r>
      <w:r>
        <w:rPr>
          <w:rStyle w:val="FootnoteReference"/>
          <w:noProof/>
          <w:sz w:val="24"/>
        </w:rPr>
        <w:footnoteReference w:id="34"/>
      </w:r>
      <w:r>
        <w:rPr>
          <w:rFonts w:ascii="Times New Roman" w:hAnsi="Times New Roman"/>
          <w:noProof/>
          <w:sz w:val="24"/>
        </w:rPr>
        <w:t xml:space="preserve"> изтече на 8 септември 2018 г. На 21 ноември 2018 г. Комисията започна процедури за нарушение срещу 16 държави членки за неуведомяване относно приемането на национално законодателство, </w:t>
      </w:r>
      <w:r>
        <w:rPr>
          <w:rFonts w:ascii="Times New Roman" w:hAnsi="Times New Roman"/>
          <w:noProof/>
          <w:color w:val="000000" w:themeColor="text1"/>
          <w:sz w:val="24"/>
        </w:rPr>
        <w:t>с което се транспонира изцяло Директивата.</w:t>
      </w:r>
      <w:r>
        <w:rPr>
          <w:rStyle w:val="FootnoteReference"/>
          <w:noProof/>
          <w:color w:val="000000" w:themeColor="text1"/>
          <w:sz w:val="24"/>
        </w:rPr>
        <w:footnoteReference w:id="35"/>
      </w:r>
      <w:r>
        <w:rPr>
          <w:noProof/>
        </w:rPr>
        <w:t>.</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Крайният срок за транспониране на </w:t>
      </w:r>
      <w:r>
        <w:rPr>
          <w:rFonts w:ascii="Times New Roman" w:hAnsi="Times New Roman"/>
          <w:b/>
          <w:noProof/>
          <w:color w:val="000000" w:themeColor="text1"/>
          <w:sz w:val="24"/>
        </w:rPr>
        <w:t>Директивата относно контрола на придобиването и притежаването на оръжие</w:t>
      </w:r>
      <w:r>
        <w:rPr>
          <w:rStyle w:val="FootnoteReference"/>
          <w:noProof/>
          <w:color w:val="000000" w:themeColor="text1"/>
          <w:sz w:val="24"/>
        </w:rPr>
        <w:footnoteReference w:id="36"/>
      </w:r>
      <w:r>
        <w:rPr>
          <w:rFonts w:ascii="Times New Roman" w:hAnsi="Times New Roman"/>
          <w:noProof/>
          <w:color w:val="000000" w:themeColor="text1"/>
          <w:sz w:val="24"/>
        </w:rPr>
        <w:t xml:space="preserve"> изтече на 14 септември 2018 г. Поради това на 22 ноември 2018 г. Комисията започна процедури за нарушение срещу 25 държави членки за неуведомяване относно приемането на национално законодателство, с което се транспонира изцяло Директивата</w:t>
      </w:r>
      <w:r>
        <w:rPr>
          <w:rStyle w:val="FootnoteReference"/>
          <w:noProof/>
          <w:color w:val="000000" w:themeColor="text1"/>
          <w:sz w:val="24"/>
        </w:rPr>
        <w:footnoteReference w:id="37"/>
      </w:r>
      <w:r>
        <w:rPr>
          <w:noProof/>
        </w:rPr>
        <w:t>.</w:t>
      </w:r>
      <w:r>
        <w:rPr>
          <w:rFonts w:ascii="Times New Roman" w:hAnsi="Times New Roman"/>
          <w:noProof/>
          <w:color w:val="000000" w:themeColor="text1"/>
          <w:sz w:val="24"/>
        </w:rPr>
        <w:t xml:space="preserve"> </w:t>
      </w:r>
      <w:r>
        <w:rPr>
          <w:noProof/>
        </w:rPr>
        <w:t>След откриването на процедури за нарушения още една държава членка уведоми за пълно транспониране на мерки</w:t>
      </w:r>
      <w:r>
        <w:rPr>
          <w:rStyle w:val="FootnoteReference"/>
          <w:noProof/>
          <w:color w:val="000000" w:themeColor="text1"/>
          <w:sz w:val="24"/>
        </w:rPr>
        <w:footnoteReference w:id="38"/>
      </w:r>
      <w:r>
        <w:rPr>
          <w:noProof/>
        </w:rPr>
        <w:t>.</w:t>
      </w:r>
    </w:p>
    <w:p>
      <w:pPr>
        <w:spacing w:after="0" w:line="240" w:lineRule="auto"/>
        <w:jc w:val="both"/>
        <w:rPr>
          <w:rFonts w:ascii="Times New Roman" w:eastAsia="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Крайният срок за транспониране на </w:t>
      </w:r>
      <w:r>
        <w:rPr>
          <w:rFonts w:ascii="Times New Roman" w:hAnsi="Times New Roman"/>
          <w:b/>
          <w:noProof/>
          <w:sz w:val="24"/>
        </w:rPr>
        <w:t>Директивата относно правоприлагането в областта на защитата на данните</w:t>
      </w:r>
      <w:r>
        <w:rPr>
          <w:rStyle w:val="FootnoteReference"/>
          <w:noProof/>
          <w:sz w:val="24"/>
        </w:rPr>
        <w:footnoteReference w:id="39"/>
      </w:r>
      <w:r>
        <w:rPr>
          <w:rFonts w:ascii="Times New Roman" w:hAnsi="Times New Roman"/>
          <w:noProof/>
          <w:sz w:val="24"/>
        </w:rPr>
        <w:t xml:space="preserve"> в националното право изтече на 6 май 2018 г. На 19 юли 2018 г. Комисията започна процедури за нарушение срещу 19 държави членки за неуведомяване относно приемането на национално законодателство, с което се транспонира изцяло Директивата</w:t>
      </w:r>
      <w:r>
        <w:rPr>
          <w:rStyle w:val="FootnoteReference"/>
          <w:noProof/>
          <w:sz w:val="24"/>
        </w:rPr>
        <w:footnoteReference w:id="40"/>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 това, за което държавите членки са изпратили уведомления на Комисията, </w:t>
      </w:r>
      <w:r>
        <w:rPr>
          <w:rFonts w:ascii="Times New Roman" w:hAnsi="Times New Roman"/>
          <w:b/>
          <w:noProof/>
          <w:sz w:val="24"/>
        </w:rPr>
        <w:t>Директивата за мрежова и информационна сигурност</w:t>
      </w:r>
      <w:r>
        <w:rPr>
          <w:rStyle w:val="FootnoteReference"/>
          <w:noProof/>
          <w:sz w:val="24"/>
        </w:rPr>
        <w:footnoteReference w:id="41"/>
      </w:r>
      <w:r>
        <w:rPr>
          <w:rFonts w:ascii="Times New Roman" w:hAnsi="Times New Roman"/>
          <w:noProof/>
          <w:sz w:val="24"/>
        </w:rPr>
        <w:t xml:space="preserve"> е напълно транспонирана от 21 държави членки и частично транспонирана в други 3 държави членки</w:t>
      </w:r>
      <w:r>
        <w:rPr>
          <w:rStyle w:val="FootnoteReference"/>
          <w:noProof/>
          <w:sz w:val="24"/>
        </w:rPr>
        <w:footnoteReference w:id="42"/>
      </w:r>
      <w:r>
        <w:rPr>
          <w:noProof/>
        </w:rPr>
        <w:t>.</w:t>
      </w:r>
      <w:r>
        <w:rPr>
          <w:rFonts w:ascii="Times New Roman" w:hAnsi="Times New Roman"/>
          <w:noProof/>
          <w:sz w:val="24"/>
        </w:rPr>
        <w:t xml:space="preserve"> Комисията извърши проверки </w:t>
      </w:r>
      <w:r>
        <w:rPr>
          <w:rFonts w:ascii="Times New Roman" w:hAnsi="Times New Roman"/>
          <w:i/>
          <w:noProof/>
          <w:sz w:val="24"/>
        </w:rPr>
        <w:t>prima facie</w:t>
      </w:r>
      <w:r>
        <w:rPr>
          <w:rFonts w:ascii="Times New Roman" w:hAnsi="Times New Roman"/>
          <w:noProof/>
          <w:sz w:val="24"/>
        </w:rPr>
        <w:t xml:space="preserve"> за 18 от 21-те държави членки, които потвърдиха, че транспонирането е пълно. На 19 юли 2018 г. Комисията беше започнала процедури за нарушение за липсата на пълно уведомление срещу тези 17 държави членки, които не я бяха уведомили в срока за транспониране, изтекъл на 9 май 2018 г</w:t>
      </w:r>
      <w:r>
        <w:rPr>
          <w:rStyle w:val="FootnoteReference"/>
          <w:noProof/>
          <w:color w:val="000000" w:themeColor="text1"/>
          <w:sz w:val="24"/>
        </w:rPr>
        <w:footnoteReference w:id="43"/>
      </w:r>
      <w:r>
        <w:rPr>
          <w:noProof/>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До 9 ноември 2018 г. държавите членки трябваше да представят на Комисията информация за така наречените оператори на основни услуги, установени на тяхна територия, като част от транспонирането на Директивата за мрежова и информационна сигурност. Това са публични и частни субекти, които, съгласно изискванията на директивата, следва да осигурят сигурността на своите мрежови и информационни системи и да докладват сериозни инциденти. До момента 19 държави членки са споделили обратна връзка с Комисията, а 16 са представили на Комисията съответната информация</w:t>
      </w:r>
      <w:r>
        <w:rPr>
          <w:rStyle w:val="FootnoteReference"/>
          <w:noProof/>
          <w:sz w:val="24"/>
        </w:rPr>
        <w:footnoteReference w:id="44"/>
      </w:r>
      <w:r>
        <w:rPr>
          <w:noProof/>
        </w:rPr>
        <w:t>.</w:t>
      </w:r>
      <w:r>
        <w:rPr>
          <w:rFonts w:ascii="Times New Roman" w:hAnsi="Times New Roman"/>
          <w:noProof/>
          <w:sz w:val="24"/>
        </w:rPr>
        <w:t xml:space="preserve"> Сега Комисията ще оцени получената информация с оглед съставянето на доклад относно съгласуваността на подхода, възприет от държавите членки при процеса на идентифициране.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Комисията също така извършва оценка на транспонирането на </w:t>
      </w:r>
      <w:r>
        <w:rPr>
          <w:rFonts w:ascii="Times New Roman" w:hAnsi="Times New Roman"/>
          <w:b/>
          <w:noProof/>
          <w:color w:val="000000" w:themeColor="text1"/>
          <w:sz w:val="24"/>
        </w:rPr>
        <w:t>Четвъртата директива относно борбата с изпирането на пари</w:t>
      </w:r>
      <w:r>
        <w:rPr>
          <w:rStyle w:val="FootnoteReference"/>
          <w:noProof/>
          <w:color w:val="000000" w:themeColor="text1"/>
          <w:sz w:val="24"/>
        </w:rPr>
        <w:footnoteReference w:id="45"/>
      </w:r>
      <w:r>
        <w:rPr>
          <w:rFonts w:ascii="Times New Roman" w:hAnsi="Times New Roman"/>
          <w:noProof/>
          <w:color w:val="000000" w:themeColor="text1"/>
          <w:sz w:val="24"/>
        </w:rPr>
        <w:t xml:space="preserve"> и работи, за да гарантира, че правилата се прилагат на място. Комисията започна процедури за нарушение срещу 21 държави членки за неуведомяване относно приемането на национално законодателство, с което се транспонира Директивата</w:t>
      </w:r>
      <w:r>
        <w:rPr>
          <w:rStyle w:val="FootnoteReference"/>
          <w:noProof/>
          <w:color w:val="000000" w:themeColor="text1"/>
          <w:sz w:val="24"/>
        </w:rPr>
        <w:footnoteReference w:id="46"/>
      </w:r>
      <w:r>
        <w:rPr>
          <w:noProof/>
        </w:rPr>
        <w:t>.</w:t>
      </w:r>
      <w:r>
        <w:rPr>
          <w:rFonts w:ascii="Times New Roman" w:hAnsi="Times New Roman"/>
          <w:noProof/>
          <w:color w:val="000000" w:themeColor="text1"/>
          <w:sz w:val="24"/>
        </w:rPr>
        <w:t xml:space="preserve"> Тя ще продължи да използва правомощията си, когато е целесъобразно, за да гарантира пълното прилагане на тази директива. В допълнение към тази директива, на 3 декември 2018 г. в ЕС влязоха в сила нови наказателноправни мерки за борба с изпирането на пари. Новата директива</w:t>
      </w:r>
      <w:r>
        <w:rPr>
          <w:rStyle w:val="FootnoteReference"/>
          <w:noProof/>
          <w:color w:val="000000" w:themeColor="text1"/>
          <w:sz w:val="24"/>
        </w:rPr>
        <w:footnoteReference w:id="47"/>
      </w:r>
      <w:r>
        <w:rPr>
          <w:rFonts w:ascii="Times New Roman" w:hAnsi="Times New Roman"/>
          <w:noProof/>
          <w:color w:val="000000" w:themeColor="text1"/>
          <w:sz w:val="24"/>
        </w:rPr>
        <w:t xml:space="preserve"> ще хармонизира престъпленията и санкциите за изпиране на пари</w:t>
      </w:r>
      <w:r>
        <w:rPr>
          <w:noProof/>
          <w:sz w:val="18"/>
        </w:rPr>
        <w:t xml:space="preserve"> </w:t>
      </w:r>
      <w:r>
        <w:rPr>
          <w:rFonts w:ascii="Times New Roman" w:hAnsi="Times New Roman"/>
          <w:noProof/>
          <w:color w:val="000000" w:themeColor="text1"/>
          <w:sz w:val="24"/>
        </w:rPr>
        <w:t>чрез осигуряване на еднакво строги санкции в целия ЕС, като минималното наказание ще е лишаване от свобода за срок от 4 години. Държавите членки разполагат с 24 месеца, за да транспонират директивата и да уведомят Комисията за това.</w:t>
      </w:r>
    </w:p>
    <w:p>
      <w:pPr>
        <w:spacing w:after="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Комисията призовава всички държави членки да изпълняват и прилагат изцяло всички мерки и инструменти на ЕС, договорени в рамките на Съюза на сигурност.</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rFonts w:ascii="Times New Roman" w:hAnsi="Times New Roman"/>
                <w:noProof/>
                <w:sz w:val="24"/>
              </w:rPr>
              <w:t>Тъй като сроковете за транспониране са изтекли, Комисията започна процедури за нарушение и призовава държавите членки спешно да предприемат необходимите мерки за пълно транспониране на следните директиви в националното законодателство и да информират Комисията за това:</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Директивата на ЕС за резервационните данни на пътниците</w:t>
            </w:r>
            <w:r>
              <w:rPr>
                <w:rFonts w:ascii="Times New Roman" w:hAnsi="Times New Roman"/>
                <w:noProof/>
                <w:sz w:val="24"/>
              </w:rPr>
              <w:t>, по отношение на която 6 държави членки все още не са подали уведомление за транспониране в националното законодателство, а 3 държави членки трябва да допълнят уведомленията си за транспониране</w:t>
            </w:r>
            <w:r>
              <w:rPr>
                <w:rStyle w:val="FootnoteReference"/>
                <w:noProof/>
                <w:sz w:val="24"/>
              </w:rPr>
              <w:footnoteReference w:id="48"/>
            </w:r>
            <w:r>
              <w:rPr>
                <w:noProof/>
              </w:rPr>
              <w:t>;</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Директивата за</w:t>
            </w:r>
            <w:r>
              <w:rPr>
                <w:rFonts w:ascii="Times New Roman" w:hAnsi="Times New Roman"/>
                <w:noProof/>
                <w:sz w:val="24"/>
              </w:rPr>
              <w:t xml:space="preserve"> </w:t>
            </w:r>
            <w:r>
              <w:rPr>
                <w:rFonts w:ascii="Times New Roman" w:hAnsi="Times New Roman"/>
                <w:b/>
                <w:noProof/>
                <w:sz w:val="24"/>
              </w:rPr>
              <w:t>мрежова и информационна сигурност</w:t>
            </w:r>
            <w:r>
              <w:rPr>
                <w:rFonts w:ascii="Times New Roman" w:hAnsi="Times New Roman"/>
                <w:noProof/>
                <w:sz w:val="24"/>
              </w:rPr>
              <w:t>, по отношение на която 4 държави членки все още не са подали уведомление за транспониране в националното законодателство, а 3 държави членки трябва да допълнят уведомленията си за транспониране;</w:t>
            </w:r>
            <w:bookmarkStart w:id="2" w:name="_Ref531720970"/>
            <w:r>
              <w:rPr>
                <w:rStyle w:val="FootnoteReference"/>
                <w:noProof/>
                <w:sz w:val="24"/>
              </w:rPr>
              <w:footnoteReference w:id="49"/>
            </w:r>
            <w:bookmarkEnd w:id="2"/>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Директивата относно борбата с тероризма</w:t>
            </w:r>
            <w:r>
              <w:rPr>
                <w:rFonts w:ascii="Times New Roman" w:hAnsi="Times New Roman"/>
                <w:noProof/>
                <w:sz w:val="24"/>
              </w:rPr>
              <w:t>, по отношение на която 7 държави членки все още не са подали уведомление за транспониране в националното законодателство, а 9 държави членки трябва да допълнят уведомлението си за транспониране</w:t>
            </w:r>
            <w:r>
              <w:rPr>
                <w:rStyle w:val="FootnoteReference"/>
                <w:noProof/>
                <w:sz w:val="24"/>
              </w:rPr>
              <w:footnoteReference w:id="50"/>
            </w:r>
            <w:r>
              <w:rPr>
                <w:noProof/>
              </w:rPr>
              <w:t>;</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Директивата относно</w:t>
            </w:r>
            <w:r>
              <w:rPr>
                <w:rFonts w:ascii="Times New Roman" w:hAnsi="Times New Roman"/>
                <w:noProof/>
                <w:sz w:val="24"/>
              </w:rPr>
              <w:t xml:space="preserve"> </w:t>
            </w:r>
            <w:r>
              <w:rPr>
                <w:rFonts w:ascii="Times New Roman" w:hAnsi="Times New Roman"/>
                <w:b/>
                <w:noProof/>
                <w:sz w:val="24"/>
              </w:rPr>
              <w:t>контрола на придобиването и притежаването на оръжие</w:t>
            </w:r>
            <w:r>
              <w:rPr>
                <w:rFonts w:ascii="Times New Roman" w:hAnsi="Times New Roman"/>
                <w:noProof/>
                <w:sz w:val="24"/>
              </w:rPr>
              <w:t>, по отношение на която 19 държави членки все още не са подали уведомление за транспониране в националното законодателство, а 5 държави членки трябва да допълнят уведомленията си за транспониране</w:t>
            </w:r>
            <w:r>
              <w:rPr>
                <w:rStyle w:val="FootnoteReference"/>
                <w:noProof/>
                <w:sz w:val="24"/>
              </w:rPr>
              <w:footnoteReference w:id="51"/>
            </w:r>
            <w:r>
              <w:rPr>
                <w:noProof/>
              </w:rPr>
              <w:t>;</w:t>
            </w:r>
            <w:r>
              <w:rPr>
                <w:rFonts w:ascii="Times New Roman" w:hAnsi="Times New Roman"/>
                <w:noProof/>
                <w:sz w:val="24"/>
              </w:rPr>
              <w:t xml:space="preserve"> </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Директивата относно</w:t>
            </w:r>
            <w:r>
              <w:rPr>
                <w:rFonts w:ascii="Times New Roman" w:hAnsi="Times New Roman"/>
                <w:noProof/>
                <w:sz w:val="24"/>
              </w:rPr>
              <w:t xml:space="preserve"> </w:t>
            </w:r>
            <w:r>
              <w:rPr>
                <w:rFonts w:ascii="Times New Roman" w:hAnsi="Times New Roman"/>
                <w:b/>
                <w:noProof/>
                <w:sz w:val="24"/>
              </w:rPr>
              <w:t>правоприлагането в областта на защитата на данните</w:t>
            </w:r>
            <w:r>
              <w:rPr>
                <w:rFonts w:ascii="Times New Roman" w:hAnsi="Times New Roman"/>
                <w:noProof/>
                <w:sz w:val="24"/>
              </w:rPr>
              <w:t>, по отношение на която 11 държави членки все още не са подали уведомление за транспониране в националното законодателство, а 2 държави членки трябва да допълнят уведомленията си за транспониране</w:t>
            </w:r>
            <w:r>
              <w:rPr>
                <w:rStyle w:val="FootnoteReference"/>
                <w:noProof/>
                <w:sz w:val="24"/>
              </w:rPr>
              <w:footnoteReference w:id="52"/>
            </w:r>
            <w:r>
              <w:rPr>
                <w:noProof/>
              </w:rPr>
              <w:t>;</w:t>
            </w:r>
            <w:r>
              <w:rPr>
                <w:rFonts w:ascii="Times New Roman" w:hAnsi="Times New Roman"/>
                <w:noProof/>
                <w:sz w:val="24"/>
              </w:rPr>
              <w:t xml:space="preserve"> както и</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b/>
                <w:noProof/>
                <w:sz w:val="24"/>
              </w:rPr>
              <w:t>Четвъртата директива относно борбата с изпирането на пари</w:t>
            </w:r>
            <w:r>
              <w:rPr>
                <w:rFonts w:ascii="Times New Roman" w:hAnsi="Times New Roman"/>
                <w:noProof/>
                <w:sz w:val="24"/>
              </w:rPr>
              <w:t>, по отношение на която 3 държави членки трябва да допълнят уведомленията си за транспониране</w:t>
            </w:r>
            <w:r>
              <w:rPr>
                <w:rStyle w:val="FootnoteReference"/>
                <w:noProof/>
                <w:sz w:val="24"/>
              </w:rPr>
              <w:footnoteReference w:id="53"/>
            </w:r>
            <w:r>
              <w:rPr>
                <w:noProof/>
              </w:rPr>
              <w:t>.</w:t>
            </w:r>
          </w:p>
        </w:tc>
      </w:tr>
    </w:tbl>
    <w:p>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 xml:space="preserve">Подготвеност и защита </w:t>
      </w:r>
    </w:p>
    <w:p>
      <w:pPr>
        <w:spacing w:line="240" w:lineRule="auto"/>
        <w:jc w:val="both"/>
        <w:rPr>
          <w:rFonts w:ascii="Times New Roman" w:hAnsi="Times New Roman" w:cs="Times New Roman"/>
          <w:noProof/>
          <w:sz w:val="24"/>
          <w:szCs w:val="24"/>
        </w:rPr>
      </w:pPr>
      <w:r>
        <w:rPr>
          <w:rFonts w:ascii="Times New Roman" w:hAnsi="Times New Roman"/>
          <w:noProof/>
          <w:sz w:val="24"/>
        </w:rPr>
        <w:t>Една година след приемането на Плана за действие на Комисията за 2017 г. относно</w:t>
      </w:r>
      <w:r>
        <w:rPr>
          <w:rFonts w:ascii="Times New Roman" w:hAnsi="Times New Roman"/>
          <w:b/>
          <w:noProof/>
          <w:sz w:val="24"/>
        </w:rPr>
        <w:t xml:space="preserve"> защитата на обществените пространства</w:t>
      </w:r>
      <w:r>
        <w:rPr>
          <w:rStyle w:val="FootnoteReference"/>
          <w:noProof/>
          <w:sz w:val="24"/>
        </w:rPr>
        <w:footnoteReference w:id="54"/>
      </w:r>
      <w:r>
        <w:rPr>
          <w:rFonts w:ascii="Times New Roman" w:hAnsi="Times New Roman"/>
          <w:noProof/>
          <w:sz w:val="24"/>
        </w:rPr>
        <w:t>е</w:t>
      </w:r>
      <w:r>
        <w:rPr>
          <w:rFonts w:ascii="Times New Roman" w:hAnsi="Times New Roman"/>
          <w:b/>
          <w:noProof/>
          <w:sz w:val="24"/>
        </w:rPr>
        <w:t xml:space="preserve"> </w:t>
      </w:r>
      <w:r>
        <w:rPr>
          <w:rFonts w:ascii="Times New Roman" w:hAnsi="Times New Roman"/>
          <w:noProof/>
          <w:sz w:val="24"/>
        </w:rPr>
        <w:t>постигнат значителен напредък по отношение на неговото изпълнение във всички области, със специален акцент върху предоставянето на насоки и финансиране от страна на ЕС в подкрепа на държавите членки.</w:t>
      </w:r>
    </w:p>
    <w:p>
      <w:pPr>
        <w:spacing w:line="240" w:lineRule="auto"/>
        <w:jc w:val="both"/>
        <w:rPr>
          <w:rFonts w:ascii="Times" w:hAnsi="Times"/>
          <w:noProof/>
          <w:sz w:val="24"/>
          <w:szCs w:val="24"/>
        </w:rPr>
      </w:pPr>
      <w:r>
        <w:rPr>
          <w:rFonts w:ascii="Times New Roman" w:hAnsi="Times New Roman"/>
          <w:noProof/>
          <w:sz w:val="24"/>
        </w:rPr>
        <w:t xml:space="preserve">Бяха проведени шест срещи с публични органи и частни оператори, за да се споделят добри практики и да се обмени информация относно начина, по който операторите и публичните органи могат да укрепят сигурността на различни видове обществени пространства, включително хотели, търговски центрове, транспортни центрове, стадиони и културни центрове. Въпреки че публичните органи и операторите предприемат инициативи за укрепване на сигурността в техните центрове, срещите показаха, че все още са налице предизвикателства и пропуски. </w:t>
      </w:r>
      <w:r>
        <w:rPr>
          <w:rFonts w:ascii="Times" w:hAnsi="Times"/>
          <w:noProof/>
          <w:sz w:val="24"/>
        </w:rPr>
        <w:t xml:space="preserve">Докато някои сектори разполагат с добре развита култура на сигурност, други едва сега въвеждат по-систематични подходи за защитата на техните центрове. </w:t>
      </w:r>
      <w:r>
        <w:rPr>
          <w:rFonts w:ascii="Times New Roman" w:hAnsi="Times New Roman"/>
          <w:noProof/>
          <w:sz w:val="24"/>
        </w:rPr>
        <w:t>Форумът на частните оператори — група, ръководена от Комисията, за насърчаване на публично-частните партньорства за сигурност, проведе заседание с участието на всички сектори на 26 ноември 2018 г. Участниците приветстваха насоките, предоставени от службите на Комисията за определяне на добри практики за мерките, които операторите и публичните органи следва да въведат за укрепване на сигурността на обществените пространства.</w:t>
      </w:r>
    </w:p>
    <w:p>
      <w:pPr>
        <w:spacing w:line="240" w:lineRule="auto"/>
        <w:jc w:val="both"/>
        <w:rPr>
          <w:rFonts w:ascii="Times New Roman" w:hAnsi="Times New Roman" w:cs="Times New Roman"/>
          <w:noProof/>
          <w:sz w:val="24"/>
          <w:szCs w:val="24"/>
        </w:rPr>
      </w:pPr>
      <w:r>
        <w:rPr>
          <w:rFonts w:ascii="Times New Roman" w:hAnsi="Times New Roman"/>
          <w:noProof/>
          <w:sz w:val="24"/>
        </w:rPr>
        <w:t>След техническия семинар със специалисти по градоустройство и местни служители по сигурността от европейски градове, проведен от Комисията през юни 2018 г., Съвместният изследователски център на Комисията изготви два доклада за преглед на съществуващите насоки за защита на обществените пространства и ограничителни системи. Освен това бяха изготвени и първи по рода си европейски насоки относно избора на подходящи бариерни решения, които позволяват на специалистите по градоустройство да подобрят градската сигурност без да създават градски центрове, приличащи на крепости.</w:t>
      </w:r>
    </w:p>
    <w:p>
      <w:pPr>
        <w:spacing w:line="240" w:lineRule="auto"/>
        <w:jc w:val="both"/>
        <w:rPr>
          <w:rFonts w:ascii="Times New Roman" w:hAnsi="Times New Roman" w:cs="Times New Roman"/>
          <w:iCs/>
          <w:noProof/>
          <w:sz w:val="24"/>
          <w:szCs w:val="24"/>
        </w:rPr>
      </w:pPr>
      <w:r>
        <w:rPr>
          <w:rFonts w:ascii="Times New Roman" w:hAnsi="Times New Roman"/>
          <w:b/>
          <w:noProof/>
          <w:sz w:val="24"/>
        </w:rPr>
        <w:t>Финансирането от ЕС</w:t>
      </w:r>
      <w:r>
        <w:rPr>
          <w:rFonts w:ascii="Times New Roman" w:hAnsi="Times New Roman"/>
          <w:noProof/>
          <w:sz w:val="24"/>
        </w:rPr>
        <w:t xml:space="preserve"> също подкрепя тази работа. По линия на поканата за представяне на предложения за защита на фонд „Вътрешна сигурност — Полиция“ 2017 г. бяха избрани осем проекта, които се фокусират върху защитата на обществените пространства, като се започне от концепции за градска сигурност, укрепване на сигурността още при проектирането, защита срещу нападения с превозни средства, подобряване на нивото на защита в железопътната сигурност и разработване на концепции за обучение, както и кампании за повишаване на осведомеността. По-нататъшните действия ще бъдат финансирани по поканата от 2018 г. за представяне на предложения в рамките на фонд „Вътрешна сигурност — Полиция“</w:t>
      </w:r>
      <w:r>
        <w:rPr>
          <w:rStyle w:val="FootnoteReference"/>
          <w:noProof/>
          <w:sz w:val="24"/>
        </w:rPr>
        <w:footnoteReference w:id="55"/>
      </w:r>
      <w:r>
        <w:rPr>
          <w:noProof/>
        </w:rPr>
        <w:t>.</w:t>
      </w:r>
      <w:r>
        <w:rPr>
          <w:rFonts w:ascii="Times New Roman" w:hAnsi="Times New Roman"/>
          <w:noProof/>
          <w:sz w:val="24"/>
        </w:rPr>
        <w:t xml:space="preserve"> Открита е и покана за представяне на предложения по линия на инициативата „Иновативни дейности за градско развитие“ като част от Европейския фонд за регионално развитие,</w:t>
      </w:r>
      <w:r>
        <w:rPr>
          <w:rStyle w:val="FootnoteReference"/>
          <w:noProof/>
          <w:sz w:val="24"/>
        </w:rPr>
        <w:footnoteReference w:id="56"/>
      </w:r>
      <w:r>
        <w:rPr>
          <w:rFonts w:ascii="Times New Roman" w:hAnsi="Times New Roman"/>
          <w:noProof/>
          <w:sz w:val="24"/>
        </w:rPr>
        <w:t xml:space="preserve"> която цели да предостави на градовете иновативни решения за справяне с градските предизвикателства, свързани със сигурността. Освен това специална покана за научни изследвания е включена в работната програма „Сигурни общества“ на „Хоризонт 2020“ за периода 2018—2020 г. с цел разработване на иновативни решения за защита на обществените пространства.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noProof/>
          <w:sz w:val="24"/>
        </w:rPr>
        <w:t xml:space="preserve">Както беше поискано от Европейския съвет на заседанията му от март 2018 г. и октомври 2018 г., Комисията засили </w:t>
      </w:r>
      <w:r>
        <w:rPr>
          <w:rFonts w:ascii="Times New Roman" w:hAnsi="Times New Roman"/>
          <w:b/>
          <w:noProof/>
          <w:sz w:val="24"/>
        </w:rPr>
        <w:t xml:space="preserve">действията си срещу химически, биологични, радиологични и ядрени заплахи </w:t>
      </w:r>
      <w:r>
        <w:rPr>
          <w:rFonts w:ascii="Times New Roman" w:hAnsi="Times New Roman"/>
          <w:noProof/>
          <w:sz w:val="24"/>
        </w:rPr>
        <w:t>и сътрудничеството си с държавите членки, по-специално във връзка с химически заплахи. Експерти от Комисията и държавите членки разработиха общ списък на химическите вещества, предизвикващи безпокойство, и ще работят заедно с производителите за подобряване на способността за откриването им. Комисията също така започна диалог с частния сектор, за да проучи възможностите за намаляване на достъпа на терористите до химически вещества, които могат да бъдат използвани като прекурсори за химически атаки. Комисията също така провежда образователна кампания в специален Европейски център за обучение по ядрена сигурност, с цел да се обучат националните правоприлагащи органи за откриването на радиологични и ядрени материали. Над 100 полицейски служители ще се обучават с помощта на сложно оборудване и истински ядрени материали, за да бъдат по-добре подготвени за нападение с потенциална мръсна бомба.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Като последващи действия във връзка със заключенията на Европейския съвет от юни 2018 г., Съветът по външни работи прие на 15 октомври 2018 г. </w:t>
      </w:r>
      <w:r>
        <w:rPr>
          <w:rFonts w:ascii="Times New Roman" w:hAnsi="Times New Roman"/>
          <w:b/>
          <w:noProof/>
          <w:sz w:val="24"/>
        </w:rPr>
        <w:t>нов режим за ограничителни мерки</w:t>
      </w:r>
      <w:r>
        <w:rPr>
          <w:rFonts w:ascii="Times New Roman" w:hAnsi="Times New Roman"/>
          <w:noProof/>
          <w:sz w:val="24"/>
        </w:rPr>
        <w:t xml:space="preserve"> за справяне с употребата и разпространението на химическо оръжие. Той ще позволи на ЕС да налага санкции, състоящи се от забрана за пътуване до ЕС и замразяване на активи за определени лица и образувания, които участват в разработването и употребата на химическо оръжие навсякъде, независимо от тяхното гражданство или местонахождение</w:t>
      </w:r>
      <w:r>
        <w:rPr>
          <w:rStyle w:val="FootnoteReference"/>
          <w:noProof/>
          <w:sz w:val="24"/>
        </w:rPr>
        <w:footnoteReference w:id="5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От 5 ноември до 23 ноември 2018 г., ЕС и НАТО проведоха </w:t>
      </w:r>
      <w:r>
        <w:rPr>
          <w:rFonts w:ascii="Times New Roman" w:hAnsi="Times New Roman"/>
          <w:b/>
          <w:noProof/>
          <w:sz w:val="24"/>
        </w:rPr>
        <w:t>Хибридното учение ЕС—НАТО</w:t>
      </w:r>
      <w:r>
        <w:rPr>
          <w:rFonts w:ascii="Times New Roman" w:hAnsi="Times New Roman"/>
          <w:noProof/>
          <w:sz w:val="24"/>
        </w:rPr>
        <w:t xml:space="preserve"> под формата на паралелно и координирано упражнение. Целта е в безопасна среда да се подобри и засили способността на ЕС да реагира на сложни кризи от хибридно естество с вътрешно и външно измерение, както и да се подобри сътрудничеството с НАТО. Учението включваше съответните институции и органи на ЕС, с участието на 25 държави членки плюс Норвегия и осем агенции на ЕС. Швейцария действа в качеството на наблюдател.</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подготвеността и защитата</w:t>
            </w:r>
            <w:r>
              <w:rPr>
                <w:rFonts w:ascii="Times New Roman" w:hAnsi="Times New Roman"/>
                <w:noProof/>
                <w:sz w:val="24"/>
              </w:rPr>
              <w:t>, Комисията:</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noProof/>
                <w:sz w:val="24"/>
              </w:rPr>
              <w:t>призовава държавите членки да работят в посока на цялостното изпълнение на плана за действие, с цел повишаване на подготвеността срещу химически, биологични, радиологични и ядрени рискове до края на 2019 г.;</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noProof/>
                <w:sz w:val="24"/>
              </w:rPr>
              <w:t>призовава държавите членки и частния сектор да засилят сътрудничеството с цел да подобрят защитата на обществените пространства и да работят в посока на цялостното изпълнение на Плана за действие относно защита на обществените пространства.</w:t>
            </w:r>
          </w:p>
        </w:tc>
      </w:tr>
    </w:tbl>
    <w:p>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Изследвания в областта на сигурността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Научните изследвания в областта на сигурността в ЕС са един от градивните елементи на Съюза на сигурност, който създава условия за иновации в технологиите и знанията, които са от решаващо значение за развитието на способностите за справяне с днешните предизвикателства, свързани със сигурността, за предвиждането на бъдещи заплахи и за допринасянето за по-голяма конкурентоспособност на европейския отрасъл на сигурността. Това е особено важно предвид необходимостта да се разгледат стратегически въпроси, свързани със сигурността, като например цифровата инфраструктура на веригата на доставки и произхода на технологичните компоненти. </w:t>
      </w:r>
    </w:p>
    <w:p>
      <w:pPr>
        <w:spacing w:line="240" w:lineRule="auto"/>
        <w:jc w:val="both"/>
        <w:rPr>
          <w:rFonts w:ascii="Times New Roman" w:hAnsi="Times New Roman" w:cs="Times New Roman"/>
          <w:noProof/>
          <w:sz w:val="24"/>
          <w:szCs w:val="24"/>
        </w:rPr>
      </w:pPr>
      <w:r>
        <w:rPr>
          <w:rFonts w:ascii="Times New Roman" w:hAnsi="Times New Roman"/>
          <w:noProof/>
          <w:sz w:val="24"/>
        </w:rPr>
        <w:t>В сравнение с други сфери,</w:t>
      </w:r>
      <w:r>
        <w:rPr>
          <w:rFonts w:ascii="Times New Roman" w:hAnsi="Times New Roman"/>
          <w:b/>
          <w:noProof/>
          <w:sz w:val="24"/>
        </w:rPr>
        <w:t xml:space="preserve"> </w:t>
      </w:r>
      <w:r>
        <w:rPr>
          <w:rFonts w:ascii="Times New Roman" w:hAnsi="Times New Roman"/>
          <w:noProof/>
          <w:sz w:val="24"/>
        </w:rPr>
        <w:t>финансирането от ЕС</w:t>
      </w:r>
      <w:r>
        <w:rPr>
          <w:rFonts w:ascii="Times New Roman" w:hAnsi="Times New Roman"/>
          <w:b/>
          <w:noProof/>
          <w:sz w:val="24"/>
        </w:rPr>
        <w:t xml:space="preserve"> </w:t>
      </w:r>
      <w:r>
        <w:rPr>
          <w:rFonts w:ascii="Times New Roman" w:hAnsi="Times New Roman"/>
          <w:noProof/>
          <w:sz w:val="24"/>
        </w:rPr>
        <w:t>е от решаващо значение за изследванията в областта на сигурността,</w:t>
      </w:r>
      <w:r>
        <w:rPr>
          <w:rFonts w:ascii="Times New Roman" w:hAnsi="Times New Roman"/>
          <w:b/>
          <w:noProof/>
          <w:sz w:val="24"/>
        </w:rPr>
        <w:t xml:space="preserve"> </w:t>
      </w:r>
      <w:r>
        <w:rPr>
          <w:rFonts w:ascii="Times New Roman" w:hAnsi="Times New Roman"/>
          <w:noProof/>
          <w:sz w:val="24"/>
        </w:rPr>
        <w:t>като представлява</w:t>
      </w:r>
      <w:r>
        <w:rPr>
          <w:rFonts w:ascii="Times New Roman" w:hAnsi="Times New Roman"/>
          <w:b/>
          <w:noProof/>
          <w:sz w:val="24"/>
        </w:rPr>
        <w:t xml:space="preserve"> </w:t>
      </w:r>
      <w:r>
        <w:rPr>
          <w:rFonts w:ascii="Times New Roman" w:hAnsi="Times New Roman"/>
          <w:noProof/>
          <w:sz w:val="24"/>
        </w:rPr>
        <w:t>около 50 % от общото публично финансиране за научни изследвания в областта на сигурността на равнището на ЕС и на национално равнище</w:t>
      </w:r>
      <w:r>
        <w:rPr>
          <w:rStyle w:val="FootnoteReference"/>
          <w:noProof/>
          <w:sz w:val="24"/>
        </w:rPr>
        <w:footnoteReference w:id="58"/>
      </w:r>
      <w:r>
        <w:rPr>
          <w:noProof/>
        </w:rPr>
        <w:t>.</w:t>
      </w:r>
      <w:r>
        <w:rPr>
          <w:rFonts w:ascii="Times New Roman" w:hAnsi="Times New Roman"/>
          <w:noProof/>
          <w:sz w:val="24"/>
        </w:rPr>
        <w:t xml:space="preserve"> От стартирането на научните изследвания в областта на сигурността на равнището на ЕС през 2007 г. ЕС е предоставил над 2 милиарда евро финансиране за над 400 проекта, включително в области, които са обект на политиките на ЕС, като например скенери за проверка на пътниците на летищата, усъвършенствана криминалистика, инструменти за справяне с онлайн радикализацията, методи за събиране на електронни доказателства в наказателни производства, както и технологии, използвани от екипите за първоначално реагиране. Бъдещите технологични тенденции, като например изкуственият интелект, когнитивните системи и анализът на данни също са добре представени в текущи проекти. </w:t>
      </w:r>
    </w:p>
    <w:p>
      <w:pPr>
        <w:spacing w:line="240" w:lineRule="auto"/>
        <w:jc w:val="both"/>
        <w:rPr>
          <w:rFonts w:ascii="Times New Roman" w:hAnsi="Times New Roman" w:cs="Times New Roman"/>
          <w:noProof/>
          <w:sz w:val="24"/>
          <w:szCs w:val="24"/>
        </w:rPr>
      </w:pPr>
      <w:r>
        <w:rPr>
          <w:rFonts w:ascii="Times New Roman" w:hAnsi="Times New Roman"/>
          <w:noProof/>
          <w:sz w:val="24"/>
        </w:rPr>
        <w:t>Проведените наскоро проекти са демонстрирали пряката връзка между научните изследвания и прилагането и развитието на политиките: по отношение на граничната сигурност и управлението на веригата за доставки</w:t>
      </w:r>
      <w:r>
        <w:rPr>
          <w:rStyle w:val="FootnoteReference"/>
          <w:noProof/>
          <w:sz w:val="24"/>
        </w:rPr>
        <w:footnoteReference w:id="59"/>
      </w:r>
      <w:r>
        <w:rPr>
          <w:rFonts w:ascii="Times New Roman" w:hAnsi="Times New Roman"/>
          <w:noProof/>
          <w:sz w:val="24"/>
        </w:rPr>
        <w:t>, във връзка с химическите, биологичните, радиологичните и ядрените рискове</w:t>
      </w:r>
      <w:r>
        <w:rPr>
          <w:rStyle w:val="FootnoteReference"/>
          <w:noProof/>
          <w:sz w:val="24"/>
        </w:rPr>
        <w:footnoteReference w:id="60"/>
      </w:r>
      <w:r>
        <w:rPr>
          <w:rFonts w:ascii="Times New Roman" w:hAnsi="Times New Roman"/>
          <w:noProof/>
          <w:sz w:val="24"/>
        </w:rPr>
        <w:t>, при обработката на електронни доказателства</w:t>
      </w:r>
      <w:r>
        <w:rPr>
          <w:rStyle w:val="FootnoteReference"/>
          <w:noProof/>
          <w:sz w:val="24"/>
        </w:rPr>
        <w:footnoteReference w:id="61"/>
      </w:r>
      <w:r>
        <w:rPr>
          <w:rFonts w:ascii="Times New Roman" w:hAnsi="Times New Roman"/>
          <w:noProof/>
          <w:sz w:val="24"/>
        </w:rPr>
        <w:t>, и в областта на морското наблюдение</w:t>
      </w:r>
      <w:r>
        <w:rPr>
          <w:rStyle w:val="FootnoteReference"/>
          <w:noProof/>
          <w:sz w:val="24"/>
        </w:rPr>
        <w:footnoteReference w:id="6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Предвид особения характер на сектора за сигурност (в който пазарът е представен главно от публични органи), целесъобразното използване на резултатите от научни изследвания може да се гарантира само, ако изследването е признато като един от основните градивни елементи на един по-широк процес на развиване на способностите, който обединява политици, специалисти, представители на промишлеността и академичните среди. Прякото участие на всички заинтересовани страни на ранен етап е от основно значение за установяването на пропуски в способностите и за определяне на приоритетите по отношение на способностите, които могат да доведат до изследвания, когато е необходимо. Комисията работи в тясно сътрудничество с всички съответни заинтересовани страни, за да насърчи този подход.</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повиши осведомеността по отношение на резултатите, на 5—6 декември, </w:t>
      </w:r>
      <w:r>
        <w:rPr>
          <w:rFonts w:ascii="Times New Roman" w:hAnsi="Times New Roman"/>
          <w:b/>
          <w:noProof/>
          <w:sz w:val="24"/>
        </w:rPr>
        <w:t>събитието за 2018 г., посветено на научните изследвания</w:t>
      </w:r>
      <w:r>
        <w:rPr>
          <w:rFonts w:ascii="Times New Roman" w:hAnsi="Times New Roman"/>
          <w:noProof/>
          <w:sz w:val="24"/>
        </w:rPr>
        <w:t xml:space="preserve"> събра в Брюксел около 900 заинтересовани страни от цяла Европа, за да се покаже въздействието на финансираните от ЕС научни изследвания в областта на сигурността. Същата седмица се проведе събиране на „потребителската общност за безопасни, сигурни и устойчиви общества“, което включваше специални групи за обсъждане на поредица от теми относно изследвания в областта на сигурността, както и годишното заседание на Международния форум за постигане на напредък в иновациите за екипите за първоначално реагиране.</w:t>
      </w:r>
    </w:p>
    <w:p>
      <w:pPr>
        <w:spacing w:line="240" w:lineRule="auto"/>
        <w:jc w:val="both"/>
        <w:rPr>
          <w:rFonts w:ascii="Times New Roman" w:hAnsi="Times New Roman" w:cs="Times New Roman"/>
          <w:noProof/>
          <w:sz w:val="24"/>
          <w:szCs w:val="24"/>
        </w:rPr>
      </w:pPr>
      <w:r>
        <w:rPr>
          <w:rFonts w:ascii="Times New Roman" w:hAnsi="Times New Roman"/>
          <w:noProof/>
          <w:sz w:val="24"/>
        </w:rPr>
        <w:t>Като част от предложението си за бъдещата рамкова програма за научни изследвания и иновации („Хоризонт Европа“</w:t>
      </w:r>
      <w:r>
        <w:rPr>
          <w:rFonts w:ascii="Times New Roman" w:hAnsi="Times New Roman"/>
          <w:b/>
          <w:noProof/>
          <w:sz w:val="24"/>
        </w:rPr>
        <w:t xml:space="preserve">, </w:t>
      </w:r>
      <w:r>
        <w:rPr>
          <w:rFonts w:ascii="Times New Roman" w:hAnsi="Times New Roman"/>
          <w:noProof/>
          <w:sz w:val="24"/>
        </w:rPr>
        <w:t>част от следващата многогодишна финансова рамка, която обхваща периода 2021—2027 г.), Комисията уточнява, че изследванията в областта на сигурността следва да продължат да бъдат важен приоритет. Програмата „Хоризонт Европа“ ще има за цел да постигне по-голямо взаимно допълване с други програми за изследвания в области като отбраната, както и взаимодействия със съответните програми за финансиране, като например фонда „Вътрешна сигурност“, Фонда за интегрирано управление на границите, включващ инструмента за управление на границите и визите, програмата „Цифрова Европа“ и регионалните фондове. Програмата също така ще бъде насочена към по-нататъшно засилване на ролята на агенциите на ЕС и специалистите в целия цикъл от научни изследвания.</w:t>
      </w:r>
    </w:p>
    <w:p>
      <w:pPr>
        <w:spacing w:line="240" w:lineRule="auto"/>
        <w:jc w:val="both"/>
        <w:rPr>
          <w:rFonts w:ascii="Times New Roman" w:hAnsi="Times New Roman" w:cs="Times New Roman"/>
          <w:noProof/>
          <w:sz w:val="24"/>
          <w:szCs w:val="24"/>
        </w:rPr>
      </w:pPr>
      <w:r>
        <w:rPr>
          <w:rFonts w:ascii="Times New Roman" w:hAnsi="Times New Roman"/>
          <w:noProof/>
          <w:sz w:val="24"/>
        </w:rPr>
        <w:t>На 7 декември 2018 г. Комисията прие съобщение и координиран план за действие</w:t>
      </w:r>
      <w:r>
        <w:rPr>
          <w:rStyle w:val="FootnoteReference"/>
          <w:noProof/>
          <w:sz w:val="24"/>
        </w:rPr>
        <w:footnoteReference w:id="63"/>
      </w:r>
      <w:r>
        <w:rPr>
          <w:rFonts w:ascii="Times New Roman" w:hAnsi="Times New Roman"/>
          <w:noProof/>
          <w:sz w:val="24"/>
        </w:rPr>
        <w:t xml:space="preserve"> относно съвместната работа по отношение на </w:t>
      </w:r>
      <w:r>
        <w:rPr>
          <w:rFonts w:ascii="Times New Roman" w:hAnsi="Times New Roman"/>
          <w:b/>
          <w:noProof/>
          <w:sz w:val="24"/>
        </w:rPr>
        <w:t>изкуствения интелект,</w:t>
      </w:r>
      <w:r>
        <w:rPr>
          <w:rFonts w:ascii="Times New Roman" w:hAnsi="Times New Roman"/>
          <w:noProof/>
          <w:sz w:val="24"/>
        </w:rPr>
        <w:t xml:space="preserve"> което включва необходимостта да се увеличат максимално ползите от изкуствения интелект в сектора на сигурността, включително за правоприлагащите агенции и бизнеса.</w:t>
      </w:r>
      <w:r>
        <w:rPr>
          <w:noProof/>
        </w:rPr>
        <w:t xml:space="preserve"> </w:t>
      </w:r>
      <w:r>
        <w:rPr>
          <w:rFonts w:ascii="Times New Roman" w:hAnsi="Times New Roman"/>
          <w:noProof/>
          <w:sz w:val="24"/>
        </w:rPr>
        <w:t>Чрез координирания план за действие Комисията възнамерява да превърне принципите в конкретни действия, които да бъдат изпълнени съвместно от Комисията и държавите членки. Всичките три свързани със сигурността аспекти при изкуствения интелект</w:t>
      </w:r>
      <w:r>
        <w:rPr>
          <w:rStyle w:val="FootnoteReference"/>
          <w:noProof/>
          <w:sz w:val="24"/>
        </w:rPr>
        <w:footnoteReference w:id="64"/>
      </w:r>
      <w:r>
        <w:rPr>
          <w:rFonts w:ascii="Times New Roman" w:hAnsi="Times New Roman"/>
          <w:noProof/>
          <w:sz w:val="24"/>
        </w:rPr>
        <w:t xml:space="preserve"> са широко застъпени във всички дейности — от научните изследвания до пускането на пазара на тези технологии. </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е поела ангажимент да включи обсъждането относно рисковете и възможностите, свързани с изкуствения интелект, в по-широкообхватна стратегия за развитие за сигурност, като се вземат предвид различните сценарии, потребностите, пропуските и алтернативите, които са специфични за всяка сфера на сигурността. Освен това Комисията възнамерява да обсъди с Програмния комитет по направление „Сигурни общества“ включването на съответно действие в работната програма „Хоризонт 2020“ за 2020 г.</w:t>
      </w:r>
    </w:p>
    <w:tbl>
      <w:tblPr>
        <w:tblStyle w:val="TableGrid"/>
        <w:tblW w:w="0" w:type="auto"/>
        <w:tblLook w:val="04A0" w:firstRow="1" w:lastRow="0" w:firstColumn="1" w:lastColumn="0" w:noHBand="0" w:noVBand="1"/>
      </w:tblPr>
      <w:tblGrid>
        <w:gridCol w:w="9286"/>
      </w:tblGrid>
      <w:tr>
        <w:tc>
          <w:tcPr>
            <w:tcW w:w="9288" w:type="dxa"/>
            <w:tcBorders>
              <w:top w:val="single" w:sz="4" w:space="0" w:color="auto"/>
              <w:left w:val="single" w:sz="4" w:space="0" w:color="auto"/>
              <w:bottom w:val="single" w:sz="4" w:space="0" w:color="auto"/>
              <w:right w:val="single" w:sz="4" w:space="0" w:color="auto"/>
            </w:tcBorders>
            <w:hideMark/>
          </w:tcPr>
          <w:p>
            <w:pPr>
              <w:spacing w:before="240" w:after="240"/>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изследванията в областта на сигурността</w:t>
            </w:r>
            <w:r>
              <w:rPr>
                <w:rFonts w:ascii="Times New Roman" w:hAnsi="Times New Roman"/>
                <w:noProof/>
                <w:sz w:val="24"/>
              </w:rPr>
              <w:t>, Комисията ще:</w:t>
            </w:r>
          </w:p>
          <w:p>
            <w:pPr>
              <w:pStyle w:val="ListParagraph"/>
              <w:numPr>
                <w:ilvl w:val="0"/>
                <w:numId w:val="18"/>
              </w:numPr>
              <w:spacing w:after="240"/>
              <w:jc w:val="both"/>
              <w:rPr>
                <w:noProof/>
              </w:rPr>
            </w:pPr>
            <w:r>
              <w:rPr>
                <w:rFonts w:ascii="Times New Roman" w:hAnsi="Times New Roman"/>
                <w:noProof/>
                <w:sz w:val="24"/>
              </w:rPr>
              <w:t>отправи покани за представяне на предложения за 2019 г. по програма „Сигурни общества“ на „Хоризонт 2020“ между март 2019 г. и август 2019 г.</w:t>
            </w:r>
          </w:p>
        </w:tc>
      </w:tr>
    </w:tbl>
    <w:p>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i/>
          <w:noProof/>
          <w:sz w:val="24"/>
        </w:rPr>
        <w:t xml:space="preserve">Външно измерение </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ЕС имаше ценен обмен с партньори от САЩ на </w:t>
      </w:r>
      <w:r>
        <w:rPr>
          <w:rFonts w:ascii="Times New Roman" w:hAnsi="Times New Roman"/>
          <w:b/>
          <w:noProof/>
          <w:sz w:val="24"/>
        </w:rPr>
        <w:t>срещата на министрите на правосъдието и вътрешните работи от ЕС и САЩ</w:t>
      </w:r>
      <w:r>
        <w:rPr>
          <w:rFonts w:ascii="Times New Roman" w:hAnsi="Times New Roman"/>
          <w:noProof/>
          <w:sz w:val="24"/>
        </w:rPr>
        <w:t xml:space="preserve"> на 8 и 9 ноември 2018 г. във Вашингтон, като потвърдиха своя ангажимент за съвместно справяне с</w:t>
      </w:r>
      <w:r>
        <w:rPr>
          <w:rFonts w:ascii="Times New Roman" w:hAnsi="Times New Roman"/>
          <w:noProof/>
          <w:color w:val="000000"/>
          <w:sz w:val="24"/>
        </w:rPr>
        <w:t xml:space="preserve"> общите предизвикателства в областта на правосъдието и вътрешните работи. По-специално, всички подчертаха значението на ефективния обмен на информация в усилията им за борба с тероризма. ЕС и САЩ подчертаха значението на споделянето на информация за резервационните данни на пътниците, като средство за предотвратяване на пътуванията на терористи, и се споразумяха да се подготвят за съвместна оценка през 2019 г. в съответствие с разпоредбите на Споразумението между ЕС и САЩ относно резервационните данни на пътниците. Освен това ЕС и САЩ потвърдиха, че дават приоритет на борбата с киберпрестъпността и повишаването на киберсигурността. Двете страни се споразумяха да проучат възможността за споразумение между ЕС и САЩ относно електронните доказателства. Европейският съюз и Съединените американски щати също така признаха, че е необходимо да засилят усилията си за справяне с предизвикателството, свързано с използването на интернет от терористи за контролиране и вдъхновяване на атаки, като същевременно се зачитат индивидуалните права, в т.ч. свободата на словото. Двете страни признаха, че избирателните система в демократичните държави са изправени пред безпрецедентни предизвикателства, които изискват сътрудничество и обмен на най-добри практики между държави със сходни възгледи. Европейският съюз и Съединените американски щати се споразумяха да установят редовен диалог по тези въпроси, като се започне от следващата Среща на висшите служители през 2019 г</w:t>
      </w:r>
      <w:r>
        <w:rPr>
          <w:rStyle w:val="FootnoteReference"/>
          <w:noProof/>
          <w:color w:val="000000"/>
          <w:sz w:val="24"/>
        </w:rPr>
        <w:footnoteReference w:id="65"/>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Преговорите между ЕС и Канада за </w:t>
      </w:r>
      <w:r>
        <w:rPr>
          <w:rFonts w:ascii="Times New Roman" w:hAnsi="Times New Roman"/>
          <w:b/>
          <w:noProof/>
          <w:sz w:val="24"/>
        </w:rPr>
        <w:t>преразглеждане на Споразумението за резервационните данни на пътниците</w:t>
      </w:r>
      <w:r>
        <w:rPr>
          <w:rFonts w:ascii="Times New Roman" w:hAnsi="Times New Roman"/>
          <w:noProof/>
          <w:sz w:val="24"/>
        </w:rPr>
        <w:t xml:space="preserve"> продължиха. Комисията ще продължи редовно да информира Съвета и Комисията на Европейския парламент по граждански свободи, правосъдие и вътрешни работи относно постигнатия напредък.</w:t>
      </w:r>
    </w:p>
    <w:p>
      <w:pPr>
        <w:spacing w:line="240" w:lineRule="auto"/>
        <w:jc w:val="both"/>
        <w:rPr>
          <w:rFonts w:ascii="Times New Roman" w:hAnsi="Times New Roman" w:cs="Times New Roman"/>
          <w:noProof/>
          <w:sz w:val="24"/>
          <w:szCs w:val="24"/>
        </w:rPr>
      </w:pPr>
      <w:r>
        <w:rPr>
          <w:rFonts w:ascii="Times New Roman" w:hAnsi="Times New Roman"/>
          <w:noProof/>
          <w:sz w:val="24"/>
        </w:rPr>
        <w:t>На 30 ноември 2018 г. се проведе първият кръг на преговорите за споразумение между ЕС и Турция за обмен на лични данни между Европол и турските компетентни органи за борба с тежката престъпност и тероризма. Освен това Комисията е в контакт с израелските власти с оглед на провеждането на първи кръг от преговори с Израел. На 3 декември 2018 г. беше проведена среща между ЕС и представители от Алжир, Египет, Йордания, Ливан, Мароко и Тунис, за да се обсъди възможността за бъдещото сътрудничество между правоприлагащите органи в тези държави и Европол, включително чрез работни договорености и с оглед на възможни споразумения, които да позволяват обмена на лични данни.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ЕС продължава да се стреми към </w:t>
      </w:r>
      <w:r>
        <w:rPr>
          <w:rFonts w:ascii="Times New Roman" w:hAnsi="Times New Roman"/>
          <w:b/>
          <w:noProof/>
          <w:sz w:val="24"/>
        </w:rPr>
        <w:t>диалози по въпросите на борбата с тероризма</w:t>
      </w:r>
      <w:r>
        <w:rPr>
          <w:rFonts w:ascii="Times New Roman" w:hAnsi="Times New Roman"/>
          <w:noProof/>
          <w:sz w:val="24"/>
        </w:rPr>
        <w:t xml:space="preserve"> с държави партньори. На 12 ноември 2018 г., по време на диалога между ЕС и Индия по въпросите на борбата с тероризма в Брюксел бяха обсъдени обмена на информация, използването на интернет за терористични цели и евентуално сътрудничество с Европол. На 29 ноември 2018 г., по време на диалога между ЕС и Пакистан по въпросите на борбата с тероризма в Брюксел бяха обсъдени усилията за борба с финансирането на тероризма в контекста на Специалната група за финансови действия. По време на диалога между ЕС и Алжир относно борбата с тероризма и регионалната сигурност, проведен на 12 ноември 2018 г. в Алжир под ръководството на върховния представител/заместник-председателя Могерини, бяха обсъдени усилията за възстановяването на сигурността в Либия и Сахел. Първа среща на висшите служители на ЕС и Кувейт се проведе в Брюксел на 27 ноември 2018 г. с цел обсъждане на възможности за по-нататъшен обмен и потенциално бъдещо сътрудничество по въпроси, свързани с борбата с тероризма, организираната престъпност и киберсигурността.</w:t>
      </w:r>
    </w:p>
    <w:p>
      <w:pPr>
        <w:spacing w:after="0" w:line="240" w:lineRule="auto"/>
        <w:jc w:val="both"/>
        <w:rPr>
          <w:rFonts w:ascii="Times New Roman" w:hAnsi="Times New Roman" w:cs="Times New Roman"/>
          <w:noProof/>
          <w:sz w:val="24"/>
          <w:szCs w:val="24"/>
        </w:rPr>
      </w:pPr>
      <w:r>
        <w:rPr>
          <w:rFonts w:ascii="Times New Roman" w:hAnsi="Times New Roman"/>
          <w:noProof/>
          <w:sz w:val="24"/>
        </w:rPr>
        <w:t>През ноември 2018 г. за първи път иракски военни и правоприлагащи органи преминаха обучение по събиране на доказателства от бойното поле в центъра за обучение на италиански карабинери към Центъра за високи постижения на НАТО за поддържане на обществен ред и стабилност, намиращ се във Виченца, Италия. Това обучение е част от тригодишен проект на ЕС, Интерпол и НАТО, който има за цел да гарантира, че лицата, които са свързани с тежки престъпления и тероризъм в зони на конфликт, ще бъдат изправени пред правосъдието. Този проект е конкретно действие на ЕС, свързано с изграждането на капацитет по отношение на правомерното събиране на доказателства за престъпления, извършени от активисти на Даиш, което в крайна сметка би могло да доведе до засилване на международното сътрудничество между правоприлагащите агенции на Ирак и на ЕС.</w:t>
      </w:r>
    </w:p>
    <w:p>
      <w:pPr>
        <w:spacing w:after="0" w:line="240" w:lineRule="auto"/>
        <w:jc w:val="both"/>
        <w:rPr>
          <w:rFonts w:ascii="Times New Roman" w:hAnsi="Times New Roman" w:cs="Times New Roman"/>
          <w:noProof/>
          <w:sz w:val="24"/>
          <w:szCs w:val="24"/>
        </w:rPr>
      </w:pPr>
    </w:p>
    <w:p>
      <w:pPr>
        <w:widowControl w:val="0"/>
        <w:spacing w:after="240" w:line="240" w:lineRule="auto"/>
        <w:jc w:val="both"/>
        <w:rPr>
          <w:rFonts w:ascii="Times New Roman" w:hAnsi="Times New Roman" w:cs="Times New Roman"/>
          <w:b/>
          <w:noProof/>
          <w:sz w:val="24"/>
          <w:szCs w:val="24"/>
        </w:rPr>
      </w:pPr>
      <w:r>
        <w:rPr>
          <w:rFonts w:ascii="Times New Roman" w:hAnsi="Times New Roman"/>
          <w:b/>
          <w:noProof/>
          <w:sz w:val="24"/>
        </w:rPr>
        <w:t>IV. ЗАКЛЮЧЕНИЕ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noProof/>
          <w:sz w:val="24"/>
        </w:rPr>
        <w:t>Докладът показва добрия напредък, постигнат в работата по създаването на ефективен и истински Съюз на сигурност. Наред с това обаче, той подчертава, че все още са необходими повече усилия от страна на съзаконодателите и държавите членки за приключването на законодателните процеси и прилагането на приетите мерки, за да може за гражданите на ЕС да бъде осигурена една засилена вътрешна сигурност. С оглед на изборите за Европейски парламент през май 2019 г. идните седмици ще бъдат решаващи за постигането на по-нататъшен напредък по разработването и въвеждането на подходящи политики за сигурност на равнище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0366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https://www.consilium.europa.eu/media/36775/18-euco-final-conclusions-en.pdf</w:t>
        </w:r>
      </w:hyperlink>
    </w:p>
  </w:footnote>
  <w:footnote w:id="3">
    <w:p>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rPr>
        <w:t xml:space="preserve"> </w:t>
      </w:r>
      <w:r>
        <w:tab/>
      </w:r>
      <w:hyperlink r:id="rId2">
        <w:r>
          <w:rPr>
            <w:rStyle w:val="Hyperlink"/>
            <w:rFonts w:ascii="Times New Roman" w:hAnsi="Times New Roman"/>
          </w:rPr>
          <w:t>https://ec.europa.eu/commission/sites/beta-political/files/joint-declaration-eu-legislative-priorities-2018-19_en.pdf</w:t>
        </w:r>
      </w:hyperlink>
    </w:p>
  </w:footnote>
  <w:footnote w:id="4">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 (2017) 793 final, 12.12.2017 г., COM (2017) 794 final, 12.12.2017 г., COM (2018) 478 final, 13.6.2018 г., COM (2018) 480 final, 13.6.2018 г.</w:t>
      </w:r>
    </w:p>
  </w:footnote>
  <w:footnote w:id="5">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COM(2018) 302 final, 16.5.2018 г. </w:t>
      </w:r>
    </w:p>
  </w:footnote>
  <w:footnote w:id="6">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COM(2016) 881 final, 21.12.2016 г., COM(2016) 882 final, 21.12.2016 г., COM(2016) 883 final, 21.12.2016 г.</w:t>
      </w:r>
    </w:p>
  </w:footnote>
  <w:footnote w:id="7">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COM(2017) 344 final, 29.6.2017 г.</w:t>
      </w:r>
    </w:p>
  </w:footnote>
  <w:footnote w:id="8">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COM(2016) 272 final, 4.5.2016 г.</w:t>
      </w:r>
    </w:p>
  </w:footnote>
  <w:footnote w:id="9">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„Управление на миграцията във всичките ѝ аспекти: Напредък по Европейската програма за миграцията, COM (2018) 798 final, 4.12.2012 г.</w:t>
      </w:r>
    </w:p>
  </w:footnote>
  <w:footnote w:id="10">
    <w:p>
      <w:pPr>
        <w:pStyle w:val="FootnoteText"/>
        <w:ind w:left="567" w:hanging="567"/>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https://www.consilium.europa.eu/media/35936/28-euco-final-conclusions-en.pdf</w:t>
      </w:r>
    </w:p>
  </w:footnote>
  <w:footnote w:id="11">
    <w:p>
      <w:pPr>
        <w:pStyle w:val="FootnoteText"/>
        <w:ind w:left="567" w:hanging="567"/>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631 final, 12.9.2018 г.</w:t>
      </w:r>
    </w:p>
  </w:footnote>
  <w:footnote w:id="12">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640 final, 12.9.2018 г.</w:t>
      </w:r>
    </w:p>
  </w:footnote>
  <w:footnote w:id="13">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На своето заседание, проведено на 22—23 юни 2017 г., Европейският съвет призова секторът „да развива нови технологии и инструменти за подобряване на автоматичното откриване и премахване на съдържание, което подбужда към терористични нападения. При необходимост това следва да бъде допълнено от съответните законодателни мерки на равнище ЕС“. Европейският съвет от 28 юни 2018 г. приветства „намерението на Комисията да представи законодателно предложение за подобряване на откриването и премахването на съдържание, което подбужда към омраза и към извършване на терористични актове“.</w:t>
      </w:r>
    </w:p>
  </w:footnote>
  <w:footnote w:id="14">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В своята резолюция от 15 юни 2017 г. относно онлайн платформите и цифровия единен пазар Европейският парламент настоятелно призова засегнатите платформи „да засилят мерките за борба с незаконното и вредното съдържание“, а Комисията да представи предложения за преодоляване на тези проблеми.</w:t>
      </w:r>
    </w:p>
  </w:footnote>
  <w:footnote w:id="15">
    <w:p>
      <w:pPr>
        <w:pStyle w:val="FootnoteText"/>
        <w:tabs>
          <w:tab w:val="left" w:pos="567"/>
        </w:tabs>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C(2018) 5345, 9.8.2018 г.</w:t>
      </w:r>
    </w:p>
  </w:footnote>
  <w:footnote w:id="16">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hyperlink r:id="rId3">
        <w:r>
          <w:rPr>
            <w:rStyle w:val="Hyperlink"/>
            <w:rFonts w:ascii="Times New Roman" w:hAnsi="Times New Roman"/>
          </w:rPr>
          <w:t>https://ec.europa.eu/info/funding-tenders/opportunities/portal/screen/opportunities/topic-details/isfp-2018-ag-ct-rad;freeTextSearchKeyword=;typeCodes=1;statusCodes=31094501,31094502;programCode=ISFP;programDivisionCode=null;focusAreaCode=null;crossCuttingPriorityCode=null;callCode=Default;sortQuery=openingDate;orderBy=asc;onlyTenders=false</w:t>
        </w:r>
      </w:hyperlink>
      <w:r>
        <w:rPr>
          <w:rFonts w:ascii="Times New Roman" w:hAnsi="Times New Roman"/>
        </w:rPr>
        <w:t xml:space="preserve"> </w:t>
      </w:r>
    </w:p>
  </w:footnote>
  <w:footnote w:id="17">
    <w:p>
      <w:pPr>
        <w:pStyle w:val="FootnoteText"/>
        <w:ind w:left="567" w:hanging="567"/>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JOIN (2018) 36, 5.12.2018 г.</w:t>
      </w:r>
    </w:p>
  </w:footnote>
  <w:footnote w:id="18">
    <w:p>
      <w:pPr>
        <w:pStyle w:val="FootnoteText"/>
        <w:tabs>
          <w:tab w:val="left" w:pos="567"/>
        </w:tabs>
        <w:rPr>
          <w:rFonts w:ascii="Times New Roman" w:hAnsi="Times New Roman" w:cs="Times New Roman"/>
          <w:highlight w:val="yellow"/>
          <w:lang w:val="pt-PT"/>
        </w:rPr>
      </w:pPr>
      <w:r>
        <w:rPr>
          <w:rStyle w:val="FootnoteReference"/>
        </w:rPr>
        <w:footnoteRef/>
      </w:r>
      <w:r>
        <w:rPr>
          <w:rFonts w:ascii="Times New Roman" w:hAnsi="Times New Roman"/>
        </w:rPr>
        <w:t xml:space="preserve"> </w:t>
      </w:r>
      <w:r>
        <w:tab/>
      </w:r>
      <w:r>
        <w:rPr>
          <w:rFonts w:ascii="Times New Roman" w:hAnsi="Times New Roman"/>
        </w:rPr>
        <w:t>COM(2018) 236 final, 26.4.2018 г.</w:t>
      </w:r>
    </w:p>
  </w:footnote>
  <w:footnote w:id="19">
    <w:p>
      <w:pPr>
        <w:pStyle w:val="FootnoteText"/>
        <w:tabs>
          <w:tab w:val="left" w:pos="709"/>
          <w:tab w:val="left" w:pos="851"/>
        </w:tabs>
        <w:ind w:left="567" w:hanging="567"/>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COM(2018) 794, 5.12.2018 г. </w:t>
      </w:r>
    </w:p>
  </w:footnote>
  <w:footnote w:id="20">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COM(2018) 637 final, 12.9.2018 г.</w:t>
      </w:r>
    </w:p>
  </w:footnote>
  <w:footnote w:id="21">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COM(2018) 638 final, 12.9.2018 г.</w:t>
      </w:r>
    </w:p>
  </w:footnote>
  <w:footnote w:id="22">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COM(2018) 636 final, 12.9.2018 г.</w:t>
      </w:r>
    </w:p>
  </w:footnote>
  <w:footnote w:id="23">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JOIN(2017) 450 final (13.9.2017 г.).</w:t>
      </w:r>
    </w:p>
  </w:footnote>
  <w:footnote w:id="24">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COM(2017) 477 final, 13.9.2017 г.</w:t>
      </w:r>
    </w:p>
  </w:footnote>
  <w:footnote w:id="25">
    <w:p>
      <w:pPr>
        <w:pStyle w:val="FootnoteText"/>
        <w:ind w:left="567" w:hanging="567"/>
        <w:jc w:val="both"/>
        <w:rPr>
          <w:rFonts w:ascii="Times New Roman" w:hAnsi="Times New Roman" w:cs="Times New Roman"/>
          <w:lang w:val="ru-RU"/>
        </w:rPr>
      </w:pPr>
      <w:r>
        <w:rPr>
          <w:rStyle w:val="FootnoteReference"/>
        </w:rPr>
        <w:footnoteRef/>
      </w:r>
      <w:r>
        <w:rPr>
          <w:rFonts w:ascii="Times New Roman" w:hAnsi="Times New Roman"/>
        </w:rPr>
        <w:t xml:space="preserve"> </w:t>
      </w:r>
      <w:r>
        <w:tab/>
      </w:r>
      <w:r>
        <w:rPr>
          <w:rFonts w:ascii="Times New Roman" w:hAnsi="Times New Roman"/>
        </w:rPr>
        <w:t xml:space="preserve">COM(2017) 489 final, 13.9.2017 г. </w:t>
      </w:r>
    </w:p>
  </w:footnote>
  <w:footnote w:id="26">
    <w:p>
      <w:pPr>
        <w:pStyle w:val="FootnoteText"/>
        <w:ind w:left="567" w:hanging="567"/>
        <w:jc w:val="both"/>
        <w:rPr>
          <w:rFonts w:ascii="Times New Roman" w:hAnsi="Times New Roman" w:cs="Times New Roman"/>
          <w:lang w:val="ru-RU"/>
        </w:rPr>
      </w:pPr>
      <w:r>
        <w:rPr>
          <w:rStyle w:val="FootnoteReference"/>
        </w:rPr>
        <w:footnoteRef/>
      </w:r>
      <w:r>
        <w:rPr>
          <w:rFonts w:ascii="Times New Roman" w:hAnsi="Times New Roman"/>
        </w:rPr>
        <w:t xml:space="preserve"> </w:t>
      </w:r>
      <w:r>
        <w:tab/>
      </w:r>
      <w:r>
        <w:rPr>
          <w:rFonts w:ascii="Times New Roman" w:hAnsi="Times New Roman"/>
        </w:rPr>
        <w:t>Документ на Съвета 9916/17.</w:t>
      </w:r>
    </w:p>
  </w:footnote>
  <w:footnote w:id="27">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225 final, 17.4.2018 г. Преговорите за съпътстващата го директива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(COM (2018) 226 final, 17.4.2018 г.) ще продължат.</w:t>
      </w:r>
    </w:p>
  </w:footnote>
  <w:footnote w:id="28">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COM(2018) 213 final, 17.4.2018 г.</w:t>
      </w:r>
    </w:p>
  </w:footnote>
  <w:footnote w:id="29">
    <w:p>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COM(2018) 209 final, 17.4.2018 г.</w:t>
      </w:r>
    </w:p>
  </w:footnote>
  <w:footnote w:id="30">
    <w:p>
      <w:pPr>
        <w:pStyle w:val="FootnoteText"/>
        <w:tabs>
          <w:tab w:val="left" w:pos="567"/>
        </w:tabs>
        <w:rPr>
          <w:rFonts w:ascii="Times New Roman" w:hAnsi="Times New Roman" w:cs="Times New Roman"/>
          <w:lang w:val="ru-RU"/>
        </w:rPr>
      </w:pPr>
      <w:r>
        <w:rPr>
          <w:rStyle w:val="FootnoteReference"/>
        </w:rPr>
        <w:footnoteRef/>
      </w:r>
      <w:r>
        <w:rPr>
          <w:rFonts w:ascii="Times New Roman" w:hAnsi="Times New Roman"/>
        </w:rPr>
        <w:t xml:space="preserve"> </w:t>
      </w:r>
      <w:r>
        <w:tab/>
      </w:r>
      <w:r>
        <w:rPr>
          <w:rFonts w:ascii="Times New Roman" w:hAnsi="Times New Roman"/>
        </w:rPr>
        <w:t>COM(2018) 212 final, 17.4.2018 г.</w:t>
      </w:r>
    </w:p>
  </w:footnote>
  <w:footnote w:id="31">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(ЕС) 2016/681, 27.4.2016 г.</w:t>
      </w:r>
    </w:p>
  </w:footnote>
  <w:footnote w:id="32">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България, Чешката република, Естония, Гърция, Испания, Франция, Кипър, Люксембург, Нидерландия, Австрия, Португалия, Румъния, Словения и Финландия.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47).</w:t>
      </w:r>
    </w:p>
  </w:footnote>
  <w:footnote w:id="33">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България, Франция, Люксембург, Австрия и Гърция (актуално състояние към 6 декември 2018 г.).</w:t>
      </w:r>
    </w:p>
  </w:footnote>
  <w:footnote w:id="34">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Директива (ЕС) 2017/541, 15.3.2017 г.</w:t>
      </w:r>
    </w:p>
  </w:footnote>
  <w:footnote w:id="35">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Белгия, България, Чешката република, Естония, Гърция, Испания, Хърватия, Кипър, Литва, Люксембург, Малта, Австрия, Полша, Португалия, Румъния и Словения.</w:t>
      </w:r>
    </w:p>
  </w:footnote>
  <w:footnote w:id="36">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Директива (ЕС) 2017/853, 17.5.2017 г.</w:t>
      </w:r>
    </w:p>
  </w:footnote>
  <w:footnote w:id="37">
    <w:p>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Белгия, България, Чешката република, Германия, Естония, Ирландия, Гърция, Испания, Франция, Кипър, Латвия, Литва, Люксембург, Унгария, Малта, Нидерландия, Австрия, Полша, Португалия, Румъния, Словения, Словакия, Финландия, Швеция, Обединеното кралство.</w:t>
      </w:r>
    </w:p>
  </w:footnote>
  <w:footnote w:id="38">
    <w:p>
      <w:pPr>
        <w:pStyle w:val="FootnoteText"/>
        <w:ind w:left="567" w:hanging="567"/>
        <w:jc w:val="both"/>
      </w:pPr>
      <w:r>
        <w:rPr>
          <w:rStyle w:val="FootnoteReference"/>
        </w:rPr>
        <w:footnoteRef/>
      </w:r>
      <w:r>
        <w:t xml:space="preserve"> </w:t>
      </w:r>
      <w:r>
        <w:tab/>
      </w:r>
      <w:r>
        <w:rPr>
          <w:rFonts w:ascii="Times New Roman" w:hAnsi="Times New Roman"/>
        </w:rPr>
        <w:t>Франция (ситуация към 6 декември 2018 г.).</w:t>
      </w:r>
    </w:p>
  </w:footnote>
  <w:footnote w:id="39">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(ЕС) 2016/680, 27.4.2016 г.</w:t>
      </w:r>
    </w:p>
  </w:footnote>
  <w:footnote w:id="40">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Белгия, България, Чешката република, Естония, Гърция, Испания, Франция, Хърватия, Кипър, Латвия, Литва, Люксембург, Унгария, Нидерландия, Полша, Португалия, Румъния, Словения и Финландия.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51).</w:t>
      </w:r>
    </w:p>
  </w:footnote>
  <w:footnote w:id="41">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Директива (ЕС) 2016/1148, 27.4.2016 г.</w:t>
      </w:r>
    </w:p>
  </w:footnote>
  <w:footnote w:id="42">
    <w:p>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България, Чешката република, Дания, Германия, Гърция, Естония, Ирландия, Испания, Франция, Хърватия, Италия, Кипър, Малта, Нидерландия, Полша, Португалия, Словения, Словакия, Финландия, Швеция и Обединеното кралство уведомиха за пълно транспониране. Литва, Унгария и Латвия уведомиха за частично транспониране (актуално състояние към 6 декември 2018 г.).</w:t>
      </w:r>
    </w:p>
  </w:footnote>
  <w:footnote w:id="43">
    <w:p>
      <w:pPr>
        <w:pStyle w:val="FootnoteText"/>
        <w:ind w:left="567" w:hanging="567"/>
        <w:jc w:val="both"/>
        <w:rPr>
          <w:rFonts w:ascii="Times New Roman" w:hAnsi="Times New Roman" w:cs="Times New Roman"/>
          <w:color w:val="000000" w:themeColor="text1"/>
        </w:rPr>
      </w:pPr>
      <w:r>
        <w:rPr>
          <w:rStyle w:val="FootnoteReference"/>
        </w:rPr>
        <w:footnoteRef/>
      </w:r>
      <w:r>
        <w:rPr>
          <w:rFonts w:ascii="Times New Roman" w:hAnsi="Times New Roman"/>
        </w:rPr>
        <w:t xml:space="preserve"> </w:t>
      </w:r>
      <w:r>
        <w:tab/>
      </w:r>
      <w:r>
        <w:rPr>
          <w:rFonts w:ascii="Times New Roman" w:hAnsi="Times New Roman"/>
        </w:rPr>
        <w:t xml:space="preserve">Белгия, България, Дания, Ирландия, Гърция, Испания, Франция, Хърватия, Латвия, Литва, Люксембург, Унгария, Нидерландия, Австрия, Полша, Португалия и Румъния. В момента Комисията получава отговори от държавите членки, включително уведомления за съответното законодателство, които понастоящем се анализират (вж. също бележка под линия 48). </w:t>
      </w:r>
    </w:p>
  </w:footnote>
  <w:footnote w:id="44">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Кипър, Чешката република, Германия, Дания, Естония, Испания, Финландия, Франция, Хърватия, Унгария, Литва, Нидерландия, Полша, Португалия, Швеция и Обединеното кралство (актуално състояние към 6 декември 2018 г.).</w:t>
      </w:r>
    </w:p>
  </w:footnote>
  <w:footnote w:id="45">
    <w:p>
      <w:pPr>
        <w:pStyle w:val="FootnoteText"/>
        <w:ind w:left="567" w:hanging="567"/>
        <w:jc w:val="both"/>
        <w:rPr>
          <w:rFonts w:ascii="Times New Roman" w:hAnsi="Times New Roman" w:cs="Times New Roman"/>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Директива (ЕС) 2015/849, 20.5.2015 г.</w:t>
      </w:r>
    </w:p>
  </w:footnote>
  <w:footnote w:id="46">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Белгия, България, Дания, Естония, Ирландия, Гърция, Испания, Франция, Хърватия, Кипър, Латвия, Литва, Люксембург, Малта, Нидерландия, Австрия, Полша, Португалия, Румъния, Словакия и Финландия.</w:t>
      </w:r>
    </w:p>
  </w:footnote>
  <w:footnote w:id="47">
    <w:p>
      <w:pPr>
        <w:pStyle w:val="FootnoteText"/>
        <w:ind w:left="567" w:hanging="567"/>
        <w:jc w:val="both"/>
      </w:pPr>
      <w:r>
        <w:rPr>
          <w:rStyle w:val="FootnoteReference"/>
          <w:color w:val="000000" w:themeColor="text1"/>
        </w:rPr>
        <w:footnoteRef/>
      </w:r>
      <w:r>
        <w:t xml:space="preserve"> </w:t>
      </w:r>
      <w:r>
        <w:tab/>
      </w:r>
      <w:r>
        <w:rPr>
          <w:rFonts w:ascii="Times New Roman" w:hAnsi="Times New Roman"/>
          <w:color w:val="000000" w:themeColor="text1"/>
        </w:rPr>
        <w:t>Директива (ЕС) 2018/1673 на Европейския парламент и на Съвета от 23 октомври 2018 г. за борба с изпирането на пари по наказателноправен ред.</w:t>
      </w:r>
    </w:p>
  </w:footnote>
  <w:footnote w:id="48">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Испания, Кипър, Нидерландия, Португалия, Румъния и Финландия все още не са уведомили за транспонирането. Чешката република, Естония и Словения са уведомили за частично транспониране и трябва да допълнят уведомленията си за транспониране (актуално състояние към 6 декември 2018 г.).</w:t>
      </w:r>
    </w:p>
  </w:footnote>
  <w:footnote w:id="49">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Белгия, Люксембург, Австрия и Румъния все още не са уведомили за транспонирането. Литва, Унгария и Латвия са уведомили за частично транспониране и трябва да допълнят уведомленията си за транспониране (актуално състояние към 6 декември 2018 г.).</w:t>
      </w:r>
    </w:p>
  </w:footnote>
  <w:footnote w:id="50">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България, Гърция, Кипър, Люксембург, Малта, Полша и Румъния все още не са уведомили за транспонирането. Белгия, Чешката република, Естония, Испания, Хърватия, Литва, Австрия, Португалия и Словения са уведомили за частично транспониране и трябва да допълнят уведомленията си за транспониране (актуално състояние към 6 декември 2018 г.).</w:t>
      </w:r>
    </w:p>
  </w:footnote>
  <w:footnote w:id="51">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Белгия, България, Германия, Естония, Ирландия, Гърция, Испания, Кипър, Латвия, Люксембург, Унгария, Нидерландия, Австрия, Полша, Румъния, Словения, Словакия, Финландия и Швеция все още не са уведомили за транспонирането. Чешката република, Литва, Малта, Португалия и Обединеното кралство са уведомили за частично транспониране и трябва да допълнят уведомленията си за транспониране (актуално състояние към 6 декември 2018 г.).</w:t>
      </w:r>
    </w:p>
  </w:footnote>
  <w:footnote w:id="52">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България, Естония, Гърция, Испания, Кипър, Латвия, Нидерландия, Полша, Румъния, Словения и Финландия все още не са уведомили за транспонирането. Чешката република и Португалия са уведомили за частично транспониране и трябва да допълнят уведомленията си за транспониране (актуално състояние към 6 декември 2018 г.).</w:t>
      </w:r>
    </w:p>
  </w:footnote>
  <w:footnote w:id="53">
    <w:p>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Люксембург, Австрия и Румъния са уведомили за частично транспониране и трябва да допълнят уведомленията си за транспониране. Останалите 18 държави членки са уведомили за пълно транспониране и оценката от страна на Комисията е в ход (актуално състояние към 6 декември 2018 г.).</w:t>
      </w:r>
    </w:p>
  </w:footnote>
  <w:footnote w:id="54">
    <w:p>
      <w:pPr>
        <w:pStyle w:val="FootnoteText"/>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color w:val="000000" w:themeColor="text1"/>
        </w:rPr>
        <w:t>COM (2017) 612 final, 18.10.2017 г.</w:t>
      </w:r>
    </w:p>
  </w:footnote>
  <w:footnote w:id="55">
    <w:p>
      <w:pPr>
        <w:pStyle w:val="FootnoteText"/>
        <w:ind w:left="567" w:hanging="567"/>
        <w:jc w:val="both"/>
        <w:rPr>
          <w:rFonts w:ascii="Times New Roman" w:hAnsi="Times New Roman" w:cs="Times New Roman"/>
          <w:lang w:val="ru-RU"/>
        </w:rPr>
      </w:pPr>
      <w:r>
        <w:rPr>
          <w:rStyle w:val="FootnoteReference"/>
        </w:rPr>
        <w:footnoteRef/>
      </w:r>
      <w:r>
        <w:rPr>
          <w:rFonts w:ascii="Times New Roman" w:hAnsi="Times New Roman"/>
        </w:rPr>
        <w:t xml:space="preserve"> </w:t>
      </w:r>
      <w:r>
        <w:tab/>
      </w:r>
      <w:hyperlink r:id="rId4">
        <w:r>
          <w:rPr>
            <w:rStyle w:val="Hyperlink"/>
            <w:rFonts w:ascii="Times New Roman" w:hAnsi="Times New Roman"/>
          </w:rPr>
          <w:t>https://ec.europa.eu/home-affairs/financing/fundings/security-and-safeguarding-liberties/internal-security-fund-police/union-actions_en</w:t>
        </w:r>
      </w:hyperlink>
      <w:r>
        <w:rPr>
          <w:rFonts w:ascii="Times New Roman" w:hAnsi="Times New Roman"/>
        </w:rPr>
        <w:t>, поканата е отворена до 16 януари 2019 г.</w:t>
      </w:r>
    </w:p>
  </w:footnote>
  <w:footnote w:id="56">
    <w:p>
      <w:pPr>
        <w:pStyle w:val="FootnoteText"/>
        <w:tabs>
          <w:tab w:val="left" w:pos="567"/>
        </w:tabs>
        <w:rPr>
          <w:rFonts w:ascii="Times New Roman" w:hAnsi="Times New Roman" w:cs="Times New Roman"/>
          <w:lang w:val="ru-RU"/>
        </w:rPr>
      </w:pPr>
      <w:r>
        <w:rPr>
          <w:rStyle w:val="FootnoteReference"/>
        </w:rPr>
        <w:footnoteRef/>
      </w:r>
      <w:r>
        <w:rPr>
          <w:rFonts w:ascii="Times New Roman" w:hAnsi="Times New Roman"/>
        </w:rPr>
        <w:t xml:space="preserve"> </w:t>
      </w:r>
      <w:r>
        <w:tab/>
      </w:r>
      <w:hyperlink r:id="rId5">
        <w:r>
          <w:rPr>
            <w:rStyle w:val="Hyperlink"/>
            <w:rFonts w:ascii="Times New Roman" w:hAnsi="Times New Roman"/>
          </w:rPr>
          <w:t>https://www.uia-initiative.eu/en/urban-security</w:t>
        </w:r>
      </w:hyperlink>
      <w:r>
        <w:rPr>
          <w:rFonts w:ascii="Times New Roman" w:hAnsi="Times New Roman"/>
        </w:rPr>
        <w:t>, поканата е отворена до 31 януари 2019 г.</w:t>
      </w:r>
    </w:p>
  </w:footnote>
  <w:footnote w:id="57">
    <w:p>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Регламент (ЕС) 2018/1542 на Съвета от 15 октомври 2018 г. относно ограничителните мерки срещу разпространението и употребата на химическо оръжие. </w:t>
      </w:r>
    </w:p>
    <w:p>
      <w:pPr>
        <w:pStyle w:val="FootnoteText"/>
        <w:tabs>
          <w:tab w:val="left" w:pos="567"/>
        </w:tabs>
        <w:rPr>
          <w:rFonts w:ascii="Times New Roman" w:hAnsi="Times New Roman" w:cs="Times New Roman"/>
        </w:rPr>
      </w:pPr>
      <w:r>
        <w:tab/>
      </w:r>
      <w:hyperlink r:id="rId6">
        <w:r>
          <w:rPr>
            <w:rStyle w:val="Hyperlink"/>
            <w:rFonts w:ascii="Times New Roman" w:hAnsi="Times New Roman"/>
          </w:rPr>
          <w:t>https://eur-lex.europa.eu/legal-content/BG/TXT/PDF/?uri=CELEX:32018R1542</w:t>
        </w:r>
      </w:hyperlink>
      <w:r>
        <w:rPr>
          <w:rFonts w:ascii="Times New Roman" w:hAnsi="Times New Roman"/>
        </w:rPr>
        <w:t xml:space="preserve">  </w:t>
      </w:r>
    </w:p>
  </w:footnote>
  <w:footnote w:id="58">
    <w:p>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Само осем държави членки са декларирали наличие на структурирана национална програма за изследвания в сферата на сигурността.</w:t>
      </w:r>
    </w:p>
  </w:footnote>
  <w:footnote w:id="59">
    <w:p>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Проектът CORE е пионер в използването на технологията на блок-веригата при управлението на веригата за доставки. Няколко големи логистични компании, като например MAERSK-IBM, Seacon Logistics и Royal Flora Holland използват разработките по CORE за изграждането на своите логистични интернет системи, идентификационен код на проект 603993, FP7-SEC-2013-1, начало — 1.5.2014 г., повече информация може да бъде намерена на адрес: </w:t>
      </w:r>
      <w:hyperlink r:id="rId7">
        <w:r>
          <w:rPr>
            <w:rStyle w:val="Hyperlink"/>
            <w:rFonts w:ascii="Times New Roman" w:hAnsi="Times New Roman"/>
          </w:rPr>
          <w:t>https://cordis.europa.eu/project/rcn/188515_en.html</w:t>
        </w:r>
      </w:hyperlink>
    </w:p>
  </w:footnote>
  <w:footnote w:id="60">
    <w:p>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Проектът TOXITRIAGE предостави лесно използваема детекторна система за химически и биологични заплахи и ефективен координационен механизъм за разпределяне на пострадалите лица, включващ различни екипи за първоначално реагиране, идентификационен код на проект 653409, H2020-DRS-2014, начало — 1.9.2015 г., повече информация може да бъде намерена на адрес: </w:t>
      </w:r>
      <w:hyperlink r:id="rId8">
        <w:r>
          <w:rPr>
            <w:rStyle w:val="Hyperlink"/>
            <w:rFonts w:ascii="Times New Roman" w:hAnsi="Times New Roman"/>
          </w:rPr>
          <w:t>https://cordis.europa.eu/project/rcn/194860_en.html</w:t>
        </w:r>
      </w:hyperlink>
    </w:p>
  </w:footnote>
  <w:footnote w:id="61">
    <w:p>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Проектът EVIDENCE очерта пътна карта, в която се определят стратегиите, целите и действията, необходими за създаване на обща европейска рамка за правилното и хармонизирано обработване на електронни доказателства. Тези резултати бяха използвани като входни данни за оценката на въздействието от етапа на създаване за законодателното предложение на Комисията в тази област, идентификационен код на проект 608185, FP7-SEC-2013-1, начало — 1.3.2014 г., повече информация може да бъде намерена на адрес: </w:t>
      </w:r>
      <w:hyperlink r:id="rId9">
        <w:r>
          <w:rPr>
            <w:rStyle w:val="Hyperlink"/>
            <w:rFonts w:ascii="Times New Roman" w:hAnsi="Times New Roman"/>
          </w:rPr>
          <w:t>https://cordis.europa.eu/project/rcn/185514_en.html</w:t>
        </w:r>
      </w:hyperlink>
      <w:r>
        <w:rPr>
          <w:rFonts w:ascii="Times New Roman" w:hAnsi="Times New Roman"/>
        </w:rPr>
        <w:t xml:space="preserve"> </w:t>
      </w:r>
    </w:p>
  </w:footnote>
  <w:footnote w:id="62">
    <w:p>
      <w:pPr>
        <w:pStyle w:val="FootnoteText"/>
        <w:tabs>
          <w:tab w:val="left" w:pos="0"/>
        </w:tabs>
        <w:ind w:left="567" w:hanging="567"/>
        <w:jc w:val="both"/>
        <w:rPr>
          <w:rStyle w:val="FootnoteReference"/>
        </w:rPr>
      </w:pPr>
      <w:r>
        <w:rPr>
          <w:rStyle w:val="FootnoteReference"/>
        </w:rPr>
        <w:footnoteRef/>
      </w:r>
      <w:r>
        <w:rPr>
          <w:rStyle w:val="FootnoteReference"/>
        </w:rPr>
        <w:t xml:space="preserve"> </w:t>
      </w:r>
      <w:r>
        <w:tab/>
      </w:r>
      <w:r>
        <w:rPr>
          <w:rFonts w:ascii="Times New Roman" w:hAnsi="Times New Roman"/>
        </w:rPr>
        <w:t xml:space="preserve">Проектът CLOSEYE е първият пример за това как финансираните от ЕС научни изследвания биха могли да стеснят дистанцията между установяването на пропуските в капацитета и внедряването на технологични решения за коригирането на подобни пропуски. Въз основа на предишни финансирани от ЕС научни изследвания относно наблюдението на морските граници, този проект доведе до решения за подобряване на откриването, идентифицирането и проследяването на малки лодки в открито море. В резултат на това два органа на държави членки от Испания и Португалия започнаха инициатива за възлагане на обществени поръчки въз основа на резултатите от CLOSEYE. Испания следователно използва инструмента за финансово подпомагане за външните граници, за да се възползва изцяло от взаимодействията между тези различни фондове на ЕС. Идентификационен код на проекта 313184, FP7-SEC-2012-1, начало — 1.4.2013 г., повече информация може да бъде намерена на адрес: </w:t>
      </w:r>
      <w:hyperlink r:id="rId10">
        <w:r>
          <w:rPr>
            <w:rStyle w:val="Hyperlink"/>
            <w:rFonts w:ascii="Times New Roman" w:hAnsi="Times New Roman"/>
          </w:rPr>
          <w:t>https://cordis.europa.eu/project/rcn/108227_en.html</w:t>
        </w:r>
      </w:hyperlink>
      <w:r>
        <w:rPr>
          <w:rFonts w:ascii="Times New Roman" w:hAnsi="Times New Roman"/>
        </w:rPr>
        <w:t xml:space="preserve">   </w:t>
      </w:r>
    </w:p>
  </w:footnote>
  <w:footnote w:id="63">
    <w:p>
      <w:pPr>
        <w:pStyle w:val="FootnoteText"/>
        <w:tabs>
          <w:tab w:val="left" w:pos="0"/>
        </w:tabs>
        <w:ind w:left="567" w:hanging="567"/>
        <w:jc w:val="both"/>
      </w:pPr>
      <w:r>
        <w:rPr>
          <w:rStyle w:val="FootnoteReference"/>
        </w:rPr>
        <w:footnoteRef/>
      </w:r>
      <w:r>
        <w:rPr>
          <w:rFonts w:ascii="Times New Roman" w:hAnsi="Times New Roman"/>
        </w:rPr>
        <w:t xml:space="preserve"> </w:t>
      </w:r>
      <w:r>
        <w:tab/>
      </w:r>
      <w:r>
        <w:rPr>
          <w:rFonts w:ascii="Times New Roman" w:hAnsi="Times New Roman"/>
        </w:rPr>
        <w:t>COM (2018) 795 final, 7.12.2018 г.</w:t>
      </w:r>
    </w:p>
  </w:footnote>
  <w:footnote w:id="64">
    <w:p>
      <w:pPr>
        <w:pStyle w:val="FootnoteText"/>
        <w:tabs>
          <w:tab w:val="left" w:pos="0"/>
        </w:tabs>
        <w:ind w:left="567" w:hanging="567"/>
        <w:jc w:val="both"/>
        <w:rPr>
          <w:rStyle w:val="FootnoteReference"/>
        </w:rPr>
      </w:pPr>
      <w:r>
        <w:rPr>
          <w:rStyle w:val="FootnoteReference"/>
        </w:rPr>
        <w:footnoteRef/>
      </w:r>
      <w:r>
        <w:rPr>
          <w:rStyle w:val="FootnoteReference"/>
        </w:rPr>
        <w:t xml:space="preserve"> </w:t>
      </w:r>
      <w:r>
        <w:tab/>
      </w:r>
      <w:r>
        <w:rPr>
          <w:rFonts w:ascii="Times New Roman" w:hAnsi="Times New Roman"/>
        </w:rPr>
        <w:t>Киберсигурността на базираните на изкуствен интелект технологии, използването на изкуствен интелект за целите на сигурността, включително за предотвратяване, откриване и разследване на криминални престъпления и актове на тероризъм, както и предотвратяването на злонамерено и престъпното използване на изкуствен интелект.</w:t>
      </w:r>
    </w:p>
  </w:footnote>
  <w:footnote w:id="65">
    <w:p>
      <w:pPr>
        <w:pStyle w:val="FootnoteText"/>
        <w:ind w:left="567" w:hanging="567"/>
      </w:pPr>
      <w:r>
        <w:rPr>
          <w:rStyle w:val="FootnoteReference"/>
        </w:rPr>
        <w:footnoteRef/>
      </w:r>
      <w:r>
        <w:rPr>
          <w:rFonts w:ascii="Times New Roman" w:hAnsi="Times New Roman"/>
        </w:rPr>
        <w:t xml:space="preserve"> </w:t>
      </w:r>
      <w:r>
        <w:tab/>
      </w:r>
      <w:hyperlink r:id="rId11">
        <w:r>
          <w:rPr>
            <w:rStyle w:val="Hyperlink"/>
            <w:rFonts w:ascii="Times New Roman" w:hAnsi="Times New Roman"/>
          </w:rPr>
          <w:t>https://www.consilium.europa.eu/en/press/press-releases/2018/11/09/joint-eu-u-s-statement-following-the-eu-u-s-justice-and-home-affairs-ministerial-meeting/#</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E37D2A"/>
    <w:multiLevelType w:val="hybridMultilevel"/>
    <w:tmpl w:val="FAB6A8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2"/>
  </w:num>
  <w:num w:numId="4">
    <w:abstractNumId w:val="6"/>
  </w:num>
  <w:num w:numId="5">
    <w:abstractNumId w:val="1"/>
  </w:num>
  <w:num w:numId="6">
    <w:abstractNumId w:val="5"/>
  </w:num>
  <w:num w:numId="7">
    <w:abstractNumId w:val="10"/>
  </w:num>
  <w:num w:numId="8">
    <w:abstractNumId w:val="4"/>
  </w:num>
  <w:num w:numId="9">
    <w:abstractNumId w:val="1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GL Julian (CAB-KING)">
    <w15:presenceInfo w15:providerId="None" w15:userId="SIEGL Julian (CAB-KING)"/>
  </w15:person>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69A258-820C-49FC-A2F6-5863D5F53FA1"/>
    <w:docVar w:name="LW_COVERPAGE_TYPE" w:val="1"/>
    <w:docVar w:name="LW_CROSSREFERENCE" w:val="&lt;UNUSED&gt;"/>
    <w:docVar w:name="LW_DocType" w:val="NORMAL"/>
    <w:docVar w:name="LW_EMISSION" w:val="11.12.2018"/>
    <w:docVar w:name="LW_EMISSION_ISODATE" w:val="2018-12-11"/>
    <w:docVar w:name="LW_EMISSION_LOCATION" w:val="STR"/>
    <w:docVar w:name="LW_EMISSION_PREFIX" w:val="Страсбург,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7?\u1077?\u1076?\u1077?\u1084?\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_x000d__x000b_"/>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rcn/194860_en.html" TargetMode="External"/><Relationship Id="rId3" Type="http://schemas.openxmlformats.org/officeDocument/2006/relationships/hyperlink" Target="https://ec.europa.eu/info/funding-tenders/opportunities/portal/screen/opportunities/topic-details/isfp-2018-ag-ct-rad;freeTextSearchKeyword=;typeCodes=1;statusCodes=31094501,31094502;programCode=ISFP;programDivisionCode=null;focusAreaCode=null;crossCuttingPriorityCode=null;callCode=Default;sortQuery=openingDate;orderBy=asc;onlyTenders=false" TargetMode="External"/><Relationship Id="rId7" Type="http://schemas.openxmlformats.org/officeDocument/2006/relationships/hyperlink" Target="https://cordis.europa.eu/project/rcn/188515_en.html" TargetMode="External"/><Relationship Id="rId2" Type="http://schemas.openxmlformats.org/officeDocument/2006/relationships/hyperlink" Target="https://ec.europa.eu/commission/sites/beta-political/files/joint-declaration-eu-legislative-priorities-2018-19_en.pdf" TargetMode="External"/><Relationship Id="rId1" Type="http://schemas.openxmlformats.org/officeDocument/2006/relationships/hyperlink" Target="https://www.consilium.europa.eu/media/36775/18-euco-final-conclusions-en.pdf" TargetMode="External"/><Relationship Id="rId6" Type="http://schemas.openxmlformats.org/officeDocument/2006/relationships/hyperlink" Target="https://eur-lex.europa.eu/legal-content/BG/TXT/PDF/?uri=CELEX:32018R1542" TargetMode="External"/><Relationship Id="rId11" Type="http://schemas.openxmlformats.org/officeDocument/2006/relationships/hyperlink" Target="https://www.consilium.europa.eu/en/press/press-releases/2018/11/09/joint-eu-u-s-statement-following-the-eu-u-s-justice-and-home-affairs-ministerial-meeting/" TargetMode="External"/><Relationship Id="rId5" Type="http://schemas.openxmlformats.org/officeDocument/2006/relationships/hyperlink" Target="https://www.uia-initiative.eu/en/urban-security" TargetMode="External"/><Relationship Id="rId10" Type="http://schemas.openxmlformats.org/officeDocument/2006/relationships/hyperlink" Target="https://cordis.europa.eu/project/rcn/108227_en.html" TargetMode="External"/><Relationship Id="rId4" Type="http://schemas.openxmlformats.org/officeDocument/2006/relationships/hyperlink" Target="https://ec.europa.eu/home-affairs/financing/fundings/security-and-safeguarding-liberties/internal-security-fund-police/union-actions_en" TargetMode="External"/><Relationship Id="rId9" Type="http://schemas.openxmlformats.org/officeDocument/2006/relationships/hyperlink" Target="https://cordis.europa.eu/project/rcn/185514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553C-C2DD-48BF-9135-4FD122D5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7743</Words>
  <Characters>46850</Characters>
  <Application>Microsoft Office Word</Application>
  <DocSecurity>0</DocSecurity>
  <Lines>780</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23</cp:revision>
  <cp:lastPrinted>2018-12-07T10:53:00Z</cp:lastPrinted>
  <dcterms:created xsi:type="dcterms:W3CDTF">2018-12-11T07:54:00Z</dcterms:created>
  <dcterms:modified xsi:type="dcterms:W3CDTF">2019-01-11T16:04:00Z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