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841DB7B-AE4B-4A38-94BC-89051C642A1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rFonts w:eastAsia="Times New Roman"/>
          <w:noProof/>
        </w:rPr>
      </w:pPr>
      <w:r>
        <w:rPr>
          <w:noProof/>
        </w:rPr>
        <w:t xml:space="preserve">Регламент (ЕС) 2017/1939 на Съвета за установяване на засилено сътрудничество за създаване на Европейска прокуратура бе приет на 12 октомври 2017 г. и влезе в сила на 20 ноември 2017 г. Съгласно член 16, параграф 3 от Регламент (ЕС) 2017/1939 на Съвета европейските прокурори се назначават с мандат от 6 години, който не се подновява. Този мандат може да бъде удължен с решение на Съвета най-много с три години. </w:t>
      </w:r>
    </w:p>
    <w:p>
      <w:pPr>
        <w:pBdr>
          <w:top w:val="nil"/>
          <w:left w:val="nil"/>
          <w:bottom w:val="nil"/>
          <w:right w:val="nil"/>
          <w:between w:val="nil"/>
          <w:bar w:val="nil"/>
        </w:pBdr>
        <w:spacing w:before="0" w:after="240"/>
        <w:rPr>
          <w:rFonts w:eastAsia="Times New Roman"/>
          <w:noProof/>
        </w:rPr>
      </w:pPr>
      <w:r>
        <w:rPr>
          <w:noProof/>
        </w:rPr>
        <w:t xml:space="preserve">В член 16, параграф 4 от Регламент (ЕС) 2017/1939 на Съвета се предвижда, че на всеки три години се подменя частично една трета от европейските прокурори. Съветът, като действа с обикновено мнозинство, приема преходни разпоредби за назначаването на европейски прокурори за и по време на първия мандат. </w:t>
      </w:r>
    </w:p>
    <w:p>
      <w:pPr>
        <w:pBdr>
          <w:top w:val="nil"/>
          <w:left w:val="nil"/>
          <w:bottom w:val="nil"/>
          <w:right w:val="nil"/>
          <w:between w:val="nil"/>
          <w:bar w:val="nil"/>
        </w:pBdr>
        <w:spacing w:before="0" w:after="240"/>
        <w:rPr>
          <w:rFonts w:eastAsia="Times New Roman"/>
          <w:noProof/>
        </w:rPr>
      </w:pPr>
      <w:r>
        <w:rPr>
          <w:noProof/>
        </w:rPr>
        <w:t xml:space="preserve">С настоящото предложение се уреждат преходните разпоредби за частичната подмяна на първата група назначени европейски прокурори. Съгласно предлаганите разпоредби една трета от тези европейски прокурори ще заемат длъжността за мандат от три години, вместо обичайния шестгодишен мандат, предвиден в Регламент (ЕС) 2017/1939, след което ще бъдат подменени, за да се спази правилото за частична подмяна, съдържащо се в член 16, параграф 4. </w:t>
      </w:r>
    </w:p>
    <w:p>
      <w:pPr>
        <w:pBdr>
          <w:top w:val="nil"/>
          <w:left w:val="nil"/>
          <w:bottom w:val="nil"/>
          <w:right w:val="nil"/>
          <w:between w:val="nil"/>
          <w:bar w:val="nil"/>
        </w:pBdr>
        <w:spacing w:before="0" w:after="240"/>
        <w:rPr>
          <w:rFonts w:eastAsia="Times New Roman"/>
          <w:noProof/>
        </w:rPr>
      </w:pPr>
      <w:r>
        <w:rPr>
          <w:noProof/>
        </w:rPr>
        <w:t>За да се гарантира безпристрастна, прозрачна и справедлива система за определяне на европейските прокурори, които ще бъдат назначени за по-кратък първи мандат, се предлага да бъде създадена система, основана на тегленето на жребий. Тази система ще гарантира, че определянето на съответните европейски прокурори ще се извършва непредубедено, включително по отношение на тяхното гражданство. Географското многообразие на държавите членки в колегията на Европейската прокуратура се гарантира чрез постоянното присъствие в колегията на Европейската прокуратура на един европейски прокурор от всяка участваща държава членка и чрез използването на система за случаен избор, която е неутрална от географска гледна точка. По този начин се спазва указанието, съдържащо се в съображение (42) от Регламент (ЕС) 2017/1939.</w:t>
      </w:r>
    </w:p>
    <w:p>
      <w:pPr>
        <w:pBdr>
          <w:top w:val="nil"/>
          <w:left w:val="nil"/>
          <w:bottom w:val="nil"/>
          <w:right w:val="nil"/>
          <w:between w:val="nil"/>
          <w:bar w:val="nil"/>
        </w:pBdr>
        <w:spacing w:before="0" w:after="240"/>
        <w:rPr>
          <w:rFonts w:eastAsia="Times New Roman"/>
          <w:noProof/>
        </w:rPr>
      </w:pPr>
      <w:r>
        <w:rPr>
          <w:noProof/>
        </w:rPr>
        <w:t>Създаването на система, основана на тегленето на жребий, е освен това в унисон с подобни механизми, възприети в други съпоставими области на политиката на ЕС</w:t>
      </w:r>
      <w:r>
        <w:rPr>
          <w:rStyle w:val="FootnoteReference"/>
          <w:rFonts w:eastAsia="Times New Roman"/>
          <w:noProof/>
        </w:rPr>
        <w:footnoteReference w:id="1"/>
      </w:r>
      <w:r>
        <w:rPr>
          <w:noProof/>
        </w:rPr>
        <w:t xml:space="preserve">. </w:t>
      </w:r>
    </w:p>
    <w:p>
      <w:pPr>
        <w:pBdr>
          <w:top w:val="nil"/>
          <w:left w:val="nil"/>
          <w:bottom w:val="nil"/>
          <w:right w:val="nil"/>
          <w:between w:val="nil"/>
          <w:bar w:val="nil"/>
        </w:pBdr>
        <w:spacing w:before="0" w:after="240"/>
        <w:rPr>
          <w:rFonts w:eastAsia="Times New Roman"/>
          <w:noProof/>
        </w:rPr>
      </w:pPr>
      <w:r>
        <w:rPr>
          <w:noProof/>
        </w:rPr>
        <w:t>Предложението съдържа също така разпоредби относно процедурата, която трябва да се следва при тегленето на жребий, включително посочването на отговорните институции.</w:t>
      </w:r>
    </w:p>
    <w:p>
      <w:pPr>
        <w:pBdr>
          <w:top w:val="nil"/>
          <w:left w:val="nil"/>
          <w:bottom w:val="nil"/>
          <w:right w:val="nil"/>
          <w:between w:val="nil"/>
          <w:bar w:val="nil"/>
        </w:pBdr>
        <w:spacing w:before="0" w:after="240"/>
        <w:rPr>
          <w:rFonts w:eastAsia="Times New Roman"/>
          <w:noProof/>
        </w:rPr>
      </w:pPr>
      <w:r>
        <w:rPr>
          <w:noProof/>
        </w:rPr>
        <w:t xml:space="preserve">Тези мерки се изискват от Регламент (ЕС) 2017/1939 като условие за създаването на колегията на Европейската прокуратура. </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Тази мярка за изпълнение е задължителен етап от процеса на създаването на Европейската прокуратура и поради това е в пълно съответствие с другите съществуващи разпоредби в тази област на политиката. С представянето на настоящото предложение за решение за изпълнение на Съвета Комисията изпълнява задължението си по член 16, параграф 4 от Регламент (ЕС) 2017/1939 на Съвета. Настоящото предложение ще позволи да се въведат съответни преходни разпоредби във връзка с първия мандат на европейските прокурори. </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Настоящата инициатива е съгласувана с други политики и законодателство на ЕС, имащи за цел да се укрепи защитата на финансовите интереси на Съюза.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Предложението се основава на член 291 от ДФЕС във връзка с член 16, параграф 4 от Регламент (ЕС) 2017/1939 на Съвета. </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Съгласно Регламент (ЕС) 2017/1939 на Съвета Съветът трябва да приеме преходни разпоредби за назначаването на европейски прокурори за и по време на първия мандат. Следователно посоченият регламент изисква действие на равнището на Съюза. </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ограничава до необходимото за постигане на предложените цели и поради това отговаря на принципа на пропорционалност. Предложението е пряко свързано с влизането в сила на Регламент (ЕС) 2017/1939 на Съвета и е от основно значение за гарантиране на бързото създаване на Европейската прокуратура. </w:t>
      </w:r>
    </w:p>
    <w:p>
      <w:pPr>
        <w:pBdr>
          <w:top w:val="nil"/>
          <w:left w:val="nil"/>
          <w:bottom w:val="nil"/>
          <w:right w:val="nil"/>
          <w:between w:val="nil"/>
          <w:bar w:val="nil"/>
        </w:pBdr>
        <w:spacing w:before="0" w:after="240"/>
        <w:rPr>
          <w:noProof/>
        </w:rPr>
      </w:pPr>
      <w:r>
        <w:rPr>
          <w:b/>
          <w:noProof/>
        </w:rPr>
        <w:t>3.</w:t>
      </w:r>
      <w:r>
        <w:rPr>
          <w:noProof/>
        </w:rPr>
        <w:tab/>
      </w:r>
      <w:r>
        <w:rPr>
          <w:b/>
          <w:noProof/>
        </w:rPr>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rFonts w:eastAsia="Arial Unicode MS"/>
          <w:noProof/>
        </w:rPr>
      </w:pPr>
      <w:r>
        <w:rPr>
          <w:noProof/>
        </w:rPr>
        <w:t>Предвид целенасочения и ограничен характер на настоящото предложение и факта, че с него се изпълнява задължението, наложено на Комисията съгласно член 16, параграф 4 от Регламент (ЕС) 2017/1939 на Съвета, не бяха извършени последващи оценки, консултации със заинтересованите страни и оценка на въздействието.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няма пряко отражение върху бюджета; средствата от бюджета на ЕС за покриване на текущите разходи на Европейската прокуратура ще осигуряват възнагражденията и надбавките на европейските прокурори.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Предвид естеството на тази мярка не са необходими план за изпълнение или разпоредби относно извършването на мониторинг. </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w:t>
      </w:r>
    </w:p>
    <w:p>
      <w:pPr>
        <w:pBdr>
          <w:top w:val="nil"/>
          <w:left w:val="nil"/>
          <w:bottom w:val="nil"/>
          <w:right w:val="nil"/>
          <w:between w:val="nil"/>
          <w:bar w:val="nil"/>
        </w:pBdr>
        <w:spacing w:before="0" w:after="240"/>
        <w:rPr>
          <w:rFonts w:eastAsia="Arial Unicode MS"/>
          <w:noProof/>
        </w:rPr>
      </w:pPr>
      <w:r>
        <w:rPr>
          <w:noProof/>
        </w:rPr>
        <w:t xml:space="preserve">За настоящото предложение не се изисква да се предоставят обяснителни документи във връзка с транспонирането. </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отделните разпоредби на предложението</w:t>
      </w:r>
    </w:p>
    <w:p>
      <w:pPr>
        <w:rPr>
          <w:noProof/>
        </w:rPr>
      </w:pPr>
      <w:r>
        <w:rPr>
          <w:noProof/>
        </w:rPr>
        <w:t>В член 1 се посочват целите на Решението за изпълнение на Съвета.</w:t>
      </w:r>
    </w:p>
    <w:p>
      <w:pPr>
        <w:rPr>
          <w:noProof/>
        </w:rPr>
      </w:pPr>
      <w:r>
        <w:rPr>
          <w:noProof/>
        </w:rPr>
        <w:t>С член 2 се урежда процедурата за частична подмяна на европейските прокурори въз основа на теглене на жребий. В параграф 1 се излага изискването, предвидено в член 16, параграф 4 от Регламент (ЕС) 2017/1939, съгласно което следва да бъде определена група от европейски прокурори, чийто брой представлява една трета от броя на участващите държави членки към датата на прилагането на тези преходни разпоредби. Параграф 2 разяснява процедурата, която трябва да се следва, ако броят на участващите държави членки към датата на прилагане на преходните разпоредби не се дели на три. В този случай броят на европейските прокурори, които трябва да бъдат включени във всяка група, ще бъде закръглен до по-голямото цяло число. С параграф 3 на Генералния секретариат на Съвета се възлага задачата да предприеме, в сътрудничество с Комисията, необходимите мерки за прилагането на тази процедура.</w:t>
      </w:r>
    </w:p>
    <w:p>
      <w:pPr>
        <w:rPr>
          <w:noProof/>
        </w:rPr>
      </w:pPr>
      <w:r>
        <w:rPr>
          <w:noProof/>
        </w:rPr>
        <w:t xml:space="preserve">Член 3 предвижда, че мандатът на европейските прокурори, определени чрез жребий съгласно предвидената в член 2 процедура, ще бъде три години без право на подновяване.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относно преходните разпоредби за назначаването на европейски прокурори за и по време на първия мандат съгласно предвиденото в член 16, параграф 4 от Регламент (ЕС) 2017/1939 за установяване на засилено сътрудничество за създаване на Европейска прокуратура</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2017/1939 на Съвета от 12 октомври 2017 г. за установяване на засилено сътрудничество за създаване на Европейска прокуратура</w:t>
      </w:r>
      <w:r>
        <w:rPr>
          <w:rStyle w:val="FootnoteReference"/>
          <w:noProof/>
        </w:rPr>
        <w:footnoteReference w:id="2"/>
      </w:r>
      <w:r>
        <w:rPr>
          <w:noProof/>
        </w:rPr>
        <w:t>, и по-специално член 16, параграф 4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16, параграф 3 от Регламент (ЕС) 2017/1939 европейските прокурори следва да се назначават от Съвета с мандат от шест години, който не се подновява и който в края на шестгодишния срок може да бъде удължен най-много с три години.</w:t>
      </w:r>
    </w:p>
    <w:p>
      <w:pPr>
        <w:pStyle w:val="ManualConsidrant"/>
        <w:rPr>
          <w:noProof/>
        </w:rPr>
      </w:pPr>
      <w:r>
        <w:t>(2)</w:t>
      </w:r>
      <w:r>
        <w:tab/>
      </w:r>
      <w:r>
        <w:rPr>
          <w:noProof/>
        </w:rPr>
        <w:t>В член 16, параграф 4 се предвижда, че на всеки три години следва да се осъществява частична подмяна на една трета от европейските прокурори. Съветът, като действа с обикновено мнозинство, следва да приеме преходни разпоредби за назначаването на европейските прокурори по време на първия мандат.</w:t>
      </w:r>
    </w:p>
    <w:p>
      <w:pPr>
        <w:pStyle w:val="ManualConsidrant"/>
        <w:rPr>
          <w:noProof/>
        </w:rPr>
      </w:pPr>
      <w:r>
        <w:t>(3)</w:t>
      </w:r>
      <w:r>
        <w:tab/>
      </w:r>
      <w:r>
        <w:rPr>
          <w:noProof/>
        </w:rPr>
        <w:t>Тези преходни разпоредби следва да гарантират правилното прилагане на принципа на периодична подмяна спрямо европейските прокурори, назначени за първи път в Европейската прокуратура, с цел да се осигури приемственост на работата на колегията на Европейската прокуратура. Едновременно с това тези разпоредби следва да отчитат специалните потребности на Европейската прокуратура през първите години след нейното създаване и започването на дейността ѝ.</w:t>
      </w:r>
    </w:p>
    <w:p>
      <w:pPr>
        <w:pStyle w:val="ManualConsidrant"/>
        <w:rPr>
          <w:noProof/>
        </w:rPr>
      </w:pPr>
      <w:r>
        <w:t>(4)</w:t>
      </w:r>
      <w:r>
        <w:tab/>
      </w:r>
      <w:r>
        <w:rPr>
          <w:noProof/>
        </w:rPr>
        <w:t xml:space="preserve">За тези цели следва да бъдат предвидени специални разпоредби относно продължителността на мандата на европейските прокурори, назначени за първи път след влизането в сила на Регламент (ЕС) 2017/1939. </w:t>
      </w:r>
    </w:p>
    <w:p>
      <w:pPr>
        <w:pStyle w:val="ManualConsidrant"/>
        <w:rPr>
          <w:noProof/>
        </w:rPr>
      </w:pPr>
      <w:r>
        <w:t>(5)</w:t>
      </w:r>
      <w:r>
        <w:tab/>
      </w:r>
      <w:r>
        <w:rPr>
          <w:noProof/>
        </w:rPr>
        <w:t>С цел да се гарантира пълна прозрачност и безпристрастност при определянето на онези европейски прокурори през първия мандат, чийто мандат ще бъде три, а не шест години, следва да се възприеме система, основана на тегленето на жребий. Тази система ще гарантира също така, че изборът на европейските прокурори, чийто мандат ще бъде по-кратък, ще бъде неутрален от географска гледна точка,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 настоящото решение се уреждат преходните разпоредби за назначаването на европейските прокурори за и по време на първия мандат след влизането в сила на Регламент (ЕС) 2017/1939.</w:t>
      </w:r>
    </w:p>
    <w:p>
      <w:pPr>
        <w:pStyle w:val="Titrearticle"/>
        <w:rPr>
          <w:noProof/>
        </w:rPr>
      </w:pPr>
      <w:r>
        <w:rPr>
          <w:noProof/>
        </w:rPr>
        <w:t>Член 2</w:t>
      </w:r>
    </w:p>
    <w:p>
      <w:pPr>
        <w:pStyle w:val="ManualNumPar1"/>
        <w:rPr>
          <w:noProof/>
        </w:rPr>
      </w:pPr>
      <w:r>
        <w:t>1.</w:t>
      </w:r>
      <w:r>
        <w:tab/>
      </w:r>
      <w:r>
        <w:rPr>
          <w:noProof/>
        </w:rPr>
        <w:t xml:space="preserve">Веднага след назначаването на европейските прокурори се определя група от европейски прокурори, чийто брой представлява една трета от броя на участващите държави членки към датата на прилагането на настоящите преходни разпоредби, като определянето става чрез теглене на жребий. </w:t>
      </w:r>
    </w:p>
    <w:p>
      <w:pPr>
        <w:pStyle w:val="ManualNumPar1"/>
        <w:rPr>
          <w:noProof/>
          <w:szCs w:val="24"/>
        </w:rPr>
      </w:pPr>
      <w:r>
        <w:t>2.</w:t>
      </w:r>
      <w:r>
        <w:tab/>
      </w:r>
      <w:r>
        <w:rPr>
          <w:noProof/>
        </w:rPr>
        <w:t>Ако броят на участващите държави членки към датата на прилагане на настоящите преходни разпоредби не се дели на три, броят на европейските прокурори, които трябва да бъдат включени в групата, се закръглява до най-близкото по-голямо цяло число.</w:t>
      </w:r>
    </w:p>
    <w:p>
      <w:pPr>
        <w:pStyle w:val="ManualNumPar1"/>
        <w:rPr>
          <w:noProof/>
          <w:szCs w:val="24"/>
        </w:rPr>
      </w:pPr>
      <w:r>
        <w:t>3.</w:t>
      </w:r>
      <w:r>
        <w:tab/>
      </w:r>
      <w:r>
        <w:rPr>
          <w:noProof/>
        </w:rPr>
        <w:t>Генералният секретариат на Съвета предприема, в тясно сътрудничество с Комисията, необходимите мерки за прилагането на процедурата по теглене на жребий.</w:t>
      </w:r>
    </w:p>
    <w:p>
      <w:pPr>
        <w:pStyle w:val="Titrearticle"/>
        <w:rPr>
          <w:noProof/>
        </w:rPr>
      </w:pPr>
      <w:r>
        <w:rPr>
          <w:noProof/>
        </w:rPr>
        <w:t>Член 3</w:t>
      </w:r>
    </w:p>
    <w:p>
      <w:pPr>
        <w:rPr>
          <w:noProof/>
        </w:rPr>
      </w:pPr>
      <w:r>
        <w:rPr>
          <w:noProof/>
        </w:rPr>
        <w:t>Мандатът на европейските прокурори, включени в групата, определена съгласно член 2, е три години. Мандатът на тези европейски прокурори не се подновява.</w:t>
      </w:r>
    </w:p>
    <w:p>
      <w:pPr>
        <w:pStyle w:val="Titrearticle"/>
        <w:rPr>
          <w:noProof/>
        </w:rPr>
      </w:pPr>
      <w:r>
        <w:rPr>
          <w:noProof/>
        </w:rPr>
        <w:t>Член 4</w:t>
      </w:r>
    </w:p>
    <w:p>
      <w:pPr>
        <w:keepNext/>
        <w:keepLines/>
        <w:rPr>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Вж. напр. член 46, параграф 2 от Акта относно условията за присъединяване на Чешката република, Република Естония, Република Кипър, Република Латвия, Република Литва, Република Унгария, Република Малта, Република Полша, Република Словения и Словашката република и промените в Учредителните договори на Европейския съюз (ОВ L 236, 23.9. 2003 г., стр. 47); член 21, параграф 2 от 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 2013 г., стр. 16).</w:t>
      </w:r>
    </w:p>
  </w:footnote>
  <w:footnote w:id="2">
    <w:p>
      <w:pPr>
        <w:pStyle w:val="FootnoteText"/>
      </w:pPr>
      <w:r>
        <w:rPr>
          <w:rStyle w:val="FootnoteReference"/>
        </w:rPr>
        <w:footnoteRef/>
      </w:r>
      <w:r>
        <w:tab/>
        <w:t>ОВ L 283, 31.10.2017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0472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74DA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081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36682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420F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B29A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D005E68"/>
    <w:lvl w:ilvl="0">
      <w:start w:val="1"/>
      <w:numFmt w:val="decimal"/>
      <w:pStyle w:val="ListNumber"/>
      <w:lvlText w:val="%1."/>
      <w:lvlJc w:val="left"/>
      <w:pPr>
        <w:tabs>
          <w:tab w:val="num" w:pos="360"/>
        </w:tabs>
        <w:ind w:left="360" w:hanging="360"/>
      </w:pPr>
    </w:lvl>
  </w:abstractNum>
  <w:abstractNum w:abstractNumId="7">
    <w:nsid w:val="FFFFFF89"/>
    <w:multiLevelType w:val="singleLevel"/>
    <w:tmpl w:val="B7BE7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VORSKY Jan (SJ)">
    <w15:presenceInfo w15:providerId="None" w15:userId="JAVORSKY Jan (SJ)"/>
  </w15:person>
  <w15:person w15:author="BAQUERO CRUZ Julio (SJ)">
    <w15:presenceInfo w15:providerId="None" w15:userId="BAQUERO CRUZ Julio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07 09:36:1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841DB7B-AE4B-4A38-94BC-89051C642A1E"/>
    <w:docVar w:name="LW_COVERPAGE_TYPE" w:val="1"/>
    <w:docVar w:name="LW_CROSSREFERENCE" w:val="&lt;UNUSED&gt;"/>
    <w:docVar w:name="LW_DocType" w:val="COM"/>
    <w:docVar w:name="LW_EMISSION" w:val="11.1.2019"/>
    <w:docVar w:name="LW_EMISSION_ISODATE" w:val="2019-01-11"/>
    <w:docVar w:name="LW_EMISSION_LOCATION" w:val="BRX"/>
    <w:docVar w:name="LW_EMISSION_PREFIX" w:val="Брюксел, "/>
    <w:docVar w:name="LW_EMISSION_SUFFIX" w:val=" \u1075?."/>
    <w:docVar w:name="LW_ID_DOCMODEL" w:val="SJ-021"/>
    <w:docVar w:name="LW_ID_DOCSIGNATURE" w:val="SJ-021"/>
    <w:docVar w:name="LW_ID_DOCSTRUCTURE" w:val="COM/PL/ORG"/>
    <w:docVar w:name="LW_ID_DOCTYPE" w:val="SJ-021"/>
    <w:docVar w:name="LW_ID_EXP.MOTIFS.NEW" w:val="EM_PL_"/>
    <w:docVar w:name="LW_ID_STATUT" w:val="SJ-02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9) 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8?\u1077?\u1093?\u1086?\u1076?\u1085?\u1080?\u1090?\u1077? \u1088?\u1072?\u1079?\u1087?\u1086?\u1088?\u1077?\u1076?\u1073?\u1080? \u1079?\u1072? \u1085?\u1072?\u1079?\u1085?\u1072?\u1095?\u1072?\u1074?\u1072?\u1085?\u1077?\u1090?\u1086? \u1085?\u1072? \u1077?\u1074?\u1088?\u1086?\u1087?\u1077?\u1081?\u1089?\u1082?\u1080? \u1087?\u1088?\u1086?\u1082?\u1091?\u1088?\u1086?\u1088?\u1080? \u1079?\u1072? \u1080? \u1087?\u1086? \u1074?\u1088?\u1077?\u1084?\u1077? \u1085?\u1072? \u1087?\u1098?\u1088?\u1074?\u1080?\u1103? \u1084?\u1072?\u1085?\u1076?\u1072?\u1090? \u1089?\u1098?\u1075?\u1083?\u1072?\u1089?\u1085?\u1086? \u1087?\u1088?\u1077?\u1076?\u1074?\u1080?\u1076?\u1077?\u1085?\u1086?\u1090?\u1086? \u1074? \u1095?\u1083?\u1077?\u1085? 16, \u1087?\u1072?\u1088?\u1072?\u1075?\u1088?\u1072?\u1092? 4 \u1086?\u1090? \u1056?\u1077?\u1075?\u1083?\u1072?\u1084?\u1077?\u1085?\u1090? (\u1045?\u1057?) 2017/1939 \u1079?\u1072? \u1091?\u1089?\u1090?\u1072?\u1085?\u1086?\u1074?\u1103?\u1074?\u1072?\u1085?\u1077? \u1085?\u1072? \u1079?\u1072?\u1089?\u1080?\u1083?\u1077?\u1085?\u1086? \u1089?\u1098?\u1090?\u1088?\u1091?\u1076?\u1085?\u1080?\u1095?\u1077?\u1089?\u1090?\u1074?\u1086? \u1079?\u1072? \u1089?\u1098?\u1079?\u1076?\u1072?\u1074?\u1072?\u1085?\u1077? \u1085?\u1072? \u1045?\u1074?\u1088?\u1086?\u1087?\u1077?\u1081?\u1089?\u1082?\u1072? \u1087?\u1088?\u1086?\u1082?\u1091?\u1088?\u1072?\u1090?\u1091?\u1088?\u1072?"/>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0F45-2EED-4EA8-806B-4CBCEA4E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1436</Words>
  <Characters>8389</Characters>
  <Application>Microsoft Office Word</Application>
  <DocSecurity>0</DocSecurity>
  <Lines>164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2019-01-04T13:21:00Z</dcterms:created>
  <dcterms:modified xsi:type="dcterms:W3CDTF">2019-01-07T08:36:00Z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SJ-021</vt:lpwstr>
  </property>
  <property fmtid="{D5CDD505-2E9C-101B-9397-08002B2CF9AE}" pid="10" name="DQCStatus">
    <vt:lpwstr>Green (DQC version 03)</vt:lpwstr>
  </property>
</Properties>
</file>