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26BE4B-214E-42D9-AEFA-7FE2EA32F693" style="width:450.65pt;height:366.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ЕС данъчното облагане на енергийните продукти и електроенергията се урежда с Директива 2003/96/ЕО на Съвета (наричана по-долу „Директивата“). С Директивата се определят облагаемите продукти, приложенията, които ги правят облагаеми, и минималните ставки, по които трябва да бъдат обложени, според това дали са използвани като моторно гориво, за определени промишлени или търговски цели или за отопление.</w:t>
      </w:r>
    </w:p>
    <w:p>
      <w:pPr>
        <w:rPr>
          <w:noProof/>
        </w:rPr>
      </w:pPr>
      <w:r>
        <w:rPr>
          <w:noProof/>
        </w:rPr>
        <w:t>Съгласно член 19, параграф 1 от Директивата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намаление на ставките на акцизите поради специфични политически съображения.</w:t>
      </w:r>
    </w:p>
    <w:p>
      <w:pPr>
        <w:rPr>
          <w:noProof/>
        </w:rPr>
      </w:pPr>
      <w:r>
        <w:rPr>
          <w:noProof/>
        </w:rPr>
        <w:t>Настоящото предложение има за цел на Франция да се разреши да продължи да прилага намалението на данъчните ставки за безоловния бензин, използван като моторно гориво в департаментите на Корсика, за да се компенсират частично допълнителните разходи, дължащи се на географската отдалеченост и трудностите при снабдяването.</w:t>
      </w:r>
    </w:p>
    <w:p>
      <w:pPr>
        <w:pStyle w:val="ManualHeading2"/>
        <w:rPr>
          <w:rFonts w:eastAsia="Arial Unicode MS"/>
          <w:noProof/>
          <w:u w:color="000000"/>
          <w:bdr w:val="nil"/>
        </w:rPr>
      </w:pPr>
      <w:r>
        <w:rPr>
          <w:noProof/>
        </w:rPr>
        <w:t>•</w:t>
      </w:r>
      <w:r>
        <w:rPr>
          <w:noProof/>
        </w:rPr>
        <w:tab/>
        <w:t>Предмет на искането и общ контекст</w:t>
      </w:r>
    </w:p>
    <w:p>
      <w:pPr>
        <w:rPr>
          <w:noProof/>
        </w:rPr>
      </w:pPr>
      <w:r>
        <w:rPr>
          <w:noProof/>
        </w:rPr>
        <w:t>С Решение 2007/880/ЕО на Съвета от 20 декември 2007 г. на Франция бе разрешено да прилага намалена ставка на акциза върху безоловния бензин, използван като моторно гориво в департаментите на Корсика, при условие че намалението не надвишава допълнителните разходи за транспорт, складиране и разпространение в сравнение с континентална Франция. С Решение за изпълнение на 2013/192/ЕС на Съвета от 22 април 2013 година на Франция бе разрешено да прилага намалена данъчна ставка за безоловния бензин, използван като моторно гориво в департаментите на Корсика, съгласно член 19 от Директива 2003/96/ЕО. Целта на тези решения е на Франция да се разреши да компенсира частично допълнителните разходи, дължащи се на географската отдалеченост и трудностите при снабдяването. В изпълнение на това решение Франция прилага намаление от 1 EUR на хектолитър безоловен бензин.</w:t>
      </w:r>
    </w:p>
    <w:p>
      <w:pPr>
        <w:rPr>
          <w:noProof/>
        </w:rPr>
      </w:pPr>
      <w:r>
        <w:rPr>
          <w:noProof/>
        </w:rPr>
        <w:t xml:space="preserve">С писмо от 26 септември 2018 г. френските власти поискаха разрешение да продължат да прилагат намаление от 1 EUR на хектолитър за срок от шест години – от 1 януари 2019 г. до 31 декември 2024 г. С писма от 25 октомври 2018 г. и 7 ноември 2018 г. Франция представи допълнителна информация за обосновка на искането за дерогация. </w:t>
      </w:r>
    </w:p>
    <w:p>
      <w:pPr>
        <w:rPr>
          <w:noProof/>
        </w:rPr>
      </w:pPr>
      <w:r>
        <w:rPr>
          <w:noProof/>
        </w:rPr>
        <w:t xml:space="preserve">Както и в предишните искания, френските власти заявиха, че намалението на ставката на акциза е необходимо, за да се компенсира отчасти по-високата цена на безоловния бензин. Цената на дребно на безоловния бензин (SSP95) в Корсика през септември 2018 г. бе 1,67 EUR за литър, в сравнение със средната цена на френска територия от 1,63 EUR за литър (в периметъра на главните френски доставчици, без търговията на дребно) – поради факта, че Корсика е остров. </w:t>
      </w:r>
    </w:p>
    <w:p>
      <w:pPr>
        <w:rPr>
          <w:noProof/>
        </w:rPr>
      </w:pPr>
      <w:r>
        <w:rPr>
          <w:noProof/>
        </w:rPr>
        <w:t>Според френските власти допълнителните разходи се обясняват с няколко причини:</w:t>
      </w:r>
    </w:p>
    <w:p>
      <w:pPr>
        <w:ind w:left="720" w:hanging="720"/>
        <w:rPr>
          <w:noProof/>
        </w:rPr>
      </w:pPr>
      <w:r>
        <w:rPr>
          <w:noProof/>
        </w:rPr>
        <w:t>(1)</w:t>
      </w:r>
      <w:r>
        <w:rPr>
          <w:noProof/>
        </w:rPr>
        <w:tab/>
        <w:t>Тъй като на остров Корсика няма рафинерия, разходите за транспорт и разпространение на горива там са по-високи заради допълнителните разходи, свързани с морския и пътния товарен транспорт (по-дълги разстояния и времетраене на превозите). Разстоянието от най-близката рафинерия във Fos-sur-Mer до двата склада за съхранение, разположени на остров Корсика в Luciano и Ajaccio, е съответно 358 km (от които 182 km по море) и 315 km (от които 170 km по море). Транспортът до тези складове се извършва изключително с кораби, докато всички складове, разположени в континенталната част на Франция, са пряко свързани с рафинерии чрез мрежа от тръбопроводи, което води до значително по-ниски транспортни разходи. Например, разходите за транспорт до Корсика са от четири до пет пъти по-високи от разходите за транспорт по тръбопровод между Хавър и района на Париж.</w:t>
      </w:r>
    </w:p>
    <w:p>
      <w:pPr>
        <w:ind w:left="720" w:hanging="720"/>
        <w:rPr>
          <w:noProof/>
        </w:rPr>
      </w:pPr>
      <w:r>
        <w:rPr>
          <w:noProof/>
        </w:rPr>
        <w:t>(2)</w:t>
      </w:r>
      <w:r>
        <w:rPr>
          <w:noProof/>
        </w:rPr>
        <w:tab/>
        <w:t>Значително по-малкият капацитет на двата склада в Корсика (съответно 16 000 m</w:t>
      </w:r>
      <w:r>
        <w:rPr>
          <w:noProof/>
          <w:vertAlign w:val="superscript"/>
        </w:rPr>
        <w:t>3</w:t>
      </w:r>
      <w:r>
        <w:rPr>
          <w:noProof/>
        </w:rPr>
        <w:t xml:space="preserve"> и 19 000 m</w:t>
      </w:r>
      <w:r>
        <w:rPr>
          <w:noProof/>
          <w:vertAlign w:val="superscript"/>
        </w:rPr>
        <w:t>3</w:t>
      </w:r>
      <w:r>
        <w:rPr>
          <w:noProof/>
        </w:rPr>
        <w:t>) налага извършването на по-чести доставки до тях. Инвестициите в поддръжката, спазването на изискванията по отношение на съоръженията и разходите за персонал не са свързани с работния обем на хранилищата. Общият обем на горивата, постъпващи в тези хранилища, не надвишава 400 000 m</w:t>
      </w:r>
      <w:r>
        <w:rPr>
          <w:noProof/>
          <w:vertAlign w:val="superscript"/>
        </w:rPr>
        <w:t>3</w:t>
      </w:r>
      <w:r>
        <w:rPr>
          <w:noProof/>
        </w:rPr>
        <w:t xml:space="preserve"> годишно, което представлява половината от средния обем за хранилище от континенталната част. Следователно разходите за складиране на един кубичен метър са по-високи в Корсика.</w:t>
      </w:r>
    </w:p>
    <w:p>
      <w:pPr>
        <w:ind w:left="720" w:hanging="720"/>
        <w:rPr>
          <w:noProof/>
        </w:rPr>
      </w:pPr>
      <w:r>
        <w:rPr>
          <w:noProof/>
        </w:rPr>
        <w:t>(3)</w:t>
      </w:r>
      <w:r>
        <w:rPr>
          <w:noProof/>
        </w:rPr>
        <w:tab/>
        <w:t>Постоянните разходи на разпространителите трябва да бъдат покрити от продажби с по-малък обем поради по-ниския брой на населението. Гъстотата на населението в Корсика е 37,7/km</w:t>
      </w:r>
      <w:r>
        <w:rPr>
          <w:noProof/>
          <w:vertAlign w:val="superscript"/>
        </w:rPr>
        <w:t>2</w:t>
      </w:r>
      <w:r>
        <w:rPr>
          <w:noProof/>
        </w:rPr>
        <w:t xml:space="preserve"> в сравнение със 118/km</w:t>
      </w:r>
      <w:r>
        <w:rPr>
          <w:noProof/>
          <w:vertAlign w:val="superscript"/>
        </w:rPr>
        <w:t>2</w:t>
      </w:r>
      <w:r>
        <w:rPr>
          <w:noProof/>
        </w:rPr>
        <w:t xml:space="preserve"> (Национален институт по статистика и икономически науки, 2018 г.) в континентална Франция; релефът е със силно планински характер (90 % планини); всяка отделна бензиностанция продава малки обеми горива. Следователно районите на разпространение са изолирани и отдалечени един от друг. На една бензиностанция се падат 2 485 жители в сравнение със средно 5 768 на територията на Франция, а обемът на продажбите на една бензиностанция възлиза на 2 278 m</w:t>
      </w:r>
      <w:r>
        <w:rPr>
          <w:noProof/>
          <w:vertAlign w:val="superscript"/>
        </w:rPr>
        <w:t>3</w:t>
      </w:r>
      <w:r>
        <w:rPr>
          <w:noProof/>
        </w:rPr>
        <w:t xml:space="preserve"> за Корсика спрямо 4 149 m</w:t>
      </w:r>
      <w:r>
        <w:rPr>
          <w:noProof/>
          <w:vertAlign w:val="superscript"/>
        </w:rPr>
        <w:t>3</w:t>
      </w:r>
      <w:r>
        <w:rPr>
          <w:noProof/>
        </w:rPr>
        <w:t xml:space="preserve"> за континентална Франция.</w:t>
      </w:r>
    </w:p>
    <w:p>
      <w:pPr>
        <w:rPr>
          <w:noProof/>
        </w:rPr>
      </w:pPr>
      <w:r>
        <w:rPr>
          <w:noProof/>
        </w:rPr>
        <w:t>Както е показано в таблицата по-долу, международните цени на бензина за Корсика и за континентална Франция са еднакви и възлизат на 46,62 EUR на 100 литра. Между континентална Франция и Корсика съществува много голяма разлика в брутните транспортни разходи, възлизащи на съответно на 13,87 EUR за 100 литра и 35,05 EUR за 100 литра. Независимо от по-ниските данъчни ставки (данък върху енергоносителите и ДДС) крайната цена на безоловния бензин в Корсика е по-висока отколкото в континентална Франция.</w:t>
      </w:r>
    </w:p>
    <w:p>
      <w:pPr>
        <w:rPr>
          <w:bCs/>
          <w:noProof/>
        </w:rPr>
      </w:pPr>
      <w:r>
        <w:rPr>
          <w:noProof/>
        </w:rPr>
        <w:t>В таблицата по-долу е представена ценовата структура на бензина и дизеловото гориво към октомври 2018 г.</w:t>
      </w:r>
    </w:p>
    <w:p>
      <w:pPr>
        <w:spacing w:after="240"/>
        <w:rPr>
          <w:i/>
          <w:iCs/>
          <w:noProof/>
        </w:rPr>
      </w:pPr>
      <w:r>
        <w:rPr>
          <w:b/>
          <w:i/>
          <w:noProof/>
          <w:u w:val="single"/>
        </w:rPr>
        <w:t>Цена на горивото (в EUR за 1 хектолитър</w:t>
      </w:r>
      <w:r>
        <w:rPr>
          <w:i/>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788"/>
        <w:gridCol w:w="1426"/>
        <w:gridCol w:w="1409"/>
      </w:tblGrid>
      <w:tr>
        <w:trPr>
          <w:cantSplit/>
          <w:tblHeader/>
          <w:jc w:val="center"/>
        </w:trPr>
        <w:tc>
          <w:tcPr>
            <w:tcW w:w="3424" w:type="dxa"/>
            <w:shd w:val="clear" w:color="auto" w:fill="auto"/>
          </w:tcPr>
          <w:p>
            <w:pPr>
              <w:rPr>
                <w:noProof/>
              </w:rPr>
            </w:pPr>
            <w:r>
              <w:rPr>
                <w:noProof/>
              </w:rPr>
              <w:t xml:space="preserve">Средна цена в EUR за 100 литра бензин </w:t>
            </w:r>
          </w:p>
        </w:tc>
        <w:tc>
          <w:tcPr>
            <w:tcW w:w="1379" w:type="dxa"/>
            <w:shd w:val="clear" w:color="auto" w:fill="auto"/>
          </w:tcPr>
          <w:p>
            <w:pPr>
              <w:rPr>
                <w:noProof/>
              </w:rPr>
            </w:pPr>
            <w:r>
              <w:rPr>
                <w:noProof/>
              </w:rPr>
              <w:t>Континентална Франция</w:t>
            </w:r>
          </w:p>
          <w:p>
            <w:pPr>
              <w:rPr>
                <w:noProof/>
              </w:rPr>
            </w:pPr>
          </w:p>
        </w:tc>
        <w:tc>
          <w:tcPr>
            <w:tcW w:w="1426" w:type="dxa"/>
            <w:shd w:val="clear" w:color="auto" w:fill="auto"/>
          </w:tcPr>
          <w:p>
            <w:pPr>
              <w:rPr>
                <w:noProof/>
              </w:rPr>
            </w:pPr>
            <w:r>
              <w:rPr>
                <w:noProof/>
              </w:rPr>
              <w:t>Корсика</w:t>
            </w:r>
          </w:p>
          <w:p>
            <w:pPr>
              <w:rPr>
                <w:noProof/>
              </w:rPr>
            </w:pPr>
          </w:p>
        </w:tc>
        <w:tc>
          <w:tcPr>
            <w:tcW w:w="1409" w:type="dxa"/>
            <w:shd w:val="clear" w:color="auto" w:fill="auto"/>
          </w:tcPr>
          <w:p>
            <w:pPr>
              <w:rPr>
                <w:noProof/>
              </w:rPr>
            </w:pPr>
            <w:r>
              <w:rPr>
                <w:noProof/>
              </w:rPr>
              <w:t>Южна Корсика</w:t>
            </w:r>
          </w:p>
          <w:p>
            <w:pPr>
              <w:rPr>
                <w:noProof/>
              </w:rPr>
            </w:pPr>
          </w:p>
        </w:tc>
      </w:tr>
      <w:tr>
        <w:trPr>
          <w:cantSplit/>
          <w:tblHeader/>
          <w:jc w:val="center"/>
        </w:trPr>
        <w:tc>
          <w:tcPr>
            <w:tcW w:w="3424" w:type="dxa"/>
            <w:shd w:val="clear" w:color="auto" w:fill="auto"/>
          </w:tcPr>
          <w:p>
            <w:pPr>
              <w:rPr>
                <w:noProof/>
              </w:rPr>
            </w:pPr>
            <w:r>
              <w:rPr>
                <w:noProof/>
              </w:rPr>
              <w:t>Цена с включени данъци</w:t>
            </w:r>
          </w:p>
        </w:tc>
        <w:tc>
          <w:tcPr>
            <w:tcW w:w="1379" w:type="dxa"/>
            <w:shd w:val="clear" w:color="auto" w:fill="auto"/>
          </w:tcPr>
          <w:p>
            <w:pPr>
              <w:rPr>
                <w:noProof/>
              </w:rPr>
            </w:pPr>
            <w:r>
              <w:rPr>
                <w:noProof/>
              </w:rPr>
              <w:t>155,55</w:t>
            </w:r>
          </w:p>
        </w:tc>
        <w:tc>
          <w:tcPr>
            <w:tcW w:w="1426" w:type="dxa"/>
            <w:shd w:val="clear" w:color="auto" w:fill="auto"/>
          </w:tcPr>
          <w:p>
            <w:pPr>
              <w:rPr>
                <w:noProof/>
              </w:rPr>
            </w:pPr>
            <w:r>
              <w:rPr>
                <w:noProof/>
              </w:rPr>
              <w:t>168,33</w:t>
            </w:r>
          </w:p>
        </w:tc>
        <w:tc>
          <w:tcPr>
            <w:tcW w:w="1409" w:type="dxa"/>
            <w:shd w:val="clear" w:color="auto" w:fill="auto"/>
          </w:tcPr>
          <w:p>
            <w:pPr>
              <w:rPr>
                <w:noProof/>
              </w:rPr>
            </w:pPr>
            <w:r>
              <w:rPr>
                <w:noProof/>
              </w:rPr>
              <w:t>167,78</w:t>
            </w:r>
          </w:p>
        </w:tc>
      </w:tr>
      <w:tr>
        <w:trPr>
          <w:cantSplit/>
          <w:tblHeader/>
          <w:jc w:val="center"/>
        </w:trPr>
        <w:tc>
          <w:tcPr>
            <w:tcW w:w="3424" w:type="dxa"/>
            <w:shd w:val="clear" w:color="auto" w:fill="auto"/>
          </w:tcPr>
          <w:p>
            <w:pPr>
              <w:rPr>
                <w:noProof/>
              </w:rPr>
            </w:pPr>
            <w:r>
              <w:rPr>
                <w:noProof/>
              </w:rPr>
              <w:t>ДДС</w:t>
            </w:r>
          </w:p>
        </w:tc>
        <w:tc>
          <w:tcPr>
            <w:tcW w:w="1379" w:type="dxa"/>
            <w:shd w:val="clear" w:color="auto" w:fill="auto"/>
          </w:tcPr>
          <w:p>
            <w:pPr>
              <w:rPr>
                <w:noProof/>
              </w:rPr>
            </w:pPr>
            <w:r>
              <w:rPr>
                <w:noProof/>
              </w:rPr>
              <w:t>25,93</w:t>
            </w:r>
          </w:p>
        </w:tc>
        <w:tc>
          <w:tcPr>
            <w:tcW w:w="1426" w:type="dxa"/>
            <w:shd w:val="clear" w:color="auto" w:fill="auto"/>
          </w:tcPr>
          <w:p>
            <w:pPr>
              <w:rPr>
                <w:noProof/>
              </w:rPr>
            </w:pPr>
            <w:r>
              <w:rPr>
                <w:noProof/>
              </w:rPr>
              <w:t>19,37</w:t>
            </w:r>
          </w:p>
        </w:tc>
        <w:tc>
          <w:tcPr>
            <w:tcW w:w="1409" w:type="dxa"/>
            <w:shd w:val="clear" w:color="auto" w:fill="auto"/>
          </w:tcPr>
          <w:p>
            <w:pPr>
              <w:rPr>
                <w:noProof/>
              </w:rPr>
            </w:pPr>
            <w:r>
              <w:rPr>
                <w:noProof/>
              </w:rPr>
              <w:t>19,30</w:t>
            </w:r>
          </w:p>
        </w:tc>
      </w:tr>
      <w:tr>
        <w:trPr>
          <w:cantSplit/>
          <w:tblHeader/>
          <w:jc w:val="center"/>
        </w:trPr>
        <w:tc>
          <w:tcPr>
            <w:tcW w:w="3424" w:type="dxa"/>
            <w:shd w:val="clear" w:color="auto" w:fill="auto"/>
          </w:tcPr>
          <w:p>
            <w:pPr>
              <w:rPr>
                <w:noProof/>
              </w:rPr>
            </w:pPr>
            <w:r>
              <w:rPr>
                <w:noProof/>
              </w:rPr>
              <w:t xml:space="preserve">Данък върху енергоносителите </w:t>
            </w:r>
          </w:p>
        </w:tc>
        <w:tc>
          <w:tcPr>
            <w:tcW w:w="1379" w:type="dxa"/>
            <w:shd w:val="clear" w:color="auto" w:fill="auto"/>
          </w:tcPr>
          <w:p>
            <w:pPr>
              <w:rPr>
                <w:noProof/>
              </w:rPr>
            </w:pPr>
            <w:r>
              <w:rPr>
                <w:noProof/>
              </w:rPr>
              <w:t>69,14</w:t>
            </w:r>
          </w:p>
        </w:tc>
        <w:tc>
          <w:tcPr>
            <w:tcW w:w="1426" w:type="dxa"/>
            <w:shd w:val="clear" w:color="auto" w:fill="auto"/>
          </w:tcPr>
          <w:p>
            <w:pPr>
              <w:rPr>
                <w:noProof/>
              </w:rPr>
            </w:pPr>
            <w:r>
              <w:rPr>
                <w:noProof/>
              </w:rPr>
              <w:t>67,29</w:t>
            </w:r>
          </w:p>
        </w:tc>
        <w:tc>
          <w:tcPr>
            <w:tcW w:w="1409" w:type="dxa"/>
            <w:shd w:val="clear" w:color="auto" w:fill="auto"/>
          </w:tcPr>
          <w:p>
            <w:pPr>
              <w:rPr>
                <w:noProof/>
              </w:rPr>
            </w:pPr>
            <w:r>
              <w:rPr>
                <w:noProof/>
              </w:rPr>
              <w:t>67,29</w:t>
            </w:r>
          </w:p>
        </w:tc>
      </w:tr>
      <w:tr>
        <w:trPr>
          <w:cantSplit/>
          <w:tblHeader/>
          <w:jc w:val="center"/>
        </w:trPr>
        <w:tc>
          <w:tcPr>
            <w:tcW w:w="3424" w:type="dxa"/>
            <w:shd w:val="clear" w:color="auto" w:fill="auto"/>
          </w:tcPr>
          <w:p>
            <w:pPr>
              <w:rPr>
                <w:noProof/>
              </w:rPr>
            </w:pPr>
            <w:r>
              <w:rPr>
                <w:noProof/>
              </w:rPr>
              <w:t>Брутна надценка за разпространение и транспорт</w:t>
            </w:r>
          </w:p>
        </w:tc>
        <w:tc>
          <w:tcPr>
            <w:tcW w:w="1379" w:type="dxa"/>
            <w:shd w:val="clear" w:color="auto" w:fill="auto"/>
          </w:tcPr>
          <w:p>
            <w:pPr>
              <w:rPr>
                <w:noProof/>
              </w:rPr>
            </w:pPr>
            <w:r>
              <w:rPr>
                <w:noProof/>
              </w:rPr>
              <w:t>13,87</w:t>
            </w:r>
          </w:p>
        </w:tc>
        <w:tc>
          <w:tcPr>
            <w:tcW w:w="1426" w:type="dxa"/>
            <w:shd w:val="clear" w:color="auto" w:fill="auto"/>
          </w:tcPr>
          <w:p>
            <w:pPr>
              <w:rPr>
                <w:noProof/>
              </w:rPr>
            </w:pPr>
            <w:r>
              <w:rPr>
                <w:noProof/>
              </w:rPr>
              <w:t>35,05</w:t>
            </w:r>
          </w:p>
        </w:tc>
        <w:tc>
          <w:tcPr>
            <w:tcW w:w="1409" w:type="dxa"/>
            <w:shd w:val="clear" w:color="auto" w:fill="auto"/>
          </w:tcPr>
          <w:p>
            <w:pPr>
              <w:rPr>
                <w:noProof/>
              </w:rPr>
            </w:pPr>
            <w:r>
              <w:rPr>
                <w:noProof/>
              </w:rPr>
              <w:t>34,57</w:t>
            </w:r>
          </w:p>
        </w:tc>
      </w:tr>
      <w:tr>
        <w:trPr>
          <w:cantSplit/>
          <w:tblHeader/>
          <w:jc w:val="center"/>
        </w:trPr>
        <w:tc>
          <w:tcPr>
            <w:tcW w:w="3424" w:type="dxa"/>
            <w:shd w:val="clear" w:color="auto" w:fill="auto"/>
          </w:tcPr>
          <w:p>
            <w:pPr>
              <w:rPr>
                <w:noProof/>
              </w:rPr>
            </w:pPr>
            <w:r>
              <w:rPr>
                <w:noProof/>
              </w:rPr>
              <w:t>Международни цени</w:t>
            </w:r>
          </w:p>
        </w:tc>
        <w:tc>
          <w:tcPr>
            <w:tcW w:w="1379" w:type="dxa"/>
            <w:shd w:val="clear" w:color="auto" w:fill="auto"/>
          </w:tcPr>
          <w:p>
            <w:pPr>
              <w:rPr>
                <w:noProof/>
              </w:rPr>
            </w:pPr>
            <w:r>
              <w:rPr>
                <w:noProof/>
              </w:rPr>
              <w:t>46,62</w:t>
            </w:r>
          </w:p>
        </w:tc>
        <w:tc>
          <w:tcPr>
            <w:tcW w:w="1426" w:type="dxa"/>
            <w:shd w:val="clear" w:color="auto" w:fill="auto"/>
          </w:tcPr>
          <w:p>
            <w:pPr>
              <w:rPr>
                <w:noProof/>
              </w:rPr>
            </w:pPr>
            <w:r>
              <w:rPr>
                <w:noProof/>
              </w:rPr>
              <w:t>46,62</w:t>
            </w:r>
          </w:p>
        </w:tc>
        <w:tc>
          <w:tcPr>
            <w:tcW w:w="1409" w:type="dxa"/>
            <w:shd w:val="clear" w:color="auto" w:fill="auto"/>
          </w:tcPr>
          <w:p>
            <w:pPr>
              <w:rPr>
                <w:noProof/>
              </w:rPr>
            </w:pPr>
            <w:r>
              <w:rPr>
                <w:noProof/>
              </w:rPr>
              <w:t>46,62</w:t>
            </w:r>
          </w:p>
        </w:tc>
      </w:tr>
    </w:tbl>
    <w:p>
      <w:pPr>
        <w:rPr>
          <w:noProof/>
        </w:rPr>
      </w:pPr>
      <w:r>
        <w:rPr>
          <w:noProof/>
        </w:rPr>
        <w:t>Източник: www.prix- carburants.gouv.fr</w:t>
      </w:r>
    </w:p>
    <w:p>
      <w:pPr>
        <w:rPr>
          <w:b/>
          <w:noProof/>
        </w:rPr>
      </w:pPr>
      <w:r>
        <w:rPr>
          <w:noProof/>
        </w:rPr>
        <w:t xml:space="preserve">Франция също така изтъкна, че мярката е част от специалната политика на правителството в подкрепа на развитието на Корсика с цел преодоляване на недостатъците, произтичащи от островния ѝ характер. </w:t>
      </w:r>
    </w:p>
    <w:p>
      <w:pPr>
        <w:pStyle w:val="ManualHeading2"/>
        <w:rPr>
          <w:rFonts w:eastAsia="Arial Unicode MS"/>
          <w:noProof/>
          <w:u w:color="000000"/>
          <w:bdr w:val="nil"/>
        </w:rPr>
      </w:pPr>
      <w:r>
        <w:rPr>
          <w:noProof/>
        </w:rPr>
        <w:t>•</w:t>
      </w:r>
      <w:r>
        <w:rPr>
          <w:noProof/>
        </w:rPr>
        <w:tab/>
        <w:t>Разпоредби в областта, за която се отнася предложението</w:t>
      </w:r>
    </w:p>
    <w:p>
      <w:pPr>
        <w:rPr>
          <w:noProof/>
        </w:rPr>
      </w:pPr>
      <w:r>
        <w:rPr>
          <w:noProof/>
        </w:rPr>
        <w:t xml:space="preserve">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w:t>
      </w:r>
    </w:p>
    <w:p>
      <w:pPr>
        <w:pStyle w:val="ManualHeading2"/>
        <w:rPr>
          <w:rFonts w:eastAsia="Arial Unicode MS"/>
          <w:noProof/>
          <w:u w:color="000000"/>
          <w:bdr w:val="nil"/>
        </w:rPr>
      </w:pPr>
      <w:r>
        <w:rPr>
          <w:noProof/>
        </w:rPr>
        <w:t>•</w:t>
      </w:r>
      <w:r>
        <w:rPr>
          <w:noProof/>
        </w:rPr>
        <w:tab/>
        <w:t>Оценка на мярката по член 19 от Директива 2003/96/ЕО</w:t>
      </w:r>
    </w:p>
    <w:p>
      <w:pPr>
        <w:keepNext/>
        <w:rPr>
          <w:i/>
          <w:noProof/>
        </w:rPr>
      </w:pPr>
      <w:r>
        <w:rPr>
          <w:i/>
          <w:noProof/>
        </w:rPr>
        <w:t>Специфични съображения във връзка с политиката</w:t>
      </w:r>
    </w:p>
    <w:p>
      <w:pPr>
        <w:rPr>
          <w:noProof/>
        </w:rPr>
      </w:pPr>
      <w:r>
        <w:rPr>
          <w:noProof/>
        </w:rPr>
        <w:t xml:space="preserve">Член 19, параграф 1, първа алинея от Директивата гласи следното: </w:t>
      </w:r>
    </w:p>
    <w:p>
      <w:pPr>
        <w:rPr>
          <w:noProof/>
        </w:rPr>
      </w:pPr>
      <w:r>
        <w:rPr>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rPr>
          <w:noProof/>
        </w:rPr>
      </w:pPr>
      <w:r>
        <w:rPr>
          <w:noProof/>
        </w:rPr>
        <w:t xml:space="preserve">Чрез различните данъчни ставки се осигурява по-висока степен на равенство между потребителите на безоловен бензин в Корсика и същите потребители на континента, като се компенсират частично допълнителните разходи, понасяни от потребителите в Корсика. Следователно предложената мярка отговаря на определени цели на регионалната политика и политиката за сближаване. </w:t>
      </w:r>
    </w:p>
    <w:p>
      <w:pPr>
        <w:rPr>
          <w:noProof/>
        </w:rPr>
      </w:pPr>
      <w:r>
        <w:rPr>
          <w:noProof/>
        </w:rPr>
        <w:t xml:space="preserve">Намалението на данъка не превишава допълнителните разходи за транспорт и разпространение, понасяни от потребителите в Корсика. Намалението на разходите за безоловен бензин с 10 EUR на 1 000 литра е много по-малко от разликата между съответните крайни цени. </w:t>
      </w:r>
    </w:p>
    <w:p>
      <w:pPr>
        <w:keepNext/>
        <w:rPr>
          <w:noProof/>
        </w:rPr>
      </w:pPr>
      <w:r>
        <w:rPr>
          <w:noProof/>
        </w:rPr>
        <w:t xml:space="preserve">Освен това сегашната намалена данъчна ставка за потреблението на безоловен бензин в Корсика (672,9 EUR на 1 000 литра) все още е значително по-висока от минималното равнище за ЕС, определено с Директива 2003/96/ЕО (359 EUR на 1 000 литра). </w:t>
      </w:r>
    </w:p>
    <w:p>
      <w:pPr>
        <w:keepNext/>
        <w:rPr>
          <w:i/>
          <w:noProof/>
        </w:rPr>
      </w:pPr>
      <w:r>
        <w:rPr>
          <w:i/>
          <w:noProof/>
        </w:rPr>
        <w:t>Съгласуваност с други политики и цели на Съюза</w:t>
      </w:r>
    </w:p>
    <w:p>
      <w:pPr>
        <w:rPr>
          <w:noProof/>
        </w:rPr>
      </w:pPr>
      <w:r>
        <w:rPr>
          <w:noProof/>
        </w:rPr>
        <w:t xml:space="preserve">Когато Комисията разглежда искане, тя отчита целта за правилно функциониране на вътрешния пазар, необходимостта от осигуряване на лоялна конкуренция и изпълнението на политиките на ЕС в областта на здравеопазването, околната среда, енергетиката и транспорта. </w:t>
      </w:r>
    </w:p>
    <w:p>
      <w:pPr>
        <w:rPr>
          <w:noProof/>
        </w:rPr>
      </w:pPr>
      <w:r>
        <w:rPr>
          <w:noProof/>
        </w:rPr>
        <w:t>Тази мярка е приемлива от гледна точка на правилното функциониране на вътрешния пазар и необходимостта да се осигури лоялна конкуренция. Нейното предназначение е само да компенсира частично допълнителните разходи, свързани с островното положение на Корсика. Предвид на отдалечеността и островното положение на департаментите, за които се прилага, както и умерения размер на намалението на ставката – която впрочем е твърде висока в сравнение с минималното равнище за ЕС – не се очаква мярката да доведе до промени в потреблението на гориво чрез привличане на потребители извън тези райони.</w:t>
      </w:r>
    </w:p>
    <w:p>
      <w:pPr>
        <w:rPr>
          <w:noProof/>
        </w:rPr>
      </w:pPr>
      <w:r>
        <w:rPr>
          <w:noProof/>
        </w:rPr>
        <w:t>Тъй като се очаква данъчното облекчение да окаже незначително въздействие върху транспорта, а и за всички странични ефекти, които могат да възникнат, може да бъдат намерени компенсаторни механизми, мярката не е несъвместима с политиките на Съюза по отношение на здравеопазването, околната среда, енергетиката и транспорта.</w:t>
      </w:r>
    </w:p>
    <w:p>
      <w:pPr>
        <w:rPr>
          <w:i/>
          <w:noProof/>
        </w:rPr>
      </w:pPr>
      <w:r>
        <w:rPr>
          <w:i/>
          <w:noProof/>
        </w:rPr>
        <w:t>Срок на прилагане на мярката и развитие на нормативната уредба на ЕС за данъчното облагане на енергийните продукти</w:t>
      </w:r>
    </w:p>
    <w:p>
      <w:pPr>
        <w:rPr>
          <w:noProof/>
        </w:rPr>
      </w:pPr>
      <w:r>
        <w:rPr>
          <w:noProof/>
        </w:rPr>
        <w:t>Член 19, параграф 2 от Директива 2003/96/ЕО предвижда за този вид мерки максимален срок от 6 години с възможност за подновяване. Като има предвид липсата на каквото и да било отрицателно въздействие на сега действащата мярка върху търговията в рамките на ЕС и върху общото равнище на данъчно облагане на горивата във Франция и с цел да обезпечи правната сигурност за региона, Комисията предлага на този етап да се предостави разрешение за срок от шест години, т.е. от 1 януари 2019 г. до 31 декември 2024 г.</w:t>
      </w:r>
    </w:p>
    <w:p>
      <w:pPr>
        <w:rPr>
          <w:noProof/>
        </w:rPr>
      </w:pPr>
      <w:r>
        <w:rPr>
          <w:noProof/>
        </w:rPr>
        <w:t>За да не бъде застрашено обаче бъдещото общо развитие на действащата нормативна уредба, е подходящо да се предвиди, че ако Съветът, като действа на основание член 113 от Договора, въведе изменена обща система за данъчно облагане на енергийните продукти, с която настоящото разрешение няма да бъде съобразено, срокът на действие на настоящото решение изтича на датата, на която тези изменени разпоредби започнат да се прилагат.</w:t>
      </w:r>
    </w:p>
    <w:p>
      <w:pPr>
        <w:rPr>
          <w:noProof/>
        </w:rPr>
      </w:pPr>
      <w:r>
        <w:rPr>
          <w:noProof/>
        </w:rPr>
        <w:t>В случай че Съветът приеме такава нова система и Комисията счита, че предложеното в настоящия акт разрешение все още е обосновано, тя ще разгледа своевременно и в положителен дух всяко искане от Франция за подобно разрешение, съобразено с тази нова система, така че да бъде осигурена непрекъснатостта на действието на настоящото предложение.</w:t>
      </w:r>
    </w:p>
    <w:p>
      <w:pPr>
        <w:pStyle w:val="ManualHeading2"/>
        <w:rPr>
          <w:rFonts w:eastAsia="Arial Unicode MS"/>
          <w:noProof/>
          <w:u w:color="000000"/>
          <w:bdr w:val="nil"/>
        </w:rPr>
      </w:pPr>
      <w:r>
        <w:rPr>
          <w:noProof/>
        </w:rPr>
        <w:t>•</w:t>
      </w:r>
      <w:r>
        <w:rPr>
          <w:noProof/>
        </w:rPr>
        <w:tab/>
        <w:t>Правила за държавните помощи</w:t>
      </w:r>
    </w:p>
    <w:p>
      <w:pPr>
        <w:rPr>
          <w:noProof/>
        </w:rPr>
      </w:pPr>
      <w:r>
        <w:rPr>
          <w:noProof/>
        </w:rPr>
        <w:t>Мярката може да представлява държавна помощ по смисъла на член 107, параграф 1 от ДФЕС. Тъй като намалените данъчни ставки са над минималните равнища за ЕС, тази мярка би попаднала в обхвата на член 44 от Регламент (ЕО) № 651/2014/EС (Общия регламент за групово освобождаване) и следователно би била считана за съвместима с вътрешния пазар. След изтичането на срока на действие на Общия регламент за групово освобождаване на 31 декември 2020 г. помощта остава освободена през шестмесечния период на приспособяване (вж. член 58, параграф 4 от Общия регламент за групово освобождаване). Решението не засяга правилата за държавните помощи, приложими през обхванатия от дерогацията период.</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19 от Директива 2003/96/ЕО на Съвета.</w:t>
      </w:r>
    </w:p>
    <w:p>
      <w:pPr>
        <w:pStyle w:val="ManualHeading2"/>
        <w:rPr>
          <w:rFonts w:eastAsia="Arial Unicode MS"/>
          <w:noProof/>
          <w:u w:color="000000"/>
          <w:bdr w:val="nil"/>
        </w:rPr>
      </w:pPr>
      <w:r>
        <w:rPr>
          <w:noProof/>
        </w:rPr>
        <w:t>•</w:t>
      </w:r>
      <w:r>
        <w:rPr>
          <w:noProof/>
        </w:rPr>
        <w:tab/>
        <w:t>Принцип на субсидиарността</w:t>
      </w:r>
    </w:p>
    <w:p>
      <w:pPr>
        <w:rPr>
          <w:noProof/>
        </w:rPr>
      </w:pPr>
      <w:r>
        <w:rPr>
          <w:noProof/>
        </w:rPr>
        <w:t>Областта на косвеното данъчно облагане, включена в обхвата на член 113 от ДФЕС, сама по себе си не е от изключителната компетентност на ЕС по смисъла на член 3 от Договора.</w:t>
      </w:r>
    </w:p>
    <w:p>
      <w:pPr>
        <w:rPr>
          <w:noProof/>
        </w:rPr>
      </w:pPr>
      <w:r>
        <w:rPr>
          <w:noProof/>
        </w:rPr>
        <w:t>Същевременно по силата на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допълнително освобождаване или намаления по смисъла на посочената разпоредба. Затова държавите членки не могат да изземат функциите на Съвета. В резултат на това принципът на субсидиарността не е приложим към настоящото решение за изпълнение. Във всеки случай, тъй като настоящият акт не е проект на законодателен акт, съгласно Протокол № 2 към Договорите той следва да не се изпраща на националните парламенти за преглед на спазването на принципа на субсидиарността.</w:t>
      </w:r>
    </w:p>
    <w:p>
      <w:pPr>
        <w:pStyle w:val="ManualHeading2"/>
        <w:rPr>
          <w:rFonts w:eastAsia="Arial Unicode MS"/>
          <w:noProof/>
          <w:u w:color="000000"/>
          <w:bdr w:val="nil"/>
        </w:rPr>
      </w:pPr>
      <w:r>
        <w:rPr>
          <w:noProof/>
        </w:rPr>
        <w:t>•</w:t>
      </w:r>
      <w:r>
        <w:rPr>
          <w:noProof/>
        </w:rPr>
        <w:tab/>
        <w:t>Принцип на пропорционалността</w:t>
      </w:r>
    </w:p>
    <w:p>
      <w:pPr>
        <w:rPr>
          <w:noProof/>
        </w:rPr>
      </w:pPr>
      <w:r>
        <w:rPr>
          <w:noProof/>
        </w:rPr>
        <w:t>Предложението е съобразено с принципа на пропорционалността. Намалението на данъка не надхвърля необходимото за постигане на въпросната цел.</w:t>
      </w:r>
    </w:p>
    <w:p>
      <w:pPr>
        <w:pStyle w:val="ManualHeading2"/>
        <w:rPr>
          <w:rFonts w:eastAsia="Arial Unicode MS"/>
          <w:noProof/>
          <w:u w:color="000000"/>
          <w:bdr w:val="nil"/>
        </w:rPr>
      </w:pPr>
      <w:r>
        <w:rPr>
          <w:noProof/>
        </w:rPr>
        <w:t>•</w:t>
      </w:r>
      <w:r>
        <w:rPr>
          <w:noProof/>
        </w:rPr>
        <w:tab/>
        <w:t>Избор на нормативен акт</w:t>
      </w:r>
    </w:p>
    <w:p>
      <w:pPr>
        <w:rPr>
          <w:noProof/>
        </w:rPr>
      </w:pPr>
      <w:r>
        <w:rPr>
          <w:noProof/>
        </w:rPr>
        <w:t>Предложен нормативен акт: решение за изпълнение на Съвета.</w:t>
      </w:r>
    </w:p>
    <w:p>
      <w:pPr>
        <w:rPr>
          <w:noProof/>
        </w:rPr>
      </w:pPr>
      <w:r>
        <w:rPr>
          <w:noProof/>
        </w:rPr>
        <w:t>В член 19 от Директива 2003/96/ЕО се предвижда единствено този вид мярка.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За мярката не е необходима оценка на действащото законодателство.</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rPr>
          <w:noProof/>
        </w:rPr>
      </w:pPr>
      <w:r>
        <w:rPr>
          <w:noProof/>
        </w:rPr>
        <w:t>В предложението се предвижда намаление на данък, отнасящо се само до Франция.</w:t>
      </w:r>
    </w:p>
    <w:p>
      <w:pPr>
        <w:pStyle w:val="ManualHeading2"/>
        <w:rPr>
          <w:rFonts w:eastAsia="Arial Unicode MS"/>
          <w:noProof/>
          <w:u w:color="000000"/>
          <w:bdr w:val="nil"/>
        </w:rPr>
      </w:pPr>
      <w:r>
        <w:rPr>
          <w:noProof/>
        </w:rPr>
        <w:t>•</w:t>
      </w:r>
      <w:r>
        <w:rPr>
          <w:noProof/>
        </w:rPr>
        <w:tab/>
        <w:t>Получаване и използване на експертни становища</w:t>
      </w:r>
    </w:p>
    <w:p>
      <w:pPr>
        <w:rPr>
          <w:noProof/>
        </w:rPr>
      </w:pPr>
      <w:r>
        <w:rPr>
          <w:noProof/>
        </w:rPr>
        <w:t>Не са използвани становища на външни експерти.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Оценка на въздействието не бе извършена.</w:t>
      </w:r>
    </w:p>
    <w:p>
      <w:pPr>
        <w:pStyle w:val="ManualHeading2"/>
        <w:rPr>
          <w:rFonts w:eastAsia="Arial Unicode MS"/>
          <w:noProof/>
          <w:u w:color="000000"/>
          <w:bdr w:val="nil"/>
        </w:rPr>
      </w:pPr>
      <w:r>
        <w:rPr>
          <w:noProof/>
        </w:rPr>
        <w:t>•</w:t>
      </w:r>
      <w:r>
        <w:rPr>
          <w:noProof/>
        </w:rPr>
        <w:tab/>
        <w:t xml:space="preserve">Основни права </w:t>
      </w:r>
    </w:p>
    <w:p>
      <w:pPr>
        <w:rPr>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От мярката не произтича финансова и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rPr>
          <w:noProof/>
        </w:rPr>
      </w:pPr>
      <w:r>
        <w:rPr>
          <w:noProof/>
        </w:rPr>
        <w:t xml:space="preserve">Планове за изпълнение и ред за наблюдение, оценяване и докладване </w:t>
      </w:r>
    </w:p>
    <w:p>
      <w:pPr>
        <w:rPr>
          <w:noProof/>
        </w:rPr>
      </w:pPr>
      <w:r>
        <w:rPr>
          <w:noProof/>
        </w:rPr>
        <w:t>План за изпълнение не е необходим. Настоящото предложение се отнася до предоставяне на разрешение за намаление на данък за отделна държава членка по нейно искане. То се предоставя за ограничен срок от шест години. Данъчната ставка, която ще се прилага, ще бъде по-висока от минималното равнище на данъчно облагане, установено с Директивата за данъчно облагане на енергийните продукти и електроенергията. Мярката може да бъде подложена на оценяване в случай на искане за подновяване на разрешението след изтичането на шестгодишния срок.</w:t>
      </w:r>
    </w:p>
    <w:p>
      <w:pPr>
        <w:pStyle w:val="ManualHeading2"/>
        <w:rPr>
          <w:rFonts w:eastAsia="Arial Unicode MS"/>
          <w:noProof/>
          <w:u w:color="000000"/>
          <w:bdr w:val="nil"/>
        </w:rPr>
      </w:pPr>
      <w:r>
        <w:rPr>
          <w:noProof/>
        </w:rPr>
        <w:t>•</w:t>
      </w:r>
      <w:r>
        <w:rPr>
          <w:noProof/>
        </w:rPr>
        <w:tab/>
        <w:t>Кратко изложение на предлаганата мярка</w:t>
      </w:r>
    </w:p>
    <w:p>
      <w:pPr>
        <w:rPr>
          <w:noProof/>
        </w:rPr>
      </w:pPr>
      <w:r>
        <w:rPr>
          <w:noProof/>
        </w:rPr>
        <w:t>Комисията предлага да се разреши данъчно намаление от 10 EUR на 1 000 литра до 31 декември 2024 г., с което на Франция да се позволи да приложи намалена данъчна ставка за безоловния бензин, използван като моторно гориво в департаментите на Корсика.</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2019/0004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Франция да прилага намалена данъчна ставка за безоловния бензин, използван като моторно гориво в департаментите на Корсика, съгласно член 19 на Директива 2003/96/ЕО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1"/>
      </w:r>
      <w:r>
        <w:rPr>
          <w:noProof/>
        </w:rPr>
        <w:t>, и по-специално член 19,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2007/880/EО на Съвета</w:t>
      </w:r>
      <w:r>
        <w:rPr>
          <w:rStyle w:val="FootnoteReference"/>
          <w:noProof/>
        </w:rPr>
        <w:footnoteReference w:id="2"/>
      </w:r>
      <w:r>
        <w:rPr>
          <w:noProof/>
        </w:rPr>
        <w:t xml:space="preserve"> и Решение за изпълнение 2013/192/ЕС на Съвета</w:t>
      </w:r>
      <w:r>
        <w:rPr>
          <w:rStyle w:val="FootnoteReference"/>
          <w:noProof/>
        </w:rPr>
        <w:footnoteReference w:id="3"/>
      </w:r>
      <w:r>
        <w:rPr>
          <w:noProof/>
        </w:rPr>
        <w:t xml:space="preserve"> на Франция бе предоставено разрешение да прилага намалена данъчна ставка за безоловния бензин, използван като моторно гориво в департаментите на Корсика, съгласно член 19 от Директива 2003/96/ЕО.</w:t>
      </w:r>
    </w:p>
    <w:p>
      <w:pPr>
        <w:pStyle w:val="ManualConsidrant"/>
        <w:rPr>
          <w:noProof/>
        </w:rPr>
      </w:pPr>
      <w:r>
        <w:t>(2)</w:t>
      </w:r>
      <w:r>
        <w:tab/>
      </w:r>
      <w:r>
        <w:rPr>
          <w:noProof/>
        </w:rPr>
        <w:t>С писмо от 26 септември 2018 г. Франция поиска разрешение да прилага намалена ставка на данъка върху енергоносителите за безоловния бензин, използван като моторно гориво, чрез удължаване на срока на действие на следваната по силата на Решение 2007/880/ЕО и Решение за изпълнение 2013/192/ЕС практика. Намалението възлиза на 1 EUR на хектолитър. Разрешението се иска за срок от 1 януари 2019 г. до 31 декември 2024 г. Снабдяването на бензиностанциите в Корсика с безоловен бензин е свързано със значително повече разходи в сравнение със снабдяването в континентална Франция, като крайните цени са с 0,10 EUR на литър по-високи от тези на континента.</w:t>
      </w:r>
    </w:p>
    <w:p>
      <w:pPr>
        <w:pStyle w:val="ManualConsidrant"/>
        <w:rPr>
          <w:noProof/>
        </w:rPr>
      </w:pPr>
      <w:r>
        <w:t>(3)</w:t>
      </w:r>
      <w:r>
        <w:tab/>
      </w:r>
      <w:r>
        <w:rPr>
          <w:noProof/>
        </w:rPr>
        <w:t>Намаляването на данъка върху безоловния бензин, налаган на потребителите в Корсика, ще доведе до по-висока степен на равенство спрямо потребителите от континенталната част. Следователно тази мярка отговаря на целите на регионалната политика и политиката за сближаване.</w:t>
      </w:r>
    </w:p>
    <w:p>
      <w:pPr>
        <w:pStyle w:val="ManualConsidrant"/>
        <w:rPr>
          <w:noProof/>
        </w:rPr>
      </w:pPr>
      <w:r>
        <w:t>(4)</w:t>
      </w:r>
      <w:r>
        <w:tab/>
      </w:r>
      <w:r>
        <w:rPr>
          <w:noProof/>
        </w:rPr>
        <w:t>Намалението на данъка не надхвърля размера, който е необходим, за да се компенсират допълнителните разходи за транспорт и разпространение, понасяни от потребителите в Корсика.</w:t>
      </w:r>
    </w:p>
    <w:p>
      <w:pPr>
        <w:pStyle w:val="ManualConsidrant"/>
        <w:rPr>
          <w:noProof/>
        </w:rPr>
      </w:pPr>
      <w:r>
        <w:t>(5)</w:t>
      </w:r>
      <w:r>
        <w:tab/>
      </w:r>
      <w:r>
        <w:rPr>
          <w:noProof/>
        </w:rPr>
        <w:t>Крайното равнище на данъчното облагане е в съответствие с минималните ставки, предвидени в Директива 2003/96/ЕО, които понастоящем са 359 EUR на 1000 литра (или 35,90 EUR на хектолитър).</w:t>
      </w:r>
    </w:p>
    <w:p>
      <w:pPr>
        <w:pStyle w:val="ManualConsidrant"/>
        <w:rPr>
          <w:noProof/>
        </w:rPr>
      </w:pPr>
      <w:r>
        <w:t>(6)</w:t>
      </w:r>
      <w:r>
        <w:tab/>
      </w:r>
      <w:r>
        <w:rPr>
          <w:noProof/>
        </w:rPr>
        <w:t>Предвид на отдалечеността и островното положение на департаментите, за които се прилага, както и малкия размер на намалението на ставката – която впрочем е твърде висока в сравнение с минималното равнище, предвидено в Директива 2003/96/ЕО – исканата мярка няма да предизвика движение, свързано конкретно със снабдяването с моторно гориво.</w:t>
      </w:r>
    </w:p>
    <w:p>
      <w:pPr>
        <w:pStyle w:val="ManualConsidrant"/>
        <w:rPr>
          <w:noProof/>
        </w:rPr>
      </w:pPr>
      <w:r>
        <w:t>(7)</w:t>
      </w:r>
      <w:r>
        <w:tab/>
      </w:r>
      <w:r>
        <w:rPr>
          <w:noProof/>
        </w:rPr>
        <w:t>Следователно мярката е приемлива от гледна точка на правилното функциониране на вътрешния пазар и необходимостта от осигуряване на лоялна конкуренция и не е несъвместима с политиките на Съюза в областта на здравеопазването, околната среда, енергетиката и транспорта.</w:t>
      </w:r>
    </w:p>
    <w:p>
      <w:pPr>
        <w:pStyle w:val="ManualConsidrant"/>
        <w:rPr>
          <w:noProof/>
        </w:rPr>
      </w:pPr>
      <w:r>
        <w:t>(8)</w:t>
      </w:r>
      <w:r>
        <w:tab/>
      </w:r>
      <w:r>
        <w:rPr>
          <w:noProof/>
        </w:rPr>
        <w:t>Затова съгласно член 19, параграф 2 от Директива 2003/96/ЕО на Франция следва да се предостави разрешение да прилага намалена данъчна ставка за безоловния бензин, използван като моторно гориво в Корсика, за срок до 31 декември 2024 г.</w:t>
      </w:r>
    </w:p>
    <w:p>
      <w:pPr>
        <w:pStyle w:val="ManualConsidrant"/>
        <w:rPr>
          <w:noProof/>
        </w:rPr>
      </w:pPr>
      <w:r>
        <w:t>(9)</w:t>
      </w:r>
      <w:r>
        <w:tab/>
      </w:r>
      <w:r>
        <w:rPr>
          <w:noProof/>
        </w:rPr>
        <w:t>От член 19, параграф 2 от Директива 2003/96/ЕО следва, че всяко разрешение, предоставено съгласно този член, трябва да бъде строго ограничено във времето.</w:t>
      </w:r>
    </w:p>
    <w:p>
      <w:pPr>
        <w:pStyle w:val="ManualConsidrant"/>
        <w:rPr>
          <w:noProof/>
        </w:rPr>
      </w:pPr>
      <w:r>
        <w:t>(10)</w:t>
      </w:r>
      <w:r>
        <w:tab/>
      </w:r>
      <w:r>
        <w:rPr>
          <w:noProof/>
        </w:rPr>
        <w:t>С цел осигуряване на достатъчна степен на сигурност за съответните региони разрешението следва да се предостави за срок от шест години. За да не бъде застрашено обаче бъдещото общо развитие на действащата нормативна уредба, е подходящо да се предвиди, че ако Съветът, като действа на основание член 113 от Договора, въведе изменена обща система за данъчно облагане на енергийните продукти, с която настоящото разрешение няма да бъде съобразено, срокът на действието на настоящото решение изтича на датата, на която тези разпоредби за изменение на системата започнат да се прилагат.</w:t>
      </w:r>
    </w:p>
    <w:p>
      <w:pPr>
        <w:pStyle w:val="ManualConsidrant"/>
        <w:rPr>
          <w:noProof/>
        </w:rPr>
      </w:pPr>
      <w:r>
        <w:t>(11)</w:t>
      </w:r>
      <w:r>
        <w:tab/>
      </w:r>
      <w:r>
        <w:rPr>
          <w:noProof/>
        </w:rPr>
        <w:t>Следва да се гарантира, че Франция ще може да прилага специалното намаление, за което се отнася настоящото решение, като продължи без прекъсване положението, съществуващо преди 1 януари 2019 г. съгласно Решение за изпълнение 2013/192/ЕС. Поради това исканото разрешение следва да бъде предоставено и да породи действие от 1 януари 2019 г.</w:t>
      </w:r>
    </w:p>
    <w:p>
      <w:pPr>
        <w:pStyle w:val="ManualConsidrant"/>
        <w:rPr>
          <w:noProof/>
        </w:rPr>
      </w:pPr>
      <w:r>
        <w:t>(12)</w:t>
      </w:r>
      <w:r>
        <w:tab/>
      </w:r>
      <w:r>
        <w:rPr>
          <w:noProof/>
        </w:rPr>
        <w:t>Настоящото решение не засяга прилагането на разпоредбите на Съюза относно държавните помощи,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Франция се разрешава да прилага намаление на данъчната ставка, което не надвишава 1 EUR на хектолитър, за безоловния бензин, използван като моторно гориво в департаментите на Корсика.</w:t>
      </w:r>
    </w:p>
    <w:p>
      <w:pPr>
        <w:rPr>
          <w:noProof/>
        </w:rPr>
      </w:pPr>
      <w:r>
        <w:rPr>
          <w:noProof/>
        </w:rPr>
        <w:t>За да се избегне всяка свръхкомпенсация, намалението не надвишава понасяните допълнителни разходи за транспорт, складиране и разпространение в сравнение с континентална Франция.</w:t>
      </w:r>
    </w:p>
    <w:p>
      <w:pPr>
        <w:rPr>
          <w:noProof/>
        </w:rPr>
      </w:pPr>
      <w:r>
        <w:rPr>
          <w:noProof/>
        </w:rPr>
        <w:t>Намалената ставка е съобразена със задълженията, предвидени в Директива 2003/96/ЕО, и по-специално с минималните ставки, посочени в член 7 от нея.</w:t>
      </w:r>
    </w:p>
    <w:p>
      <w:pPr>
        <w:pStyle w:val="Titrearticle"/>
        <w:keepNext w:val="0"/>
        <w:rPr>
          <w:noProof/>
        </w:rPr>
      </w:pPr>
      <w:r>
        <w:rPr>
          <w:noProof/>
        </w:rPr>
        <w:t>Член 2</w:t>
      </w:r>
    </w:p>
    <w:p>
      <w:pPr>
        <w:rPr>
          <w:noProof/>
        </w:rPr>
      </w:pPr>
      <w:r>
        <w:rPr>
          <w:noProof/>
        </w:rPr>
        <w:t>Настоящото решение се прилага от 1 януари 2019 г., а срокът на действието му изтича на 31 декември 2024 г.</w:t>
      </w:r>
    </w:p>
    <w:p>
      <w:pPr>
        <w:rPr>
          <w:noProof/>
        </w:rPr>
      </w:pPr>
      <w:r>
        <w:rPr>
          <w:noProof/>
        </w:rPr>
        <w:t xml:space="preserve">Ако обаче Съветът, на основание член 113 от Договора, въведе изменена обща система за данъчно облагане на енергийните продукти, с която разрешението, предоставено съгласно член 1 от настоящото решение, няма да бъде съобразено, срокът на действие на настоящото решение изтича в деня, в който започват да се прилагат разпоредбите за тази изменена система. </w:t>
      </w:r>
    </w:p>
    <w:p>
      <w:pPr>
        <w:pStyle w:val="Titrearticle"/>
        <w:rPr>
          <w:noProof/>
        </w:rPr>
      </w:pPr>
      <w:r>
        <w:rPr>
          <w:noProof/>
        </w:rPr>
        <w:t>Член 3</w:t>
      </w:r>
    </w:p>
    <w:p>
      <w:pPr>
        <w:rPr>
          <w:noProof/>
        </w:rPr>
      </w:pPr>
      <w:r>
        <w:rPr>
          <w:noProof/>
        </w:rPr>
        <w:t>Адресат на настоящото решение е Франция.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ОВ L 283, 31.10.2003 г., стр. 51.</w:t>
      </w:r>
    </w:p>
  </w:footnote>
  <w:footnote w:id="2">
    <w:p>
      <w:pPr>
        <w:pStyle w:val="FootnoteText"/>
      </w:pPr>
      <w:r>
        <w:rPr>
          <w:rStyle w:val="FootnoteReference"/>
        </w:rPr>
        <w:footnoteRef/>
      </w:r>
      <w:r>
        <w:tab/>
        <w:t>Решение 2007/880/ЕО на Съвета от 20 декември 2007 година за даване на разрешение на Франция да приложи намалена данъчна ставка за безоловния бензин, използван като гориво в департаментите на Корсика, съгласно член 19 от Директива 2003/96/ЕО (OВ L 346, 29.12.2007 г., стр. 15).</w:t>
      </w:r>
    </w:p>
  </w:footnote>
  <w:footnote w:id="3">
    <w:p>
      <w:pPr>
        <w:pStyle w:val="FootnoteText"/>
      </w:pPr>
      <w:r>
        <w:rPr>
          <w:rStyle w:val="FootnoteReference"/>
        </w:rPr>
        <w:footnoteRef/>
      </w:r>
      <w:r>
        <w:tab/>
        <w:t>Решение за изпълнение 2013/192/ЕС на Съвета от 22 април 2013 година за даване на разрешение на Френската република съгласно член 19 от Директива 2003/96/ЕО да приложи намалена данъчна ставка върху безоловния бензин, използван като моторно гориво в департаментите на Корсика (OВ L 113, 25.4.2013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ECFD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DA81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EA2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4619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3AD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C883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8EAF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B21D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5 18:05: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26BE4B-214E-42D9-AEFA-7FE2EA32F693"/>
    <w:docVar w:name="LW_COVERPAGE_TYPE" w:val="1"/>
    <w:docVar w:name="LW_CROSSREFERENCE" w:val="&lt;UNUSED&gt;"/>
    <w:docVar w:name="LW_DocType" w:val="COM"/>
    <w:docVar w:name="LW_EMISSION" w:val="17.1.2019"/>
    <w:docVar w:name="LW_EMISSION_ISODATE" w:val="2019-01-1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4"/>
    <w:docVar w:name="LW_REF.II.NEW.CP_YEAR" w:val="2019"/>
    <w:docVar w:name="LW_REF.INST.NEW" w:val="COM"/>
    <w:docVar w:name="LW_REF.INST.NEW_ADOPTED" w:val="final"/>
    <w:docVar w:name="LW_REF.INST.NEW_TEXT" w:val="(2019)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60?\u1088?\u1072?\u1085?\u1094?\u1080?\u1103? \u1076?\u1072? \u1087?\u1088?\u1080?\u1083?\u1072?\u1075?\u1072? \u1085?\u1072?\u1084?\u1072?\u1083?\u1077?\u1085?\u1072? \u1076?\u1072?\u1085?\u1098?\u1095?\u1085?\u1072? \u1089?\u1090?\u1072?\u1074?\u1082?\u1072? \u1079?\u1072? \u1073?\u1077?\u1079?\u1086?\u1083?\u1086?\u1074?\u1085?\u1080?\u1103? \u1073?\u1077?\u1085?\u1079?\u1080?\u1085?, \u1080?\u1079?\u1087?\u1086?\u1083?\u1079?\u1074?\u1072?\u1085? \u1082?\u1072?\u1090?\u1086? \u1084?\u1086?\u1090?\u1086?\u1088?\u1085?\u1086? \u1075?\u1086?\u1088?\u1080?\u1074?\u1086? \u1074? \u1076?\u1077?\u1087?\u1072?\u1088?\u1090?\u1072?\u1084?\u1077?\u1085?\u1090?\u1080?\u1090?\u1077? \u1085?\u1072? \u1050?\u1086?\u1088?\u1089?\u1080?\u1082?\u1072?, \u1089?\u1098?\u1075?\u1083?\u1072?\u1089?\u1085?\u1086? \u1095?\u1083?\u1077?\u1085? 19 \u1085?\u1072?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7</TotalTime>
  <Pages>10</Pages>
  <Words>2887</Words>
  <Characters>16544</Characters>
  <Application>Microsoft Office Word</Application>
  <DocSecurity>0</DocSecurity>
  <Lines>330</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2019-01-11T10:31:00Z</dcterms:created>
  <dcterms:modified xsi:type="dcterms:W3CDTF">2019-01-15T17:05:00Z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